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29A0B" w14:textId="1032ED73" w:rsidR="00321155" w:rsidRPr="00A14FC8" w:rsidRDefault="00321155" w:rsidP="004B03EC">
      <w:pPr>
        <w:spacing w:line="240" w:lineRule="auto"/>
        <w:jc w:val="both"/>
        <w:rPr>
          <w:rFonts w:asciiTheme="majorBidi" w:hAnsiTheme="majorBidi" w:cstheme="majorBidi"/>
          <w:b/>
          <w:sz w:val="24"/>
          <w:szCs w:val="24"/>
        </w:rPr>
      </w:pPr>
      <w:r w:rsidRPr="00A14FC8">
        <w:rPr>
          <w:rFonts w:asciiTheme="majorBidi" w:hAnsiTheme="majorBidi" w:cstheme="majorBidi"/>
          <w:b/>
          <w:sz w:val="24"/>
          <w:szCs w:val="24"/>
        </w:rPr>
        <w:t xml:space="preserve">The gamma-glutamyl transpeptidase to platelet ratio (GPR) and the gamma-glutamyl transpeptidase to albumin (GAR) versus fibroscan as indicators of hepatic fibrosis in </w:t>
      </w:r>
      <w:r w:rsidR="00E8024C" w:rsidRPr="00A14FC8">
        <w:rPr>
          <w:rFonts w:asciiTheme="majorBidi" w:hAnsiTheme="majorBidi" w:cstheme="majorBidi"/>
          <w:b/>
          <w:sz w:val="24"/>
          <w:szCs w:val="24"/>
        </w:rPr>
        <w:t>Non-Alcoholic</w:t>
      </w:r>
      <w:r w:rsidRPr="00A14FC8">
        <w:rPr>
          <w:rFonts w:asciiTheme="majorBidi" w:hAnsiTheme="majorBidi" w:cstheme="majorBidi"/>
          <w:b/>
          <w:sz w:val="24"/>
          <w:szCs w:val="24"/>
        </w:rPr>
        <w:t xml:space="preserve"> Fatty Liver Disease Patients </w:t>
      </w:r>
    </w:p>
    <w:p w14:paraId="03D1ECE0" w14:textId="50E59992" w:rsidR="00CE145F" w:rsidRPr="00187A4E" w:rsidRDefault="00CE145F" w:rsidP="004F2DF0">
      <w:pPr>
        <w:spacing w:line="240" w:lineRule="auto"/>
        <w:jc w:val="both"/>
        <w:rPr>
          <w:rFonts w:asciiTheme="majorBidi" w:hAnsiTheme="majorBidi" w:cstheme="majorBidi"/>
          <w:bCs/>
          <w:sz w:val="24"/>
          <w:szCs w:val="24"/>
        </w:rPr>
      </w:pPr>
      <w:r w:rsidRPr="00187A4E">
        <w:rPr>
          <w:rFonts w:asciiTheme="majorBidi" w:hAnsiTheme="majorBidi" w:cstheme="majorBidi"/>
          <w:bCs/>
          <w:sz w:val="24"/>
          <w:szCs w:val="24"/>
        </w:rPr>
        <w:t>Samah Soliman MD</w:t>
      </w:r>
      <w:r w:rsidR="004F2DF0" w:rsidRPr="00187A4E">
        <w:rPr>
          <w:rFonts w:asciiTheme="majorBidi" w:hAnsiTheme="majorBidi" w:cstheme="majorBidi"/>
          <w:bCs/>
          <w:sz w:val="24"/>
          <w:szCs w:val="24"/>
        </w:rPr>
        <w:t xml:space="preserve">, </w:t>
      </w:r>
      <w:r w:rsidRPr="00187A4E">
        <w:rPr>
          <w:rFonts w:asciiTheme="majorBidi" w:hAnsiTheme="majorBidi" w:cstheme="majorBidi"/>
          <w:bCs/>
          <w:sz w:val="24"/>
          <w:szCs w:val="24"/>
        </w:rPr>
        <w:t>Rehab Badawi MD</w:t>
      </w:r>
      <w:r w:rsidR="004F2DF0" w:rsidRPr="00187A4E">
        <w:rPr>
          <w:rFonts w:asciiTheme="majorBidi" w:hAnsiTheme="majorBidi" w:cstheme="majorBidi"/>
          <w:bCs/>
          <w:sz w:val="24"/>
          <w:szCs w:val="24"/>
        </w:rPr>
        <w:t xml:space="preserve">, </w:t>
      </w:r>
      <w:r w:rsidRPr="00187A4E">
        <w:rPr>
          <w:rFonts w:asciiTheme="majorBidi" w:hAnsiTheme="majorBidi" w:cstheme="majorBidi"/>
          <w:bCs/>
          <w:sz w:val="24"/>
          <w:szCs w:val="24"/>
        </w:rPr>
        <w:t xml:space="preserve">Walaa </w:t>
      </w:r>
      <w:proofErr w:type="spellStart"/>
      <w:r w:rsidRPr="00187A4E">
        <w:rPr>
          <w:rFonts w:asciiTheme="majorBidi" w:hAnsiTheme="majorBidi" w:cstheme="majorBidi"/>
          <w:bCs/>
          <w:sz w:val="24"/>
          <w:szCs w:val="24"/>
        </w:rPr>
        <w:t>Elkhalawany</w:t>
      </w:r>
      <w:proofErr w:type="spellEnd"/>
      <w:r w:rsidRPr="00187A4E">
        <w:rPr>
          <w:rFonts w:asciiTheme="majorBidi" w:hAnsiTheme="majorBidi" w:cstheme="majorBidi"/>
          <w:bCs/>
          <w:sz w:val="24"/>
          <w:szCs w:val="24"/>
        </w:rPr>
        <w:t xml:space="preserve"> MD</w:t>
      </w:r>
    </w:p>
    <w:p w14:paraId="790126E6" w14:textId="71B16F6E" w:rsidR="004F2DF0" w:rsidRPr="00187A4E" w:rsidRDefault="004F2DF0" w:rsidP="004F2DF0">
      <w:pPr>
        <w:spacing w:line="240" w:lineRule="auto"/>
        <w:jc w:val="both"/>
        <w:rPr>
          <w:rFonts w:asciiTheme="majorBidi" w:hAnsiTheme="majorBidi" w:cstheme="majorBidi"/>
          <w:bCs/>
          <w:sz w:val="24"/>
          <w:szCs w:val="24"/>
        </w:rPr>
      </w:pPr>
      <w:r w:rsidRPr="00187A4E">
        <w:rPr>
          <w:rFonts w:asciiTheme="majorBidi" w:hAnsiTheme="majorBidi" w:cstheme="majorBidi"/>
          <w:bCs/>
          <w:sz w:val="24"/>
          <w:szCs w:val="24"/>
        </w:rPr>
        <w:t>Tropical Medicine and Infectious Diseases Department, Faculty of Medicine-Tanta University.</w:t>
      </w:r>
    </w:p>
    <w:p w14:paraId="4B7176D2" w14:textId="77777777" w:rsidR="004F2DF0" w:rsidRPr="00187A4E" w:rsidRDefault="004F2DF0" w:rsidP="004F2DF0">
      <w:pPr>
        <w:spacing w:line="240" w:lineRule="auto"/>
        <w:jc w:val="both"/>
        <w:rPr>
          <w:rFonts w:asciiTheme="majorBidi" w:hAnsiTheme="majorBidi" w:cstheme="majorBidi"/>
          <w:bCs/>
          <w:sz w:val="24"/>
          <w:szCs w:val="24"/>
        </w:rPr>
      </w:pPr>
    </w:p>
    <w:p w14:paraId="0D367791" w14:textId="3DDB9D4F" w:rsidR="00CE145F" w:rsidRPr="00187A4E" w:rsidRDefault="00CE145F" w:rsidP="00CE145F">
      <w:pPr>
        <w:spacing w:line="240" w:lineRule="auto"/>
        <w:jc w:val="both"/>
        <w:rPr>
          <w:rFonts w:asciiTheme="majorBidi" w:hAnsiTheme="majorBidi" w:cstheme="majorBidi"/>
          <w:bCs/>
          <w:sz w:val="24"/>
          <w:szCs w:val="24"/>
        </w:rPr>
      </w:pPr>
      <w:r w:rsidRPr="00187A4E">
        <w:rPr>
          <w:rFonts w:asciiTheme="majorBidi" w:hAnsiTheme="majorBidi" w:cstheme="majorBidi"/>
          <w:bCs/>
          <w:sz w:val="24"/>
          <w:szCs w:val="24"/>
        </w:rPr>
        <w:t>Running head: GPR &amp;GAR as indicators of fibrosis in NAFLD</w:t>
      </w:r>
      <w:r w:rsidR="007B2E7A">
        <w:rPr>
          <w:rFonts w:asciiTheme="majorBidi" w:hAnsiTheme="majorBidi" w:cstheme="majorBidi"/>
          <w:bCs/>
          <w:sz w:val="24"/>
          <w:szCs w:val="24"/>
        </w:rPr>
        <w:t>.</w:t>
      </w:r>
    </w:p>
    <w:p w14:paraId="22389756" w14:textId="5F0D52F5" w:rsidR="00CE145F" w:rsidRPr="00187A4E" w:rsidRDefault="00CE145F" w:rsidP="00CE145F">
      <w:pPr>
        <w:spacing w:line="240" w:lineRule="auto"/>
        <w:jc w:val="both"/>
        <w:rPr>
          <w:rFonts w:asciiTheme="majorBidi" w:hAnsiTheme="majorBidi" w:cstheme="majorBidi"/>
          <w:bCs/>
          <w:sz w:val="24"/>
          <w:szCs w:val="24"/>
        </w:rPr>
      </w:pPr>
      <w:r w:rsidRPr="00187A4E">
        <w:rPr>
          <w:rFonts w:asciiTheme="majorBidi" w:hAnsiTheme="majorBidi" w:cstheme="majorBidi"/>
          <w:bCs/>
          <w:sz w:val="24"/>
          <w:szCs w:val="24"/>
        </w:rPr>
        <w:t xml:space="preserve">Corresponding author: Samah </w:t>
      </w:r>
      <w:proofErr w:type="spellStart"/>
      <w:r w:rsidRPr="00187A4E">
        <w:rPr>
          <w:rFonts w:asciiTheme="majorBidi" w:hAnsiTheme="majorBidi" w:cstheme="majorBidi"/>
          <w:bCs/>
          <w:sz w:val="24"/>
          <w:szCs w:val="24"/>
        </w:rPr>
        <w:t>Mosaad</w:t>
      </w:r>
      <w:proofErr w:type="spellEnd"/>
      <w:r w:rsidRPr="00187A4E">
        <w:rPr>
          <w:rFonts w:asciiTheme="majorBidi" w:hAnsiTheme="majorBidi" w:cstheme="majorBidi"/>
          <w:bCs/>
          <w:sz w:val="24"/>
          <w:szCs w:val="24"/>
        </w:rPr>
        <w:t xml:space="preserve"> Soliman, MD</w:t>
      </w:r>
      <w:r w:rsidR="00F44BBA">
        <w:rPr>
          <w:rFonts w:asciiTheme="majorBidi" w:hAnsiTheme="majorBidi" w:cstheme="majorBidi"/>
          <w:bCs/>
          <w:sz w:val="24"/>
          <w:szCs w:val="24"/>
        </w:rPr>
        <w:t>.</w:t>
      </w:r>
    </w:p>
    <w:p w14:paraId="70129096" w14:textId="6B9D73D7" w:rsidR="00CE145F" w:rsidRPr="00187A4E" w:rsidRDefault="00CE145F" w:rsidP="00CE145F">
      <w:pPr>
        <w:spacing w:line="240" w:lineRule="auto"/>
        <w:jc w:val="both"/>
        <w:rPr>
          <w:rFonts w:asciiTheme="majorBidi" w:hAnsiTheme="majorBidi" w:cstheme="majorBidi"/>
          <w:bCs/>
          <w:sz w:val="24"/>
          <w:szCs w:val="24"/>
        </w:rPr>
      </w:pPr>
      <w:r w:rsidRPr="00187A4E">
        <w:rPr>
          <w:rFonts w:asciiTheme="majorBidi" w:hAnsiTheme="majorBidi" w:cstheme="majorBidi"/>
          <w:bCs/>
          <w:sz w:val="24"/>
          <w:szCs w:val="24"/>
        </w:rPr>
        <w:t>Department of Tropical Medicine and Infectious Diseases, Faculty of Medicine, Tanta University, El-</w:t>
      </w:r>
      <w:proofErr w:type="spellStart"/>
      <w:r w:rsidRPr="00187A4E">
        <w:rPr>
          <w:rFonts w:asciiTheme="majorBidi" w:hAnsiTheme="majorBidi" w:cstheme="majorBidi"/>
          <w:bCs/>
          <w:sz w:val="24"/>
          <w:szCs w:val="24"/>
        </w:rPr>
        <w:t>Giash</w:t>
      </w:r>
      <w:proofErr w:type="spellEnd"/>
      <w:r w:rsidRPr="00187A4E">
        <w:rPr>
          <w:rFonts w:asciiTheme="majorBidi" w:hAnsiTheme="majorBidi" w:cstheme="majorBidi"/>
          <w:bCs/>
          <w:sz w:val="24"/>
          <w:szCs w:val="24"/>
        </w:rPr>
        <w:t xml:space="preserve"> Street 31527, Tanta, Egypt.</w:t>
      </w:r>
    </w:p>
    <w:p w14:paraId="1341BC3D" w14:textId="7200BCF7" w:rsidR="00CE145F" w:rsidRPr="00187A4E" w:rsidRDefault="00CE145F" w:rsidP="00CE145F">
      <w:pPr>
        <w:spacing w:line="240" w:lineRule="auto"/>
        <w:jc w:val="both"/>
        <w:rPr>
          <w:rFonts w:asciiTheme="majorBidi" w:hAnsiTheme="majorBidi" w:cstheme="majorBidi"/>
          <w:bCs/>
          <w:sz w:val="24"/>
          <w:szCs w:val="24"/>
          <w:lang w:val="fr-FR"/>
        </w:rPr>
      </w:pPr>
      <w:r w:rsidRPr="00187A4E">
        <w:rPr>
          <w:rFonts w:asciiTheme="majorBidi" w:hAnsiTheme="majorBidi" w:cstheme="majorBidi"/>
          <w:bCs/>
          <w:sz w:val="24"/>
          <w:szCs w:val="24"/>
        </w:rPr>
        <w:t>Telephone: +2-01288226394 Fax no.: +20403407734.</w:t>
      </w:r>
    </w:p>
    <w:p w14:paraId="5BDF1972" w14:textId="5ABAA008" w:rsidR="00CE145F" w:rsidRPr="00187A4E" w:rsidRDefault="00BB642F" w:rsidP="00CE145F">
      <w:pPr>
        <w:spacing w:line="240" w:lineRule="auto"/>
        <w:jc w:val="both"/>
        <w:rPr>
          <w:rFonts w:asciiTheme="majorBidi" w:hAnsiTheme="majorBidi" w:cstheme="majorBidi"/>
          <w:bCs/>
          <w:sz w:val="24"/>
          <w:szCs w:val="24"/>
          <w:rtl/>
          <w:lang w:bidi="ar-EG"/>
        </w:rPr>
      </w:pPr>
      <w:proofErr w:type="gramStart"/>
      <w:r w:rsidRPr="00187A4E">
        <w:rPr>
          <w:rFonts w:asciiTheme="majorBidi" w:hAnsiTheme="majorBidi" w:cstheme="majorBidi"/>
          <w:bCs/>
          <w:sz w:val="24"/>
          <w:szCs w:val="24"/>
          <w:lang w:val="fr-FR"/>
        </w:rPr>
        <w:t>Email:</w:t>
      </w:r>
      <w:proofErr w:type="gramEnd"/>
      <w:r w:rsidR="00CE145F" w:rsidRPr="00187A4E">
        <w:rPr>
          <w:rFonts w:asciiTheme="majorBidi" w:hAnsiTheme="majorBidi" w:cstheme="majorBidi"/>
          <w:bCs/>
          <w:sz w:val="24"/>
          <w:szCs w:val="24"/>
          <w:lang w:val="fr-FR"/>
        </w:rPr>
        <w:t xml:space="preserve"> samah.soliman@med.tanta.edu.eg</w:t>
      </w:r>
    </w:p>
    <w:p w14:paraId="096F29BC" w14:textId="43662633" w:rsidR="00DF7999" w:rsidRDefault="00D8032B" w:rsidP="00DF7999">
      <w:pPr>
        <w:rPr>
          <w:rFonts w:ascii="Times New Roman" w:eastAsia="Times New Roman" w:hAnsi="Times New Roman" w:cs="Times New Roman"/>
          <w:sz w:val="24"/>
          <w:szCs w:val="24"/>
          <w:lang w:eastAsia="en-GB"/>
        </w:rPr>
      </w:pPr>
      <w:r w:rsidRPr="00D8032B">
        <w:rPr>
          <w:rFonts w:ascii="Times New Roman" w:eastAsia="Times New Roman" w:hAnsi="Times New Roman" w:cs="Times New Roman"/>
          <w:sz w:val="24"/>
          <w:szCs w:val="24"/>
          <w:lang w:val="en-GB" w:eastAsia="en-GB"/>
        </w:rPr>
        <w:t>DOI:</w:t>
      </w:r>
      <w:r w:rsidRPr="00D8032B">
        <w:rPr>
          <w:rFonts w:eastAsia="Times New Roman" w:cs="Arial"/>
        </w:rPr>
        <w:t xml:space="preserve"> </w:t>
      </w:r>
      <w:hyperlink r:id="rId8" w:history="1">
        <w:r w:rsidR="00DF7999" w:rsidRPr="00DF7999">
          <w:rPr>
            <w:rStyle w:val="Hyperlink"/>
            <w:rFonts w:ascii="Times New Roman" w:eastAsia="Times New Roman" w:hAnsi="Times New Roman" w:cs="Times New Roman"/>
            <w:b/>
            <w:bCs/>
            <w:sz w:val="24"/>
            <w:szCs w:val="24"/>
            <w:lang w:eastAsia="en-GB"/>
          </w:rPr>
          <w:t>10.21608/AJGH.2023.218534.1035</w:t>
        </w:r>
      </w:hyperlink>
      <w:r w:rsidR="00DF7999" w:rsidRPr="00DF7999">
        <w:rPr>
          <w:rFonts w:ascii="Times New Roman" w:eastAsia="Times New Roman" w:hAnsi="Times New Roman" w:cs="Times New Roman"/>
          <w:sz w:val="24"/>
          <w:szCs w:val="24"/>
          <w:lang w:eastAsia="en-GB"/>
        </w:rPr>
        <w:t xml:space="preserve"> </w:t>
      </w:r>
    </w:p>
    <w:p w14:paraId="1492B88C" w14:textId="6446C136" w:rsidR="00D8032B" w:rsidRPr="00D8032B" w:rsidRDefault="00D8032B" w:rsidP="00DF7999">
      <w:pPr>
        <w:rPr>
          <w:rFonts w:ascii="Times New Roman" w:eastAsia="Times New Roman" w:hAnsi="Times New Roman" w:cs="Times New Roman"/>
          <w:sz w:val="24"/>
          <w:szCs w:val="24"/>
          <w:lang w:bidi="ar-EG"/>
        </w:rPr>
      </w:pPr>
      <w:r w:rsidRPr="00D8032B">
        <w:rPr>
          <w:rFonts w:ascii="Times New Roman" w:eastAsia="Times New Roman" w:hAnsi="Times New Roman" w:cs="Times New Roman"/>
          <w:sz w:val="24"/>
          <w:szCs w:val="24"/>
          <w:lang w:bidi="ar-EG"/>
        </w:rPr>
        <w:t>Submission date:</w:t>
      </w:r>
      <w:bookmarkStart w:id="0" w:name="_Hlk125994740"/>
      <w:r w:rsidR="00DF7999">
        <w:rPr>
          <w:rFonts w:ascii="Times New Roman" w:eastAsia="Times New Roman" w:hAnsi="Times New Roman" w:cs="Times New Roman"/>
          <w:sz w:val="24"/>
          <w:szCs w:val="24"/>
          <w:lang w:bidi="ar-EG"/>
        </w:rPr>
        <w:t>18</w:t>
      </w:r>
      <w:r w:rsidRPr="00D8032B">
        <w:rPr>
          <w:rFonts w:ascii="Times New Roman" w:eastAsia="Times New Roman" w:hAnsi="Times New Roman" w:cs="Times New Roman"/>
          <w:sz w:val="24"/>
          <w:szCs w:val="24"/>
          <w:lang w:bidi="ar-EG"/>
        </w:rPr>
        <w:t xml:space="preserve"> June 2023</w:t>
      </w:r>
    </w:p>
    <w:bookmarkEnd w:id="0"/>
    <w:p w14:paraId="5BBE8BA7" w14:textId="7737DDDD" w:rsidR="00D8032B" w:rsidRPr="00D8032B" w:rsidRDefault="00D8032B" w:rsidP="00D8032B">
      <w:pPr>
        <w:spacing w:after="0" w:line="360" w:lineRule="auto"/>
        <w:jc w:val="both"/>
        <w:rPr>
          <w:rFonts w:ascii="Times New Roman" w:eastAsia="Times New Roman" w:hAnsi="Times New Roman" w:cs="Times New Roman"/>
          <w:sz w:val="24"/>
          <w:szCs w:val="24"/>
          <w:lang w:bidi="ar-EG"/>
        </w:rPr>
      </w:pPr>
      <w:r w:rsidRPr="00D8032B">
        <w:rPr>
          <w:rFonts w:ascii="Times New Roman" w:eastAsia="Times New Roman" w:hAnsi="Times New Roman" w:cs="Times New Roman"/>
          <w:sz w:val="24"/>
          <w:szCs w:val="24"/>
          <w:lang w:bidi="ar-EG"/>
        </w:rPr>
        <w:t xml:space="preserve">Revision date: </w:t>
      </w:r>
      <w:r w:rsidR="00DF7999">
        <w:rPr>
          <w:rFonts w:ascii="Times New Roman" w:eastAsia="Times New Roman" w:hAnsi="Times New Roman" w:cs="Times New Roman"/>
          <w:sz w:val="24"/>
          <w:szCs w:val="24"/>
          <w:lang w:bidi="ar-EG"/>
        </w:rPr>
        <w:t>11</w:t>
      </w:r>
      <w:r w:rsidRPr="00D8032B">
        <w:rPr>
          <w:rFonts w:ascii="Times New Roman" w:eastAsia="Times New Roman" w:hAnsi="Times New Roman" w:cs="Times New Roman"/>
          <w:sz w:val="24"/>
          <w:szCs w:val="24"/>
          <w:lang w:bidi="ar-EG"/>
        </w:rPr>
        <w:t xml:space="preserve"> </w:t>
      </w:r>
      <w:r w:rsidR="00DF7999">
        <w:rPr>
          <w:rFonts w:ascii="Times New Roman" w:eastAsia="Times New Roman" w:hAnsi="Times New Roman" w:cs="Times New Roman"/>
          <w:sz w:val="24"/>
          <w:szCs w:val="24"/>
          <w:lang w:bidi="ar-EG"/>
        </w:rPr>
        <w:t>August</w:t>
      </w:r>
      <w:r w:rsidRPr="00D8032B">
        <w:rPr>
          <w:rFonts w:ascii="Times New Roman" w:eastAsia="Times New Roman" w:hAnsi="Times New Roman" w:cs="Times New Roman"/>
          <w:sz w:val="24"/>
          <w:szCs w:val="24"/>
          <w:lang w:bidi="ar-EG"/>
        </w:rPr>
        <w:t xml:space="preserve"> 2023</w:t>
      </w:r>
    </w:p>
    <w:p w14:paraId="380079BC" w14:textId="5209FDAE" w:rsidR="00D8032B" w:rsidRPr="00D8032B" w:rsidRDefault="00D8032B" w:rsidP="00D8032B">
      <w:pPr>
        <w:spacing w:after="0" w:line="360" w:lineRule="auto"/>
        <w:jc w:val="both"/>
        <w:rPr>
          <w:rFonts w:ascii="Times New Roman" w:eastAsia="Times New Roman" w:hAnsi="Times New Roman" w:cs="Times New Roman"/>
          <w:sz w:val="24"/>
          <w:szCs w:val="24"/>
          <w:lang w:bidi="ar-EG"/>
        </w:rPr>
      </w:pPr>
      <w:r w:rsidRPr="00D8032B">
        <w:rPr>
          <w:rFonts w:ascii="Times New Roman" w:eastAsia="Times New Roman" w:hAnsi="Times New Roman" w:cs="Times New Roman"/>
          <w:sz w:val="24"/>
          <w:szCs w:val="24"/>
          <w:lang w:bidi="ar-EG"/>
        </w:rPr>
        <w:t xml:space="preserve">Acceptance date(final): </w:t>
      </w:r>
      <w:r w:rsidR="00DF7999">
        <w:rPr>
          <w:rFonts w:ascii="Times New Roman" w:eastAsia="Times New Roman" w:hAnsi="Times New Roman" w:cs="Times New Roman"/>
          <w:sz w:val="24"/>
          <w:szCs w:val="24"/>
          <w:lang w:bidi="ar-EG"/>
        </w:rPr>
        <w:t>21</w:t>
      </w:r>
      <w:r w:rsidRPr="00D8032B">
        <w:rPr>
          <w:rFonts w:ascii="Times New Roman" w:eastAsia="Times New Roman" w:hAnsi="Times New Roman" w:cs="Times New Roman"/>
          <w:sz w:val="24"/>
          <w:szCs w:val="24"/>
          <w:lang w:bidi="ar-EG"/>
        </w:rPr>
        <w:t xml:space="preserve"> August 2023.</w:t>
      </w:r>
    </w:p>
    <w:p w14:paraId="054AE2A3" w14:textId="02123AA9" w:rsidR="00D8032B" w:rsidRPr="00D8032B" w:rsidRDefault="00D8032B" w:rsidP="00D8032B">
      <w:pPr>
        <w:rPr>
          <w:rFonts w:ascii="Times New Roman" w:eastAsia="Times New Roman" w:hAnsi="Times New Roman" w:cs="Times New Roman"/>
          <w:sz w:val="24"/>
          <w:szCs w:val="24"/>
          <w:lang w:bidi="ar-EG"/>
        </w:rPr>
      </w:pPr>
      <w:r w:rsidRPr="00D8032B">
        <w:rPr>
          <w:rFonts w:ascii="Times New Roman" w:eastAsia="Times New Roman" w:hAnsi="Times New Roman" w:cs="Times New Roman"/>
          <w:sz w:val="24"/>
          <w:szCs w:val="24"/>
          <w:lang w:bidi="ar-EG"/>
        </w:rPr>
        <w:t xml:space="preserve">First online: </w:t>
      </w:r>
      <w:r w:rsidR="00DF7999">
        <w:rPr>
          <w:rFonts w:ascii="Times New Roman" w:eastAsia="Times New Roman" w:hAnsi="Times New Roman" w:cs="Times New Roman"/>
          <w:sz w:val="24"/>
          <w:szCs w:val="24"/>
          <w:lang w:bidi="ar-EG"/>
        </w:rPr>
        <w:t>22</w:t>
      </w:r>
      <w:r w:rsidRPr="00D8032B">
        <w:rPr>
          <w:rFonts w:ascii="Times New Roman" w:eastAsia="Times New Roman" w:hAnsi="Times New Roman" w:cs="Times New Roman"/>
          <w:sz w:val="24"/>
          <w:szCs w:val="24"/>
          <w:lang w:bidi="ar-EG"/>
        </w:rPr>
        <w:t xml:space="preserve"> August 2023.</w:t>
      </w:r>
    </w:p>
    <w:p w14:paraId="03AC5B83" w14:textId="77777777" w:rsidR="00321155" w:rsidRPr="004B03EC" w:rsidRDefault="00321155" w:rsidP="004B03EC">
      <w:pPr>
        <w:spacing w:line="240" w:lineRule="auto"/>
        <w:jc w:val="both"/>
        <w:rPr>
          <w:rFonts w:asciiTheme="majorBidi" w:hAnsiTheme="majorBidi" w:cstheme="majorBidi"/>
          <w:b/>
          <w:sz w:val="20"/>
          <w:szCs w:val="20"/>
        </w:rPr>
      </w:pPr>
    </w:p>
    <w:p w14:paraId="063F56F5" w14:textId="77777777" w:rsidR="004139D2" w:rsidRPr="00A1317A" w:rsidRDefault="004139D2" w:rsidP="004B03EC">
      <w:pPr>
        <w:spacing w:line="240" w:lineRule="auto"/>
        <w:jc w:val="both"/>
        <w:rPr>
          <w:rFonts w:asciiTheme="majorBidi" w:hAnsiTheme="majorBidi" w:cstheme="majorBidi"/>
          <w:b/>
          <w:sz w:val="24"/>
          <w:szCs w:val="24"/>
        </w:rPr>
      </w:pPr>
      <w:r w:rsidRPr="00A1317A">
        <w:rPr>
          <w:rFonts w:asciiTheme="majorBidi" w:hAnsiTheme="majorBidi" w:cstheme="majorBidi"/>
          <w:b/>
          <w:sz w:val="24"/>
          <w:szCs w:val="24"/>
        </w:rPr>
        <w:t xml:space="preserve">Abstract: </w:t>
      </w:r>
    </w:p>
    <w:p w14:paraId="2607485B" w14:textId="0F0533B7" w:rsidR="004139D2" w:rsidRDefault="00B620F4" w:rsidP="004B03EC">
      <w:pPr>
        <w:spacing w:line="240" w:lineRule="auto"/>
        <w:jc w:val="both"/>
        <w:rPr>
          <w:rFonts w:asciiTheme="majorBidi" w:hAnsiTheme="majorBidi" w:cstheme="majorBidi"/>
          <w:bCs/>
          <w:sz w:val="24"/>
          <w:szCs w:val="24"/>
        </w:rPr>
      </w:pPr>
      <w:r w:rsidRPr="00A1317A">
        <w:rPr>
          <w:rFonts w:asciiTheme="majorBidi" w:eastAsia="Times New Roman" w:hAnsiTheme="majorBidi" w:cstheme="majorBidi"/>
          <w:b/>
          <w:bCs/>
          <w:sz w:val="24"/>
          <w:szCs w:val="24"/>
        </w:rPr>
        <w:t>Background</w:t>
      </w:r>
      <w:r w:rsidRPr="00A1317A">
        <w:rPr>
          <w:rFonts w:asciiTheme="majorBidi" w:eastAsia="Times New Roman" w:hAnsiTheme="majorBidi" w:cstheme="majorBidi"/>
          <w:sz w:val="24"/>
          <w:szCs w:val="24"/>
        </w:rPr>
        <w:t xml:space="preserve">: </w:t>
      </w:r>
      <w:r w:rsidR="00E8024C" w:rsidRPr="00A1317A">
        <w:rPr>
          <w:rFonts w:asciiTheme="majorBidi" w:eastAsia="Times New Roman" w:hAnsiTheme="majorBidi" w:cstheme="majorBidi"/>
          <w:sz w:val="24"/>
          <w:szCs w:val="24"/>
        </w:rPr>
        <w:t>Identifying patients at risk with Non-alcoholic fatty liver disease (NAFLD) related fibrosis is crucial</w:t>
      </w:r>
      <w:r w:rsidR="004139D2" w:rsidRPr="00A1317A">
        <w:rPr>
          <w:rFonts w:asciiTheme="majorBidi" w:eastAsia="Times New Roman" w:hAnsiTheme="majorBidi" w:cstheme="majorBidi"/>
          <w:sz w:val="24"/>
          <w:szCs w:val="24"/>
        </w:rPr>
        <w:t xml:space="preserve">. </w:t>
      </w:r>
      <w:r w:rsidR="00607100">
        <w:rPr>
          <w:rFonts w:asciiTheme="majorBidi" w:hAnsiTheme="majorBidi" w:cstheme="majorBidi"/>
          <w:bCs/>
          <w:sz w:val="24"/>
          <w:szCs w:val="24"/>
        </w:rPr>
        <w:t xml:space="preserve">Many noninvasive fibrosis markers were developed recently </w:t>
      </w:r>
      <w:r w:rsidR="00AC0A3E" w:rsidRPr="00A1317A">
        <w:rPr>
          <w:rFonts w:asciiTheme="majorBidi" w:hAnsiTheme="majorBidi" w:cstheme="majorBidi"/>
          <w:bCs/>
          <w:sz w:val="24"/>
          <w:szCs w:val="24"/>
        </w:rPr>
        <w:t xml:space="preserve">in chronic hepatitis </w:t>
      </w:r>
      <w:r w:rsidR="00554306" w:rsidRPr="00A1317A">
        <w:rPr>
          <w:rFonts w:asciiTheme="majorBidi" w:hAnsiTheme="majorBidi" w:cstheme="majorBidi"/>
          <w:bCs/>
          <w:sz w:val="24"/>
          <w:szCs w:val="24"/>
        </w:rPr>
        <w:t xml:space="preserve">C </w:t>
      </w:r>
      <w:r w:rsidR="00AC0A3E" w:rsidRPr="00A1317A">
        <w:rPr>
          <w:rFonts w:asciiTheme="majorBidi" w:hAnsiTheme="majorBidi" w:cstheme="majorBidi"/>
          <w:bCs/>
          <w:sz w:val="24"/>
          <w:szCs w:val="24"/>
        </w:rPr>
        <w:t xml:space="preserve">and </w:t>
      </w:r>
      <w:r w:rsidR="00AD7575" w:rsidRPr="00A1317A">
        <w:rPr>
          <w:rFonts w:asciiTheme="majorBidi" w:hAnsiTheme="majorBidi" w:cstheme="majorBidi"/>
          <w:bCs/>
          <w:sz w:val="24"/>
          <w:szCs w:val="24"/>
        </w:rPr>
        <w:t>B patients</w:t>
      </w:r>
      <w:r w:rsidR="00E8024C" w:rsidRPr="00A1317A">
        <w:rPr>
          <w:rFonts w:asciiTheme="majorBidi" w:hAnsiTheme="majorBidi" w:cstheme="majorBidi"/>
          <w:bCs/>
          <w:sz w:val="24"/>
          <w:szCs w:val="24"/>
        </w:rPr>
        <w:t>,</w:t>
      </w:r>
      <w:r w:rsidR="00554306" w:rsidRPr="00A1317A">
        <w:rPr>
          <w:rFonts w:asciiTheme="majorBidi" w:hAnsiTheme="majorBidi" w:cstheme="majorBidi"/>
          <w:bCs/>
          <w:sz w:val="24"/>
          <w:szCs w:val="24"/>
        </w:rPr>
        <w:t xml:space="preserve"> but a </w:t>
      </w:r>
      <w:r w:rsidR="00E8024C" w:rsidRPr="00A1317A">
        <w:rPr>
          <w:rFonts w:asciiTheme="majorBidi" w:hAnsiTheme="majorBidi" w:cstheme="majorBidi"/>
          <w:bCs/>
          <w:sz w:val="24"/>
          <w:szCs w:val="24"/>
        </w:rPr>
        <w:t>few</w:t>
      </w:r>
      <w:r w:rsidR="00AD7575" w:rsidRPr="00A1317A">
        <w:rPr>
          <w:rFonts w:asciiTheme="majorBidi" w:hAnsiTheme="majorBidi" w:cstheme="majorBidi"/>
          <w:bCs/>
          <w:sz w:val="24"/>
          <w:szCs w:val="24"/>
        </w:rPr>
        <w:t xml:space="preserve"> </w:t>
      </w:r>
      <w:r w:rsidR="00E8024C" w:rsidRPr="00A1317A">
        <w:rPr>
          <w:rFonts w:asciiTheme="majorBidi" w:hAnsiTheme="majorBidi" w:cstheme="majorBidi"/>
          <w:bCs/>
          <w:sz w:val="24"/>
          <w:szCs w:val="24"/>
        </w:rPr>
        <w:t>were</w:t>
      </w:r>
      <w:r w:rsidR="00554306" w:rsidRPr="00A1317A">
        <w:rPr>
          <w:rFonts w:asciiTheme="majorBidi" w:hAnsiTheme="majorBidi" w:cstheme="majorBidi"/>
          <w:bCs/>
          <w:sz w:val="24"/>
          <w:szCs w:val="24"/>
        </w:rPr>
        <w:t xml:space="preserve"> evaluated in NAFLD.</w:t>
      </w:r>
    </w:p>
    <w:p w14:paraId="0A025787" w14:textId="5A79F7D5" w:rsidR="00C3078E" w:rsidRPr="00A1317A" w:rsidRDefault="00C3078E" w:rsidP="00C3078E">
      <w:pPr>
        <w:spacing w:line="240" w:lineRule="auto"/>
        <w:jc w:val="both"/>
        <w:rPr>
          <w:rFonts w:asciiTheme="majorBidi" w:hAnsiTheme="majorBidi" w:cstheme="majorBidi"/>
          <w:b/>
          <w:sz w:val="24"/>
          <w:szCs w:val="24"/>
        </w:rPr>
      </w:pPr>
      <w:r w:rsidRPr="00A1317A">
        <w:rPr>
          <w:rFonts w:asciiTheme="majorBidi" w:eastAsia="Times New Roman" w:hAnsiTheme="majorBidi" w:cstheme="majorBidi"/>
          <w:b/>
          <w:bCs/>
          <w:sz w:val="24"/>
          <w:szCs w:val="24"/>
        </w:rPr>
        <w:t>Aim</w:t>
      </w:r>
      <w:r w:rsidRPr="00A1317A">
        <w:rPr>
          <w:rFonts w:asciiTheme="majorBidi" w:eastAsia="Times New Roman" w:hAnsiTheme="majorBidi" w:cstheme="majorBidi"/>
          <w:sz w:val="24"/>
          <w:szCs w:val="24"/>
        </w:rPr>
        <w:t xml:space="preserve">: </w:t>
      </w:r>
      <w:r w:rsidRPr="00A1317A">
        <w:rPr>
          <w:rFonts w:asciiTheme="majorBidi" w:hAnsiTheme="majorBidi" w:cstheme="majorBidi"/>
          <w:bCs/>
          <w:sz w:val="24"/>
          <w:szCs w:val="24"/>
        </w:rPr>
        <w:t xml:space="preserve">to assess the </w:t>
      </w:r>
      <w:r w:rsidRPr="00AC5668">
        <w:rPr>
          <w:rFonts w:asciiTheme="majorBidi" w:hAnsiTheme="majorBidi" w:cstheme="majorBidi"/>
          <w:bCs/>
          <w:sz w:val="24"/>
          <w:szCs w:val="24"/>
        </w:rPr>
        <w:t>accuracy</w:t>
      </w:r>
      <w:r w:rsidRPr="00A1317A">
        <w:rPr>
          <w:rFonts w:asciiTheme="majorBidi" w:hAnsiTheme="majorBidi" w:cstheme="majorBidi"/>
          <w:bCs/>
          <w:sz w:val="24"/>
          <w:szCs w:val="24"/>
        </w:rPr>
        <w:t xml:space="preserve"> of the gamma-glutamyl transpeptidase and the other non-invasive markers gamma-glutamyl transpeptidase-to-platelet ratio and gamma-glutamyl transpeptidase-to-albumin ratio (GPR and GAR) versus fibroscan as indicators of hepatic fibrosis in NAFLD patients.</w:t>
      </w:r>
    </w:p>
    <w:p w14:paraId="211943F0" w14:textId="77777777" w:rsidR="00C3078E" w:rsidRPr="00A1317A" w:rsidRDefault="00C3078E" w:rsidP="004B03EC">
      <w:pPr>
        <w:spacing w:line="240" w:lineRule="auto"/>
        <w:jc w:val="both"/>
        <w:rPr>
          <w:rFonts w:asciiTheme="majorBidi" w:hAnsiTheme="majorBidi" w:cstheme="majorBidi"/>
          <w:bCs/>
          <w:sz w:val="24"/>
          <w:szCs w:val="24"/>
        </w:rPr>
      </w:pPr>
    </w:p>
    <w:p w14:paraId="006FA474" w14:textId="2F5695EF" w:rsidR="00BD1B47" w:rsidRPr="00A1317A" w:rsidRDefault="00B620F4" w:rsidP="00A769BE">
      <w:pPr>
        <w:spacing w:line="240" w:lineRule="auto"/>
        <w:jc w:val="both"/>
        <w:rPr>
          <w:rFonts w:asciiTheme="majorBidi" w:hAnsiTheme="majorBidi" w:cstheme="majorBidi"/>
          <w:bCs/>
          <w:sz w:val="24"/>
          <w:szCs w:val="24"/>
        </w:rPr>
      </w:pPr>
      <w:r w:rsidRPr="00A1317A">
        <w:rPr>
          <w:rFonts w:asciiTheme="majorBidi" w:hAnsiTheme="majorBidi" w:cstheme="majorBidi"/>
          <w:b/>
          <w:sz w:val="24"/>
          <w:szCs w:val="24"/>
        </w:rPr>
        <w:t>Patients and</w:t>
      </w:r>
      <w:r w:rsidR="001F6E74" w:rsidRPr="00A1317A">
        <w:rPr>
          <w:rFonts w:asciiTheme="majorBidi" w:hAnsiTheme="majorBidi" w:cstheme="majorBidi"/>
          <w:b/>
          <w:sz w:val="24"/>
          <w:szCs w:val="24"/>
        </w:rPr>
        <w:t xml:space="preserve"> Methods:</w:t>
      </w:r>
      <w:r w:rsidR="00AD7575" w:rsidRPr="00A1317A">
        <w:rPr>
          <w:rFonts w:asciiTheme="majorBidi" w:hAnsiTheme="majorBidi" w:cstheme="majorBidi"/>
          <w:bCs/>
          <w:sz w:val="24"/>
          <w:szCs w:val="24"/>
        </w:rPr>
        <w:t xml:space="preserve"> A</w:t>
      </w:r>
      <w:r w:rsidR="00BB344E" w:rsidRPr="00A1317A">
        <w:rPr>
          <w:rFonts w:asciiTheme="majorBidi" w:hAnsiTheme="majorBidi" w:cstheme="majorBidi"/>
          <w:bCs/>
          <w:sz w:val="24"/>
          <w:szCs w:val="24"/>
        </w:rPr>
        <w:t xml:space="preserve"> total of 100 NAFLD patients</w:t>
      </w:r>
      <w:r w:rsidR="00B11A2E" w:rsidRPr="00A1317A">
        <w:rPr>
          <w:rFonts w:asciiTheme="majorBidi" w:hAnsiTheme="majorBidi" w:cstheme="majorBidi"/>
          <w:bCs/>
          <w:sz w:val="24"/>
          <w:szCs w:val="24"/>
        </w:rPr>
        <w:t xml:space="preserve"> </w:t>
      </w:r>
      <w:r w:rsidR="00E8024C" w:rsidRPr="00A1317A">
        <w:rPr>
          <w:rFonts w:asciiTheme="majorBidi" w:hAnsiTheme="majorBidi" w:cstheme="majorBidi"/>
          <w:bCs/>
          <w:sz w:val="24"/>
          <w:szCs w:val="24"/>
        </w:rPr>
        <w:t xml:space="preserve">were </w:t>
      </w:r>
      <w:r w:rsidR="00B11A2E" w:rsidRPr="00A1317A">
        <w:rPr>
          <w:rFonts w:asciiTheme="majorBidi" w:hAnsiTheme="majorBidi" w:cstheme="majorBidi"/>
          <w:bCs/>
          <w:sz w:val="24"/>
          <w:szCs w:val="24"/>
        </w:rPr>
        <w:t>examined</w:t>
      </w:r>
      <w:r w:rsidR="00BB344E" w:rsidRPr="00A1317A">
        <w:rPr>
          <w:rFonts w:asciiTheme="majorBidi" w:hAnsiTheme="majorBidi" w:cstheme="majorBidi"/>
          <w:bCs/>
          <w:sz w:val="24"/>
          <w:szCs w:val="24"/>
        </w:rPr>
        <w:t xml:space="preserve"> </w:t>
      </w:r>
      <w:r w:rsidR="00B11A2E" w:rsidRPr="00A1317A">
        <w:rPr>
          <w:rFonts w:asciiTheme="majorBidi" w:hAnsiTheme="majorBidi" w:cstheme="majorBidi"/>
          <w:bCs/>
          <w:sz w:val="24"/>
          <w:szCs w:val="24"/>
        </w:rPr>
        <w:t>by</w:t>
      </w:r>
      <w:r w:rsidR="00BB344E" w:rsidRPr="00A1317A">
        <w:rPr>
          <w:rFonts w:asciiTheme="majorBidi" w:hAnsiTheme="majorBidi" w:cstheme="majorBidi"/>
          <w:bCs/>
          <w:sz w:val="24"/>
          <w:szCs w:val="24"/>
        </w:rPr>
        <w:t xml:space="preserve"> abdominal ultrasound </w:t>
      </w:r>
      <w:r w:rsidR="00E8024C" w:rsidRPr="00A1317A">
        <w:rPr>
          <w:rFonts w:asciiTheme="majorBidi" w:hAnsiTheme="majorBidi" w:cstheme="majorBidi"/>
          <w:bCs/>
          <w:sz w:val="24"/>
          <w:szCs w:val="24"/>
        </w:rPr>
        <w:t xml:space="preserve">and </w:t>
      </w:r>
      <w:r w:rsidR="00BB344E" w:rsidRPr="00A1317A">
        <w:rPr>
          <w:rFonts w:asciiTheme="majorBidi" w:hAnsiTheme="majorBidi" w:cstheme="majorBidi"/>
          <w:bCs/>
          <w:sz w:val="24"/>
          <w:szCs w:val="24"/>
        </w:rPr>
        <w:t>then fibroscan to assess liver steatosis and fibrosis</w:t>
      </w:r>
      <w:r w:rsidR="00A30D3E" w:rsidRPr="00A1317A">
        <w:rPr>
          <w:rFonts w:asciiTheme="majorBidi" w:hAnsiTheme="majorBidi" w:cstheme="majorBidi"/>
          <w:bCs/>
          <w:sz w:val="24"/>
          <w:szCs w:val="24"/>
        </w:rPr>
        <w:t xml:space="preserve">. They were grouped </w:t>
      </w:r>
      <w:r w:rsidR="00E8024C" w:rsidRPr="00A1317A">
        <w:rPr>
          <w:rFonts w:asciiTheme="majorBidi" w:hAnsiTheme="majorBidi" w:cstheme="majorBidi"/>
          <w:bCs/>
          <w:sz w:val="24"/>
          <w:szCs w:val="24"/>
        </w:rPr>
        <w:t>into</w:t>
      </w:r>
      <w:r w:rsidR="00A30D3E" w:rsidRPr="00A1317A">
        <w:rPr>
          <w:rFonts w:asciiTheme="majorBidi" w:hAnsiTheme="majorBidi" w:cstheme="majorBidi"/>
          <w:bCs/>
          <w:sz w:val="24"/>
          <w:szCs w:val="24"/>
        </w:rPr>
        <w:t xml:space="preserve"> </w:t>
      </w:r>
      <w:r w:rsidR="00E8024C" w:rsidRPr="00A1317A">
        <w:rPr>
          <w:rFonts w:asciiTheme="majorBidi" w:hAnsiTheme="majorBidi" w:cstheme="majorBidi"/>
          <w:bCs/>
          <w:sz w:val="24"/>
          <w:szCs w:val="24"/>
        </w:rPr>
        <w:t xml:space="preserve">the </w:t>
      </w:r>
      <w:r w:rsidR="00A30D3E" w:rsidRPr="00A1317A">
        <w:rPr>
          <w:rFonts w:asciiTheme="majorBidi" w:hAnsiTheme="majorBidi" w:cstheme="majorBidi"/>
          <w:bCs/>
          <w:sz w:val="24"/>
          <w:szCs w:val="24"/>
        </w:rPr>
        <w:t xml:space="preserve">early fibrosis group and </w:t>
      </w:r>
      <w:r w:rsidR="00E8024C" w:rsidRPr="00A1317A">
        <w:rPr>
          <w:rFonts w:asciiTheme="majorBidi" w:hAnsiTheme="majorBidi" w:cstheme="majorBidi"/>
          <w:bCs/>
          <w:sz w:val="24"/>
          <w:szCs w:val="24"/>
        </w:rPr>
        <w:t xml:space="preserve">the </w:t>
      </w:r>
      <w:r w:rsidR="00A30D3E" w:rsidRPr="00A1317A">
        <w:rPr>
          <w:rFonts w:asciiTheme="majorBidi" w:hAnsiTheme="majorBidi" w:cstheme="majorBidi"/>
          <w:bCs/>
          <w:sz w:val="24"/>
          <w:szCs w:val="24"/>
        </w:rPr>
        <w:t>advanced fibrosis group.</w:t>
      </w:r>
      <w:r w:rsidR="00A30D3E" w:rsidRPr="00A1317A">
        <w:rPr>
          <w:sz w:val="24"/>
          <w:szCs w:val="24"/>
        </w:rPr>
        <w:t xml:space="preserve"> </w:t>
      </w:r>
      <w:r w:rsidR="00A30D3E" w:rsidRPr="00A1317A">
        <w:rPr>
          <w:rFonts w:asciiTheme="majorBidi" w:hAnsiTheme="majorBidi" w:cstheme="majorBidi"/>
          <w:bCs/>
          <w:sz w:val="24"/>
          <w:szCs w:val="24"/>
        </w:rPr>
        <w:t>Demographic data and laboratory investigation were collected.  GPR and GAR were calculated. The correlation between them and</w:t>
      </w:r>
      <w:r w:rsidR="00A60619" w:rsidRPr="00A1317A">
        <w:rPr>
          <w:sz w:val="24"/>
          <w:szCs w:val="24"/>
        </w:rPr>
        <w:t xml:space="preserve"> </w:t>
      </w:r>
      <w:r w:rsidR="00A60619" w:rsidRPr="00A1317A">
        <w:rPr>
          <w:rFonts w:asciiTheme="majorBidi" w:hAnsiTheme="majorBidi" w:cstheme="majorBidi"/>
          <w:bCs/>
          <w:sz w:val="24"/>
          <w:szCs w:val="24"/>
        </w:rPr>
        <w:t>liver stiffness measurement</w:t>
      </w:r>
      <w:r w:rsidR="00A30D3E" w:rsidRPr="00A1317A">
        <w:rPr>
          <w:rFonts w:asciiTheme="majorBidi" w:hAnsiTheme="majorBidi" w:cstheme="majorBidi"/>
          <w:bCs/>
          <w:sz w:val="24"/>
          <w:szCs w:val="24"/>
        </w:rPr>
        <w:t xml:space="preserve"> </w:t>
      </w:r>
      <w:r w:rsidR="00A60619" w:rsidRPr="00A1317A">
        <w:rPr>
          <w:rFonts w:asciiTheme="majorBidi" w:hAnsiTheme="majorBidi" w:cstheme="majorBidi"/>
          <w:bCs/>
          <w:sz w:val="24"/>
          <w:szCs w:val="24"/>
        </w:rPr>
        <w:t>(</w:t>
      </w:r>
      <w:r w:rsidR="00A30D3E" w:rsidRPr="00A1317A">
        <w:rPr>
          <w:rFonts w:asciiTheme="majorBidi" w:hAnsiTheme="majorBidi" w:cstheme="majorBidi"/>
          <w:bCs/>
          <w:sz w:val="24"/>
          <w:szCs w:val="24"/>
        </w:rPr>
        <w:t>LSM</w:t>
      </w:r>
      <w:r w:rsidR="00A60619" w:rsidRPr="00A1317A">
        <w:rPr>
          <w:rFonts w:asciiTheme="majorBidi" w:hAnsiTheme="majorBidi" w:cstheme="majorBidi"/>
          <w:bCs/>
          <w:sz w:val="24"/>
          <w:szCs w:val="24"/>
        </w:rPr>
        <w:t>)</w:t>
      </w:r>
      <w:r w:rsidR="00A30D3E" w:rsidRPr="00A1317A">
        <w:rPr>
          <w:rFonts w:asciiTheme="majorBidi" w:hAnsiTheme="majorBidi" w:cstheme="majorBidi"/>
          <w:bCs/>
          <w:sz w:val="24"/>
          <w:szCs w:val="24"/>
        </w:rPr>
        <w:t xml:space="preserve"> was </w:t>
      </w:r>
      <w:r w:rsidR="00A769BE">
        <w:rPr>
          <w:rFonts w:asciiTheme="majorBidi" w:hAnsiTheme="majorBidi" w:cstheme="majorBidi"/>
          <w:bCs/>
          <w:sz w:val="24"/>
          <w:szCs w:val="24"/>
        </w:rPr>
        <w:t>reported</w:t>
      </w:r>
      <w:r w:rsidR="00A30D3E" w:rsidRPr="00A1317A">
        <w:rPr>
          <w:rFonts w:asciiTheme="majorBidi" w:hAnsiTheme="majorBidi" w:cstheme="majorBidi"/>
          <w:bCs/>
          <w:sz w:val="24"/>
          <w:szCs w:val="24"/>
        </w:rPr>
        <w:t>. The accuracy of predicting liver fibrosis was assessed.</w:t>
      </w:r>
    </w:p>
    <w:p w14:paraId="45CA9788" w14:textId="21957081" w:rsidR="00BB642F" w:rsidRPr="00AC5668" w:rsidRDefault="00BD1B47" w:rsidP="00BB642F">
      <w:pPr>
        <w:spacing w:line="240" w:lineRule="auto"/>
        <w:jc w:val="both"/>
        <w:rPr>
          <w:rFonts w:asciiTheme="majorBidi" w:hAnsiTheme="majorBidi" w:cstheme="majorBidi"/>
          <w:bCs/>
          <w:sz w:val="24"/>
          <w:szCs w:val="24"/>
        </w:rPr>
      </w:pPr>
      <w:r w:rsidRPr="00A1317A">
        <w:rPr>
          <w:rFonts w:asciiTheme="majorBidi" w:hAnsiTheme="majorBidi" w:cstheme="majorBidi"/>
          <w:b/>
          <w:sz w:val="24"/>
          <w:szCs w:val="24"/>
        </w:rPr>
        <w:lastRenderedPageBreak/>
        <w:t>Results:</w:t>
      </w:r>
      <w:r w:rsidRPr="00A1317A">
        <w:rPr>
          <w:rFonts w:asciiTheme="majorBidi" w:hAnsiTheme="majorBidi" w:cstheme="majorBidi"/>
          <w:bCs/>
          <w:sz w:val="24"/>
          <w:szCs w:val="24"/>
        </w:rPr>
        <w:t xml:space="preserve"> </w:t>
      </w:r>
      <w:r w:rsidR="00BB642F" w:rsidRPr="00AC5668">
        <w:rPr>
          <w:rFonts w:asciiTheme="majorBidi" w:hAnsiTheme="majorBidi" w:cstheme="majorBidi"/>
          <w:bCs/>
          <w:sz w:val="24"/>
          <w:szCs w:val="24"/>
        </w:rPr>
        <w:t xml:space="preserve">There was a significant positive correlation between GPR and GAR and </w:t>
      </w:r>
      <w:r w:rsidR="00AC5668" w:rsidRPr="00AC5668">
        <w:rPr>
          <w:rFonts w:asciiTheme="majorBidi" w:hAnsiTheme="majorBidi" w:cstheme="majorBidi"/>
          <w:bCs/>
          <w:sz w:val="24"/>
          <w:szCs w:val="24"/>
        </w:rPr>
        <w:t xml:space="preserve">the </w:t>
      </w:r>
      <w:r w:rsidR="00BB642F" w:rsidRPr="00AC5668">
        <w:rPr>
          <w:rFonts w:asciiTheme="majorBidi" w:hAnsiTheme="majorBidi" w:cstheme="majorBidi"/>
          <w:bCs/>
          <w:sz w:val="24"/>
          <w:szCs w:val="24"/>
        </w:rPr>
        <w:t xml:space="preserve">degree of fibrosis. GPR (P &lt;0.001*) and GAR (P &lt;0.001*) were independent predictors for advanced hepatic fibrosis by multiple linear regression analysis. Fibrosis score was used as </w:t>
      </w:r>
      <w:r w:rsidR="00AC5668" w:rsidRPr="00AC5668">
        <w:rPr>
          <w:rFonts w:asciiTheme="majorBidi" w:hAnsiTheme="majorBidi" w:cstheme="majorBidi"/>
          <w:bCs/>
          <w:sz w:val="24"/>
          <w:szCs w:val="24"/>
        </w:rPr>
        <w:t xml:space="preserve">the </w:t>
      </w:r>
      <w:r w:rsidR="00BB642F" w:rsidRPr="00AC5668">
        <w:rPr>
          <w:rFonts w:asciiTheme="majorBidi" w:hAnsiTheme="majorBidi" w:cstheme="majorBidi"/>
          <w:bCs/>
          <w:sz w:val="24"/>
          <w:szCs w:val="24"/>
        </w:rPr>
        <w:t>dependent variable, with the other studied biomarkers as independent variables. The AUCs of GPR and GAR were 0.790 and 0.949 in assessing liver fibrosis, respectively.</w:t>
      </w:r>
    </w:p>
    <w:p w14:paraId="0A2E581F" w14:textId="41F3CE17" w:rsidR="00631208" w:rsidRPr="00A1317A" w:rsidRDefault="002F339C" w:rsidP="004B03EC">
      <w:pPr>
        <w:spacing w:after="0" w:line="240" w:lineRule="auto"/>
        <w:jc w:val="both"/>
        <w:rPr>
          <w:rFonts w:asciiTheme="majorBidi" w:hAnsiTheme="majorBidi" w:cstheme="majorBidi"/>
          <w:sz w:val="24"/>
          <w:szCs w:val="24"/>
        </w:rPr>
      </w:pPr>
      <w:r w:rsidRPr="00A1317A">
        <w:rPr>
          <w:rFonts w:asciiTheme="majorBidi" w:hAnsiTheme="majorBidi" w:cstheme="majorBidi"/>
          <w:b/>
          <w:sz w:val="24"/>
          <w:szCs w:val="24"/>
        </w:rPr>
        <w:t>Conclusion:</w:t>
      </w:r>
      <w:r w:rsidR="00631208" w:rsidRPr="00A1317A">
        <w:rPr>
          <w:rFonts w:asciiTheme="majorBidi" w:hAnsiTheme="majorBidi" w:cstheme="majorBidi"/>
          <w:sz w:val="24"/>
          <w:szCs w:val="24"/>
        </w:rPr>
        <w:t xml:space="preserve"> GPR </w:t>
      </w:r>
      <w:r w:rsidR="00607100">
        <w:rPr>
          <w:rFonts w:asciiTheme="majorBidi" w:hAnsiTheme="majorBidi" w:cstheme="majorBidi"/>
          <w:sz w:val="24"/>
          <w:szCs w:val="24"/>
        </w:rPr>
        <w:t xml:space="preserve">and </w:t>
      </w:r>
      <w:r w:rsidR="00631208" w:rsidRPr="00A1317A">
        <w:rPr>
          <w:rFonts w:asciiTheme="majorBidi" w:hAnsiTheme="majorBidi" w:cstheme="majorBidi"/>
          <w:sz w:val="24"/>
          <w:szCs w:val="24"/>
        </w:rPr>
        <w:t xml:space="preserve">GAR were positively correlated with hepatic fibrosis and may be used as </w:t>
      </w:r>
      <w:r w:rsidRPr="00A1317A">
        <w:rPr>
          <w:rFonts w:asciiTheme="majorBidi" w:hAnsiTheme="majorBidi" w:cstheme="majorBidi"/>
          <w:sz w:val="24"/>
          <w:szCs w:val="24"/>
        </w:rPr>
        <w:t>a novel, simple, accurate</w:t>
      </w:r>
      <w:r w:rsidR="00E8024C" w:rsidRPr="00A1317A">
        <w:rPr>
          <w:rFonts w:asciiTheme="majorBidi" w:hAnsiTheme="majorBidi" w:cstheme="majorBidi"/>
          <w:sz w:val="24"/>
          <w:szCs w:val="24"/>
        </w:rPr>
        <w:t>,</w:t>
      </w:r>
      <w:r w:rsidRPr="00A1317A">
        <w:rPr>
          <w:rFonts w:asciiTheme="majorBidi" w:hAnsiTheme="majorBidi" w:cstheme="majorBidi"/>
          <w:sz w:val="24"/>
          <w:szCs w:val="24"/>
        </w:rPr>
        <w:t xml:space="preserve"> and </w:t>
      </w:r>
      <w:r w:rsidR="00E8024C" w:rsidRPr="00A1317A">
        <w:rPr>
          <w:rFonts w:asciiTheme="majorBidi" w:hAnsiTheme="majorBidi" w:cstheme="majorBidi"/>
          <w:sz w:val="24"/>
          <w:szCs w:val="24"/>
        </w:rPr>
        <w:t>low-cost</w:t>
      </w:r>
      <w:r w:rsidRPr="00A1317A">
        <w:rPr>
          <w:rFonts w:asciiTheme="majorBidi" w:hAnsiTheme="majorBidi" w:cstheme="majorBidi"/>
          <w:sz w:val="24"/>
          <w:szCs w:val="24"/>
        </w:rPr>
        <w:t xml:space="preserve"> parameter</w:t>
      </w:r>
      <w:r w:rsidR="00631208" w:rsidRPr="00A1317A">
        <w:rPr>
          <w:rFonts w:asciiTheme="majorBidi" w:hAnsiTheme="majorBidi" w:cstheme="majorBidi"/>
          <w:sz w:val="24"/>
          <w:szCs w:val="24"/>
        </w:rPr>
        <w:t xml:space="preserve"> for </w:t>
      </w:r>
      <w:r w:rsidR="00AC5668">
        <w:rPr>
          <w:rFonts w:asciiTheme="majorBidi" w:hAnsiTheme="majorBidi" w:cstheme="majorBidi"/>
          <w:sz w:val="24"/>
          <w:szCs w:val="24"/>
        </w:rPr>
        <w:t>diagnosing</w:t>
      </w:r>
      <w:r w:rsidR="00631208" w:rsidRPr="00A1317A">
        <w:rPr>
          <w:rFonts w:asciiTheme="majorBidi" w:hAnsiTheme="majorBidi" w:cstheme="majorBidi"/>
          <w:sz w:val="24"/>
          <w:szCs w:val="24"/>
        </w:rPr>
        <w:t xml:space="preserve"> hepatic fibrosis in NAFLD patients</w:t>
      </w:r>
      <w:r w:rsidR="00AC5668">
        <w:rPr>
          <w:rFonts w:asciiTheme="majorBidi" w:hAnsiTheme="majorBidi" w:cstheme="majorBidi"/>
          <w:sz w:val="24"/>
          <w:szCs w:val="24"/>
        </w:rPr>
        <w:t>.</w:t>
      </w:r>
      <w:r w:rsidR="00631208" w:rsidRPr="00A1317A">
        <w:rPr>
          <w:rFonts w:asciiTheme="majorBidi" w:hAnsiTheme="majorBidi" w:cstheme="majorBidi"/>
          <w:sz w:val="24"/>
          <w:szCs w:val="24"/>
        </w:rPr>
        <w:t xml:space="preserve"> </w:t>
      </w:r>
    </w:p>
    <w:p w14:paraId="3D0949C6" w14:textId="35FA0503" w:rsidR="00076E62" w:rsidRPr="00A1317A" w:rsidRDefault="00BD1B47" w:rsidP="00532D5E">
      <w:pPr>
        <w:spacing w:line="240" w:lineRule="auto"/>
        <w:jc w:val="both"/>
        <w:rPr>
          <w:rFonts w:asciiTheme="majorBidi" w:hAnsiTheme="majorBidi" w:cstheme="majorBidi"/>
          <w:b/>
          <w:sz w:val="24"/>
          <w:szCs w:val="24"/>
        </w:rPr>
      </w:pPr>
      <w:r w:rsidRPr="00A1317A">
        <w:rPr>
          <w:rFonts w:asciiTheme="majorBidi" w:hAnsiTheme="majorBidi" w:cstheme="majorBidi"/>
          <w:bCs/>
          <w:sz w:val="24"/>
          <w:szCs w:val="24"/>
        </w:rPr>
        <w:cr/>
      </w:r>
      <w:r w:rsidR="002F339C" w:rsidRPr="00AC5668">
        <w:rPr>
          <w:rFonts w:asciiTheme="majorBidi" w:hAnsiTheme="majorBidi" w:cstheme="majorBidi"/>
          <w:bCs/>
          <w:i/>
          <w:iCs/>
          <w:sz w:val="24"/>
          <w:szCs w:val="24"/>
        </w:rPr>
        <w:t>K</w:t>
      </w:r>
      <w:r w:rsidR="00AC5668" w:rsidRPr="00AC5668">
        <w:rPr>
          <w:rFonts w:asciiTheme="majorBidi" w:hAnsiTheme="majorBidi" w:cstheme="majorBidi"/>
          <w:bCs/>
          <w:i/>
          <w:iCs/>
          <w:sz w:val="24"/>
          <w:szCs w:val="24"/>
        </w:rPr>
        <w:t>eywords</w:t>
      </w:r>
      <w:r w:rsidR="002F339C" w:rsidRPr="00A1317A">
        <w:rPr>
          <w:rFonts w:asciiTheme="majorBidi" w:hAnsiTheme="majorBidi" w:cstheme="majorBidi"/>
          <w:bCs/>
          <w:sz w:val="24"/>
          <w:szCs w:val="24"/>
        </w:rPr>
        <w:t>:</w:t>
      </w:r>
      <w:r w:rsidR="00E8024C" w:rsidRPr="00A1317A">
        <w:rPr>
          <w:rFonts w:asciiTheme="majorBidi" w:hAnsiTheme="majorBidi" w:cstheme="majorBidi"/>
          <w:bCs/>
          <w:sz w:val="24"/>
          <w:szCs w:val="24"/>
        </w:rPr>
        <w:t xml:space="preserve"> </w:t>
      </w:r>
      <w:r w:rsidR="002F339C" w:rsidRPr="00A1317A">
        <w:rPr>
          <w:rFonts w:asciiTheme="majorBidi" w:hAnsiTheme="majorBidi" w:cstheme="majorBidi"/>
          <w:bCs/>
          <w:sz w:val="24"/>
          <w:szCs w:val="24"/>
        </w:rPr>
        <w:t>gamma-glutamyl transpeptidase-to-platelet ratio, gamma-glutamyl transpeptidase-to-albumin ratio, liver fibrosis, nonalcoholic fatty liver disease</w:t>
      </w:r>
      <w:r w:rsidR="00230E43" w:rsidRPr="00A1317A">
        <w:rPr>
          <w:rFonts w:asciiTheme="majorBidi" w:hAnsiTheme="majorBidi" w:cstheme="majorBidi"/>
          <w:bCs/>
          <w:sz w:val="24"/>
          <w:szCs w:val="24"/>
        </w:rPr>
        <w:t>.</w:t>
      </w:r>
      <w:r w:rsidR="002F339C" w:rsidRPr="00A1317A">
        <w:rPr>
          <w:rFonts w:asciiTheme="majorBidi" w:hAnsiTheme="majorBidi" w:cstheme="majorBidi"/>
          <w:bCs/>
          <w:sz w:val="24"/>
          <w:szCs w:val="24"/>
        </w:rPr>
        <w:cr/>
      </w:r>
      <w:r w:rsidR="00A30D3E" w:rsidRPr="004B03EC">
        <w:rPr>
          <w:rFonts w:asciiTheme="majorBidi" w:hAnsiTheme="majorBidi" w:cstheme="majorBidi"/>
          <w:bCs/>
          <w:sz w:val="20"/>
          <w:szCs w:val="20"/>
        </w:rPr>
        <w:cr/>
      </w:r>
      <w:r w:rsidR="006C59F4" w:rsidRPr="00A1317A">
        <w:rPr>
          <w:rFonts w:asciiTheme="majorBidi" w:hAnsiTheme="majorBidi" w:cstheme="majorBidi"/>
          <w:b/>
          <w:sz w:val="24"/>
          <w:szCs w:val="24"/>
        </w:rPr>
        <w:t>Introduction:</w:t>
      </w:r>
    </w:p>
    <w:p w14:paraId="285FF3C4" w14:textId="4FE920B8" w:rsidR="00076E62" w:rsidRPr="00A1317A" w:rsidRDefault="006C59F4" w:rsidP="004B03EC">
      <w:pPr>
        <w:spacing w:after="0" w:line="240" w:lineRule="auto"/>
        <w:jc w:val="both"/>
        <w:rPr>
          <w:rFonts w:asciiTheme="majorBidi" w:eastAsia="Times New Roman" w:hAnsiTheme="majorBidi" w:cstheme="majorBidi"/>
          <w:sz w:val="24"/>
          <w:szCs w:val="24"/>
        </w:rPr>
      </w:pPr>
      <w:r w:rsidRPr="00A1317A">
        <w:rPr>
          <w:rFonts w:asciiTheme="majorBidi" w:eastAsia="Times New Roman" w:hAnsiTheme="majorBidi" w:cstheme="majorBidi"/>
          <w:sz w:val="24"/>
          <w:szCs w:val="24"/>
        </w:rPr>
        <w:t xml:space="preserve">Non-alcoholic fatty liver disease (NAFLD) is a </w:t>
      </w:r>
      <w:r w:rsidR="00230E43" w:rsidRPr="00A1317A">
        <w:rPr>
          <w:rFonts w:asciiTheme="majorBidi" w:eastAsia="Times New Roman" w:hAnsiTheme="majorBidi" w:cstheme="majorBidi"/>
          <w:sz w:val="24"/>
          <w:szCs w:val="24"/>
        </w:rPr>
        <w:t>significant</w:t>
      </w:r>
      <w:r w:rsidRPr="00A1317A">
        <w:rPr>
          <w:rFonts w:asciiTheme="majorBidi" w:eastAsia="Times New Roman" w:hAnsiTheme="majorBidi" w:cstheme="majorBidi"/>
          <w:sz w:val="24"/>
          <w:szCs w:val="24"/>
        </w:rPr>
        <w:t xml:space="preserve"> public health problem. </w:t>
      </w:r>
      <w:r w:rsidR="00230E43" w:rsidRPr="00A1317A">
        <w:rPr>
          <w:rFonts w:asciiTheme="majorBidi" w:eastAsia="Times New Roman" w:hAnsiTheme="majorBidi" w:cstheme="majorBidi"/>
          <w:sz w:val="24"/>
          <w:szCs w:val="24"/>
        </w:rPr>
        <w:t>It</w:t>
      </w:r>
      <w:r w:rsidRPr="00A1317A">
        <w:rPr>
          <w:rFonts w:asciiTheme="majorBidi" w:eastAsia="Times New Roman" w:hAnsiTheme="majorBidi" w:cstheme="majorBidi"/>
          <w:sz w:val="24"/>
          <w:szCs w:val="24"/>
        </w:rPr>
        <w:t xml:space="preserve"> is defined as </w:t>
      </w:r>
      <w:r w:rsidR="00890F18" w:rsidRPr="00A1317A">
        <w:rPr>
          <w:rFonts w:asciiTheme="majorBidi" w:eastAsia="Times New Roman" w:hAnsiTheme="majorBidi" w:cstheme="majorBidi"/>
          <w:sz w:val="24"/>
          <w:szCs w:val="24"/>
        </w:rPr>
        <w:t xml:space="preserve">hepatic steatosis in more than </w:t>
      </w:r>
      <w:r w:rsidRPr="00A1317A">
        <w:rPr>
          <w:rFonts w:asciiTheme="majorBidi" w:eastAsia="Times New Roman" w:hAnsiTheme="majorBidi" w:cstheme="majorBidi"/>
          <w:sz w:val="24"/>
          <w:szCs w:val="24"/>
        </w:rPr>
        <w:t xml:space="preserve">5% of hepatocytes </w:t>
      </w:r>
      <w:r w:rsidR="00230E43" w:rsidRPr="00A1317A">
        <w:rPr>
          <w:rFonts w:asciiTheme="majorBidi" w:eastAsia="Times New Roman" w:hAnsiTheme="majorBidi" w:cstheme="majorBidi"/>
          <w:sz w:val="24"/>
          <w:szCs w:val="24"/>
        </w:rPr>
        <w:t>without</w:t>
      </w:r>
      <w:r w:rsidRPr="00A1317A">
        <w:rPr>
          <w:rFonts w:asciiTheme="majorBidi" w:eastAsia="Times New Roman" w:hAnsiTheme="majorBidi" w:cstheme="majorBidi"/>
          <w:sz w:val="24"/>
          <w:szCs w:val="24"/>
        </w:rPr>
        <w:t xml:space="preserve"> </w:t>
      </w:r>
      <w:r w:rsidR="00CE145F" w:rsidRPr="00A1317A">
        <w:rPr>
          <w:rFonts w:asciiTheme="majorBidi" w:eastAsia="Times New Roman" w:hAnsiTheme="majorBidi" w:cstheme="majorBidi"/>
          <w:sz w:val="24"/>
          <w:szCs w:val="24"/>
        </w:rPr>
        <w:t>important</w:t>
      </w:r>
      <w:r w:rsidRPr="00A1317A">
        <w:rPr>
          <w:rFonts w:asciiTheme="majorBidi" w:eastAsia="Times New Roman" w:hAnsiTheme="majorBidi" w:cstheme="majorBidi"/>
          <w:sz w:val="24"/>
          <w:szCs w:val="24"/>
        </w:rPr>
        <w:t xml:space="preserve"> ongoing or recent alcohol consumption </w:t>
      </w:r>
      <w:r w:rsidR="00230E43" w:rsidRPr="00A1317A">
        <w:rPr>
          <w:rFonts w:asciiTheme="majorBidi" w:eastAsia="Times New Roman" w:hAnsiTheme="majorBidi" w:cstheme="majorBidi"/>
          <w:sz w:val="24"/>
          <w:szCs w:val="24"/>
        </w:rPr>
        <w:t>or other known liver disease causes</w:t>
      </w:r>
      <w:r w:rsidRPr="00A1317A">
        <w:rPr>
          <w:rFonts w:asciiTheme="majorBidi" w:eastAsia="Times New Roman" w:hAnsiTheme="majorBidi" w:cstheme="majorBidi"/>
          <w:sz w:val="24"/>
          <w:szCs w:val="24"/>
        </w:rPr>
        <w:t>.</w:t>
      </w:r>
      <w:r w:rsidRPr="00A1317A">
        <w:rPr>
          <w:rFonts w:asciiTheme="majorBidi" w:hAnsiTheme="majorBidi" w:cstheme="majorBidi"/>
          <w:sz w:val="24"/>
          <w:szCs w:val="24"/>
        </w:rPr>
        <w:t xml:space="preserve"> [1]</w:t>
      </w:r>
      <w:r w:rsidRPr="00A1317A">
        <w:rPr>
          <w:rFonts w:asciiTheme="majorBidi" w:eastAsia="Times New Roman" w:hAnsiTheme="majorBidi" w:cstheme="majorBidi"/>
          <w:sz w:val="24"/>
          <w:szCs w:val="24"/>
        </w:rPr>
        <w:t xml:space="preserve"> NAFLD covers a spectrum ranging from simple steatosis to steatohepatitis and cirrhosis</w:t>
      </w:r>
      <w:r w:rsidRPr="00A1317A">
        <w:rPr>
          <w:rFonts w:asciiTheme="majorBidi" w:hAnsiTheme="majorBidi" w:cstheme="majorBidi"/>
          <w:sz w:val="24"/>
          <w:szCs w:val="24"/>
        </w:rPr>
        <w:t xml:space="preserve"> [2]</w:t>
      </w:r>
      <w:r w:rsidR="00230E43" w:rsidRPr="00A1317A">
        <w:rPr>
          <w:rFonts w:asciiTheme="majorBidi" w:hAnsiTheme="majorBidi" w:cstheme="majorBidi"/>
          <w:sz w:val="24"/>
          <w:szCs w:val="24"/>
        </w:rPr>
        <w:t>.</w:t>
      </w:r>
    </w:p>
    <w:p w14:paraId="041780F2" w14:textId="7A24CA31" w:rsidR="000C2B7F" w:rsidRPr="00A1317A" w:rsidRDefault="00230E43" w:rsidP="000F14F6">
      <w:pPr>
        <w:spacing w:after="0" w:line="240" w:lineRule="auto"/>
        <w:jc w:val="both"/>
        <w:rPr>
          <w:rFonts w:asciiTheme="majorBidi" w:eastAsia="Times New Roman" w:hAnsiTheme="majorBidi" w:cstheme="majorBidi"/>
          <w:sz w:val="24"/>
          <w:szCs w:val="24"/>
        </w:rPr>
      </w:pPr>
      <w:r w:rsidRPr="00A1317A">
        <w:rPr>
          <w:rFonts w:asciiTheme="majorBidi" w:eastAsia="Times New Roman" w:hAnsiTheme="majorBidi" w:cstheme="majorBidi"/>
          <w:sz w:val="24"/>
          <w:szCs w:val="24"/>
        </w:rPr>
        <w:t>Available</w:t>
      </w:r>
      <w:r w:rsidR="000C2B7F" w:rsidRPr="00A1317A">
        <w:rPr>
          <w:rFonts w:asciiTheme="majorBidi" w:eastAsia="Times New Roman" w:hAnsiTheme="majorBidi" w:cstheme="majorBidi"/>
          <w:sz w:val="24"/>
          <w:szCs w:val="24"/>
        </w:rPr>
        <w:t xml:space="preserve"> data suggest that Egypt has one of the highest </w:t>
      </w:r>
      <w:proofErr w:type="spellStart"/>
      <w:r w:rsidR="00CE145F" w:rsidRPr="00A1317A">
        <w:rPr>
          <w:rFonts w:asciiTheme="majorBidi" w:eastAsia="Times New Roman" w:hAnsiTheme="majorBidi" w:cstheme="majorBidi"/>
          <w:sz w:val="24"/>
          <w:szCs w:val="24"/>
        </w:rPr>
        <w:t>prevalences</w:t>
      </w:r>
      <w:proofErr w:type="spellEnd"/>
      <w:r w:rsidR="000C2B7F" w:rsidRPr="00A1317A">
        <w:rPr>
          <w:rFonts w:asciiTheme="majorBidi" w:eastAsia="Times New Roman" w:hAnsiTheme="majorBidi" w:cstheme="majorBidi"/>
          <w:sz w:val="24"/>
          <w:szCs w:val="24"/>
        </w:rPr>
        <w:t xml:space="preserve"> of </w:t>
      </w:r>
      <w:r w:rsidR="000F14F6" w:rsidRPr="00AC5668">
        <w:rPr>
          <w:rFonts w:asciiTheme="majorBidi" w:eastAsia="Times New Roman" w:hAnsiTheme="majorBidi" w:cstheme="majorBidi"/>
          <w:sz w:val="24"/>
          <w:szCs w:val="24"/>
        </w:rPr>
        <w:t>metabolic associated fatty liver disease (MAFLD) (formerly known as nonalcoholic fatty liver disease [NAFLD]),</w:t>
      </w:r>
      <w:r w:rsidR="000C2B7F" w:rsidRPr="00026CFB">
        <w:rPr>
          <w:rFonts w:asciiTheme="majorBidi" w:eastAsia="Times New Roman" w:hAnsiTheme="majorBidi" w:cstheme="majorBidi"/>
          <w:sz w:val="32"/>
          <w:szCs w:val="32"/>
        </w:rPr>
        <w:t xml:space="preserve"> </w:t>
      </w:r>
      <w:r w:rsidR="000C2B7F" w:rsidRPr="00A1317A">
        <w:rPr>
          <w:rFonts w:asciiTheme="majorBidi" w:eastAsia="Times New Roman" w:hAnsiTheme="majorBidi" w:cstheme="majorBidi"/>
          <w:sz w:val="24"/>
          <w:szCs w:val="24"/>
        </w:rPr>
        <w:t>affecting more than one</w:t>
      </w:r>
      <w:r w:rsidR="000C2B7F" w:rsidRPr="00A1317A">
        <w:rPr>
          <w:rFonts w:ascii="Times New Roman" w:eastAsia="Times New Roman" w:hAnsi="Times New Roman" w:cs="Times New Roman"/>
          <w:sz w:val="24"/>
          <w:szCs w:val="24"/>
        </w:rPr>
        <w:t>-</w:t>
      </w:r>
      <w:r w:rsidR="000C2B7F" w:rsidRPr="00A1317A">
        <w:rPr>
          <w:rFonts w:asciiTheme="majorBidi" w:eastAsia="Times New Roman" w:hAnsiTheme="majorBidi" w:cstheme="majorBidi"/>
          <w:sz w:val="24"/>
          <w:szCs w:val="24"/>
        </w:rPr>
        <w:t>third of the population, compared to a global prevalence of about 25%.</w:t>
      </w:r>
      <w:r w:rsidR="00B268DA" w:rsidRPr="00A1317A">
        <w:rPr>
          <w:rFonts w:asciiTheme="majorBidi" w:eastAsia="Times New Roman" w:hAnsiTheme="majorBidi" w:cstheme="majorBidi"/>
          <w:sz w:val="24"/>
          <w:szCs w:val="24"/>
        </w:rPr>
        <w:t xml:space="preserve"> </w:t>
      </w:r>
      <w:r w:rsidR="000C2B7F" w:rsidRPr="00A1317A">
        <w:rPr>
          <w:rFonts w:asciiTheme="majorBidi" w:eastAsia="Times New Roman" w:hAnsiTheme="majorBidi" w:cstheme="majorBidi"/>
          <w:sz w:val="24"/>
          <w:szCs w:val="24"/>
        </w:rPr>
        <w:t xml:space="preserve">[3,4] Specific studies suggest that the prevalence range of MAFLD in Egypt is approximately 47.5%, with 56.7% having </w:t>
      </w:r>
      <w:r w:rsidR="00321155" w:rsidRPr="00A1317A">
        <w:rPr>
          <w:rFonts w:asciiTheme="majorBidi" w:eastAsia="Times New Roman" w:hAnsiTheme="majorBidi" w:cstheme="majorBidi"/>
          <w:sz w:val="24"/>
          <w:szCs w:val="24"/>
        </w:rPr>
        <w:t>fibrosis [</w:t>
      </w:r>
      <w:r w:rsidR="000C2B7F" w:rsidRPr="00A1317A">
        <w:rPr>
          <w:rFonts w:asciiTheme="majorBidi" w:eastAsia="Times New Roman" w:hAnsiTheme="majorBidi" w:cstheme="majorBidi"/>
          <w:sz w:val="24"/>
          <w:szCs w:val="24"/>
        </w:rPr>
        <w:t>5]</w:t>
      </w:r>
    </w:p>
    <w:p w14:paraId="14BA761E" w14:textId="4379ABC9" w:rsidR="00204F82" w:rsidRPr="00AC5668" w:rsidRDefault="00AC5668" w:rsidP="004B03EC">
      <w:pPr>
        <w:spacing w:after="0" w:line="240" w:lineRule="auto"/>
        <w:jc w:val="both"/>
        <w:rPr>
          <w:rFonts w:asciiTheme="majorBidi" w:eastAsia="Times New Roman" w:hAnsiTheme="majorBidi" w:cstheme="majorBidi"/>
          <w:sz w:val="24"/>
          <w:szCs w:val="24"/>
        </w:rPr>
      </w:pPr>
      <w:r w:rsidRPr="00AC5668">
        <w:rPr>
          <w:rFonts w:asciiTheme="majorBidi" w:eastAsia="Times New Roman" w:hAnsiTheme="majorBidi" w:cstheme="majorBidi"/>
          <w:sz w:val="24"/>
          <w:szCs w:val="24"/>
        </w:rPr>
        <w:t>The mortality</w:t>
      </w:r>
      <w:r w:rsidR="00BB642F" w:rsidRPr="00AC5668">
        <w:rPr>
          <w:rFonts w:asciiTheme="majorBidi" w:eastAsia="Times New Roman" w:hAnsiTheme="majorBidi" w:cstheme="majorBidi"/>
          <w:sz w:val="24"/>
          <w:szCs w:val="24"/>
        </w:rPr>
        <w:t xml:space="preserve"> rate in NAFLD patients </w:t>
      </w:r>
      <w:proofErr w:type="gramStart"/>
      <w:r w:rsidR="00BB642F" w:rsidRPr="00AC5668">
        <w:rPr>
          <w:rFonts w:asciiTheme="majorBidi" w:eastAsia="Times New Roman" w:hAnsiTheme="majorBidi" w:cstheme="majorBidi"/>
          <w:sz w:val="24"/>
          <w:szCs w:val="24"/>
        </w:rPr>
        <w:t>is</w:t>
      </w:r>
      <w:proofErr w:type="gramEnd"/>
      <w:r w:rsidR="00BB642F" w:rsidRPr="00AC5668">
        <w:rPr>
          <w:rFonts w:asciiTheme="majorBidi" w:eastAsia="Times New Roman" w:hAnsiTheme="majorBidi" w:cstheme="majorBidi"/>
          <w:sz w:val="24"/>
          <w:szCs w:val="24"/>
        </w:rPr>
        <w:t xml:space="preserve"> increased compared with the general population. </w:t>
      </w:r>
      <w:r w:rsidRPr="00AC5668">
        <w:rPr>
          <w:rFonts w:asciiTheme="majorBidi" w:eastAsia="Times New Roman" w:hAnsiTheme="majorBidi" w:cstheme="majorBidi"/>
          <w:sz w:val="24"/>
          <w:szCs w:val="24"/>
        </w:rPr>
        <w:t>Cardiovascular</w:t>
      </w:r>
      <w:r w:rsidR="00BB642F" w:rsidRPr="00AC5668">
        <w:rPr>
          <w:rFonts w:asciiTheme="majorBidi" w:eastAsia="Times New Roman" w:hAnsiTheme="majorBidi" w:cstheme="majorBidi"/>
          <w:sz w:val="24"/>
          <w:szCs w:val="24"/>
        </w:rPr>
        <w:t xml:space="preserve"> disease, malignancy, or liver-related mortality are the </w:t>
      </w:r>
      <w:r w:rsidRPr="00AC5668">
        <w:rPr>
          <w:rFonts w:asciiTheme="majorBidi" w:eastAsia="Times New Roman" w:hAnsiTheme="majorBidi" w:cstheme="majorBidi"/>
          <w:sz w:val="24"/>
          <w:szCs w:val="24"/>
        </w:rPr>
        <w:t>leading</w:t>
      </w:r>
      <w:r w:rsidR="00BB642F" w:rsidRPr="00AC5668">
        <w:rPr>
          <w:rFonts w:asciiTheme="majorBidi" w:eastAsia="Times New Roman" w:hAnsiTheme="majorBidi" w:cstheme="majorBidi"/>
          <w:sz w:val="24"/>
          <w:szCs w:val="24"/>
        </w:rPr>
        <w:t xml:space="preserve"> causes of mortality in NAFLD patients</w:t>
      </w:r>
      <w:r w:rsidR="00BB642F" w:rsidRPr="00BB642F">
        <w:rPr>
          <w:rFonts w:asciiTheme="majorBidi" w:eastAsia="Times New Roman" w:hAnsiTheme="majorBidi" w:cstheme="majorBidi"/>
          <w:sz w:val="24"/>
          <w:szCs w:val="24"/>
        </w:rPr>
        <w:t xml:space="preserve"> </w:t>
      </w:r>
      <w:r w:rsidR="00204F82" w:rsidRPr="00A1317A">
        <w:rPr>
          <w:rFonts w:asciiTheme="majorBidi" w:eastAsia="Times New Roman" w:hAnsiTheme="majorBidi" w:cstheme="majorBidi"/>
          <w:sz w:val="24"/>
          <w:szCs w:val="24"/>
        </w:rPr>
        <w:t>[</w:t>
      </w:r>
      <w:r w:rsidR="00B268DA" w:rsidRPr="00A1317A">
        <w:rPr>
          <w:rFonts w:asciiTheme="majorBidi" w:eastAsia="Times New Roman" w:hAnsiTheme="majorBidi" w:cstheme="majorBidi"/>
          <w:sz w:val="24"/>
          <w:szCs w:val="24"/>
        </w:rPr>
        <w:t>6</w:t>
      </w:r>
      <w:r w:rsidR="00204F82" w:rsidRPr="00A1317A">
        <w:rPr>
          <w:rFonts w:asciiTheme="majorBidi" w:eastAsia="Times New Roman" w:hAnsiTheme="majorBidi" w:cstheme="majorBidi"/>
          <w:sz w:val="24"/>
          <w:szCs w:val="24"/>
        </w:rPr>
        <w:t>]</w:t>
      </w:r>
      <w:r>
        <w:rPr>
          <w:rFonts w:asciiTheme="majorBidi" w:eastAsia="Times New Roman" w:hAnsiTheme="majorBidi" w:cstheme="majorBidi"/>
          <w:sz w:val="24"/>
          <w:szCs w:val="24"/>
        </w:rPr>
        <w:t>.</w:t>
      </w:r>
      <w:r w:rsidR="006C59F4" w:rsidRPr="00A1317A">
        <w:rPr>
          <w:rFonts w:asciiTheme="majorBidi" w:eastAsia="Times New Roman" w:hAnsiTheme="majorBidi" w:cstheme="majorBidi"/>
          <w:sz w:val="24"/>
          <w:szCs w:val="24"/>
        </w:rPr>
        <w:t xml:space="preserve"> </w:t>
      </w:r>
    </w:p>
    <w:p w14:paraId="50522B33" w14:textId="4856739A" w:rsidR="000F4A30" w:rsidRPr="00A1317A" w:rsidRDefault="000F4A30" w:rsidP="004B03EC">
      <w:pPr>
        <w:spacing w:after="0" w:line="240" w:lineRule="auto"/>
        <w:jc w:val="both"/>
        <w:rPr>
          <w:rFonts w:asciiTheme="majorBidi" w:eastAsia="Times New Roman" w:hAnsiTheme="majorBidi" w:cstheme="majorBidi"/>
          <w:color w:val="333333"/>
          <w:sz w:val="24"/>
          <w:szCs w:val="24"/>
        </w:rPr>
      </w:pPr>
      <w:r w:rsidRPr="00AC5668">
        <w:rPr>
          <w:rFonts w:asciiTheme="majorBidi" w:eastAsia="Times New Roman" w:hAnsiTheme="majorBidi" w:cstheme="majorBidi"/>
          <w:sz w:val="24"/>
          <w:szCs w:val="24"/>
        </w:rPr>
        <w:t xml:space="preserve">Patients with </w:t>
      </w:r>
      <w:r w:rsidR="00026CFB" w:rsidRPr="00AC5668">
        <w:rPr>
          <w:rFonts w:asciiTheme="majorBidi" w:eastAsia="Times New Roman" w:hAnsiTheme="majorBidi" w:cstheme="majorBidi"/>
          <w:sz w:val="24"/>
          <w:szCs w:val="24"/>
        </w:rPr>
        <w:t>nonalcoholic steatohepatitis (N</w:t>
      </w:r>
      <w:r w:rsidR="00026CFB" w:rsidRPr="00A1317A">
        <w:rPr>
          <w:rFonts w:asciiTheme="majorBidi" w:eastAsia="Times New Roman" w:hAnsiTheme="majorBidi" w:cstheme="majorBidi"/>
          <w:color w:val="333333"/>
          <w:sz w:val="24"/>
          <w:szCs w:val="24"/>
        </w:rPr>
        <w:t>ASH) and</w:t>
      </w:r>
      <w:r w:rsidRPr="00A1317A">
        <w:rPr>
          <w:rFonts w:asciiTheme="majorBidi" w:eastAsia="Times New Roman" w:hAnsiTheme="majorBidi" w:cstheme="majorBidi"/>
          <w:color w:val="333333"/>
          <w:sz w:val="24"/>
          <w:szCs w:val="24"/>
        </w:rPr>
        <w:t xml:space="preserve"> F2–4 fibrosis </w:t>
      </w:r>
      <w:r w:rsidR="00CE145F" w:rsidRPr="00A1317A">
        <w:rPr>
          <w:rFonts w:asciiTheme="majorBidi" w:eastAsia="Times New Roman" w:hAnsiTheme="majorBidi" w:cstheme="majorBidi"/>
          <w:color w:val="333333"/>
          <w:sz w:val="24"/>
          <w:szCs w:val="24"/>
        </w:rPr>
        <w:t>are</w:t>
      </w:r>
      <w:r w:rsidRPr="00A1317A">
        <w:rPr>
          <w:rFonts w:asciiTheme="majorBidi" w:eastAsia="Times New Roman" w:hAnsiTheme="majorBidi" w:cstheme="majorBidi"/>
          <w:color w:val="333333"/>
          <w:sz w:val="24"/>
          <w:szCs w:val="24"/>
        </w:rPr>
        <w:t xml:space="preserve"> at higher risk for liver-related events and mortality and are considered “at-risk” </w:t>
      </w:r>
      <w:r w:rsidR="00321155" w:rsidRPr="00A1317A">
        <w:rPr>
          <w:rFonts w:asciiTheme="majorBidi" w:eastAsia="Times New Roman" w:hAnsiTheme="majorBidi" w:cstheme="majorBidi"/>
          <w:color w:val="333333"/>
          <w:sz w:val="24"/>
          <w:szCs w:val="24"/>
        </w:rPr>
        <w:t>NASH. [</w:t>
      </w:r>
      <w:r w:rsidR="00B268DA" w:rsidRPr="00A1317A">
        <w:rPr>
          <w:rFonts w:asciiTheme="majorBidi" w:eastAsia="Times New Roman" w:hAnsiTheme="majorBidi" w:cstheme="majorBidi"/>
          <w:color w:val="333333"/>
          <w:sz w:val="24"/>
          <w:szCs w:val="24"/>
        </w:rPr>
        <w:t>7</w:t>
      </w:r>
      <w:r w:rsidR="00324FEE" w:rsidRPr="00A1317A">
        <w:rPr>
          <w:rFonts w:asciiTheme="majorBidi" w:eastAsia="Times New Roman" w:hAnsiTheme="majorBidi" w:cstheme="majorBidi"/>
          <w:color w:val="333333"/>
          <w:sz w:val="24"/>
          <w:szCs w:val="24"/>
        </w:rPr>
        <w:t>]</w:t>
      </w:r>
      <w:r w:rsidRPr="00A1317A">
        <w:rPr>
          <w:rFonts w:asciiTheme="majorBidi" w:eastAsia="Times New Roman" w:hAnsiTheme="majorBidi" w:cstheme="majorBidi"/>
          <w:color w:val="333333"/>
          <w:sz w:val="24"/>
          <w:szCs w:val="24"/>
        </w:rPr>
        <w:t xml:space="preserve"> </w:t>
      </w:r>
    </w:p>
    <w:p w14:paraId="7B50163F" w14:textId="0568C656" w:rsidR="00076E62" w:rsidRPr="00A1317A" w:rsidRDefault="006C59F4" w:rsidP="004B03EC">
      <w:pPr>
        <w:spacing w:after="384" w:line="240" w:lineRule="auto"/>
        <w:jc w:val="both"/>
        <w:rPr>
          <w:rFonts w:asciiTheme="majorBidi" w:hAnsiTheme="majorBidi" w:cstheme="majorBidi"/>
          <w:sz w:val="24"/>
          <w:szCs w:val="24"/>
        </w:rPr>
      </w:pPr>
      <w:r w:rsidRPr="00A1317A">
        <w:rPr>
          <w:rFonts w:asciiTheme="majorBidi" w:hAnsiTheme="majorBidi" w:cstheme="majorBidi"/>
          <w:sz w:val="24"/>
          <w:szCs w:val="24"/>
        </w:rPr>
        <w:t>Over the past 40 years, our understanding of NAFLD has evolved to broadly define a link to metabolic dysregulation as the driving force in the pathogenesis of the disease. [</w:t>
      </w:r>
      <w:r w:rsidR="00B268DA" w:rsidRPr="00A1317A">
        <w:rPr>
          <w:rFonts w:asciiTheme="majorBidi" w:hAnsiTheme="majorBidi" w:cstheme="majorBidi"/>
          <w:sz w:val="24"/>
          <w:szCs w:val="24"/>
        </w:rPr>
        <w:t>8-11</w:t>
      </w:r>
      <w:r w:rsidRPr="00A1317A">
        <w:rPr>
          <w:rFonts w:asciiTheme="majorBidi" w:hAnsiTheme="majorBidi" w:cstheme="majorBidi"/>
          <w:sz w:val="24"/>
          <w:szCs w:val="24"/>
        </w:rPr>
        <w:t xml:space="preserve">]. </w:t>
      </w:r>
    </w:p>
    <w:p w14:paraId="4A725D1B" w14:textId="413627BD" w:rsidR="00076E62" w:rsidRPr="00A1317A" w:rsidRDefault="006C59F4" w:rsidP="004B03EC">
      <w:pPr>
        <w:spacing w:after="384" w:line="240" w:lineRule="auto"/>
        <w:jc w:val="both"/>
        <w:rPr>
          <w:rFonts w:asciiTheme="majorBidi" w:hAnsiTheme="majorBidi" w:cstheme="majorBidi"/>
          <w:sz w:val="24"/>
          <w:szCs w:val="24"/>
        </w:rPr>
      </w:pPr>
      <w:r w:rsidRPr="00A1317A">
        <w:rPr>
          <w:rFonts w:asciiTheme="majorBidi" w:hAnsiTheme="majorBidi" w:cstheme="majorBidi"/>
          <w:sz w:val="24"/>
          <w:szCs w:val="24"/>
        </w:rPr>
        <w:t>The gold standard for diagnosis of NAFLD is liver biopsy. In recent years</w:t>
      </w:r>
      <w:r w:rsidR="00607100">
        <w:rPr>
          <w:rFonts w:asciiTheme="majorBidi" w:hAnsiTheme="majorBidi" w:cstheme="majorBidi"/>
          <w:sz w:val="24"/>
          <w:szCs w:val="24"/>
        </w:rPr>
        <w:t>,</w:t>
      </w:r>
      <w:r w:rsidRPr="00A1317A">
        <w:rPr>
          <w:rFonts w:asciiTheme="majorBidi" w:hAnsiTheme="majorBidi" w:cstheme="majorBidi"/>
          <w:sz w:val="24"/>
          <w:szCs w:val="24"/>
        </w:rPr>
        <w:t xml:space="preserve"> non-invasive tools for measuring liver fibrosis and liver steatosis, such as transient elastography, controlled attenuation </w:t>
      </w:r>
      <w:r w:rsidR="00230E43" w:rsidRPr="00A1317A">
        <w:rPr>
          <w:rFonts w:asciiTheme="majorBidi" w:hAnsiTheme="majorBidi" w:cstheme="majorBidi"/>
          <w:sz w:val="24"/>
          <w:szCs w:val="24"/>
        </w:rPr>
        <w:t>parameters,</w:t>
      </w:r>
      <w:r w:rsidRPr="00A1317A">
        <w:rPr>
          <w:rFonts w:asciiTheme="majorBidi" w:hAnsiTheme="majorBidi" w:cstheme="majorBidi"/>
          <w:sz w:val="24"/>
          <w:szCs w:val="24"/>
        </w:rPr>
        <w:t xml:space="preserve"> or magnetic </w:t>
      </w:r>
      <w:r w:rsidR="00230E43" w:rsidRPr="00A1317A">
        <w:rPr>
          <w:rFonts w:asciiTheme="majorBidi" w:hAnsiTheme="majorBidi" w:cstheme="majorBidi"/>
          <w:sz w:val="24"/>
          <w:szCs w:val="24"/>
        </w:rPr>
        <w:t>resonance-based methods,</w:t>
      </w:r>
      <w:r w:rsidRPr="00A1317A">
        <w:rPr>
          <w:rFonts w:asciiTheme="majorBidi" w:hAnsiTheme="majorBidi" w:cstheme="majorBidi"/>
          <w:sz w:val="24"/>
          <w:szCs w:val="24"/>
        </w:rPr>
        <w:t xml:space="preserve"> have been developed, and their utility in the setting of NAFLD is being extensively investigated [</w:t>
      </w:r>
      <w:r w:rsidR="00B268DA" w:rsidRPr="00A1317A">
        <w:rPr>
          <w:rFonts w:asciiTheme="majorBidi" w:hAnsiTheme="majorBidi" w:cstheme="majorBidi"/>
          <w:sz w:val="24"/>
          <w:szCs w:val="24"/>
        </w:rPr>
        <w:t>12</w:t>
      </w:r>
      <w:r w:rsidRPr="00A1317A">
        <w:rPr>
          <w:rFonts w:asciiTheme="majorBidi" w:hAnsiTheme="majorBidi" w:cstheme="majorBidi"/>
          <w:sz w:val="24"/>
          <w:szCs w:val="24"/>
        </w:rPr>
        <w:t>,</w:t>
      </w:r>
      <w:r w:rsidR="00CB22C9" w:rsidRPr="00A1317A">
        <w:rPr>
          <w:rFonts w:asciiTheme="majorBidi" w:hAnsiTheme="majorBidi" w:cstheme="majorBidi"/>
          <w:sz w:val="24"/>
          <w:szCs w:val="24"/>
        </w:rPr>
        <w:t>1</w:t>
      </w:r>
      <w:r w:rsidR="00B268DA" w:rsidRPr="00A1317A">
        <w:rPr>
          <w:rFonts w:asciiTheme="majorBidi" w:hAnsiTheme="majorBidi" w:cstheme="majorBidi"/>
          <w:sz w:val="24"/>
          <w:szCs w:val="24"/>
        </w:rPr>
        <w:t>3</w:t>
      </w:r>
      <w:r w:rsidRPr="00A1317A">
        <w:rPr>
          <w:rFonts w:asciiTheme="majorBidi" w:hAnsiTheme="majorBidi" w:cstheme="majorBidi"/>
          <w:sz w:val="24"/>
          <w:szCs w:val="24"/>
        </w:rPr>
        <w:t>].</w:t>
      </w:r>
    </w:p>
    <w:p w14:paraId="206AB625" w14:textId="51432022" w:rsidR="00076E62" w:rsidRPr="005C6C9A" w:rsidRDefault="006C59F4" w:rsidP="004B03EC">
      <w:pPr>
        <w:spacing w:after="384" w:line="240" w:lineRule="auto"/>
        <w:jc w:val="both"/>
        <w:rPr>
          <w:rFonts w:asciiTheme="majorBidi" w:eastAsia="Times New Roman" w:hAnsiTheme="majorBidi" w:cstheme="majorBidi"/>
          <w:b/>
          <w:sz w:val="24"/>
          <w:szCs w:val="24"/>
        </w:rPr>
      </w:pPr>
      <w:r w:rsidRPr="00A1317A">
        <w:rPr>
          <w:rFonts w:asciiTheme="majorBidi" w:eastAsia="Times New Roman" w:hAnsiTheme="majorBidi" w:cstheme="majorBidi"/>
          <w:color w:val="000000"/>
          <w:sz w:val="24"/>
          <w:szCs w:val="24"/>
        </w:rPr>
        <w:t>Lemoine and colleagues presented a marker of liver fibrosis, the gamma-glutamyl transpeptidase to platelet ratio (GPR), as a more accurate non-invasive marker than either the aspartate aminotransferase to platelet ratio index (APRI) or the fibrosis index based on four factors (FIB-4) for diagnosing liver fibrosis in patients with chronic</w:t>
      </w:r>
      <w:r w:rsidRPr="005C6C9A">
        <w:rPr>
          <w:rFonts w:asciiTheme="majorBidi" w:eastAsia="Times New Roman" w:hAnsiTheme="majorBidi" w:cstheme="majorBidi"/>
          <w:color w:val="000000"/>
          <w:sz w:val="24"/>
          <w:szCs w:val="24"/>
        </w:rPr>
        <w:t xml:space="preserve"> hepatitis B virus (HBV) infection in West Africa, and a simple and inexpensive alternative to transient elastography and liver biopsy</w:t>
      </w:r>
      <w:r w:rsidRPr="005C6C9A">
        <w:rPr>
          <w:rFonts w:asciiTheme="majorBidi" w:eastAsia="Times New Roman" w:hAnsiTheme="majorBidi" w:cstheme="majorBidi"/>
          <w:b/>
          <w:sz w:val="24"/>
          <w:szCs w:val="24"/>
        </w:rPr>
        <w:t xml:space="preserve"> [</w:t>
      </w:r>
      <w:r w:rsidR="00CB22C9" w:rsidRPr="005C6C9A">
        <w:rPr>
          <w:rFonts w:asciiTheme="majorBidi" w:eastAsia="Times New Roman" w:hAnsiTheme="majorBidi" w:cstheme="majorBidi"/>
          <w:b/>
          <w:sz w:val="24"/>
          <w:szCs w:val="24"/>
        </w:rPr>
        <w:t>1</w:t>
      </w:r>
      <w:r w:rsidR="00B268DA" w:rsidRPr="005C6C9A">
        <w:rPr>
          <w:rFonts w:asciiTheme="majorBidi" w:eastAsia="Times New Roman" w:hAnsiTheme="majorBidi" w:cstheme="majorBidi"/>
          <w:b/>
          <w:sz w:val="24"/>
          <w:szCs w:val="24"/>
        </w:rPr>
        <w:t>4</w:t>
      </w:r>
      <w:r w:rsidRPr="005C6C9A">
        <w:rPr>
          <w:rFonts w:asciiTheme="majorBidi" w:eastAsia="Times New Roman" w:hAnsiTheme="majorBidi" w:cstheme="majorBidi"/>
          <w:b/>
          <w:sz w:val="24"/>
          <w:szCs w:val="24"/>
        </w:rPr>
        <w:t>].</w:t>
      </w:r>
    </w:p>
    <w:p w14:paraId="38DA5B0B" w14:textId="3FD697F2" w:rsidR="00076E62" w:rsidRPr="005C6C9A" w:rsidRDefault="00026229" w:rsidP="004B03EC">
      <w:pPr>
        <w:spacing w:after="384" w:line="240" w:lineRule="auto"/>
        <w:ind w:firstLine="720"/>
        <w:jc w:val="both"/>
        <w:rPr>
          <w:rFonts w:asciiTheme="majorBidi" w:eastAsia="Times New Roman" w:hAnsiTheme="majorBidi" w:cstheme="majorBidi"/>
          <w:sz w:val="24"/>
          <w:szCs w:val="24"/>
        </w:rPr>
      </w:pPr>
      <w:r w:rsidRPr="005C6C9A">
        <w:rPr>
          <w:rFonts w:asciiTheme="majorBidi" w:eastAsia="Times New Roman" w:hAnsiTheme="majorBidi" w:cstheme="majorBidi"/>
          <w:sz w:val="24"/>
          <w:szCs w:val="24"/>
        </w:rPr>
        <w:t>HE</w:t>
      </w:r>
      <w:r w:rsidR="006C59F4" w:rsidRPr="005C6C9A">
        <w:rPr>
          <w:rFonts w:asciiTheme="majorBidi" w:eastAsia="Times New Roman" w:hAnsiTheme="majorBidi" w:cstheme="majorBidi"/>
          <w:sz w:val="24"/>
          <w:szCs w:val="24"/>
        </w:rPr>
        <w:t xml:space="preserve"> </w:t>
      </w:r>
      <w:r w:rsidR="00230E43" w:rsidRPr="005C6C9A">
        <w:rPr>
          <w:rFonts w:asciiTheme="majorBidi" w:eastAsia="Times New Roman" w:hAnsiTheme="majorBidi" w:cstheme="majorBidi"/>
          <w:sz w:val="24"/>
          <w:szCs w:val="24"/>
        </w:rPr>
        <w:t>et al.</w:t>
      </w:r>
      <w:r w:rsidR="006C59F4" w:rsidRPr="005C6C9A">
        <w:rPr>
          <w:rFonts w:asciiTheme="majorBidi" w:eastAsia="Times New Roman" w:hAnsiTheme="majorBidi" w:cstheme="majorBidi"/>
          <w:sz w:val="24"/>
          <w:szCs w:val="24"/>
        </w:rPr>
        <w:t xml:space="preserve"> concluded that</w:t>
      </w:r>
      <w:r w:rsidR="00230E43" w:rsidRPr="005C6C9A">
        <w:rPr>
          <w:rFonts w:asciiTheme="majorBidi" w:eastAsia="Times New Roman" w:hAnsiTheme="majorBidi" w:cstheme="majorBidi"/>
          <w:sz w:val="24"/>
          <w:szCs w:val="24"/>
        </w:rPr>
        <w:t>,</w:t>
      </w:r>
      <w:r w:rsidR="006C59F4" w:rsidRPr="005C6C9A">
        <w:rPr>
          <w:rFonts w:asciiTheme="majorBidi" w:eastAsia="Times New Roman" w:hAnsiTheme="majorBidi" w:cstheme="majorBidi"/>
          <w:sz w:val="24"/>
          <w:szCs w:val="24"/>
        </w:rPr>
        <w:t xml:space="preserve"> </w:t>
      </w:r>
      <w:r w:rsidR="00230E43" w:rsidRPr="005C6C9A">
        <w:rPr>
          <w:rFonts w:asciiTheme="majorBidi" w:eastAsia="Times New Roman" w:hAnsiTheme="majorBidi" w:cstheme="majorBidi"/>
          <w:sz w:val="24"/>
          <w:szCs w:val="24"/>
        </w:rPr>
        <w:t>l</w:t>
      </w:r>
      <w:r w:rsidR="006C59F4" w:rsidRPr="005C6C9A">
        <w:rPr>
          <w:rFonts w:asciiTheme="majorBidi" w:eastAsia="Times New Roman" w:hAnsiTheme="majorBidi" w:cstheme="majorBidi"/>
          <w:sz w:val="24"/>
          <w:szCs w:val="24"/>
        </w:rPr>
        <w:t xml:space="preserve">ike </w:t>
      </w:r>
      <w:r w:rsidR="00230E43" w:rsidRPr="005C6C9A">
        <w:rPr>
          <w:rFonts w:asciiTheme="majorBidi" w:eastAsia="Times New Roman" w:hAnsiTheme="majorBidi" w:cstheme="majorBidi"/>
          <w:sz w:val="24"/>
          <w:szCs w:val="24"/>
        </w:rPr>
        <w:t xml:space="preserve">the </w:t>
      </w:r>
      <w:r w:rsidR="006C59F4" w:rsidRPr="005C6C9A">
        <w:rPr>
          <w:rFonts w:asciiTheme="majorBidi" w:eastAsia="Times New Roman" w:hAnsiTheme="majorBidi" w:cstheme="majorBidi"/>
          <w:sz w:val="24"/>
          <w:szCs w:val="24"/>
        </w:rPr>
        <w:t xml:space="preserve">APRI score and FIB-4 index, GGT/Alb ratio is a simple and practical noninvasive model for </w:t>
      </w:r>
      <w:r w:rsidR="00230E43" w:rsidRPr="005C6C9A">
        <w:rPr>
          <w:rFonts w:asciiTheme="majorBidi" w:eastAsia="Times New Roman" w:hAnsiTheme="majorBidi" w:cstheme="majorBidi"/>
          <w:sz w:val="24"/>
          <w:szCs w:val="24"/>
        </w:rPr>
        <w:t>diagnosing liver fibrosis and can provide a reference for diagnosing</w:t>
      </w:r>
      <w:r w:rsidR="006C59F4" w:rsidRPr="005C6C9A">
        <w:rPr>
          <w:rFonts w:asciiTheme="majorBidi" w:eastAsia="Times New Roman" w:hAnsiTheme="majorBidi" w:cstheme="majorBidi"/>
          <w:sz w:val="24"/>
          <w:szCs w:val="24"/>
        </w:rPr>
        <w:t xml:space="preserve"> liver fibrosis degree in patients with chronic HBV </w:t>
      </w:r>
      <w:r w:rsidR="00BC218A" w:rsidRPr="005C6C9A">
        <w:rPr>
          <w:rFonts w:asciiTheme="majorBidi" w:eastAsia="Times New Roman" w:hAnsiTheme="majorBidi" w:cstheme="majorBidi"/>
          <w:sz w:val="24"/>
          <w:szCs w:val="24"/>
        </w:rPr>
        <w:t>infection [</w:t>
      </w:r>
      <w:r w:rsidR="00CB22C9" w:rsidRPr="005C6C9A">
        <w:rPr>
          <w:rFonts w:asciiTheme="majorBidi" w:eastAsia="Times New Roman" w:hAnsiTheme="majorBidi" w:cstheme="majorBidi"/>
          <w:sz w:val="24"/>
          <w:szCs w:val="24"/>
        </w:rPr>
        <w:t>1</w:t>
      </w:r>
      <w:r w:rsidR="00B268DA" w:rsidRPr="005C6C9A">
        <w:rPr>
          <w:rFonts w:asciiTheme="majorBidi" w:eastAsia="Times New Roman" w:hAnsiTheme="majorBidi" w:cstheme="majorBidi"/>
          <w:sz w:val="24"/>
          <w:szCs w:val="24"/>
        </w:rPr>
        <w:t>5</w:t>
      </w:r>
      <w:r w:rsidR="00B73082" w:rsidRPr="005C6C9A">
        <w:rPr>
          <w:rFonts w:asciiTheme="majorBidi" w:eastAsia="Times New Roman" w:hAnsiTheme="majorBidi" w:cstheme="majorBidi"/>
          <w:sz w:val="24"/>
          <w:szCs w:val="24"/>
        </w:rPr>
        <w:t>]</w:t>
      </w:r>
      <w:r w:rsidR="00230E43" w:rsidRPr="005C6C9A">
        <w:rPr>
          <w:rFonts w:asciiTheme="majorBidi" w:eastAsia="Times New Roman" w:hAnsiTheme="majorBidi" w:cstheme="majorBidi"/>
          <w:sz w:val="24"/>
          <w:szCs w:val="24"/>
        </w:rPr>
        <w:t>.</w:t>
      </w:r>
    </w:p>
    <w:p w14:paraId="2BE39847" w14:textId="562323A9" w:rsidR="00076E62" w:rsidRPr="005C6C9A" w:rsidRDefault="006C59F4" w:rsidP="00026CFB">
      <w:pPr>
        <w:spacing w:after="384" w:line="240" w:lineRule="auto"/>
        <w:ind w:firstLine="720"/>
        <w:jc w:val="both"/>
        <w:rPr>
          <w:rFonts w:asciiTheme="majorBidi" w:eastAsia="Times New Roman" w:hAnsiTheme="majorBidi" w:cstheme="majorBidi"/>
          <w:sz w:val="24"/>
          <w:szCs w:val="24"/>
        </w:rPr>
      </w:pPr>
      <w:r w:rsidRPr="005C6C9A">
        <w:rPr>
          <w:rFonts w:asciiTheme="majorBidi" w:hAnsiTheme="majorBidi" w:cstheme="majorBidi"/>
          <w:sz w:val="24"/>
          <w:szCs w:val="24"/>
        </w:rPr>
        <w:t xml:space="preserve">Also, </w:t>
      </w:r>
      <w:r w:rsidR="00093BE9" w:rsidRPr="005C6C9A">
        <w:rPr>
          <w:rFonts w:asciiTheme="majorBidi" w:hAnsiTheme="majorBidi" w:cstheme="majorBidi"/>
          <w:sz w:val="24"/>
          <w:szCs w:val="24"/>
        </w:rPr>
        <w:t>Li</w:t>
      </w:r>
      <w:r w:rsidRPr="005C6C9A">
        <w:rPr>
          <w:rFonts w:asciiTheme="majorBidi" w:eastAsia="Times New Roman" w:hAnsiTheme="majorBidi" w:cstheme="majorBidi"/>
          <w:sz w:val="24"/>
          <w:szCs w:val="24"/>
        </w:rPr>
        <w:t xml:space="preserve"> </w:t>
      </w:r>
      <w:r w:rsidR="00230E43" w:rsidRPr="005C6C9A">
        <w:rPr>
          <w:rFonts w:asciiTheme="majorBidi" w:eastAsia="Times New Roman" w:hAnsiTheme="majorBidi" w:cstheme="majorBidi"/>
          <w:sz w:val="24"/>
          <w:szCs w:val="24"/>
        </w:rPr>
        <w:t>et al.</w:t>
      </w:r>
      <w:r w:rsidRPr="005C6C9A">
        <w:rPr>
          <w:rFonts w:asciiTheme="majorBidi" w:eastAsia="Times New Roman" w:hAnsiTheme="majorBidi" w:cstheme="majorBidi"/>
          <w:sz w:val="24"/>
          <w:szCs w:val="24"/>
        </w:rPr>
        <w:t xml:space="preserve"> reported that GAR is a more accurate non-invasive index than APRI and FIB-4 to stage significant fibrosis and cirrhosis in </w:t>
      </w:r>
      <w:r w:rsidR="00026CFB" w:rsidRPr="00AC5668">
        <w:rPr>
          <w:rFonts w:asciiTheme="majorBidi" w:eastAsia="Times New Roman" w:hAnsiTheme="majorBidi" w:cstheme="majorBidi"/>
          <w:sz w:val="24"/>
          <w:szCs w:val="24"/>
        </w:rPr>
        <w:t>chronic hepatitis B</w:t>
      </w:r>
      <w:r w:rsidR="00026CFB" w:rsidRPr="00026CFB">
        <w:rPr>
          <w:rFonts w:asciiTheme="majorBidi" w:eastAsia="Times New Roman" w:hAnsiTheme="majorBidi" w:cstheme="majorBidi"/>
          <w:sz w:val="24"/>
          <w:szCs w:val="24"/>
        </w:rPr>
        <w:t xml:space="preserve"> (CHB) </w:t>
      </w:r>
      <w:r w:rsidR="00026CFB" w:rsidRPr="005C6C9A">
        <w:rPr>
          <w:rFonts w:asciiTheme="majorBidi" w:eastAsia="Times New Roman" w:hAnsiTheme="majorBidi" w:cstheme="majorBidi"/>
          <w:sz w:val="24"/>
          <w:szCs w:val="24"/>
        </w:rPr>
        <w:t>patients</w:t>
      </w:r>
      <w:r w:rsidRPr="005C6C9A">
        <w:rPr>
          <w:rFonts w:asciiTheme="majorBidi" w:eastAsia="Times New Roman" w:hAnsiTheme="majorBidi" w:cstheme="majorBidi"/>
          <w:sz w:val="24"/>
          <w:szCs w:val="24"/>
        </w:rPr>
        <w:t xml:space="preserve"> and represents a novel non-invasive alternative to liver biopsy [</w:t>
      </w:r>
      <w:r w:rsidR="00B73082" w:rsidRPr="005C6C9A">
        <w:rPr>
          <w:rFonts w:asciiTheme="majorBidi" w:eastAsia="Times New Roman" w:hAnsiTheme="majorBidi" w:cstheme="majorBidi"/>
          <w:sz w:val="24"/>
          <w:szCs w:val="24"/>
        </w:rPr>
        <w:t>1</w:t>
      </w:r>
      <w:r w:rsidR="00B268DA" w:rsidRPr="005C6C9A">
        <w:rPr>
          <w:rFonts w:asciiTheme="majorBidi" w:eastAsia="Times New Roman" w:hAnsiTheme="majorBidi" w:cstheme="majorBidi"/>
          <w:sz w:val="24"/>
          <w:szCs w:val="24"/>
        </w:rPr>
        <w:t>6</w:t>
      </w:r>
      <w:r w:rsidRPr="005C6C9A">
        <w:rPr>
          <w:rFonts w:asciiTheme="majorBidi" w:eastAsia="Times New Roman" w:hAnsiTheme="majorBidi" w:cstheme="majorBidi"/>
          <w:sz w:val="24"/>
          <w:szCs w:val="24"/>
        </w:rPr>
        <w:t>].</w:t>
      </w:r>
    </w:p>
    <w:p w14:paraId="5555A91E" w14:textId="26DD5506" w:rsidR="00076E62" w:rsidRPr="005C6C9A" w:rsidRDefault="006C59F4" w:rsidP="00A769BE">
      <w:pPr>
        <w:spacing w:after="384" w:line="240" w:lineRule="auto"/>
        <w:ind w:firstLine="720"/>
        <w:jc w:val="both"/>
        <w:rPr>
          <w:rFonts w:asciiTheme="majorBidi" w:hAnsiTheme="majorBidi" w:cstheme="majorBidi"/>
          <w:sz w:val="24"/>
          <w:szCs w:val="24"/>
        </w:rPr>
      </w:pPr>
      <w:r w:rsidRPr="005C6C9A">
        <w:rPr>
          <w:rFonts w:asciiTheme="majorBidi" w:eastAsia="Times New Roman" w:hAnsiTheme="majorBidi" w:cstheme="majorBidi"/>
          <w:sz w:val="24"/>
          <w:szCs w:val="24"/>
        </w:rPr>
        <w:t>However,</w:t>
      </w:r>
      <w:r w:rsidRPr="005C6C9A">
        <w:rPr>
          <w:rFonts w:asciiTheme="majorBidi" w:hAnsiTheme="majorBidi" w:cstheme="majorBidi"/>
          <w:sz w:val="24"/>
          <w:szCs w:val="24"/>
        </w:rPr>
        <w:t xml:space="preserve"> the role of GGT and its other noninvasive markers in </w:t>
      </w:r>
      <w:r w:rsidR="00230E43" w:rsidRPr="005C6C9A">
        <w:rPr>
          <w:rFonts w:asciiTheme="majorBidi" w:hAnsiTheme="majorBidi" w:cstheme="majorBidi"/>
          <w:sz w:val="24"/>
          <w:szCs w:val="24"/>
        </w:rPr>
        <w:t>assessing</w:t>
      </w:r>
      <w:r w:rsidRPr="005C6C9A">
        <w:rPr>
          <w:rFonts w:asciiTheme="majorBidi" w:hAnsiTheme="majorBidi" w:cstheme="majorBidi"/>
          <w:sz w:val="24"/>
          <w:szCs w:val="24"/>
        </w:rPr>
        <w:t xml:space="preserve"> hepatic fibrosis in patients with NAFLD </w:t>
      </w:r>
      <w:r w:rsidR="00CE145F" w:rsidRPr="005C6C9A">
        <w:rPr>
          <w:rFonts w:asciiTheme="majorBidi" w:hAnsiTheme="majorBidi" w:cstheme="majorBidi"/>
          <w:sz w:val="24"/>
          <w:szCs w:val="24"/>
        </w:rPr>
        <w:t>must be</w:t>
      </w:r>
      <w:r w:rsidRPr="005C6C9A">
        <w:rPr>
          <w:rFonts w:asciiTheme="majorBidi" w:hAnsiTheme="majorBidi" w:cstheme="majorBidi"/>
          <w:sz w:val="24"/>
          <w:szCs w:val="24"/>
        </w:rPr>
        <w:t xml:space="preserve"> </w:t>
      </w:r>
      <w:r w:rsidR="003D1716" w:rsidRPr="005C6C9A">
        <w:rPr>
          <w:rFonts w:asciiTheme="majorBidi" w:hAnsiTheme="majorBidi" w:cstheme="majorBidi"/>
          <w:sz w:val="24"/>
          <w:szCs w:val="24"/>
        </w:rPr>
        <w:t xml:space="preserve">well </w:t>
      </w:r>
      <w:r w:rsidRPr="005C6C9A">
        <w:rPr>
          <w:rFonts w:asciiTheme="majorBidi" w:hAnsiTheme="majorBidi" w:cstheme="majorBidi"/>
          <w:sz w:val="24"/>
          <w:szCs w:val="24"/>
        </w:rPr>
        <w:t xml:space="preserve">studied. </w:t>
      </w:r>
      <w:r w:rsidR="00230E43" w:rsidRPr="005C6C9A">
        <w:rPr>
          <w:rFonts w:asciiTheme="majorBidi" w:hAnsiTheme="majorBidi" w:cstheme="majorBidi"/>
          <w:sz w:val="24"/>
          <w:szCs w:val="24"/>
        </w:rPr>
        <w:t xml:space="preserve">This study </w:t>
      </w:r>
      <w:r w:rsidR="00AC5668">
        <w:rPr>
          <w:rFonts w:asciiTheme="majorBidi" w:hAnsiTheme="majorBidi" w:cstheme="majorBidi"/>
          <w:sz w:val="24"/>
          <w:szCs w:val="24"/>
        </w:rPr>
        <w:t>evaluated</w:t>
      </w:r>
      <w:r w:rsidRPr="005C6C9A">
        <w:rPr>
          <w:rFonts w:asciiTheme="majorBidi" w:hAnsiTheme="majorBidi" w:cstheme="majorBidi"/>
          <w:sz w:val="24"/>
          <w:szCs w:val="24"/>
        </w:rPr>
        <w:t xml:space="preserve"> </w:t>
      </w:r>
      <w:r w:rsidRPr="00AC5668">
        <w:rPr>
          <w:rFonts w:asciiTheme="majorBidi" w:eastAsia="Times New Roman" w:hAnsiTheme="majorBidi" w:cstheme="majorBidi"/>
          <w:sz w:val="24"/>
          <w:szCs w:val="24"/>
        </w:rPr>
        <w:t xml:space="preserve">the </w:t>
      </w:r>
      <w:r w:rsidR="00A769BE" w:rsidRPr="00AC5668">
        <w:rPr>
          <w:rFonts w:asciiTheme="majorBidi" w:eastAsia="Times New Roman" w:hAnsiTheme="majorBidi" w:cstheme="majorBidi"/>
          <w:sz w:val="24"/>
          <w:szCs w:val="24"/>
        </w:rPr>
        <w:t>accuracy</w:t>
      </w:r>
      <w:r w:rsidRPr="00AC5668">
        <w:rPr>
          <w:rFonts w:asciiTheme="majorBidi" w:eastAsia="Times New Roman" w:hAnsiTheme="majorBidi" w:cstheme="majorBidi"/>
          <w:sz w:val="24"/>
          <w:szCs w:val="24"/>
        </w:rPr>
        <w:t xml:space="preserve"> of</w:t>
      </w:r>
      <w:r w:rsidRPr="005C6C9A">
        <w:rPr>
          <w:rFonts w:asciiTheme="majorBidi" w:hAnsiTheme="majorBidi" w:cstheme="majorBidi"/>
          <w:sz w:val="24"/>
          <w:szCs w:val="24"/>
        </w:rPr>
        <w:t xml:space="preserve"> the gamma-glutamyl transpeptidase and the other non-invasive markers (GPR and GAR) versus fibroscan as indicators of hepatic fibrosis in NAFLD patients.</w:t>
      </w:r>
    </w:p>
    <w:p w14:paraId="5245CF1F" w14:textId="77777777" w:rsidR="00076E62" w:rsidRPr="005C6C9A" w:rsidRDefault="006C59F4" w:rsidP="004B03EC">
      <w:pPr>
        <w:spacing w:line="240" w:lineRule="auto"/>
        <w:jc w:val="both"/>
        <w:rPr>
          <w:rFonts w:asciiTheme="majorBidi" w:hAnsiTheme="majorBidi" w:cstheme="majorBidi"/>
          <w:b/>
          <w:sz w:val="24"/>
          <w:szCs w:val="24"/>
        </w:rPr>
      </w:pPr>
      <w:r w:rsidRPr="005C6C9A">
        <w:rPr>
          <w:rFonts w:asciiTheme="majorBidi" w:hAnsiTheme="majorBidi" w:cstheme="majorBidi"/>
          <w:b/>
          <w:sz w:val="24"/>
          <w:szCs w:val="24"/>
        </w:rPr>
        <w:t>Patients and Method:</w:t>
      </w:r>
    </w:p>
    <w:p w14:paraId="5B27AF54" w14:textId="4010AC9B" w:rsidR="00076E62" w:rsidRPr="005C6C9A" w:rsidRDefault="006C59F4" w:rsidP="0084401C">
      <w:pPr>
        <w:spacing w:before="120" w:after="120" w:line="240" w:lineRule="auto"/>
        <w:ind w:right="57"/>
        <w:jc w:val="both"/>
        <w:rPr>
          <w:rFonts w:asciiTheme="majorBidi" w:eastAsia="Times New Roman" w:hAnsiTheme="majorBidi" w:cstheme="majorBidi"/>
          <w:sz w:val="24"/>
          <w:szCs w:val="24"/>
        </w:rPr>
      </w:pPr>
      <w:r w:rsidRPr="005C6C9A">
        <w:rPr>
          <w:rFonts w:asciiTheme="majorBidi" w:eastAsia="Times New Roman" w:hAnsiTheme="majorBidi" w:cstheme="majorBidi"/>
          <w:sz w:val="24"/>
          <w:szCs w:val="24"/>
        </w:rPr>
        <w:t xml:space="preserve">This study was </w:t>
      </w:r>
      <w:r w:rsidR="00230E43" w:rsidRPr="005C6C9A">
        <w:rPr>
          <w:rFonts w:asciiTheme="majorBidi" w:eastAsia="Times New Roman" w:hAnsiTheme="majorBidi" w:cstheme="majorBidi"/>
          <w:sz w:val="24"/>
          <w:szCs w:val="24"/>
        </w:rPr>
        <w:t xml:space="preserve">an </w:t>
      </w:r>
      <w:r w:rsidR="00211B80" w:rsidRPr="005C6C9A">
        <w:rPr>
          <w:rFonts w:asciiTheme="majorBidi" w:eastAsia="Times New Roman" w:hAnsiTheme="majorBidi" w:cstheme="majorBidi"/>
          <w:sz w:val="24"/>
          <w:szCs w:val="24"/>
        </w:rPr>
        <w:t>observational</w:t>
      </w:r>
      <w:r w:rsidRPr="005C6C9A">
        <w:rPr>
          <w:rFonts w:asciiTheme="majorBidi" w:eastAsia="Times New Roman" w:hAnsiTheme="majorBidi" w:cstheme="majorBidi"/>
          <w:sz w:val="24"/>
          <w:szCs w:val="24"/>
        </w:rPr>
        <w:t xml:space="preserve"> </w:t>
      </w:r>
      <w:r w:rsidR="00230E43" w:rsidRPr="005C6C9A">
        <w:rPr>
          <w:rFonts w:asciiTheme="majorBidi" w:eastAsia="Times New Roman" w:hAnsiTheme="majorBidi" w:cstheme="majorBidi"/>
          <w:sz w:val="24"/>
          <w:szCs w:val="24"/>
        </w:rPr>
        <w:t>cross-sectional</w:t>
      </w:r>
      <w:r w:rsidRPr="005C6C9A">
        <w:rPr>
          <w:rFonts w:asciiTheme="majorBidi" w:eastAsia="Times New Roman" w:hAnsiTheme="majorBidi" w:cstheme="majorBidi"/>
          <w:sz w:val="24"/>
          <w:szCs w:val="24"/>
        </w:rPr>
        <w:t xml:space="preserve"> trial. This study was </w:t>
      </w:r>
      <w:r w:rsidR="00AC5668">
        <w:rPr>
          <w:rFonts w:asciiTheme="majorBidi" w:eastAsia="Times New Roman" w:hAnsiTheme="majorBidi" w:cstheme="majorBidi"/>
          <w:sz w:val="24"/>
          <w:szCs w:val="24"/>
        </w:rPr>
        <w:t>conducted</w:t>
      </w:r>
      <w:r w:rsidRPr="005C6C9A">
        <w:rPr>
          <w:rFonts w:asciiTheme="majorBidi" w:eastAsia="Times New Roman" w:hAnsiTheme="majorBidi" w:cstheme="majorBidi"/>
          <w:sz w:val="24"/>
          <w:szCs w:val="24"/>
        </w:rPr>
        <w:t xml:space="preserve"> on 100 </w:t>
      </w:r>
      <w:r w:rsidR="0084401C" w:rsidRPr="0084401C">
        <w:rPr>
          <w:rFonts w:asciiTheme="majorBidi" w:eastAsia="Times New Roman" w:hAnsiTheme="majorBidi" w:cstheme="majorBidi"/>
          <w:sz w:val="24"/>
          <w:szCs w:val="24"/>
        </w:rPr>
        <w:t xml:space="preserve">patients </w:t>
      </w:r>
      <w:r w:rsidR="0084401C" w:rsidRPr="00AC5668">
        <w:rPr>
          <w:rFonts w:asciiTheme="majorBidi" w:eastAsia="Times New Roman" w:hAnsiTheme="majorBidi" w:cstheme="majorBidi"/>
          <w:sz w:val="24"/>
          <w:szCs w:val="24"/>
        </w:rPr>
        <w:t xml:space="preserve">recruited from the Tropical </w:t>
      </w:r>
      <w:r w:rsidR="00AC5668" w:rsidRPr="00AC5668">
        <w:rPr>
          <w:rFonts w:asciiTheme="majorBidi" w:eastAsia="Times New Roman" w:hAnsiTheme="majorBidi" w:cstheme="majorBidi"/>
          <w:sz w:val="24"/>
          <w:szCs w:val="24"/>
        </w:rPr>
        <w:t>Medicine</w:t>
      </w:r>
      <w:r w:rsidR="0084401C" w:rsidRPr="00AC5668">
        <w:rPr>
          <w:rFonts w:asciiTheme="majorBidi" w:eastAsia="Times New Roman" w:hAnsiTheme="majorBidi" w:cstheme="majorBidi"/>
          <w:sz w:val="24"/>
          <w:szCs w:val="24"/>
        </w:rPr>
        <w:t xml:space="preserve"> and infectious diseases department clinic,</w:t>
      </w:r>
      <w:r w:rsidRPr="005C6C9A">
        <w:rPr>
          <w:rFonts w:asciiTheme="majorBidi" w:eastAsia="Times New Roman" w:hAnsiTheme="majorBidi" w:cstheme="majorBidi"/>
          <w:sz w:val="24"/>
          <w:szCs w:val="24"/>
        </w:rPr>
        <w:t xml:space="preserve"> Tanta university hospital</w:t>
      </w:r>
      <w:r w:rsidR="00230E43" w:rsidRPr="005C6C9A">
        <w:rPr>
          <w:rFonts w:asciiTheme="majorBidi" w:eastAsia="Times New Roman" w:hAnsiTheme="majorBidi" w:cstheme="majorBidi"/>
          <w:sz w:val="24"/>
          <w:szCs w:val="24"/>
        </w:rPr>
        <w:t>,</w:t>
      </w:r>
      <w:r w:rsidR="00C8344D" w:rsidRPr="00AC5668">
        <w:rPr>
          <w:rFonts w:asciiTheme="majorBidi" w:eastAsia="Times New Roman" w:hAnsiTheme="majorBidi" w:cstheme="majorBidi"/>
          <w:sz w:val="24"/>
          <w:szCs w:val="24"/>
        </w:rPr>
        <w:t xml:space="preserve"> from January 2022 to January 2023.</w:t>
      </w:r>
      <w:r w:rsidRPr="005C6C9A">
        <w:rPr>
          <w:rFonts w:asciiTheme="majorBidi" w:eastAsia="Times New Roman" w:hAnsiTheme="majorBidi" w:cstheme="majorBidi"/>
          <w:sz w:val="24"/>
          <w:szCs w:val="24"/>
        </w:rPr>
        <w:t xml:space="preserve"> </w:t>
      </w:r>
    </w:p>
    <w:p w14:paraId="1C7E05E8" w14:textId="355D24FD" w:rsidR="00076E62" w:rsidRPr="005C6C9A" w:rsidRDefault="006C59F4" w:rsidP="0084401C">
      <w:pPr>
        <w:spacing w:before="120" w:after="120" w:line="240" w:lineRule="auto"/>
        <w:ind w:right="57"/>
        <w:jc w:val="both"/>
        <w:rPr>
          <w:rFonts w:asciiTheme="majorBidi" w:eastAsia="Times New Roman" w:hAnsiTheme="majorBidi" w:cstheme="majorBidi"/>
          <w:sz w:val="24"/>
          <w:szCs w:val="24"/>
        </w:rPr>
      </w:pPr>
      <w:r w:rsidRPr="005C6C9A">
        <w:rPr>
          <w:rFonts w:asciiTheme="majorBidi" w:eastAsia="Times New Roman" w:hAnsiTheme="majorBidi" w:cstheme="majorBidi"/>
          <w:sz w:val="24"/>
          <w:szCs w:val="24"/>
        </w:rPr>
        <w:t>Patients with</w:t>
      </w:r>
      <w:r w:rsidRPr="00AC5668">
        <w:rPr>
          <w:rFonts w:asciiTheme="majorBidi" w:eastAsia="Times New Roman" w:hAnsiTheme="majorBidi" w:cstheme="majorBidi"/>
          <w:sz w:val="24"/>
          <w:szCs w:val="24"/>
        </w:rPr>
        <w:t xml:space="preserve"> </w:t>
      </w:r>
      <w:r w:rsidRPr="005C6C9A">
        <w:rPr>
          <w:rFonts w:asciiTheme="majorBidi" w:eastAsia="Times New Roman" w:hAnsiTheme="majorBidi" w:cstheme="majorBidi"/>
          <w:sz w:val="24"/>
          <w:szCs w:val="24"/>
        </w:rPr>
        <w:t>liver steatosis were included</w:t>
      </w:r>
      <w:r w:rsidR="00230E43" w:rsidRPr="005C6C9A">
        <w:rPr>
          <w:rFonts w:asciiTheme="majorBidi" w:eastAsia="Times New Roman" w:hAnsiTheme="majorBidi" w:cstheme="majorBidi"/>
          <w:sz w:val="24"/>
          <w:szCs w:val="24"/>
        </w:rPr>
        <w:t>,</w:t>
      </w:r>
      <w:r w:rsidRPr="005C6C9A">
        <w:rPr>
          <w:rFonts w:asciiTheme="majorBidi" w:eastAsia="Times New Roman" w:hAnsiTheme="majorBidi" w:cstheme="majorBidi"/>
          <w:sz w:val="24"/>
          <w:szCs w:val="24"/>
        </w:rPr>
        <w:t xml:space="preserve"> determined by abdominal ultrasound with the characteristic of “bright liver</w:t>
      </w:r>
      <w:r w:rsidR="00230E43" w:rsidRPr="005C6C9A">
        <w:rPr>
          <w:rFonts w:asciiTheme="majorBidi" w:eastAsia="Times New Roman" w:hAnsiTheme="majorBidi" w:cstheme="majorBidi"/>
          <w:sz w:val="24"/>
          <w:szCs w:val="24"/>
        </w:rPr>
        <w:t>,</w:t>
      </w:r>
      <w:r w:rsidRPr="005C6C9A">
        <w:rPr>
          <w:rFonts w:asciiTheme="majorBidi" w:eastAsia="Times New Roman" w:hAnsiTheme="majorBidi" w:cstheme="majorBidi"/>
          <w:sz w:val="24"/>
          <w:szCs w:val="24"/>
        </w:rPr>
        <w:t>” NAFLD</w:t>
      </w:r>
      <w:r w:rsidRPr="00AC5668">
        <w:rPr>
          <w:rFonts w:asciiTheme="majorBidi" w:eastAsia="Times New Roman" w:hAnsiTheme="majorBidi" w:cstheme="majorBidi"/>
          <w:sz w:val="24"/>
          <w:szCs w:val="24"/>
        </w:rPr>
        <w:t xml:space="preserve"> </w:t>
      </w:r>
      <w:r w:rsidR="00230E43" w:rsidRPr="005C6C9A">
        <w:rPr>
          <w:rFonts w:asciiTheme="majorBidi" w:eastAsia="Times New Roman" w:hAnsiTheme="majorBidi" w:cstheme="majorBidi"/>
          <w:sz w:val="24"/>
          <w:szCs w:val="24"/>
        </w:rPr>
        <w:t>was d</w:t>
      </w:r>
      <w:r w:rsidRPr="005C6C9A">
        <w:rPr>
          <w:rFonts w:asciiTheme="majorBidi" w:eastAsia="Times New Roman" w:hAnsiTheme="majorBidi" w:cstheme="majorBidi"/>
          <w:sz w:val="24"/>
          <w:szCs w:val="24"/>
        </w:rPr>
        <w:t>iagnosed by</w:t>
      </w:r>
      <w:r w:rsidR="0084401C" w:rsidRPr="00AC5668">
        <w:rPr>
          <w:rFonts w:asciiTheme="majorBidi" w:eastAsia="Times New Roman" w:hAnsiTheme="majorBidi" w:cstheme="majorBidi"/>
          <w:sz w:val="24"/>
          <w:szCs w:val="24"/>
        </w:rPr>
        <w:t xml:space="preserve"> transient elastography (fibroscan) by</w:t>
      </w:r>
      <w:r w:rsidRPr="00AC5668">
        <w:rPr>
          <w:rFonts w:asciiTheme="majorBidi" w:eastAsia="Times New Roman" w:hAnsiTheme="majorBidi" w:cstheme="majorBidi"/>
          <w:sz w:val="24"/>
          <w:szCs w:val="24"/>
        </w:rPr>
        <w:t xml:space="preserve"> </w:t>
      </w:r>
      <w:r w:rsidR="0084401C" w:rsidRPr="00AC5668">
        <w:rPr>
          <w:rFonts w:asciiTheme="majorBidi" w:eastAsia="Times New Roman" w:hAnsiTheme="majorBidi" w:cstheme="majorBidi"/>
          <w:sz w:val="24"/>
          <w:szCs w:val="24"/>
        </w:rPr>
        <w:t>controlled attenuation parameter (CAP) determination</w:t>
      </w:r>
      <w:r w:rsidRPr="005C6C9A">
        <w:rPr>
          <w:rFonts w:asciiTheme="majorBidi" w:eastAsia="Times New Roman" w:hAnsiTheme="majorBidi" w:cstheme="majorBidi"/>
          <w:sz w:val="24"/>
          <w:szCs w:val="24"/>
        </w:rPr>
        <w:t xml:space="preserve"> of liver steatosis more than 240 dB/min.</w:t>
      </w:r>
    </w:p>
    <w:p w14:paraId="29B54756" w14:textId="559F6044" w:rsidR="00076E62" w:rsidRPr="005C6C9A" w:rsidRDefault="006C59F4" w:rsidP="004B03EC">
      <w:pPr>
        <w:spacing w:before="120" w:after="120" w:line="240" w:lineRule="auto"/>
        <w:ind w:right="57"/>
        <w:jc w:val="both"/>
        <w:rPr>
          <w:rFonts w:asciiTheme="majorBidi" w:eastAsia="Times New Roman" w:hAnsiTheme="majorBidi" w:cstheme="majorBidi"/>
          <w:b/>
          <w:sz w:val="24"/>
          <w:szCs w:val="24"/>
        </w:rPr>
      </w:pPr>
      <w:r w:rsidRPr="005C6C9A">
        <w:rPr>
          <w:rFonts w:asciiTheme="majorBidi" w:eastAsia="Times New Roman" w:hAnsiTheme="majorBidi" w:cstheme="majorBidi"/>
          <w:sz w:val="24"/>
          <w:szCs w:val="24"/>
        </w:rPr>
        <w:t>The following conditions wer</w:t>
      </w:r>
      <w:r w:rsidR="003D1716" w:rsidRPr="005C6C9A">
        <w:rPr>
          <w:rFonts w:asciiTheme="majorBidi" w:eastAsia="Times New Roman" w:hAnsiTheme="majorBidi" w:cstheme="majorBidi"/>
          <w:sz w:val="24"/>
          <w:szCs w:val="24"/>
        </w:rPr>
        <w:t>e excluded</w:t>
      </w:r>
      <w:r w:rsidR="00607100">
        <w:rPr>
          <w:rFonts w:asciiTheme="majorBidi" w:eastAsia="Times New Roman" w:hAnsiTheme="majorBidi" w:cstheme="majorBidi"/>
          <w:sz w:val="24"/>
          <w:szCs w:val="24"/>
        </w:rPr>
        <w:t>:</w:t>
      </w:r>
      <w:r w:rsidR="003D1716" w:rsidRPr="005C6C9A">
        <w:rPr>
          <w:rFonts w:asciiTheme="majorBidi" w:eastAsia="Times New Roman" w:hAnsiTheme="majorBidi" w:cstheme="majorBidi"/>
          <w:sz w:val="24"/>
          <w:szCs w:val="24"/>
        </w:rPr>
        <w:t xml:space="preserve"> Chronic</w:t>
      </w:r>
      <w:r w:rsidRPr="005C6C9A">
        <w:rPr>
          <w:rFonts w:asciiTheme="majorBidi" w:eastAsia="Times New Roman" w:hAnsiTheme="majorBidi" w:cstheme="majorBidi"/>
          <w:sz w:val="24"/>
          <w:szCs w:val="24"/>
        </w:rPr>
        <w:t xml:space="preserve"> </w:t>
      </w:r>
      <w:r w:rsidR="003D1716" w:rsidRPr="005C6C9A">
        <w:rPr>
          <w:rFonts w:asciiTheme="majorBidi" w:eastAsia="Times New Roman" w:hAnsiTheme="majorBidi" w:cstheme="majorBidi"/>
          <w:sz w:val="24"/>
          <w:szCs w:val="24"/>
        </w:rPr>
        <w:t>Hepatitis</w:t>
      </w:r>
      <w:r w:rsidRPr="005C6C9A">
        <w:rPr>
          <w:rFonts w:asciiTheme="majorBidi" w:eastAsia="Times New Roman" w:hAnsiTheme="majorBidi" w:cstheme="majorBidi"/>
          <w:sz w:val="24"/>
          <w:szCs w:val="24"/>
        </w:rPr>
        <w:t xml:space="preserve"> B infection</w:t>
      </w:r>
      <w:r w:rsidRPr="005C6C9A">
        <w:rPr>
          <w:rFonts w:asciiTheme="majorBidi" w:eastAsia="Times New Roman" w:hAnsiTheme="majorBidi" w:cstheme="majorBidi"/>
          <w:b/>
          <w:sz w:val="24"/>
          <w:szCs w:val="24"/>
        </w:rPr>
        <w:t>,</w:t>
      </w:r>
      <w:r w:rsidRPr="005C6C9A">
        <w:rPr>
          <w:rFonts w:asciiTheme="majorBidi" w:eastAsia="Times New Roman" w:hAnsiTheme="majorBidi" w:cstheme="majorBidi"/>
          <w:sz w:val="24"/>
          <w:szCs w:val="24"/>
        </w:rPr>
        <w:t xml:space="preserve"> Chronic hepatitis D Infection</w:t>
      </w:r>
      <w:r w:rsidR="003D1716" w:rsidRPr="005C6C9A">
        <w:rPr>
          <w:rFonts w:asciiTheme="majorBidi" w:eastAsia="Times New Roman" w:hAnsiTheme="majorBidi" w:cstheme="majorBidi"/>
          <w:b/>
          <w:sz w:val="24"/>
          <w:szCs w:val="24"/>
        </w:rPr>
        <w:t>,</w:t>
      </w:r>
      <w:r w:rsidRPr="005C6C9A">
        <w:rPr>
          <w:rFonts w:asciiTheme="majorBidi" w:eastAsia="Times New Roman" w:hAnsiTheme="majorBidi" w:cstheme="majorBidi"/>
          <w:b/>
          <w:sz w:val="24"/>
          <w:szCs w:val="24"/>
        </w:rPr>
        <w:t xml:space="preserve"> </w:t>
      </w:r>
      <w:r w:rsidRPr="005C6C9A">
        <w:rPr>
          <w:rFonts w:asciiTheme="majorBidi" w:eastAsia="Times New Roman" w:hAnsiTheme="majorBidi" w:cstheme="majorBidi"/>
          <w:sz w:val="24"/>
          <w:szCs w:val="24"/>
        </w:rPr>
        <w:t>Chronic hepatitis C infection</w:t>
      </w:r>
      <w:r w:rsidRPr="005C6C9A">
        <w:rPr>
          <w:rFonts w:asciiTheme="majorBidi" w:eastAsia="Times New Roman" w:hAnsiTheme="majorBidi" w:cstheme="majorBidi"/>
          <w:b/>
          <w:sz w:val="24"/>
          <w:szCs w:val="24"/>
        </w:rPr>
        <w:t xml:space="preserve">, </w:t>
      </w:r>
      <w:r w:rsidRPr="005C6C9A">
        <w:rPr>
          <w:rFonts w:asciiTheme="majorBidi" w:eastAsia="Times New Roman" w:hAnsiTheme="majorBidi" w:cstheme="majorBidi"/>
          <w:sz w:val="24"/>
          <w:szCs w:val="24"/>
        </w:rPr>
        <w:t>HIV</w:t>
      </w:r>
      <w:r w:rsidRPr="005C6C9A">
        <w:rPr>
          <w:rFonts w:asciiTheme="majorBidi" w:eastAsia="Times New Roman" w:hAnsiTheme="majorBidi" w:cstheme="majorBidi"/>
          <w:b/>
          <w:sz w:val="24"/>
          <w:szCs w:val="24"/>
        </w:rPr>
        <w:t xml:space="preserve">, </w:t>
      </w:r>
      <w:r w:rsidR="00230E43" w:rsidRPr="005C6C9A">
        <w:rPr>
          <w:rFonts w:asciiTheme="majorBidi" w:eastAsia="Times New Roman" w:hAnsiTheme="majorBidi" w:cstheme="majorBidi"/>
          <w:sz w:val="24"/>
          <w:szCs w:val="24"/>
        </w:rPr>
        <w:t>Drug-induced</w:t>
      </w:r>
      <w:r w:rsidRPr="005C6C9A">
        <w:rPr>
          <w:rFonts w:asciiTheme="majorBidi" w:eastAsia="Times New Roman" w:hAnsiTheme="majorBidi" w:cstheme="majorBidi"/>
          <w:sz w:val="24"/>
          <w:szCs w:val="24"/>
        </w:rPr>
        <w:t xml:space="preserve"> liver disease</w:t>
      </w:r>
      <w:r w:rsidRPr="005C6C9A">
        <w:rPr>
          <w:rFonts w:asciiTheme="majorBidi" w:eastAsia="Times New Roman" w:hAnsiTheme="majorBidi" w:cstheme="majorBidi"/>
          <w:b/>
          <w:sz w:val="24"/>
          <w:szCs w:val="24"/>
        </w:rPr>
        <w:t xml:space="preserve">, </w:t>
      </w:r>
      <w:r w:rsidRPr="005C6C9A">
        <w:rPr>
          <w:rFonts w:asciiTheme="majorBidi" w:eastAsia="Times New Roman" w:hAnsiTheme="majorBidi" w:cstheme="majorBidi"/>
          <w:sz w:val="24"/>
          <w:szCs w:val="24"/>
        </w:rPr>
        <w:t>Autoimmune liver disease</w:t>
      </w:r>
      <w:r w:rsidRPr="005C6C9A">
        <w:rPr>
          <w:rFonts w:asciiTheme="majorBidi" w:eastAsia="Times New Roman" w:hAnsiTheme="majorBidi" w:cstheme="majorBidi"/>
          <w:b/>
          <w:sz w:val="24"/>
          <w:szCs w:val="24"/>
        </w:rPr>
        <w:t xml:space="preserve">, </w:t>
      </w:r>
      <w:r w:rsidRPr="005C6C9A">
        <w:rPr>
          <w:rFonts w:asciiTheme="majorBidi" w:eastAsia="Times New Roman" w:hAnsiTheme="majorBidi" w:cstheme="majorBidi"/>
          <w:sz w:val="24"/>
          <w:szCs w:val="24"/>
        </w:rPr>
        <w:t>Renal failure.</w:t>
      </w:r>
      <w:r w:rsidRPr="005C6C9A">
        <w:rPr>
          <w:rFonts w:asciiTheme="majorBidi" w:eastAsia="Times New Roman" w:hAnsiTheme="majorBidi" w:cstheme="majorBidi"/>
          <w:b/>
          <w:sz w:val="24"/>
          <w:szCs w:val="24"/>
        </w:rPr>
        <w:t xml:space="preserve">, </w:t>
      </w:r>
      <w:r w:rsidRPr="005C6C9A">
        <w:rPr>
          <w:rFonts w:asciiTheme="majorBidi" w:eastAsia="Times New Roman" w:hAnsiTheme="majorBidi" w:cstheme="majorBidi"/>
          <w:sz w:val="24"/>
          <w:szCs w:val="24"/>
        </w:rPr>
        <w:t>Endocrinal disorders</w:t>
      </w:r>
      <w:r w:rsidR="00230E43" w:rsidRPr="005C6C9A">
        <w:rPr>
          <w:rFonts w:asciiTheme="majorBidi" w:eastAsia="Times New Roman" w:hAnsiTheme="majorBidi" w:cstheme="majorBidi"/>
          <w:sz w:val="24"/>
          <w:szCs w:val="24"/>
        </w:rPr>
        <w:t>,</w:t>
      </w:r>
      <w:r w:rsidRPr="005C6C9A">
        <w:rPr>
          <w:rFonts w:asciiTheme="majorBidi" w:eastAsia="Times New Roman" w:hAnsiTheme="majorBidi" w:cstheme="majorBidi"/>
          <w:sz w:val="24"/>
          <w:szCs w:val="24"/>
        </w:rPr>
        <w:t xml:space="preserve"> </w:t>
      </w:r>
      <w:r w:rsidR="003D1716" w:rsidRPr="005C6C9A">
        <w:rPr>
          <w:rFonts w:asciiTheme="majorBidi" w:eastAsia="Times New Roman" w:hAnsiTheme="majorBidi" w:cstheme="majorBidi"/>
          <w:sz w:val="24"/>
          <w:szCs w:val="24"/>
        </w:rPr>
        <w:t>e.g.</w:t>
      </w:r>
      <w:r w:rsidR="00230E43" w:rsidRPr="005C6C9A">
        <w:rPr>
          <w:rFonts w:asciiTheme="majorBidi" w:eastAsia="Times New Roman" w:hAnsiTheme="majorBidi" w:cstheme="majorBidi"/>
          <w:sz w:val="24"/>
          <w:szCs w:val="24"/>
        </w:rPr>
        <w:t>,</w:t>
      </w:r>
      <w:r w:rsidRPr="005C6C9A">
        <w:rPr>
          <w:rFonts w:asciiTheme="majorBidi" w:eastAsia="Times New Roman" w:hAnsiTheme="majorBidi" w:cstheme="majorBidi"/>
          <w:sz w:val="24"/>
          <w:szCs w:val="24"/>
        </w:rPr>
        <w:t xml:space="preserve"> hypothyroidism and hyperthyroidism, Febrile patients,</w:t>
      </w:r>
      <w:r w:rsidRPr="005C6C9A">
        <w:rPr>
          <w:rFonts w:asciiTheme="majorBidi" w:eastAsia="Times New Roman" w:hAnsiTheme="majorBidi" w:cstheme="majorBidi"/>
          <w:b/>
          <w:sz w:val="24"/>
          <w:szCs w:val="24"/>
        </w:rPr>
        <w:t xml:space="preserve"> </w:t>
      </w:r>
      <w:r w:rsidRPr="005C6C9A">
        <w:rPr>
          <w:rFonts w:asciiTheme="majorBidi" w:eastAsia="Times New Roman" w:hAnsiTheme="majorBidi" w:cstheme="majorBidi"/>
          <w:sz w:val="24"/>
          <w:szCs w:val="24"/>
        </w:rPr>
        <w:t>Any stress condition</w:t>
      </w:r>
      <w:r w:rsidRPr="005C6C9A">
        <w:rPr>
          <w:rFonts w:asciiTheme="majorBidi" w:eastAsia="Times New Roman" w:hAnsiTheme="majorBidi" w:cstheme="majorBidi"/>
          <w:b/>
          <w:sz w:val="24"/>
          <w:szCs w:val="24"/>
        </w:rPr>
        <w:t xml:space="preserve">, </w:t>
      </w:r>
      <w:r w:rsidRPr="005C6C9A">
        <w:rPr>
          <w:rFonts w:asciiTheme="majorBidi" w:eastAsia="Times New Roman" w:hAnsiTheme="majorBidi" w:cstheme="majorBidi"/>
          <w:sz w:val="24"/>
          <w:szCs w:val="24"/>
        </w:rPr>
        <w:t>Alcoholism</w:t>
      </w:r>
      <w:r w:rsidRPr="005C6C9A">
        <w:rPr>
          <w:rFonts w:asciiTheme="majorBidi" w:eastAsia="Times New Roman" w:hAnsiTheme="majorBidi" w:cstheme="majorBidi"/>
          <w:b/>
          <w:sz w:val="24"/>
          <w:szCs w:val="24"/>
        </w:rPr>
        <w:t xml:space="preserve">, </w:t>
      </w:r>
      <w:r w:rsidR="00230E43" w:rsidRPr="005C6C9A">
        <w:rPr>
          <w:rFonts w:asciiTheme="majorBidi" w:eastAsia="Times New Roman" w:hAnsiTheme="majorBidi" w:cstheme="majorBidi"/>
          <w:sz w:val="24"/>
          <w:szCs w:val="24"/>
        </w:rPr>
        <w:t>p</w:t>
      </w:r>
      <w:r w:rsidRPr="005C6C9A">
        <w:rPr>
          <w:rFonts w:asciiTheme="majorBidi" w:eastAsia="Times New Roman" w:hAnsiTheme="majorBidi" w:cstheme="majorBidi"/>
          <w:sz w:val="24"/>
          <w:szCs w:val="24"/>
        </w:rPr>
        <w:t>henobarbital</w:t>
      </w:r>
      <w:r w:rsidR="00230E43" w:rsidRPr="005C6C9A">
        <w:rPr>
          <w:rFonts w:asciiTheme="majorBidi" w:eastAsia="Times New Roman" w:hAnsiTheme="majorBidi" w:cstheme="majorBidi"/>
          <w:sz w:val="24"/>
          <w:szCs w:val="24"/>
        </w:rPr>
        <w:t>,</w:t>
      </w:r>
      <w:r w:rsidRPr="005C6C9A">
        <w:rPr>
          <w:rFonts w:asciiTheme="majorBidi" w:eastAsia="Times New Roman" w:hAnsiTheme="majorBidi" w:cstheme="majorBidi"/>
          <w:sz w:val="24"/>
          <w:szCs w:val="24"/>
        </w:rPr>
        <w:t xml:space="preserve"> and phenytoin intake</w:t>
      </w:r>
      <w:r w:rsidR="00230E43" w:rsidRPr="005C6C9A">
        <w:rPr>
          <w:rFonts w:asciiTheme="majorBidi" w:eastAsia="Times New Roman" w:hAnsiTheme="majorBidi" w:cstheme="majorBidi"/>
          <w:sz w:val="24"/>
          <w:szCs w:val="24"/>
        </w:rPr>
        <w:t>.</w:t>
      </w:r>
    </w:p>
    <w:p w14:paraId="2A7E6E9B" w14:textId="428ABAFC" w:rsidR="00076E62" w:rsidRPr="005C6C9A" w:rsidRDefault="006C59F4" w:rsidP="004B03EC">
      <w:pPr>
        <w:spacing w:before="120" w:after="120" w:line="240" w:lineRule="auto"/>
        <w:ind w:right="57"/>
        <w:jc w:val="both"/>
        <w:rPr>
          <w:rFonts w:asciiTheme="majorBidi" w:eastAsia="Times New Roman" w:hAnsiTheme="majorBidi" w:cstheme="majorBidi"/>
          <w:sz w:val="24"/>
          <w:szCs w:val="24"/>
        </w:rPr>
      </w:pPr>
      <w:r w:rsidRPr="005C6C9A">
        <w:rPr>
          <w:rFonts w:asciiTheme="majorBidi" w:eastAsia="Times New Roman" w:hAnsiTheme="majorBidi" w:cstheme="majorBidi"/>
          <w:sz w:val="24"/>
          <w:szCs w:val="24"/>
        </w:rPr>
        <w:t xml:space="preserve">All patients signed the informed consent, and all clinical procedures were </w:t>
      </w:r>
      <w:r w:rsidR="00230E43" w:rsidRPr="005C6C9A">
        <w:rPr>
          <w:rFonts w:asciiTheme="majorBidi" w:eastAsia="Times New Roman" w:hAnsiTheme="majorBidi" w:cstheme="majorBidi"/>
          <w:sz w:val="24"/>
          <w:szCs w:val="24"/>
        </w:rPr>
        <w:t>by</w:t>
      </w:r>
      <w:r w:rsidRPr="005C6C9A">
        <w:rPr>
          <w:rFonts w:asciiTheme="majorBidi" w:eastAsia="Times New Roman" w:hAnsiTheme="majorBidi" w:cstheme="majorBidi"/>
          <w:sz w:val="24"/>
          <w:szCs w:val="24"/>
        </w:rPr>
        <w:t xml:space="preserve"> the Helsinki </w:t>
      </w:r>
      <w:r w:rsidR="00230E43" w:rsidRPr="005C6C9A">
        <w:rPr>
          <w:rFonts w:asciiTheme="majorBidi" w:eastAsia="Times New Roman" w:hAnsiTheme="majorBidi" w:cstheme="majorBidi"/>
          <w:sz w:val="24"/>
          <w:szCs w:val="24"/>
        </w:rPr>
        <w:t>Declaration</w:t>
      </w:r>
      <w:r w:rsidRPr="005C6C9A">
        <w:rPr>
          <w:rFonts w:asciiTheme="majorBidi" w:eastAsia="Times New Roman" w:hAnsiTheme="majorBidi" w:cstheme="majorBidi"/>
          <w:sz w:val="24"/>
          <w:szCs w:val="24"/>
        </w:rPr>
        <w:t xml:space="preserve"> 1975, as revised in 1983. </w:t>
      </w:r>
      <w:r w:rsidR="00230E43" w:rsidRPr="005C6C9A">
        <w:rPr>
          <w:rFonts w:asciiTheme="majorBidi" w:eastAsia="Times New Roman" w:hAnsiTheme="majorBidi" w:cstheme="majorBidi"/>
          <w:sz w:val="24"/>
          <w:szCs w:val="24"/>
        </w:rPr>
        <w:t xml:space="preserve">The ethics committee of the faculty of medicine at Tanta University permitted the study protocol </w:t>
      </w:r>
      <w:r w:rsidR="00822191" w:rsidRPr="005C6C9A">
        <w:rPr>
          <w:rFonts w:asciiTheme="majorBidi" w:eastAsia="Times New Roman" w:hAnsiTheme="majorBidi" w:cstheme="majorBidi"/>
          <w:sz w:val="24"/>
          <w:szCs w:val="24"/>
        </w:rPr>
        <w:t>(35175/1/22)</w:t>
      </w:r>
      <w:r w:rsidR="00230E43" w:rsidRPr="005C6C9A">
        <w:rPr>
          <w:rFonts w:asciiTheme="majorBidi" w:eastAsia="Times New Roman" w:hAnsiTheme="majorBidi" w:cstheme="majorBidi"/>
          <w:sz w:val="24"/>
          <w:szCs w:val="24"/>
        </w:rPr>
        <w:t>.</w:t>
      </w:r>
    </w:p>
    <w:p w14:paraId="4F660B45" w14:textId="62382594" w:rsidR="00076E62" w:rsidRPr="005C6C9A" w:rsidRDefault="006C59F4" w:rsidP="004B03EC">
      <w:pPr>
        <w:spacing w:before="120" w:after="120" w:line="240" w:lineRule="auto"/>
        <w:ind w:right="57"/>
        <w:jc w:val="both"/>
        <w:rPr>
          <w:rFonts w:asciiTheme="majorBidi" w:eastAsia="Times New Roman" w:hAnsiTheme="majorBidi" w:cstheme="majorBidi"/>
          <w:sz w:val="24"/>
          <w:szCs w:val="24"/>
        </w:rPr>
      </w:pPr>
      <w:r w:rsidRPr="005C6C9A">
        <w:rPr>
          <w:rFonts w:asciiTheme="majorBidi" w:eastAsia="Times New Roman" w:hAnsiTheme="majorBidi" w:cstheme="majorBidi"/>
          <w:sz w:val="24"/>
          <w:szCs w:val="24"/>
        </w:rPr>
        <w:t>All patients were subjected to Full history taking and general examination</w:t>
      </w:r>
      <w:r w:rsidR="00607100">
        <w:rPr>
          <w:rFonts w:asciiTheme="majorBidi" w:eastAsia="Times New Roman" w:hAnsiTheme="majorBidi" w:cstheme="majorBidi"/>
          <w:sz w:val="24"/>
          <w:szCs w:val="24"/>
        </w:rPr>
        <w:t>.</w:t>
      </w:r>
      <w:r w:rsidRPr="005C6C9A">
        <w:rPr>
          <w:rFonts w:asciiTheme="majorBidi" w:eastAsia="Times New Roman" w:hAnsiTheme="majorBidi" w:cstheme="majorBidi"/>
          <w:sz w:val="24"/>
          <w:szCs w:val="24"/>
        </w:rPr>
        <w:t xml:space="preserve"> Anthropometric measurements were taken (height, </w:t>
      </w:r>
      <w:r w:rsidR="003D1716" w:rsidRPr="005C6C9A">
        <w:rPr>
          <w:rFonts w:asciiTheme="majorBidi" w:eastAsia="Times New Roman" w:hAnsiTheme="majorBidi" w:cstheme="majorBidi"/>
          <w:sz w:val="24"/>
          <w:szCs w:val="24"/>
        </w:rPr>
        <w:t>weight,</w:t>
      </w:r>
      <w:r w:rsidRPr="005C6C9A">
        <w:rPr>
          <w:rFonts w:asciiTheme="majorBidi" w:eastAsia="Times New Roman" w:hAnsiTheme="majorBidi" w:cstheme="majorBidi"/>
          <w:sz w:val="24"/>
          <w:szCs w:val="24"/>
        </w:rPr>
        <w:t xml:space="preserve"> waist circumference, hip </w:t>
      </w:r>
      <w:r w:rsidR="003D1716" w:rsidRPr="005C6C9A">
        <w:rPr>
          <w:rFonts w:asciiTheme="majorBidi" w:eastAsia="Times New Roman" w:hAnsiTheme="majorBidi" w:cstheme="majorBidi"/>
          <w:sz w:val="24"/>
          <w:szCs w:val="24"/>
        </w:rPr>
        <w:t>circumference,</w:t>
      </w:r>
      <w:r w:rsidRPr="005C6C9A">
        <w:rPr>
          <w:rFonts w:asciiTheme="majorBidi" w:eastAsia="Times New Roman" w:hAnsiTheme="majorBidi" w:cstheme="majorBidi"/>
          <w:sz w:val="24"/>
          <w:szCs w:val="24"/>
        </w:rPr>
        <w:t xml:space="preserve"> </w:t>
      </w:r>
      <w:r w:rsidR="00230E43" w:rsidRPr="005C6C9A">
        <w:rPr>
          <w:rFonts w:asciiTheme="majorBidi" w:eastAsia="Times New Roman" w:hAnsiTheme="majorBidi" w:cstheme="majorBidi"/>
          <w:sz w:val="24"/>
          <w:szCs w:val="24"/>
        </w:rPr>
        <w:t>waist-hip</w:t>
      </w:r>
      <w:r w:rsidRPr="005C6C9A">
        <w:rPr>
          <w:rFonts w:asciiTheme="majorBidi" w:eastAsia="Times New Roman" w:hAnsiTheme="majorBidi" w:cstheme="majorBidi"/>
          <w:sz w:val="24"/>
          <w:szCs w:val="24"/>
        </w:rPr>
        <w:t xml:space="preserve"> ratio (WHR)</w:t>
      </w:r>
      <w:r w:rsidR="00230E43" w:rsidRPr="005C6C9A">
        <w:rPr>
          <w:rFonts w:asciiTheme="majorBidi" w:eastAsia="Times New Roman" w:hAnsiTheme="majorBidi" w:cstheme="majorBidi"/>
          <w:sz w:val="24"/>
          <w:szCs w:val="24"/>
        </w:rPr>
        <w:t>,</w:t>
      </w:r>
      <w:r w:rsidRPr="005C6C9A">
        <w:rPr>
          <w:rFonts w:asciiTheme="majorBidi" w:eastAsia="Times New Roman" w:hAnsiTheme="majorBidi" w:cstheme="majorBidi"/>
          <w:sz w:val="24"/>
          <w:szCs w:val="24"/>
        </w:rPr>
        <w:t xml:space="preserve"> and BMI)</w:t>
      </w:r>
      <w:r w:rsidR="00230E43" w:rsidRPr="005C6C9A">
        <w:rPr>
          <w:rFonts w:asciiTheme="majorBidi" w:eastAsia="Times New Roman" w:hAnsiTheme="majorBidi" w:cstheme="majorBidi"/>
          <w:sz w:val="24"/>
          <w:szCs w:val="24"/>
        </w:rPr>
        <w:t>.</w:t>
      </w:r>
    </w:p>
    <w:p w14:paraId="18CB438A" w14:textId="1E0514CC" w:rsidR="00076E62" w:rsidRPr="005C6C9A" w:rsidRDefault="006C59F4" w:rsidP="004B03EC">
      <w:pPr>
        <w:tabs>
          <w:tab w:val="left" w:pos="1080"/>
        </w:tabs>
        <w:spacing w:before="120" w:after="120" w:line="240" w:lineRule="auto"/>
        <w:ind w:right="57"/>
        <w:jc w:val="both"/>
        <w:rPr>
          <w:rFonts w:asciiTheme="majorBidi" w:eastAsia="Times New Roman" w:hAnsiTheme="majorBidi" w:cstheme="majorBidi"/>
          <w:sz w:val="24"/>
          <w:szCs w:val="24"/>
        </w:rPr>
      </w:pPr>
      <w:r w:rsidRPr="005C6C9A">
        <w:rPr>
          <w:rFonts w:asciiTheme="majorBidi" w:eastAsia="Times New Roman" w:hAnsiTheme="majorBidi" w:cstheme="majorBidi"/>
          <w:b/>
          <w:sz w:val="24"/>
          <w:szCs w:val="24"/>
        </w:rPr>
        <w:t xml:space="preserve">Laboratory investigations </w:t>
      </w:r>
      <w:r w:rsidR="00230E43" w:rsidRPr="005C6C9A">
        <w:rPr>
          <w:rFonts w:asciiTheme="majorBidi" w:eastAsia="Times New Roman" w:hAnsiTheme="majorBidi" w:cstheme="majorBidi"/>
          <w:b/>
          <w:sz w:val="24"/>
          <w:szCs w:val="24"/>
        </w:rPr>
        <w:t>include</w:t>
      </w:r>
      <w:r w:rsidRPr="005C6C9A">
        <w:rPr>
          <w:rFonts w:asciiTheme="majorBidi" w:eastAsia="Times New Roman" w:hAnsiTheme="majorBidi" w:cstheme="majorBidi"/>
          <w:sz w:val="24"/>
          <w:szCs w:val="24"/>
        </w:rPr>
        <w:t xml:space="preserve"> Complete blood picture, liver function tests, prothrombin time, INR</w:t>
      </w:r>
      <w:r w:rsidR="0010470D" w:rsidRPr="005C6C9A">
        <w:rPr>
          <w:rFonts w:asciiTheme="majorBidi" w:eastAsia="Times New Roman" w:hAnsiTheme="majorBidi" w:cstheme="majorBidi"/>
          <w:sz w:val="24"/>
          <w:szCs w:val="24"/>
        </w:rPr>
        <w:t>, blood</w:t>
      </w:r>
      <w:r w:rsidRPr="005C6C9A">
        <w:rPr>
          <w:rFonts w:asciiTheme="majorBidi" w:eastAsia="Times New Roman" w:hAnsiTheme="majorBidi" w:cstheme="majorBidi"/>
          <w:sz w:val="24"/>
          <w:szCs w:val="24"/>
        </w:rPr>
        <w:t xml:space="preserve"> </w:t>
      </w:r>
      <w:r w:rsidR="003D1716" w:rsidRPr="005C6C9A">
        <w:rPr>
          <w:rFonts w:asciiTheme="majorBidi" w:eastAsia="Times New Roman" w:hAnsiTheme="majorBidi" w:cstheme="majorBidi"/>
          <w:sz w:val="24"/>
          <w:szCs w:val="24"/>
        </w:rPr>
        <w:t>glucose,</w:t>
      </w:r>
      <w:r w:rsidRPr="005C6C9A">
        <w:rPr>
          <w:rFonts w:asciiTheme="majorBidi" w:eastAsia="Times New Roman" w:hAnsiTheme="majorBidi" w:cstheme="majorBidi"/>
          <w:sz w:val="24"/>
          <w:szCs w:val="24"/>
        </w:rPr>
        <w:t xml:space="preserve"> </w:t>
      </w:r>
      <w:r w:rsidR="00DB04A7" w:rsidRPr="005C6C9A">
        <w:rPr>
          <w:rFonts w:asciiTheme="majorBidi" w:eastAsia="Times New Roman" w:hAnsiTheme="majorBidi" w:cstheme="majorBidi"/>
          <w:sz w:val="24"/>
          <w:szCs w:val="24"/>
        </w:rPr>
        <w:t xml:space="preserve">and </w:t>
      </w:r>
      <w:r w:rsidR="0010470D" w:rsidRPr="005C6C9A">
        <w:rPr>
          <w:rFonts w:asciiTheme="majorBidi" w:eastAsia="Times New Roman" w:hAnsiTheme="majorBidi" w:cstheme="majorBidi"/>
          <w:sz w:val="24"/>
          <w:szCs w:val="24"/>
        </w:rPr>
        <w:t>t</w:t>
      </w:r>
      <w:r w:rsidRPr="005C6C9A">
        <w:rPr>
          <w:rFonts w:asciiTheme="majorBidi" w:eastAsia="Times New Roman" w:hAnsiTheme="majorBidi" w:cstheme="majorBidi"/>
          <w:sz w:val="24"/>
          <w:szCs w:val="24"/>
        </w:rPr>
        <w:t>otal lipid profile</w:t>
      </w:r>
      <w:r w:rsidR="003D1716" w:rsidRPr="005C6C9A">
        <w:rPr>
          <w:rFonts w:asciiTheme="majorBidi" w:eastAsia="Times New Roman" w:hAnsiTheme="majorBidi" w:cstheme="majorBidi"/>
          <w:sz w:val="24"/>
          <w:szCs w:val="24"/>
        </w:rPr>
        <w:t>.</w:t>
      </w:r>
    </w:p>
    <w:p w14:paraId="48EAC712" w14:textId="6AE8BE99" w:rsidR="00076E62" w:rsidRPr="005C6C9A" w:rsidRDefault="006C59F4" w:rsidP="004B03EC">
      <w:pPr>
        <w:numPr>
          <w:ilvl w:val="0"/>
          <w:numId w:val="1"/>
        </w:numPr>
        <w:tabs>
          <w:tab w:val="left" w:pos="1080"/>
        </w:tabs>
        <w:spacing w:before="120" w:after="120" w:line="240" w:lineRule="auto"/>
        <w:ind w:left="570" w:right="57" w:hanging="360"/>
        <w:jc w:val="both"/>
        <w:rPr>
          <w:rFonts w:asciiTheme="majorBidi" w:eastAsia="Times New Roman" w:hAnsiTheme="majorBidi" w:cstheme="majorBidi"/>
          <w:b/>
          <w:sz w:val="24"/>
          <w:szCs w:val="24"/>
        </w:rPr>
      </w:pPr>
      <w:r w:rsidRPr="005C6C9A">
        <w:rPr>
          <w:rFonts w:asciiTheme="majorBidi" w:eastAsia="Times New Roman" w:hAnsiTheme="majorBidi" w:cstheme="majorBidi"/>
          <w:bCs/>
          <w:sz w:val="24"/>
          <w:szCs w:val="24"/>
        </w:rPr>
        <w:t xml:space="preserve">GGT measurement </w:t>
      </w:r>
      <w:r w:rsidR="00BF6860" w:rsidRPr="005C6C9A">
        <w:rPr>
          <w:rFonts w:asciiTheme="majorBidi" w:eastAsia="Times New Roman" w:hAnsiTheme="majorBidi" w:cstheme="majorBidi"/>
          <w:bCs/>
          <w:sz w:val="24"/>
          <w:szCs w:val="24"/>
        </w:rPr>
        <w:t>and calculation</w:t>
      </w:r>
      <w:r w:rsidRPr="005C6C9A">
        <w:rPr>
          <w:rFonts w:asciiTheme="majorBidi" w:eastAsia="Times New Roman" w:hAnsiTheme="majorBidi" w:cstheme="majorBidi"/>
          <w:bCs/>
          <w:sz w:val="24"/>
          <w:szCs w:val="24"/>
        </w:rPr>
        <w:t xml:space="preserve"> of</w:t>
      </w:r>
      <w:r w:rsidRPr="005C6C9A">
        <w:rPr>
          <w:rFonts w:asciiTheme="majorBidi" w:eastAsia="Times New Roman" w:hAnsiTheme="majorBidi" w:cstheme="majorBidi"/>
          <w:b/>
          <w:sz w:val="24"/>
          <w:szCs w:val="24"/>
        </w:rPr>
        <w:t xml:space="preserve"> </w:t>
      </w:r>
      <w:r w:rsidR="0010470D" w:rsidRPr="005C6C9A">
        <w:rPr>
          <w:rFonts w:asciiTheme="majorBidi" w:eastAsia="Times New Roman" w:hAnsiTheme="majorBidi" w:cstheme="majorBidi"/>
          <w:sz w:val="24"/>
          <w:szCs w:val="24"/>
        </w:rPr>
        <w:t>the</w:t>
      </w:r>
      <w:r w:rsidRPr="005C6C9A">
        <w:rPr>
          <w:rFonts w:asciiTheme="majorBidi" w:eastAsia="Times New Roman" w:hAnsiTheme="majorBidi" w:cstheme="majorBidi"/>
          <w:sz w:val="24"/>
          <w:szCs w:val="24"/>
        </w:rPr>
        <w:t xml:space="preserve"> gamma-glutamyl transpeptidase to platelet ratio (GPR) </w:t>
      </w:r>
      <w:r w:rsidR="00BF6860" w:rsidRPr="005C6C9A">
        <w:rPr>
          <w:rFonts w:asciiTheme="majorBidi" w:eastAsia="Times New Roman" w:hAnsiTheme="majorBidi" w:cstheme="majorBidi"/>
          <w:sz w:val="24"/>
          <w:szCs w:val="24"/>
        </w:rPr>
        <w:t xml:space="preserve">and </w:t>
      </w:r>
      <w:r w:rsidR="00511722" w:rsidRPr="005C6C9A">
        <w:rPr>
          <w:rFonts w:asciiTheme="majorBidi" w:eastAsia="Times New Roman" w:hAnsiTheme="majorBidi" w:cstheme="majorBidi"/>
          <w:sz w:val="24"/>
          <w:szCs w:val="24"/>
        </w:rPr>
        <w:t>the</w:t>
      </w:r>
      <w:r w:rsidRPr="005C6C9A">
        <w:rPr>
          <w:rFonts w:asciiTheme="majorBidi" w:eastAsia="Times New Roman" w:hAnsiTheme="majorBidi" w:cstheme="majorBidi"/>
          <w:sz w:val="24"/>
          <w:szCs w:val="24"/>
        </w:rPr>
        <w:t xml:space="preserve"> gamma-glutamyl transpeptidase to albumin ratio (GAR)</w:t>
      </w:r>
    </w:p>
    <w:p w14:paraId="71E3D162" w14:textId="77777777" w:rsidR="00076E62" w:rsidRPr="005C6C9A" w:rsidRDefault="006C59F4" w:rsidP="004B03EC">
      <w:pPr>
        <w:tabs>
          <w:tab w:val="left" w:pos="1080"/>
        </w:tabs>
        <w:spacing w:before="120" w:after="120" w:line="240" w:lineRule="auto"/>
        <w:ind w:left="570" w:right="57"/>
        <w:jc w:val="both"/>
        <w:rPr>
          <w:rFonts w:asciiTheme="majorBidi" w:eastAsia="Times New Roman" w:hAnsiTheme="majorBidi" w:cstheme="majorBidi"/>
          <w:sz w:val="24"/>
          <w:szCs w:val="24"/>
        </w:rPr>
      </w:pPr>
      <w:r w:rsidRPr="005C6C9A">
        <w:rPr>
          <w:rFonts w:asciiTheme="majorBidi" w:eastAsia="Times New Roman" w:hAnsiTheme="majorBidi" w:cstheme="majorBidi"/>
          <w:sz w:val="24"/>
          <w:szCs w:val="24"/>
        </w:rPr>
        <w:t>GPR = [(GGT/upper limit of normal GGT) × 100]/platelet count(10</w:t>
      </w:r>
      <w:r w:rsidRPr="005C6C9A">
        <w:rPr>
          <w:rFonts w:asciiTheme="majorBidi" w:eastAsia="Times New Roman" w:hAnsiTheme="majorBidi" w:cstheme="majorBidi"/>
          <w:sz w:val="24"/>
          <w:szCs w:val="24"/>
          <w:vertAlign w:val="superscript"/>
        </w:rPr>
        <w:t>9</w:t>
      </w:r>
      <w:r w:rsidRPr="005C6C9A">
        <w:rPr>
          <w:rFonts w:asciiTheme="majorBidi" w:eastAsia="Times New Roman" w:hAnsiTheme="majorBidi" w:cstheme="majorBidi"/>
          <w:sz w:val="24"/>
          <w:szCs w:val="24"/>
        </w:rPr>
        <w:t>/L)</w:t>
      </w:r>
    </w:p>
    <w:p w14:paraId="4BE48041" w14:textId="348C2162" w:rsidR="00076E62" w:rsidRPr="005C6C9A" w:rsidRDefault="00787375" w:rsidP="004B03EC">
      <w:pPr>
        <w:tabs>
          <w:tab w:val="left" w:pos="1080"/>
        </w:tabs>
        <w:spacing w:before="120" w:after="120" w:line="240" w:lineRule="auto"/>
        <w:ind w:right="57"/>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C6244A" w:rsidRPr="005C6C9A">
        <w:rPr>
          <w:rFonts w:asciiTheme="majorBidi" w:eastAsia="Times New Roman" w:hAnsiTheme="majorBidi" w:cstheme="majorBidi"/>
          <w:sz w:val="24"/>
          <w:szCs w:val="24"/>
        </w:rPr>
        <w:t>GAR=GGT (IU/L) / albumin (g/L)</w:t>
      </w:r>
    </w:p>
    <w:p w14:paraId="18192DEF" w14:textId="77777777" w:rsidR="00076E62" w:rsidRPr="005C6C9A" w:rsidRDefault="006C59F4" w:rsidP="004B03EC">
      <w:pPr>
        <w:spacing w:line="240" w:lineRule="auto"/>
        <w:ind w:firstLine="720"/>
        <w:jc w:val="both"/>
        <w:rPr>
          <w:rFonts w:asciiTheme="majorBidi" w:eastAsia="Times New Roman" w:hAnsiTheme="majorBidi" w:cstheme="majorBidi"/>
          <w:sz w:val="24"/>
          <w:szCs w:val="24"/>
        </w:rPr>
      </w:pPr>
      <w:r w:rsidRPr="005C6C9A">
        <w:rPr>
          <w:rFonts w:asciiTheme="majorBidi" w:eastAsia="Times New Roman" w:hAnsiTheme="majorBidi" w:cstheme="majorBidi"/>
          <w:sz w:val="24"/>
          <w:szCs w:val="24"/>
        </w:rPr>
        <w:t>Fatty liver evaluation</w:t>
      </w:r>
    </w:p>
    <w:p w14:paraId="1903E804" w14:textId="77777777" w:rsidR="00B121D6" w:rsidRPr="005C6C9A" w:rsidRDefault="006C59F4" w:rsidP="004B03EC">
      <w:pPr>
        <w:spacing w:line="240" w:lineRule="auto"/>
        <w:ind w:firstLine="720"/>
        <w:jc w:val="both"/>
        <w:rPr>
          <w:rFonts w:asciiTheme="majorBidi" w:eastAsia="Times New Roman" w:hAnsiTheme="majorBidi" w:cstheme="majorBidi"/>
          <w:sz w:val="24"/>
          <w:szCs w:val="24"/>
        </w:rPr>
      </w:pPr>
      <w:r w:rsidRPr="005C6C9A">
        <w:rPr>
          <w:rFonts w:asciiTheme="majorBidi" w:eastAsia="Times New Roman" w:hAnsiTheme="majorBidi" w:cstheme="majorBidi"/>
          <w:sz w:val="24"/>
          <w:szCs w:val="24"/>
        </w:rPr>
        <w:t>Liver US (Toshiba, Japan) scanning was perform</w:t>
      </w:r>
      <w:r w:rsidR="00B121D6" w:rsidRPr="005C6C9A">
        <w:rPr>
          <w:rFonts w:asciiTheme="majorBidi" w:eastAsia="Times New Roman" w:hAnsiTheme="majorBidi" w:cstheme="majorBidi"/>
          <w:sz w:val="24"/>
          <w:szCs w:val="24"/>
        </w:rPr>
        <w:t xml:space="preserve">ed to </w:t>
      </w:r>
      <w:r w:rsidR="00FA5DCD" w:rsidRPr="005C6C9A">
        <w:rPr>
          <w:rFonts w:asciiTheme="majorBidi" w:eastAsia="Times New Roman" w:hAnsiTheme="majorBidi" w:cstheme="majorBidi"/>
          <w:sz w:val="24"/>
          <w:szCs w:val="24"/>
        </w:rPr>
        <w:t>assess fatty</w:t>
      </w:r>
      <w:r w:rsidR="00B121D6" w:rsidRPr="005C6C9A">
        <w:rPr>
          <w:rFonts w:asciiTheme="majorBidi" w:eastAsia="Times New Roman" w:hAnsiTheme="majorBidi" w:cstheme="majorBidi"/>
          <w:sz w:val="24"/>
          <w:szCs w:val="24"/>
        </w:rPr>
        <w:t xml:space="preserve"> liver </w:t>
      </w:r>
    </w:p>
    <w:p w14:paraId="45E8B227" w14:textId="528949D2" w:rsidR="00B121D6" w:rsidRPr="005C6C9A" w:rsidRDefault="00B121D6" w:rsidP="004B03EC">
      <w:pPr>
        <w:spacing w:line="240" w:lineRule="auto"/>
        <w:ind w:firstLine="720"/>
        <w:jc w:val="both"/>
        <w:rPr>
          <w:rFonts w:asciiTheme="majorBidi" w:eastAsia="Times New Roman" w:hAnsiTheme="majorBidi" w:cstheme="majorBidi"/>
          <w:sz w:val="24"/>
          <w:szCs w:val="24"/>
        </w:rPr>
      </w:pPr>
      <w:r w:rsidRPr="005C6C9A">
        <w:rPr>
          <w:rFonts w:asciiTheme="majorBidi" w:eastAsia="Times New Roman" w:hAnsiTheme="majorBidi" w:cstheme="majorBidi"/>
          <w:sz w:val="24"/>
          <w:szCs w:val="24"/>
        </w:rPr>
        <w:t xml:space="preserve">Fibroscan: The Controlled Attenuation Parameter (CAP) and Liver Stiffness Measurement (LSM) </w:t>
      </w:r>
      <w:r w:rsidR="00B91BC9" w:rsidRPr="005C6C9A">
        <w:rPr>
          <w:rFonts w:asciiTheme="majorBidi" w:eastAsia="Times New Roman" w:hAnsiTheme="majorBidi" w:cstheme="majorBidi"/>
          <w:sz w:val="24"/>
          <w:szCs w:val="24"/>
        </w:rPr>
        <w:t>were</w:t>
      </w:r>
      <w:r w:rsidRPr="005C6C9A">
        <w:rPr>
          <w:rFonts w:asciiTheme="majorBidi" w:eastAsia="Times New Roman" w:hAnsiTheme="majorBidi" w:cstheme="majorBidi"/>
          <w:sz w:val="24"/>
          <w:szCs w:val="24"/>
        </w:rPr>
        <w:t xml:space="preserve"> obtained </w:t>
      </w:r>
      <w:r w:rsidR="00E03652" w:rsidRPr="005C6C9A">
        <w:rPr>
          <w:rFonts w:asciiTheme="majorBidi" w:eastAsia="Times New Roman" w:hAnsiTheme="majorBidi" w:cstheme="majorBidi"/>
          <w:sz w:val="24"/>
          <w:szCs w:val="24"/>
        </w:rPr>
        <w:t>for</w:t>
      </w:r>
      <w:r w:rsidRPr="005C6C9A">
        <w:rPr>
          <w:rFonts w:asciiTheme="majorBidi" w:eastAsia="Times New Roman" w:hAnsiTheme="majorBidi" w:cstheme="majorBidi"/>
          <w:sz w:val="24"/>
          <w:szCs w:val="24"/>
        </w:rPr>
        <w:t xml:space="preserve"> all participants to assess liver steatosis and fibrosis </w:t>
      </w:r>
      <w:r w:rsidR="00E03652" w:rsidRPr="005C6C9A">
        <w:rPr>
          <w:rFonts w:asciiTheme="majorBidi" w:eastAsia="Times New Roman" w:hAnsiTheme="majorBidi" w:cstheme="majorBidi"/>
          <w:sz w:val="24"/>
          <w:szCs w:val="24"/>
        </w:rPr>
        <w:t>grades.</w:t>
      </w:r>
    </w:p>
    <w:p w14:paraId="0B074DB3" w14:textId="04E296BE" w:rsidR="00076E62" w:rsidRPr="005C6C9A" w:rsidRDefault="00787375" w:rsidP="004B03EC">
      <w:pPr>
        <w:spacing w:line="240" w:lineRule="auto"/>
        <w:jc w:val="both"/>
        <w:rPr>
          <w:rFonts w:asciiTheme="majorBidi" w:eastAsia="Times New Roman" w:hAnsiTheme="majorBidi" w:cstheme="majorBidi"/>
          <w:sz w:val="24"/>
          <w:szCs w:val="24"/>
        </w:rPr>
      </w:pPr>
      <w:r w:rsidRPr="00AC5668">
        <w:rPr>
          <w:rFonts w:asciiTheme="majorBidi" w:eastAsia="Times New Roman" w:hAnsiTheme="majorBidi" w:cstheme="majorBidi"/>
          <w:sz w:val="24"/>
          <w:szCs w:val="24"/>
        </w:rPr>
        <w:t xml:space="preserve">Transient elastography (TE) was performed under fasting conditions. </w:t>
      </w:r>
      <w:r w:rsidR="00AC5668" w:rsidRPr="00AC5668">
        <w:rPr>
          <w:rFonts w:asciiTheme="majorBidi" w:eastAsia="Times New Roman" w:hAnsiTheme="majorBidi" w:cstheme="majorBidi"/>
          <w:sz w:val="24"/>
          <w:szCs w:val="24"/>
        </w:rPr>
        <w:t>The same operator measured LSM and CAP</w:t>
      </w:r>
      <w:r w:rsidRPr="00AC5668">
        <w:rPr>
          <w:rFonts w:asciiTheme="majorBidi" w:eastAsia="Times New Roman" w:hAnsiTheme="majorBidi" w:cstheme="majorBidi"/>
          <w:sz w:val="24"/>
          <w:szCs w:val="24"/>
        </w:rPr>
        <w:t xml:space="preserve"> according to the manufacturer's protocol. L probe was used in obese patients. The value of the LSM was represented in kilopascal (kPa). The value of the CAP </w:t>
      </w:r>
      <w:r w:rsidR="00AC5668" w:rsidRPr="00AC5668">
        <w:rPr>
          <w:rFonts w:asciiTheme="majorBidi" w:eastAsia="Times New Roman" w:hAnsiTheme="majorBidi" w:cstheme="majorBidi"/>
          <w:sz w:val="24"/>
          <w:szCs w:val="24"/>
        </w:rPr>
        <w:t xml:space="preserve">is </w:t>
      </w:r>
      <w:r w:rsidRPr="00AC5668">
        <w:rPr>
          <w:rFonts w:asciiTheme="majorBidi" w:eastAsia="Times New Roman" w:hAnsiTheme="majorBidi" w:cstheme="majorBidi"/>
          <w:sz w:val="24"/>
          <w:szCs w:val="24"/>
        </w:rPr>
        <w:t xml:space="preserve">expressed in </w:t>
      </w:r>
      <w:proofErr w:type="spellStart"/>
      <w:r w:rsidRPr="00AC5668">
        <w:rPr>
          <w:rFonts w:asciiTheme="majorBidi" w:eastAsia="Times New Roman" w:hAnsiTheme="majorBidi" w:cstheme="majorBidi"/>
          <w:sz w:val="24"/>
          <w:szCs w:val="24"/>
        </w:rPr>
        <w:t>db</w:t>
      </w:r>
      <w:proofErr w:type="spellEnd"/>
      <w:r w:rsidRPr="00AC5668">
        <w:rPr>
          <w:rFonts w:asciiTheme="majorBidi" w:eastAsia="Times New Roman" w:hAnsiTheme="majorBidi" w:cstheme="majorBidi"/>
          <w:sz w:val="24"/>
          <w:szCs w:val="24"/>
        </w:rPr>
        <w:t>/m. LSM and CAP were detected in the same region of liver parenchyma (between 25 and 65mm in depth). Up to 10 valid measurements were obtained on each patient</w:t>
      </w:r>
      <w:r w:rsidRPr="00787375">
        <w:rPr>
          <w:rFonts w:asciiTheme="majorBidi" w:eastAsia="Times New Roman" w:hAnsiTheme="majorBidi" w:cstheme="majorBidi"/>
          <w:sz w:val="24"/>
          <w:szCs w:val="24"/>
        </w:rPr>
        <w:t xml:space="preserve">. </w:t>
      </w:r>
      <w:r w:rsidR="00785DA3" w:rsidRPr="005C6C9A">
        <w:rPr>
          <w:rFonts w:asciiTheme="majorBidi" w:eastAsia="Times New Roman" w:hAnsiTheme="majorBidi" w:cstheme="majorBidi"/>
          <w:sz w:val="24"/>
          <w:szCs w:val="24"/>
        </w:rPr>
        <w:t>[1</w:t>
      </w:r>
      <w:r w:rsidR="00EC53BC" w:rsidRPr="005C6C9A">
        <w:rPr>
          <w:rFonts w:asciiTheme="majorBidi" w:eastAsia="Times New Roman" w:hAnsiTheme="majorBidi" w:cstheme="majorBidi"/>
          <w:sz w:val="24"/>
          <w:szCs w:val="24"/>
        </w:rPr>
        <w:t>7</w:t>
      </w:r>
      <w:r w:rsidR="00785DA3" w:rsidRPr="005C6C9A">
        <w:rPr>
          <w:rFonts w:asciiTheme="majorBidi" w:eastAsia="Times New Roman" w:hAnsiTheme="majorBidi" w:cstheme="majorBidi"/>
          <w:sz w:val="24"/>
          <w:szCs w:val="24"/>
        </w:rPr>
        <w:t>]</w:t>
      </w:r>
    </w:p>
    <w:p w14:paraId="49D0BE90" w14:textId="11921B8D" w:rsidR="00A55376" w:rsidRPr="00AC5668" w:rsidRDefault="00A55376" w:rsidP="004B03EC">
      <w:pPr>
        <w:spacing w:line="240" w:lineRule="auto"/>
        <w:jc w:val="both"/>
        <w:rPr>
          <w:rFonts w:asciiTheme="majorBidi" w:eastAsia="Times New Roman" w:hAnsiTheme="majorBidi" w:cstheme="majorBidi"/>
          <w:sz w:val="24"/>
          <w:szCs w:val="24"/>
        </w:rPr>
      </w:pPr>
      <w:r w:rsidRPr="00AC5668">
        <w:rPr>
          <w:rFonts w:asciiTheme="majorBidi" w:eastAsia="Times New Roman" w:hAnsiTheme="majorBidi" w:cstheme="majorBidi"/>
          <w:sz w:val="24"/>
          <w:szCs w:val="24"/>
        </w:rPr>
        <w:t xml:space="preserve">The hepatic steatosis degree is diagnosed by CAP value. normal: CAP ≤ 239 </w:t>
      </w:r>
      <w:proofErr w:type="spellStart"/>
      <w:r w:rsidRPr="00AC5668">
        <w:rPr>
          <w:rFonts w:asciiTheme="majorBidi" w:eastAsia="Times New Roman" w:hAnsiTheme="majorBidi" w:cstheme="majorBidi"/>
          <w:sz w:val="24"/>
          <w:szCs w:val="24"/>
        </w:rPr>
        <w:t>db</w:t>
      </w:r>
      <w:proofErr w:type="spellEnd"/>
      <w:r w:rsidRPr="00AC5668">
        <w:rPr>
          <w:rFonts w:asciiTheme="majorBidi" w:eastAsia="Times New Roman" w:hAnsiTheme="majorBidi" w:cstheme="majorBidi"/>
          <w:sz w:val="24"/>
          <w:szCs w:val="24"/>
        </w:rPr>
        <w:t xml:space="preserve">/m, mild hepatic steatosis: 240-264 </w:t>
      </w:r>
      <w:proofErr w:type="spellStart"/>
      <w:r w:rsidRPr="00AC5668">
        <w:rPr>
          <w:rFonts w:asciiTheme="majorBidi" w:eastAsia="Times New Roman" w:hAnsiTheme="majorBidi" w:cstheme="majorBidi"/>
          <w:sz w:val="24"/>
          <w:szCs w:val="24"/>
        </w:rPr>
        <w:t>db</w:t>
      </w:r>
      <w:proofErr w:type="spellEnd"/>
      <w:r w:rsidRPr="00AC5668">
        <w:rPr>
          <w:rFonts w:asciiTheme="majorBidi" w:eastAsia="Times New Roman" w:hAnsiTheme="majorBidi" w:cstheme="majorBidi"/>
          <w:sz w:val="24"/>
          <w:szCs w:val="24"/>
        </w:rPr>
        <w:t xml:space="preserve">/m, moderate hepatic steatosis: 265- 294 </w:t>
      </w:r>
      <w:proofErr w:type="spellStart"/>
      <w:r w:rsidRPr="00AC5668">
        <w:rPr>
          <w:rFonts w:asciiTheme="majorBidi" w:eastAsia="Times New Roman" w:hAnsiTheme="majorBidi" w:cstheme="majorBidi"/>
          <w:sz w:val="24"/>
          <w:szCs w:val="24"/>
        </w:rPr>
        <w:t>db</w:t>
      </w:r>
      <w:proofErr w:type="spellEnd"/>
      <w:r w:rsidRPr="00AC5668">
        <w:rPr>
          <w:rFonts w:asciiTheme="majorBidi" w:eastAsia="Times New Roman" w:hAnsiTheme="majorBidi" w:cstheme="majorBidi"/>
          <w:sz w:val="24"/>
          <w:szCs w:val="24"/>
        </w:rPr>
        <w:t xml:space="preserve">/m, severe hepatic steatosis: CAP ≥ 295 </w:t>
      </w:r>
      <w:proofErr w:type="spellStart"/>
      <w:r w:rsidRPr="00AC5668">
        <w:rPr>
          <w:rFonts w:asciiTheme="majorBidi" w:eastAsia="Times New Roman" w:hAnsiTheme="majorBidi" w:cstheme="majorBidi"/>
          <w:sz w:val="24"/>
          <w:szCs w:val="24"/>
        </w:rPr>
        <w:t>db</w:t>
      </w:r>
      <w:proofErr w:type="spellEnd"/>
      <w:r w:rsidRPr="00AC5668">
        <w:rPr>
          <w:rFonts w:asciiTheme="majorBidi" w:eastAsia="Times New Roman" w:hAnsiTheme="majorBidi" w:cstheme="majorBidi"/>
          <w:sz w:val="24"/>
          <w:szCs w:val="24"/>
        </w:rPr>
        <w:t>/m. The fibrosis degree is assessed according to the value of LSM. Significant fibrosis is determined if LSM (F3 ≥ 9.8 </w:t>
      </w:r>
      <w:proofErr w:type="spellStart"/>
      <w:r w:rsidRPr="00AC5668">
        <w:rPr>
          <w:rFonts w:asciiTheme="majorBidi" w:eastAsia="Times New Roman" w:hAnsiTheme="majorBidi" w:cstheme="majorBidi"/>
          <w:sz w:val="24"/>
          <w:szCs w:val="24"/>
        </w:rPr>
        <w:t>kpa</w:t>
      </w:r>
      <w:proofErr w:type="spellEnd"/>
      <w:r w:rsidRPr="00AC5668">
        <w:rPr>
          <w:rFonts w:asciiTheme="majorBidi" w:eastAsia="Times New Roman" w:hAnsiTheme="majorBidi" w:cstheme="majorBidi"/>
          <w:sz w:val="24"/>
          <w:szCs w:val="24"/>
        </w:rPr>
        <w:t>). A fibrosis score of 3 or 4 was defined as advanced fibrosis</w:t>
      </w:r>
      <w:r w:rsidR="00AC5668" w:rsidRPr="00AC5668">
        <w:rPr>
          <w:rFonts w:asciiTheme="majorBidi" w:eastAsia="Times New Roman" w:hAnsiTheme="majorBidi" w:cstheme="majorBidi"/>
          <w:sz w:val="24"/>
          <w:szCs w:val="24"/>
        </w:rPr>
        <w:t>.</w:t>
      </w:r>
    </w:p>
    <w:p w14:paraId="44E9C0E9" w14:textId="69610384" w:rsidR="00076E62" w:rsidRPr="005C6C9A" w:rsidRDefault="006C59F4" w:rsidP="004B03EC">
      <w:pPr>
        <w:spacing w:line="240" w:lineRule="auto"/>
        <w:jc w:val="both"/>
        <w:rPr>
          <w:rFonts w:asciiTheme="majorBidi" w:eastAsia="Times New Roman" w:hAnsiTheme="majorBidi" w:cstheme="majorBidi"/>
          <w:sz w:val="24"/>
          <w:szCs w:val="24"/>
        </w:rPr>
      </w:pPr>
      <w:r w:rsidRPr="005C6C9A">
        <w:rPr>
          <w:rFonts w:asciiTheme="majorBidi" w:eastAsia="Times New Roman" w:hAnsiTheme="majorBidi" w:cstheme="majorBidi"/>
          <w:b/>
          <w:sz w:val="24"/>
          <w:szCs w:val="24"/>
        </w:rPr>
        <w:t>Statistical analysis</w:t>
      </w:r>
      <w:r w:rsidRPr="005C6C9A">
        <w:rPr>
          <w:rFonts w:asciiTheme="majorBidi" w:eastAsia="Times New Roman" w:hAnsiTheme="majorBidi" w:cstheme="majorBidi"/>
          <w:sz w:val="24"/>
          <w:szCs w:val="24"/>
        </w:rPr>
        <w:t xml:space="preserve">. </w:t>
      </w:r>
    </w:p>
    <w:p w14:paraId="01CDAFBB" w14:textId="67DE152D" w:rsidR="004B03EC" w:rsidRPr="005C6C9A" w:rsidRDefault="006C59F4" w:rsidP="005C6C9A">
      <w:pPr>
        <w:spacing w:line="240" w:lineRule="auto"/>
        <w:jc w:val="lowKashida"/>
        <w:rPr>
          <w:rFonts w:asciiTheme="majorBidi" w:eastAsia="Times New Roman" w:hAnsiTheme="majorBidi" w:cstheme="majorBidi"/>
          <w:b/>
          <w:sz w:val="24"/>
          <w:szCs w:val="24"/>
          <w:u w:val="single"/>
        </w:rPr>
      </w:pPr>
      <w:r w:rsidRPr="005C6C9A">
        <w:rPr>
          <w:rFonts w:asciiTheme="majorBidi" w:eastAsia="Times New Roman" w:hAnsiTheme="majorBidi" w:cstheme="majorBidi"/>
          <w:sz w:val="24"/>
          <w:szCs w:val="24"/>
        </w:rPr>
        <w:t xml:space="preserve">All statistical analyses were performed using SPSS version 16.0 (IBM Corp, Chicago, IL, USA). Data were expressed in mean ± standard deviation (SD) for normally distributed continuous data, median (interquartile range) for </w:t>
      </w:r>
      <w:r w:rsidR="00E03652" w:rsidRPr="005C6C9A">
        <w:rPr>
          <w:rFonts w:asciiTheme="majorBidi" w:eastAsia="Times New Roman" w:hAnsiTheme="majorBidi" w:cstheme="majorBidi"/>
          <w:sz w:val="24"/>
          <w:szCs w:val="24"/>
        </w:rPr>
        <w:t>non-normally</w:t>
      </w:r>
      <w:r w:rsidRPr="005C6C9A">
        <w:rPr>
          <w:rFonts w:asciiTheme="majorBidi" w:eastAsia="Times New Roman" w:hAnsiTheme="majorBidi" w:cstheme="majorBidi"/>
          <w:sz w:val="24"/>
          <w:szCs w:val="24"/>
        </w:rPr>
        <w:t xml:space="preserve"> distributed continuous data, and percentage for categorical data. The comparison of </w:t>
      </w:r>
      <w:r w:rsidR="00E03652" w:rsidRPr="005C6C9A">
        <w:rPr>
          <w:rFonts w:asciiTheme="majorBidi" w:eastAsia="Times New Roman" w:hAnsiTheme="majorBidi" w:cstheme="majorBidi"/>
          <w:sz w:val="24"/>
          <w:szCs w:val="24"/>
        </w:rPr>
        <w:t xml:space="preserve">the </w:t>
      </w:r>
      <w:r w:rsidRPr="005C6C9A">
        <w:rPr>
          <w:rFonts w:asciiTheme="majorBidi" w:eastAsia="Times New Roman" w:hAnsiTheme="majorBidi" w:cstheme="majorBidi"/>
          <w:sz w:val="24"/>
          <w:szCs w:val="24"/>
        </w:rPr>
        <w:t xml:space="preserve">two groups used </w:t>
      </w:r>
      <w:r w:rsidR="00E03652" w:rsidRPr="005C6C9A">
        <w:rPr>
          <w:rFonts w:asciiTheme="majorBidi" w:eastAsia="Times New Roman" w:hAnsiTheme="majorBidi" w:cstheme="majorBidi"/>
          <w:sz w:val="24"/>
          <w:szCs w:val="24"/>
        </w:rPr>
        <w:t xml:space="preserve">an </w:t>
      </w:r>
      <w:r w:rsidRPr="005C6C9A">
        <w:rPr>
          <w:rFonts w:asciiTheme="majorBidi" w:eastAsia="Times New Roman" w:hAnsiTheme="majorBidi" w:cstheme="majorBidi"/>
          <w:sz w:val="24"/>
          <w:szCs w:val="24"/>
        </w:rPr>
        <w:t xml:space="preserve">independent t-test and Mann–Whitney U for normally distributed and skewed variables, respectively. Categorical data were compared using the </w:t>
      </w:r>
      <w:r w:rsidR="00E03652" w:rsidRPr="005C6C9A">
        <w:rPr>
          <w:rFonts w:asciiTheme="majorBidi" w:eastAsia="Times New Roman" w:hAnsiTheme="majorBidi" w:cstheme="majorBidi"/>
          <w:sz w:val="24"/>
          <w:szCs w:val="24"/>
        </w:rPr>
        <w:t>Chi-square</w:t>
      </w:r>
      <w:r w:rsidRPr="005C6C9A">
        <w:rPr>
          <w:rFonts w:asciiTheme="majorBidi" w:eastAsia="Times New Roman" w:hAnsiTheme="majorBidi" w:cstheme="majorBidi"/>
          <w:sz w:val="24"/>
          <w:szCs w:val="24"/>
        </w:rPr>
        <w:t xml:space="preserve"> (χ2) test. The diagnostic accuracy of the noninvasive scoring systems was calculated using the area under </w:t>
      </w:r>
      <w:r w:rsidR="00E03652" w:rsidRPr="005C6C9A">
        <w:rPr>
          <w:rFonts w:asciiTheme="majorBidi" w:eastAsia="Times New Roman" w:hAnsiTheme="majorBidi" w:cstheme="majorBidi"/>
          <w:sz w:val="24"/>
          <w:szCs w:val="24"/>
        </w:rPr>
        <w:t xml:space="preserve">the </w:t>
      </w:r>
      <w:r w:rsidRPr="005C6C9A">
        <w:rPr>
          <w:rFonts w:asciiTheme="majorBidi" w:eastAsia="Times New Roman" w:hAnsiTheme="majorBidi" w:cstheme="majorBidi"/>
          <w:sz w:val="24"/>
          <w:szCs w:val="24"/>
        </w:rPr>
        <w:t xml:space="preserve">receiver operating characteristics (AUROC) curve, and the 95% </w:t>
      </w:r>
      <w:r w:rsidR="00E03652" w:rsidRPr="005C6C9A">
        <w:rPr>
          <w:rFonts w:asciiTheme="majorBidi" w:eastAsia="Times New Roman" w:hAnsiTheme="majorBidi" w:cstheme="majorBidi"/>
          <w:sz w:val="24"/>
          <w:szCs w:val="24"/>
        </w:rPr>
        <w:t>confidence</w:t>
      </w:r>
      <w:r w:rsidRPr="005C6C9A">
        <w:rPr>
          <w:rFonts w:asciiTheme="majorBidi" w:eastAsia="Times New Roman" w:hAnsiTheme="majorBidi" w:cstheme="majorBidi"/>
          <w:sz w:val="24"/>
          <w:szCs w:val="24"/>
        </w:rPr>
        <w:t xml:space="preserve"> interval (CI) was determined. The sensitivity, specificity, positive predictive value (PPV), and negative predictive value (NPV) were calculated based on the cut-off values</w:t>
      </w:r>
      <w:r w:rsidR="005C6C9A" w:rsidRPr="005C6C9A">
        <w:rPr>
          <w:rFonts w:asciiTheme="majorBidi" w:eastAsia="Times New Roman" w:hAnsiTheme="majorBidi" w:cstheme="majorBidi"/>
          <w:sz w:val="24"/>
          <w:szCs w:val="24"/>
        </w:rPr>
        <w:t xml:space="preserve"> </w:t>
      </w:r>
      <w:r w:rsidRPr="005C6C9A">
        <w:rPr>
          <w:rFonts w:asciiTheme="majorBidi" w:eastAsia="Times New Roman" w:hAnsiTheme="majorBidi" w:cstheme="majorBidi"/>
          <w:sz w:val="24"/>
          <w:szCs w:val="24"/>
        </w:rPr>
        <w:t>in the previously published reports.</w:t>
      </w:r>
    </w:p>
    <w:p w14:paraId="31387F64" w14:textId="520DE8DF" w:rsidR="00076E62" w:rsidRPr="005C6C9A" w:rsidRDefault="00E03652" w:rsidP="004B03EC">
      <w:pPr>
        <w:spacing w:line="240" w:lineRule="auto"/>
        <w:rPr>
          <w:rFonts w:asciiTheme="majorBidi" w:eastAsia="Times New Roman" w:hAnsiTheme="majorBidi" w:cstheme="majorBidi"/>
          <w:b/>
          <w:sz w:val="24"/>
          <w:szCs w:val="24"/>
        </w:rPr>
      </w:pPr>
      <w:r w:rsidRPr="005C6C9A">
        <w:rPr>
          <w:rFonts w:asciiTheme="majorBidi" w:eastAsia="Times New Roman" w:hAnsiTheme="majorBidi" w:cstheme="majorBidi"/>
          <w:b/>
          <w:sz w:val="24"/>
          <w:szCs w:val="24"/>
        </w:rPr>
        <w:t>Results</w:t>
      </w:r>
    </w:p>
    <w:p w14:paraId="5F7BDF51" w14:textId="619F29B0" w:rsidR="00076E62" w:rsidRPr="005C6C9A" w:rsidRDefault="006C59F4" w:rsidP="004B03EC">
      <w:pPr>
        <w:spacing w:after="0" w:line="240" w:lineRule="auto"/>
        <w:jc w:val="both"/>
        <w:rPr>
          <w:rFonts w:asciiTheme="majorBidi" w:hAnsiTheme="majorBidi" w:cstheme="majorBidi"/>
          <w:sz w:val="24"/>
          <w:szCs w:val="24"/>
        </w:rPr>
      </w:pPr>
      <w:r w:rsidRPr="005C6C9A">
        <w:rPr>
          <w:rFonts w:asciiTheme="majorBidi" w:hAnsiTheme="majorBidi" w:cstheme="majorBidi"/>
          <w:sz w:val="24"/>
          <w:szCs w:val="24"/>
        </w:rPr>
        <w:t xml:space="preserve">A total number of 100 patients </w:t>
      </w:r>
      <w:r w:rsidR="00E03652" w:rsidRPr="005C6C9A">
        <w:rPr>
          <w:rFonts w:asciiTheme="majorBidi" w:hAnsiTheme="majorBidi" w:cstheme="majorBidi"/>
          <w:sz w:val="24"/>
          <w:szCs w:val="24"/>
        </w:rPr>
        <w:t>with</w:t>
      </w:r>
      <w:r w:rsidRPr="005C6C9A">
        <w:rPr>
          <w:rFonts w:asciiTheme="majorBidi" w:hAnsiTheme="majorBidi" w:cstheme="majorBidi"/>
          <w:sz w:val="24"/>
          <w:szCs w:val="24"/>
        </w:rPr>
        <w:t xml:space="preserve"> liver steatosis </w:t>
      </w:r>
      <w:r w:rsidR="00E03652" w:rsidRPr="005C6C9A">
        <w:rPr>
          <w:rFonts w:asciiTheme="majorBidi" w:hAnsiTheme="majorBidi" w:cstheme="majorBidi"/>
          <w:sz w:val="24"/>
          <w:szCs w:val="24"/>
        </w:rPr>
        <w:t xml:space="preserve">was </w:t>
      </w:r>
      <w:r w:rsidRPr="005C6C9A">
        <w:rPr>
          <w:rFonts w:asciiTheme="majorBidi" w:hAnsiTheme="majorBidi" w:cstheme="majorBidi"/>
          <w:sz w:val="24"/>
          <w:szCs w:val="24"/>
        </w:rPr>
        <w:t xml:space="preserve">determined by abdominal </w:t>
      </w:r>
      <w:r w:rsidR="00E03652" w:rsidRPr="005C6C9A">
        <w:rPr>
          <w:rFonts w:asciiTheme="majorBidi" w:hAnsiTheme="majorBidi" w:cstheme="majorBidi"/>
          <w:sz w:val="24"/>
          <w:szCs w:val="24"/>
        </w:rPr>
        <w:t>ultrasound.</w:t>
      </w:r>
      <w:r w:rsidRPr="005C6C9A">
        <w:rPr>
          <w:rFonts w:asciiTheme="majorBidi" w:hAnsiTheme="majorBidi" w:cstheme="majorBidi"/>
          <w:sz w:val="24"/>
          <w:szCs w:val="24"/>
        </w:rPr>
        <w:t xml:space="preserve"> </w:t>
      </w:r>
    </w:p>
    <w:p w14:paraId="2E3304E9" w14:textId="1F0698D3" w:rsidR="00076E62" w:rsidRPr="005C6C9A" w:rsidRDefault="00E03652" w:rsidP="004B03EC">
      <w:pPr>
        <w:spacing w:after="0" w:line="240" w:lineRule="auto"/>
        <w:jc w:val="both"/>
        <w:rPr>
          <w:rFonts w:asciiTheme="majorBidi" w:hAnsiTheme="majorBidi" w:cstheme="majorBidi"/>
          <w:sz w:val="24"/>
          <w:szCs w:val="24"/>
        </w:rPr>
      </w:pPr>
      <w:r w:rsidRPr="005C6C9A">
        <w:rPr>
          <w:rFonts w:asciiTheme="majorBidi" w:eastAsia="Times New Roman" w:hAnsiTheme="majorBidi" w:cstheme="majorBidi"/>
          <w:sz w:val="24"/>
          <w:szCs w:val="24"/>
        </w:rPr>
        <w:t>Then</w:t>
      </w:r>
      <w:r w:rsidR="00607100">
        <w:rPr>
          <w:rFonts w:asciiTheme="majorBidi" w:eastAsia="Times New Roman" w:hAnsiTheme="majorBidi" w:cstheme="majorBidi"/>
          <w:sz w:val="24"/>
          <w:szCs w:val="24"/>
        </w:rPr>
        <w:t>,</w:t>
      </w:r>
      <w:r w:rsidR="006C59F4" w:rsidRPr="005C6C9A">
        <w:rPr>
          <w:rFonts w:asciiTheme="majorBidi" w:eastAsia="Times New Roman" w:hAnsiTheme="majorBidi" w:cstheme="majorBidi"/>
          <w:sz w:val="24"/>
          <w:szCs w:val="24"/>
        </w:rPr>
        <w:t xml:space="preserve"> NAFLD</w:t>
      </w:r>
      <w:r w:rsidR="006C59F4" w:rsidRPr="005C6C9A">
        <w:rPr>
          <w:rFonts w:asciiTheme="majorBidi" w:eastAsia="Times New Roman" w:hAnsiTheme="majorBidi" w:cstheme="majorBidi"/>
          <w:b/>
          <w:i/>
          <w:sz w:val="24"/>
          <w:szCs w:val="24"/>
        </w:rPr>
        <w:t xml:space="preserve"> </w:t>
      </w:r>
      <w:r w:rsidRPr="005C6C9A">
        <w:rPr>
          <w:rFonts w:asciiTheme="majorBidi" w:hAnsiTheme="majorBidi" w:cstheme="majorBidi"/>
          <w:sz w:val="24"/>
          <w:szCs w:val="24"/>
        </w:rPr>
        <w:t>was d</w:t>
      </w:r>
      <w:r w:rsidR="006C59F4" w:rsidRPr="005C6C9A">
        <w:rPr>
          <w:rFonts w:asciiTheme="majorBidi" w:hAnsiTheme="majorBidi" w:cstheme="majorBidi"/>
          <w:sz w:val="24"/>
          <w:szCs w:val="24"/>
        </w:rPr>
        <w:t>iagnosed</w:t>
      </w:r>
      <w:r w:rsidR="006C59F4" w:rsidRPr="005C6C9A">
        <w:rPr>
          <w:rFonts w:asciiTheme="majorBidi" w:eastAsia="Times New Roman" w:hAnsiTheme="majorBidi" w:cstheme="majorBidi"/>
          <w:sz w:val="24"/>
          <w:szCs w:val="24"/>
        </w:rPr>
        <w:t xml:space="preserve"> by CAP determination of liver steatosis </w:t>
      </w:r>
      <w:r w:rsidRPr="005C6C9A">
        <w:rPr>
          <w:rFonts w:asciiTheme="majorBidi" w:eastAsia="Times New Roman" w:hAnsiTheme="majorBidi" w:cstheme="majorBidi"/>
          <w:sz w:val="24"/>
          <w:szCs w:val="24"/>
        </w:rPr>
        <w:t xml:space="preserve">of </w:t>
      </w:r>
      <w:r w:rsidR="006C59F4" w:rsidRPr="005C6C9A">
        <w:rPr>
          <w:rFonts w:asciiTheme="majorBidi" w:eastAsia="Times New Roman" w:hAnsiTheme="majorBidi" w:cstheme="majorBidi"/>
          <w:sz w:val="24"/>
          <w:szCs w:val="24"/>
        </w:rPr>
        <w:t>more than 240 dB/min. Seventy-eight patients (78%) had early fibrosis (</w:t>
      </w:r>
      <w:r w:rsidR="006C59F4" w:rsidRPr="005C6C9A">
        <w:rPr>
          <w:rFonts w:asciiTheme="majorBidi" w:hAnsiTheme="majorBidi" w:cstheme="majorBidi"/>
          <w:sz w:val="24"/>
          <w:szCs w:val="24"/>
        </w:rPr>
        <w:t>early fibrosis group)</w:t>
      </w:r>
      <w:r w:rsidRPr="005C6C9A">
        <w:rPr>
          <w:rFonts w:asciiTheme="majorBidi" w:hAnsiTheme="majorBidi" w:cstheme="majorBidi"/>
          <w:sz w:val="24"/>
          <w:szCs w:val="24"/>
        </w:rPr>
        <w:t>,</w:t>
      </w:r>
      <w:r w:rsidR="006C59F4" w:rsidRPr="005C6C9A">
        <w:rPr>
          <w:rFonts w:asciiTheme="majorBidi" w:hAnsiTheme="majorBidi" w:cstheme="majorBidi"/>
          <w:sz w:val="24"/>
          <w:szCs w:val="24"/>
        </w:rPr>
        <w:t xml:space="preserve"> and</w:t>
      </w:r>
      <w:r w:rsidR="006C59F4" w:rsidRPr="005C6C9A">
        <w:rPr>
          <w:rFonts w:asciiTheme="majorBidi" w:eastAsia="Times New Roman" w:hAnsiTheme="majorBidi" w:cstheme="majorBidi"/>
          <w:sz w:val="24"/>
          <w:szCs w:val="24"/>
        </w:rPr>
        <w:t xml:space="preserve"> 22 patients (22%) had advanced fibrosis (</w:t>
      </w:r>
      <w:r w:rsidR="006C59F4" w:rsidRPr="005C6C9A">
        <w:rPr>
          <w:rFonts w:asciiTheme="majorBidi" w:hAnsiTheme="majorBidi" w:cstheme="majorBidi"/>
          <w:sz w:val="24"/>
          <w:szCs w:val="24"/>
        </w:rPr>
        <w:t>advanced fibrosis group</w:t>
      </w:r>
      <w:r w:rsidR="006C59F4" w:rsidRPr="005C6C9A">
        <w:rPr>
          <w:rFonts w:asciiTheme="majorBidi" w:eastAsia="Times New Roman" w:hAnsiTheme="majorBidi" w:cstheme="majorBidi"/>
          <w:sz w:val="24"/>
          <w:szCs w:val="24"/>
        </w:rPr>
        <w:t>)</w:t>
      </w:r>
    </w:p>
    <w:p w14:paraId="76503A5B" w14:textId="7B840FF9" w:rsidR="00B44148" w:rsidRPr="005C6C9A" w:rsidRDefault="006C59F4" w:rsidP="004B03EC">
      <w:pPr>
        <w:spacing w:after="0" w:line="240" w:lineRule="auto"/>
        <w:jc w:val="both"/>
        <w:rPr>
          <w:rFonts w:asciiTheme="majorBidi" w:hAnsiTheme="majorBidi" w:cstheme="majorBidi"/>
          <w:sz w:val="24"/>
          <w:szCs w:val="24"/>
        </w:rPr>
      </w:pPr>
      <w:r w:rsidRPr="005C6C9A">
        <w:rPr>
          <w:rFonts w:asciiTheme="majorBidi" w:hAnsiTheme="majorBidi" w:cstheme="majorBidi"/>
          <w:sz w:val="24"/>
          <w:szCs w:val="24"/>
        </w:rPr>
        <w:t xml:space="preserve">The demographic and characteristic data are presented in </w:t>
      </w:r>
      <w:r w:rsidRPr="005C6C9A">
        <w:rPr>
          <w:rFonts w:asciiTheme="majorBidi" w:hAnsiTheme="majorBidi" w:cstheme="majorBidi"/>
          <w:b/>
          <w:bCs/>
          <w:sz w:val="24"/>
          <w:szCs w:val="24"/>
        </w:rPr>
        <w:t>Table 1</w:t>
      </w:r>
      <w:r w:rsidRPr="005C6C9A">
        <w:rPr>
          <w:rFonts w:asciiTheme="majorBidi" w:hAnsiTheme="majorBidi" w:cstheme="majorBidi"/>
          <w:sz w:val="24"/>
          <w:szCs w:val="24"/>
        </w:rPr>
        <w:t>.</w:t>
      </w:r>
    </w:p>
    <w:p w14:paraId="49E8C993" w14:textId="77777777" w:rsidR="004B03EC" w:rsidRPr="005C6C9A" w:rsidRDefault="004B03EC" w:rsidP="004B03EC">
      <w:pPr>
        <w:spacing w:after="0" w:line="240" w:lineRule="auto"/>
        <w:jc w:val="both"/>
        <w:rPr>
          <w:rFonts w:asciiTheme="majorBidi" w:eastAsia="Times New Roman" w:hAnsiTheme="majorBidi" w:cstheme="majorBidi"/>
          <w:b/>
          <w:sz w:val="24"/>
          <w:szCs w:val="24"/>
        </w:rPr>
      </w:pPr>
    </w:p>
    <w:p w14:paraId="7DA9422C" w14:textId="39376A5C" w:rsidR="00AF1802" w:rsidRPr="00AF1802" w:rsidRDefault="00B44148" w:rsidP="00AF1802">
      <w:pPr>
        <w:pStyle w:val="Caption"/>
        <w:keepNext/>
        <w:rPr>
          <w:rFonts w:asciiTheme="majorBidi" w:eastAsia="Times New Roman" w:hAnsiTheme="majorBidi" w:cstheme="majorBidi"/>
          <w:b/>
          <w:sz w:val="24"/>
          <w:szCs w:val="24"/>
        </w:rPr>
      </w:pPr>
      <w:r w:rsidRPr="005C6C9A">
        <w:rPr>
          <w:rFonts w:asciiTheme="majorBidi" w:eastAsia="Times New Roman" w:hAnsiTheme="majorBidi" w:cstheme="majorBidi"/>
          <w:b/>
          <w:sz w:val="24"/>
          <w:szCs w:val="24"/>
        </w:rPr>
        <w:t>Table1</w:t>
      </w:r>
      <w:r w:rsidR="00532D5E">
        <w:rPr>
          <w:rFonts w:asciiTheme="majorBidi" w:eastAsia="Times New Roman" w:hAnsiTheme="majorBidi" w:cstheme="majorBidi"/>
          <w:b/>
          <w:sz w:val="24"/>
          <w:szCs w:val="24"/>
        </w:rPr>
        <w:t>.</w:t>
      </w:r>
      <w:r w:rsidR="00AF1802" w:rsidRPr="00AF1802">
        <w:rPr>
          <w:rFonts w:asciiTheme="majorBidi" w:eastAsia="Times New Roman" w:hAnsiTheme="majorBidi" w:cstheme="majorBidi"/>
          <w:b/>
          <w:sz w:val="24"/>
          <w:szCs w:val="24"/>
        </w:rPr>
        <w:t xml:space="preserve"> Demographic data of the studied groups</w:t>
      </w:r>
      <w:r w:rsidR="00532D5E">
        <w:rPr>
          <w:rFonts w:asciiTheme="majorBidi" w:eastAsia="Times New Roman" w:hAnsiTheme="majorBidi" w:cstheme="majorBidi"/>
          <w:b/>
          <w:sz w:val="24"/>
          <w:szCs w:val="24"/>
        </w:rPr>
        <w:t>.</w:t>
      </w:r>
    </w:p>
    <w:tbl>
      <w:tblPr>
        <w:tblStyle w:val="a"/>
        <w:tblW w:w="9414" w:type="dxa"/>
        <w:jc w:val="center"/>
        <w:tblLayout w:type="fixed"/>
        <w:tblLook w:val="04A0" w:firstRow="1" w:lastRow="0" w:firstColumn="1" w:lastColumn="0" w:noHBand="0" w:noVBand="1"/>
        <w:tblCaption w:val="Table (1): Demographic data of the studied groups"/>
        <w:tblDescription w:val="Abbreviation: n, number of cases/participants; BMI, Body mass index; WHR, waist-hip ratio"/>
      </w:tblPr>
      <w:tblGrid>
        <w:gridCol w:w="2206"/>
        <w:gridCol w:w="2244"/>
        <w:gridCol w:w="2766"/>
        <w:gridCol w:w="2198"/>
      </w:tblGrid>
      <w:tr w:rsidR="00B44148" w:rsidRPr="004B03EC" w14:paraId="1D75561D" w14:textId="77777777" w:rsidTr="00AF1802">
        <w:trPr>
          <w:cnfStyle w:val="100000000000" w:firstRow="1" w:lastRow="0" w:firstColumn="0" w:lastColumn="0" w:oddVBand="0" w:evenVBand="0" w:oddHBand="0" w:evenHBand="0" w:firstRowFirstColumn="0" w:firstRowLastColumn="0" w:lastRowFirstColumn="0" w:lastRowLastColumn="0"/>
          <w:trHeight w:val="498"/>
          <w:jc w:val="center"/>
        </w:trPr>
        <w:tc>
          <w:tcPr>
            <w:cnfStyle w:val="001000000000" w:firstRow="0" w:lastRow="0" w:firstColumn="1" w:lastColumn="0" w:oddVBand="0" w:evenVBand="0" w:oddHBand="0" w:evenHBand="0" w:firstRowFirstColumn="0" w:firstRowLastColumn="0" w:lastRowFirstColumn="0" w:lastRowLastColumn="0"/>
            <w:tcW w:w="2206" w:type="dxa"/>
            <w:tcBorders>
              <w:top w:val="single" w:sz="4" w:space="0" w:color="auto"/>
              <w:left w:val="none" w:sz="0" w:space="0" w:color="auto"/>
              <w:bottom w:val="single" w:sz="4" w:space="0" w:color="auto"/>
              <w:right w:val="none" w:sz="0" w:space="0" w:color="auto"/>
            </w:tcBorders>
          </w:tcPr>
          <w:p w14:paraId="000AA1EC" w14:textId="77777777" w:rsidR="00B44148" w:rsidRPr="004B03EC" w:rsidRDefault="00B44148" w:rsidP="004B03EC">
            <w:pPr>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Variable</w:t>
            </w:r>
          </w:p>
        </w:tc>
        <w:tc>
          <w:tcPr>
            <w:tcW w:w="2244" w:type="dxa"/>
            <w:tcBorders>
              <w:top w:val="single" w:sz="4" w:space="0" w:color="auto"/>
              <w:left w:val="none" w:sz="0" w:space="0" w:color="auto"/>
              <w:bottom w:val="single" w:sz="4" w:space="0" w:color="auto"/>
              <w:right w:val="none" w:sz="0" w:space="0" w:color="auto"/>
            </w:tcBorders>
          </w:tcPr>
          <w:p w14:paraId="32F2928F" w14:textId="1B08797F" w:rsidR="00B44148" w:rsidRPr="004B03EC" w:rsidRDefault="00B44148" w:rsidP="004B03EC">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 xml:space="preserve">Early Fibrosis </w:t>
            </w:r>
            <w:r w:rsidR="00E03652">
              <w:rPr>
                <w:rFonts w:asciiTheme="majorBidi" w:eastAsia="Times New Roman" w:hAnsiTheme="majorBidi" w:cstheme="majorBidi"/>
                <w:sz w:val="20"/>
                <w:szCs w:val="20"/>
              </w:rPr>
              <w:t>Group</w:t>
            </w:r>
          </w:p>
          <w:p w14:paraId="1EED4ECA" w14:textId="77777777" w:rsidR="00B44148" w:rsidRPr="004B03EC" w:rsidRDefault="00B44148" w:rsidP="004B03EC">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(n= 78)</w:t>
            </w:r>
          </w:p>
        </w:tc>
        <w:tc>
          <w:tcPr>
            <w:tcW w:w="2766" w:type="dxa"/>
            <w:tcBorders>
              <w:top w:val="single" w:sz="4" w:space="0" w:color="auto"/>
              <w:left w:val="none" w:sz="0" w:space="0" w:color="auto"/>
              <w:bottom w:val="single" w:sz="4" w:space="0" w:color="auto"/>
              <w:right w:val="none" w:sz="0" w:space="0" w:color="auto"/>
            </w:tcBorders>
          </w:tcPr>
          <w:p w14:paraId="10F451E5" w14:textId="1C9A7864" w:rsidR="00B44148" w:rsidRPr="004B03EC" w:rsidRDefault="00B44148" w:rsidP="004B03EC">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 xml:space="preserve">Advanced Fibrosis </w:t>
            </w:r>
            <w:r w:rsidR="00E03652">
              <w:rPr>
                <w:rFonts w:asciiTheme="majorBidi" w:eastAsia="Times New Roman" w:hAnsiTheme="majorBidi" w:cstheme="majorBidi"/>
                <w:sz w:val="20"/>
                <w:szCs w:val="20"/>
              </w:rPr>
              <w:t>Group</w:t>
            </w:r>
          </w:p>
          <w:p w14:paraId="07F68A5C" w14:textId="2A50BC46" w:rsidR="00B44148" w:rsidRPr="004B03EC" w:rsidRDefault="00B44148" w:rsidP="004B03EC">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(n= 22)</w:t>
            </w:r>
          </w:p>
        </w:tc>
        <w:tc>
          <w:tcPr>
            <w:tcW w:w="2198" w:type="dxa"/>
            <w:tcBorders>
              <w:top w:val="single" w:sz="4" w:space="0" w:color="auto"/>
              <w:left w:val="none" w:sz="0" w:space="0" w:color="auto"/>
              <w:bottom w:val="single" w:sz="4" w:space="0" w:color="auto"/>
              <w:right w:val="none" w:sz="0" w:space="0" w:color="auto"/>
            </w:tcBorders>
          </w:tcPr>
          <w:p w14:paraId="1826A42F" w14:textId="77777777" w:rsidR="00B44148" w:rsidRPr="004B03EC" w:rsidRDefault="00B44148" w:rsidP="004B03EC">
            <w:pPr>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p-value</w:t>
            </w:r>
          </w:p>
        </w:tc>
      </w:tr>
      <w:tr w:rsidR="00B44148" w:rsidRPr="004B03EC" w14:paraId="390D2C2F" w14:textId="77777777" w:rsidTr="00AF1802">
        <w:trPr>
          <w:cnfStyle w:val="000000100000" w:firstRow="0" w:lastRow="0" w:firstColumn="0" w:lastColumn="0" w:oddVBand="0" w:evenVBand="0" w:oddHBand="1" w:evenHBand="0" w:firstRowFirstColumn="0" w:firstRowLastColumn="0" w:lastRowFirstColumn="0" w:lastRowLastColumn="0"/>
          <w:trHeight w:val="583"/>
          <w:jc w:val="center"/>
        </w:trPr>
        <w:tc>
          <w:tcPr>
            <w:cnfStyle w:val="001000000000" w:firstRow="0" w:lastRow="0" w:firstColumn="1" w:lastColumn="0" w:oddVBand="0" w:evenVBand="0" w:oddHBand="0" w:evenHBand="0" w:firstRowFirstColumn="0" w:firstRowLastColumn="0" w:lastRowFirstColumn="0" w:lastRowLastColumn="0"/>
            <w:tcW w:w="2206" w:type="dxa"/>
            <w:tcBorders>
              <w:top w:val="single" w:sz="4" w:space="0" w:color="auto"/>
              <w:left w:val="none" w:sz="0" w:space="0" w:color="auto"/>
              <w:bottom w:val="none" w:sz="0" w:space="0" w:color="auto"/>
              <w:right w:val="none" w:sz="0" w:space="0" w:color="auto"/>
            </w:tcBorders>
            <w:shd w:val="clear" w:color="auto" w:fill="auto"/>
          </w:tcPr>
          <w:p w14:paraId="397546C1" w14:textId="77777777" w:rsidR="00B44148" w:rsidRPr="004B03EC" w:rsidRDefault="00B44148" w:rsidP="004B03EC">
            <w:pPr>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Gender</w:t>
            </w:r>
          </w:p>
          <w:p w14:paraId="63281C63" w14:textId="77777777" w:rsidR="00B44148" w:rsidRPr="004B03EC" w:rsidRDefault="00B44148" w:rsidP="004B03EC">
            <w:pPr>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Female</w:t>
            </w:r>
          </w:p>
          <w:p w14:paraId="14D5E207" w14:textId="77777777" w:rsidR="00B44148" w:rsidRPr="004B03EC" w:rsidRDefault="00B44148" w:rsidP="004B03EC">
            <w:pPr>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Male</w:t>
            </w:r>
          </w:p>
        </w:tc>
        <w:tc>
          <w:tcPr>
            <w:tcW w:w="2244" w:type="dxa"/>
            <w:tcBorders>
              <w:top w:val="single" w:sz="4" w:space="0" w:color="auto"/>
              <w:left w:val="none" w:sz="0" w:space="0" w:color="auto"/>
              <w:bottom w:val="none" w:sz="0" w:space="0" w:color="auto"/>
              <w:right w:val="none" w:sz="0" w:space="0" w:color="auto"/>
            </w:tcBorders>
            <w:shd w:val="clear" w:color="auto" w:fill="auto"/>
            <w:vAlign w:val="bottom"/>
          </w:tcPr>
          <w:p w14:paraId="6C4CD4C5" w14:textId="77777777" w:rsidR="00B44148" w:rsidRPr="004B03EC" w:rsidRDefault="00B44148" w:rsidP="004B03EC">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50 (64.1%)</w:t>
            </w:r>
          </w:p>
          <w:p w14:paraId="5A8B8C8A" w14:textId="77777777" w:rsidR="00B44148" w:rsidRPr="004B03EC" w:rsidRDefault="00B44148" w:rsidP="004B03EC">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28 (35.9%)</w:t>
            </w:r>
          </w:p>
        </w:tc>
        <w:tc>
          <w:tcPr>
            <w:tcW w:w="2766" w:type="dxa"/>
            <w:tcBorders>
              <w:top w:val="single" w:sz="4" w:space="0" w:color="auto"/>
              <w:left w:val="none" w:sz="0" w:space="0" w:color="auto"/>
              <w:bottom w:val="none" w:sz="0" w:space="0" w:color="auto"/>
              <w:right w:val="none" w:sz="0" w:space="0" w:color="auto"/>
            </w:tcBorders>
            <w:shd w:val="clear" w:color="auto" w:fill="auto"/>
            <w:vAlign w:val="bottom"/>
          </w:tcPr>
          <w:p w14:paraId="369B7774" w14:textId="77777777" w:rsidR="00B44148" w:rsidRPr="004B03EC" w:rsidRDefault="00B44148" w:rsidP="004B03EC">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17 (77.3%)</w:t>
            </w:r>
          </w:p>
          <w:p w14:paraId="05427782" w14:textId="77777777" w:rsidR="00B44148" w:rsidRPr="004B03EC" w:rsidRDefault="00B44148" w:rsidP="004B03EC">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5 (22.7%)</w:t>
            </w:r>
          </w:p>
        </w:tc>
        <w:tc>
          <w:tcPr>
            <w:tcW w:w="2198" w:type="dxa"/>
            <w:tcBorders>
              <w:top w:val="single" w:sz="4" w:space="0" w:color="auto"/>
              <w:left w:val="none" w:sz="0" w:space="0" w:color="auto"/>
              <w:bottom w:val="none" w:sz="0" w:space="0" w:color="auto"/>
              <w:right w:val="none" w:sz="0" w:space="0" w:color="auto"/>
            </w:tcBorders>
            <w:shd w:val="clear" w:color="auto" w:fill="auto"/>
          </w:tcPr>
          <w:p w14:paraId="61EF6BF3" w14:textId="77777777" w:rsidR="00B44148" w:rsidRPr="004B03EC" w:rsidRDefault="00B44148" w:rsidP="004B03EC">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0.246</w:t>
            </w:r>
          </w:p>
        </w:tc>
      </w:tr>
      <w:tr w:rsidR="00B44148" w:rsidRPr="004B03EC" w14:paraId="09091F76" w14:textId="77777777" w:rsidTr="00AF1802">
        <w:trPr>
          <w:cnfStyle w:val="000000010000" w:firstRow="0" w:lastRow="0" w:firstColumn="0" w:lastColumn="0" w:oddVBand="0" w:evenVBand="0" w:oddHBand="0" w:evenHBand="1" w:firstRowFirstColumn="0" w:firstRowLastColumn="0" w:lastRowFirstColumn="0" w:lastRowLastColumn="0"/>
          <w:trHeight w:val="382"/>
          <w:jc w:val="center"/>
        </w:trPr>
        <w:tc>
          <w:tcPr>
            <w:cnfStyle w:val="001000000000" w:firstRow="0" w:lastRow="0" w:firstColumn="1" w:lastColumn="0" w:oddVBand="0" w:evenVBand="0" w:oddHBand="0" w:evenHBand="0" w:firstRowFirstColumn="0" w:firstRowLastColumn="0" w:lastRowFirstColumn="0" w:lastRowLastColumn="0"/>
            <w:tcW w:w="2206" w:type="dxa"/>
            <w:tcBorders>
              <w:top w:val="none" w:sz="0" w:space="0" w:color="auto"/>
              <w:left w:val="none" w:sz="0" w:space="0" w:color="auto"/>
              <w:bottom w:val="none" w:sz="0" w:space="0" w:color="auto"/>
              <w:right w:val="none" w:sz="0" w:space="0" w:color="auto"/>
            </w:tcBorders>
            <w:vAlign w:val="bottom"/>
          </w:tcPr>
          <w:p w14:paraId="4964D7EC" w14:textId="77777777" w:rsidR="00B44148" w:rsidRPr="004B03EC" w:rsidRDefault="00B44148" w:rsidP="004B03EC">
            <w:pPr>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Age</w:t>
            </w:r>
          </w:p>
        </w:tc>
        <w:tc>
          <w:tcPr>
            <w:tcW w:w="2244" w:type="dxa"/>
            <w:tcBorders>
              <w:top w:val="none" w:sz="0" w:space="0" w:color="auto"/>
              <w:left w:val="none" w:sz="0" w:space="0" w:color="auto"/>
              <w:bottom w:val="none" w:sz="0" w:space="0" w:color="auto"/>
              <w:right w:val="none" w:sz="0" w:space="0" w:color="auto"/>
            </w:tcBorders>
            <w:vAlign w:val="bottom"/>
          </w:tcPr>
          <w:p w14:paraId="3CBC5233" w14:textId="77777777" w:rsidR="00B44148" w:rsidRPr="004B03EC" w:rsidRDefault="00B44148" w:rsidP="004B03EC">
            <w:pPr>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45.36 ± 8.76</w:t>
            </w:r>
          </w:p>
        </w:tc>
        <w:tc>
          <w:tcPr>
            <w:tcW w:w="2766" w:type="dxa"/>
            <w:tcBorders>
              <w:top w:val="none" w:sz="0" w:space="0" w:color="auto"/>
              <w:left w:val="none" w:sz="0" w:space="0" w:color="auto"/>
              <w:bottom w:val="none" w:sz="0" w:space="0" w:color="auto"/>
              <w:right w:val="none" w:sz="0" w:space="0" w:color="auto"/>
            </w:tcBorders>
            <w:vAlign w:val="bottom"/>
          </w:tcPr>
          <w:p w14:paraId="1FAA43B9" w14:textId="77777777" w:rsidR="00B44148" w:rsidRPr="004B03EC" w:rsidRDefault="00B44148" w:rsidP="004B03EC">
            <w:pPr>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47.27 ± 9.44</w:t>
            </w:r>
          </w:p>
        </w:tc>
        <w:tc>
          <w:tcPr>
            <w:tcW w:w="2198" w:type="dxa"/>
            <w:tcBorders>
              <w:top w:val="none" w:sz="0" w:space="0" w:color="auto"/>
              <w:left w:val="none" w:sz="0" w:space="0" w:color="auto"/>
              <w:bottom w:val="none" w:sz="0" w:space="0" w:color="auto"/>
              <w:right w:val="none" w:sz="0" w:space="0" w:color="auto"/>
            </w:tcBorders>
          </w:tcPr>
          <w:p w14:paraId="61F4D7D6" w14:textId="77777777" w:rsidR="00B44148" w:rsidRPr="004B03EC" w:rsidRDefault="00B44148" w:rsidP="004B03EC">
            <w:pPr>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0.689</w:t>
            </w:r>
          </w:p>
        </w:tc>
      </w:tr>
      <w:tr w:rsidR="00B44148" w:rsidRPr="004B03EC" w14:paraId="0E713DE3" w14:textId="77777777" w:rsidTr="00AF1802">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2206" w:type="dxa"/>
            <w:tcBorders>
              <w:top w:val="none" w:sz="0" w:space="0" w:color="auto"/>
              <w:left w:val="none" w:sz="0" w:space="0" w:color="auto"/>
              <w:bottom w:val="none" w:sz="0" w:space="0" w:color="auto"/>
              <w:right w:val="none" w:sz="0" w:space="0" w:color="auto"/>
            </w:tcBorders>
            <w:vAlign w:val="bottom"/>
          </w:tcPr>
          <w:p w14:paraId="3E08A8DD" w14:textId="77777777" w:rsidR="00B44148" w:rsidRPr="004B03EC" w:rsidRDefault="00B44148" w:rsidP="004B03EC">
            <w:pPr>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height</w:t>
            </w:r>
          </w:p>
        </w:tc>
        <w:tc>
          <w:tcPr>
            <w:tcW w:w="2244" w:type="dxa"/>
            <w:tcBorders>
              <w:top w:val="none" w:sz="0" w:space="0" w:color="auto"/>
              <w:left w:val="none" w:sz="0" w:space="0" w:color="auto"/>
              <w:bottom w:val="none" w:sz="0" w:space="0" w:color="auto"/>
              <w:right w:val="none" w:sz="0" w:space="0" w:color="auto"/>
            </w:tcBorders>
            <w:vAlign w:val="bottom"/>
          </w:tcPr>
          <w:p w14:paraId="6D430C8F" w14:textId="77777777" w:rsidR="00B44148" w:rsidRPr="004B03EC" w:rsidRDefault="00B44148" w:rsidP="004B03EC">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u w:val="single"/>
              </w:rPr>
            </w:pPr>
            <w:r w:rsidRPr="004B03EC">
              <w:rPr>
                <w:rFonts w:asciiTheme="majorBidi" w:eastAsia="Times New Roman" w:hAnsiTheme="majorBidi" w:cstheme="majorBidi"/>
                <w:sz w:val="20"/>
                <w:szCs w:val="20"/>
              </w:rPr>
              <w:t>162.97 ± 7.20</w:t>
            </w:r>
          </w:p>
        </w:tc>
        <w:tc>
          <w:tcPr>
            <w:tcW w:w="2766" w:type="dxa"/>
            <w:tcBorders>
              <w:top w:val="none" w:sz="0" w:space="0" w:color="auto"/>
              <w:left w:val="none" w:sz="0" w:space="0" w:color="auto"/>
              <w:bottom w:val="none" w:sz="0" w:space="0" w:color="auto"/>
              <w:right w:val="none" w:sz="0" w:space="0" w:color="auto"/>
            </w:tcBorders>
            <w:vAlign w:val="bottom"/>
          </w:tcPr>
          <w:p w14:paraId="4045C7D4" w14:textId="77777777" w:rsidR="00B44148" w:rsidRPr="004B03EC" w:rsidRDefault="00B44148" w:rsidP="004B03EC">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160.14 ± 6.33</w:t>
            </w:r>
          </w:p>
        </w:tc>
        <w:tc>
          <w:tcPr>
            <w:tcW w:w="2198" w:type="dxa"/>
            <w:tcBorders>
              <w:top w:val="none" w:sz="0" w:space="0" w:color="auto"/>
              <w:left w:val="none" w:sz="0" w:space="0" w:color="auto"/>
              <w:bottom w:val="none" w:sz="0" w:space="0" w:color="auto"/>
              <w:right w:val="none" w:sz="0" w:space="0" w:color="auto"/>
            </w:tcBorders>
          </w:tcPr>
          <w:p w14:paraId="500FEFD9" w14:textId="77777777" w:rsidR="00B44148" w:rsidRPr="004B03EC" w:rsidRDefault="00B44148" w:rsidP="004B03EC">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0.123</w:t>
            </w:r>
          </w:p>
        </w:tc>
      </w:tr>
      <w:tr w:rsidR="00B44148" w:rsidRPr="004B03EC" w14:paraId="64A5DAFD" w14:textId="77777777" w:rsidTr="00AF1802">
        <w:trPr>
          <w:cnfStyle w:val="000000010000" w:firstRow="0" w:lastRow="0" w:firstColumn="0" w:lastColumn="0" w:oddVBand="0" w:evenVBand="0" w:oddHBand="0" w:evenHBand="1"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2206" w:type="dxa"/>
            <w:tcBorders>
              <w:top w:val="none" w:sz="0" w:space="0" w:color="auto"/>
              <w:left w:val="none" w:sz="0" w:space="0" w:color="auto"/>
              <w:bottom w:val="none" w:sz="0" w:space="0" w:color="auto"/>
              <w:right w:val="none" w:sz="0" w:space="0" w:color="auto"/>
            </w:tcBorders>
            <w:vAlign w:val="bottom"/>
          </w:tcPr>
          <w:p w14:paraId="295FF014" w14:textId="77777777" w:rsidR="00B44148" w:rsidRPr="004B03EC" w:rsidRDefault="00B44148" w:rsidP="004B03EC">
            <w:pPr>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weight</w:t>
            </w:r>
          </w:p>
        </w:tc>
        <w:tc>
          <w:tcPr>
            <w:tcW w:w="2244" w:type="dxa"/>
            <w:tcBorders>
              <w:top w:val="none" w:sz="0" w:space="0" w:color="auto"/>
              <w:left w:val="none" w:sz="0" w:space="0" w:color="auto"/>
              <w:bottom w:val="none" w:sz="0" w:space="0" w:color="auto"/>
              <w:right w:val="none" w:sz="0" w:space="0" w:color="auto"/>
            </w:tcBorders>
            <w:vAlign w:val="bottom"/>
          </w:tcPr>
          <w:p w14:paraId="6089F519" w14:textId="77777777" w:rsidR="00B44148" w:rsidRPr="004B03EC" w:rsidRDefault="00B44148" w:rsidP="004B03EC">
            <w:pPr>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90.94 ± 20.62</w:t>
            </w:r>
          </w:p>
        </w:tc>
        <w:tc>
          <w:tcPr>
            <w:tcW w:w="2766" w:type="dxa"/>
            <w:tcBorders>
              <w:top w:val="none" w:sz="0" w:space="0" w:color="auto"/>
              <w:left w:val="none" w:sz="0" w:space="0" w:color="auto"/>
              <w:bottom w:val="none" w:sz="0" w:space="0" w:color="auto"/>
              <w:right w:val="none" w:sz="0" w:space="0" w:color="auto"/>
            </w:tcBorders>
            <w:vAlign w:val="bottom"/>
          </w:tcPr>
          <w:p w14:paraId="278CA503" w14:textId="77777777" w:rsidR="00B44148" w:rsidRPr="004B03EC" w:rsidRDefault="00B44148" w:rsidP="004B03EC">
            <w:pPr>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0"/>
                <w:szCs w:val="20"/>
                <w:u w:val="single"/>
              </w:rPr>
            </w:pPr>
            <w:r w:rsidRPr="004B03EC">
              <w:rPr>
                <w:rFonts w:asciiTheme="majorBidi" w:eastAsia="Times New Roman" w:hAnsiTheme="majorBidi" w:cstheme="majorBidi"/>
                <w:sz w:val="20"/>
                <w:szCs w:val="20"/>
              </w:rPr>
              <w:t>108.97 ± 21.16</w:t>
            </w:r>
          </w:p>
        </w:tc>
        <w:tc>
          <w:tcPr>
            <w:tcW w:w="2198" w:type="dxa"/>
            <w:tcBorders>
              <w:top w:val="none" w:sz="0" w:space="0" w:color="auto"/>
              <w:left w:val="none" w:sz="0" w:space="0" w:color="auto"/>
              <w:bottom w:val="none" w:sz="0" w:space="0" w:color="auto"/>
              <w:right w:val="none" w:sz="0" w:space="0" w:color="auto"/>
            </w:tcBorders>
          </w:tcPr>
          <w:p w14:paraId="59A33144" w14:textId="77777777" w:rsidR="00B44148" w:rsidRPr="004B03EC" w:rsidRDefault="00B44148" w:rsidP="004B03EC">
            <w:pPr>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0.001*</w:t>
            </w:r>
          </w:p>
        </w:tc>
      </w:tr>
      <w:tr w:rsidR="00B44148" w:rsidRPr="004B03EC" w14:paraId="23089A63" w14:textId="77777777" w:rsidTr="00AF1802">
        <w:trPr>
          <w:cnfStyle w:val="000000100000" w:firstRow="0" w:lastRow="0" w:firstColumn="0" w:lastColumn="0" w:oddVBand="0" w:evenVBand="0" w:oddHBand="1" w:evenHBand="0" w:firstRowFirstColumn="0" w:firstRowLastColumn="0" w:lastRowFirstColumn="0" w:lastRowLastColumn="0"/>
          <w:trHeight w:val="173"/>
          <w:jc w:val="center"/>
        </w:trPr>
        <w:tc>
          <w:tcPr>
            <w:cnfStyle w:val="001000000000" w:firstRow="0" w:lastRow="0" w:firstColumn="1" w:lastColumn="0" w:oddVBand="0" w:evenVBand="0" w:oddHBand="0" w:evenHBand="0" w:firstRowFirstColumn="0" w:firstRowLastColumn="0" w:lastRowFirstColumn="0" w:lastRowLastColumn="0"/>
            <w:tcW w:w="2206" w:type="dxa"/>
            <w:tcBorders>
              <w:top w:val="none" w:sz="0" w:space="0" w:color="auto"/>
              <w:left w:val="none" w:sz="0" w:space="0" w:color="auto"/>
              <w:bottom w:val="none" w:sz="0" w:space="0" w:color="auto"/>
              <w:right w:val="none" w:sz="0" w:space="0" w:color="auto"/>
            </w:tcBorders>
            <w:vAlign w:val="bottom"/>
          </w:tcPr>
          <w:p w14:paraId="49CEFB38" w14:textId="77777777" w:rsidR="00B44148" w:rsidRPr="004B03EC" w:rsidRDefault="00B44148" w:rsidP="004B03EC">
            <w:pPr>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Waist</w:t>
            </w:r>
          </w:p>
        </w:tc>
        <w:tc>
          <w:tcPr>
            <w:tcW w:w="2244" w:type="dxa"/>
            <w:tcBorders>
              <w:top w:val="none" w:sz="0" w:space="0" w:color="auto"/>
              <w:left w:val="none" w:sz="0" w:space="0" w:color="auto"/>
              <w:bottom w:val="none" w:sz="0" w:space="0" w:color="auto"/>
              <w:right w:val="none" w:sz="0" w:space="0" w:color="auto"/>
            </w:tcBorders>
            <w:vAlign w:val="bottom"/>
          </w:tcPr>
          <w:p w14:paraId="24886EFC" w14:textId="77777777" w:rsidR="00B44148" w:rsidRPr="004B03EC" w:rsidRDefault="00B44148" w:rsidP="004B03EC">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106.92 ± 11.89</w:t>
            </w:r>
          </w:p>
        </w:tc>
        <w:tc>
          <w:tcPr>
            <w:tcW w:w="2766" w:type="dxa"/>
            <w:tcBorders>
              <w:top w:val="none" w:sz="0" w:space="0" w:color="auto"/>
              <w:left w:val="none" w:sz="0" w:space="0" w:color="auto"/>
              <w:bottom w:val="none" w:sz="0" w:space="0" w:color="auto"/>
              <w:right w:val="none" w:sz="0" w:space="0" w:color="auto"/>
            </w:tcBorders>
            <w:vAlign w:val="bottom"/>
          </w:tcPr>
          <w:p w14:paraId="211672A5" w14:textId="77777777" w:rsidR="00B44148" w:rsidRPr="004B03EC" w:rsidRDefault="00B44148" w:rsidP="004B03EC">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118.82 ± 17.95</w:t>
            </w:r>
          </w:p>
        </w:tc>
        <w:tc>
          <w:tcPr>
            <w:tcW w:w="2198" w:type="dxa"/>
            <w:tcBorders>
              <w:top w:val="none" w:sz="0" w:space="0" w:color="auto"/>
              <w:left w:val="none" w:sz="0" w:space="0" w:color="auto"/>
              <w:bottom w:val="none" w:sz="0" w:space="0" w:color="auto"/>
              <w:right w:val="none" w:sz="0" w:space="0" w:color="auto"/>
            </w:tcBorders>
          </w:tcPr>
          <w:p w14:paraId="7538E726" w14:textId="77777777" w:rsidR="00B44148" w:rsidRPr="004B03EC" w:rsidRDefault="00B44148" w:rsidP="004B03EC">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0.001*</w:t>
            </w:r>
          </w:p>
        </w:tc>
      </w:tr>
      <w:tr w:rsidR="00B44148" w:rsidRPr="004B03EC" w14:paraId="7303A221" w14:textId="77777777" w:rsidTr="00AF1802">
        <w:trPr>
          <w:cnfStyle w:val="000000010000" w:firstRow="0" w:lastRow="0" w:firstColumn="0" w:lastColumn="0" w:oddVBand="0" w:evenVBand="0" w:oddHBand="0" w:evenHBand="1"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206" w:type="dxa"/>
            <w:tcBorders>
              <w:top w:val="none" w:sz="0" w:space="0" w:color="auto"/>
              <w:left w:val="none" w:sz="0" w:space="0" w:color="auto"/>
              <w:bottom w:val="none" w:sz="0" w:space="0" w:color="auto"/>
              <w:right w:val="none" w:sz="0" w:space="0" w:color="auto"/>
            </w:tcBorders>
            <w:vAlign w:val="bottom"/>
          </w:tcPr>
          <w:p w14:paraId="1C178BED" w14:textId="77777777" w:rsidR="00B44148" w:rsidRPr="004B03EC" w:rsidRDefault="00B44148" w:rsidP="004B03EC">
            <w:pPr>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Hip</w:t>
            </w:r>
          </w:p>
        </w:tc>
        <w:tc>
          <w:tcPr>
            <w:tcW w:w="2244" w:type="dxa"/>
            <w:tcBorders>
              <w:top w:val="none" w:sz="0" w:space="0" w:color="auto"/>
              <w:left w:val="none" w:sz="0" w:space="0" w:color="auto"/>
              <w:bottom w:val="none" w:sz="0" w:space="0" w:color="auto"/>
              <w:right w:val="none" w:sz="0" w:space="0" w:color="auto"/>
            </w:tcBorders>
            <w:vAlign w:val="bottom"/>
          </w:tcPr>
          <w:p w14:paraId="4E5FD345" w14:textId="77777777" w:rsidR="00B44148" w:rsidRPr="004B03EC" w:rsidRDefault="00B44148" w:rsidP="004B03EC">
            <w:pPr>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124.05 ± 15.16</w:t>
            </w:r>
          </w:p>
        </w:tc>
        <w:tc>
          <w:tcPr>
            <w:tcW w:w="2766" w:type="dxa"/>
            <w:tcBorders>
              <w:top w:val="none" w:sz="0" w:space="0" w:color="auto"/>
              <w:left w:val="none" w:sz="0" w:space="0" w:color="auto"/>
              <w:bottom w:val="none" w:sz="0" w:space="0" w:color="auto"/>
              <w:right w:val="none" w:sz="0" w:space="0" w:color="auto"/>
            </w:tcBorders>
            <w:vAlign w:val="bottom"/>
          </w:tcPr>
          <w:p w14:paraId="4D38E58B" w14:textId="77777777" w:rsidR="00B44148" w:rsidRPr="004B03EC" w:rsidRDefault="00B44148" w:rsidP="004B03EC">
            <w:pPr>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0"/>
                <w:szCs w:val="20"/>
                <w:u w:val="single"/>
              </w:rPr>
            </w:pPr>
            <w:r w:rsidRPr="004B03EC">
              <w:rPr>
                <w:rFonts w:asciiTheme="majorBidi" w:eastAsia="Times New Roman" w:hAnsiTheme="majorBidi" w:cstheme="majorBidi"/>
                <w:sz w:val="20"/>
                <w:szCs w:val="20"/>
              </w:rPr>
              <w:t>127.36 ± 15.87</w:t>
            </w:r>
          </w:p>
        </w:tc>
        <w:tc>
          <w:tcPr>
            <w:tcW w:w="2198" w:type="dxa"/>
            <w:tcBorders>
              <w:top w:val="none" w:sz="0" w:space="0" w:color="auto"/>
              <w:left w:val="none" w:sz="0" w:space="0" w:color="auto"/>
              <w:bottom w:val="none" w:sz="0" w:space="0" w:color="auto"/>
              <w:right w:val="none" w:sz="0" w:space="0" w:color="auto"/>
            </w:tcBorders>
          </w:tcPr>
          <w:p w14:paraId="1ACAD96B" w14:textId="77777777" w:rsidR="00B44148" w:rsidRPr="004B03EC" w:rsidRDefault="00B44148" w:rsidP="004B03EC">
            <w:pPr>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0.217</w:t>
            </w:r>
          </w:p>
        </w:tc>
      </w:tr>
      <w:tr w:rsidR="00B44148" w:rsidRPr="004B03EC" w14:paraId="2841559C" w14:textId="77777777" w:rsidTr="00AF1802">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206" w:type="dxa"/>
            <w:tcBorders>
              <w:top w:val="none" w:sz="0" w:space="0" w:color="auto"/>
              <w:left w:val="none" w:sz="0" w:space="0" w:color="auto"/>
              <w:bottom w:val="none" w:sz="0" w:space="0" w:color="auto"/>
              <w:right w:val="none" w:sz="0" w:space="0" w:color="auto"/>
            </w:tcBorders>
            <w:vAlign w:val="bottom"/>
          </w:tcPr>
          <w:p w14:paraId="6D6FB808" w14:textId="77777777" w:rsidR="00B44148" w:rsidRPr="004B03EC" w:rsidRDefault="00B44148" w:rsidP="004B03EC">
            <w:pPr>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BMI</w:t>
            </w:r>
          </w:p>
        </w:tc>
        <w:tc>
          <w:tcPr>
            <w:tcW w:w="2244" w:type="dxa"/>
            <w:tcBorders>
              <w:top w:val="none" w:sz="0" w:space="0" w:color="auto"/>
              <w:left w:val="none" w:sz="0" w:space="0" w:color="auto"/>
              <w:bottom w:val="none" w:sz="0" w:space="0" w:color="auto"/>
              <w:right w:val="none" w:sz="0" w:space="0" w:color="auto"/>
            </w:tcBorders>
            <w:vAlign w:val="bottom"/>
          </w:tcPr>
          <w:p w14:paraId="71F40869" w14:textId="77777777" w:rsidR="00B44148" w:rsidRPr="004B03EC" w:rsidRDefault="00B44148" w:rsidP="004B03EC">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34.37 ± 8.01</w:t>
            </w:r>
          </w:p>
        </w:tc>
        <w:tc>
          <w:tcPr>
            <w:tcW w:w="2766" w:type="dxa"/>
            <w:tcBorders>
              <w:top w:val="none" w:sz="0" w:space="0" w:color="auto"/>
              <w:left w:val="none" w:sz="0" w:space="0" w:color="auto"/>
              <w:bottom w:val="none" w:sz="0" w:space="0" w:color="auto"/>
              <w:right w:val="none" w:sz="0" w:space="0" w:color="auto"/>
            </w:tcBorders>
            <w:vAlign w:val="bottom"/>
          </w:tcPr>
          <w:p w14:paraId="39F38793" w14:textId="77777777" w:rsidR="00B44148" w:rsidRPr="004B03EC" w:rsidRDefault="00B44148" w:rsidP="004B03EC">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42.64 ± 8.93</w:t>
            </w:r>
          </w:p>
        </w:tc>
        <w:tc>
          <w:tcPr>
            <w:tcW w:w="2198" w:type="dxa"/>
            <w:tcBorders>
              <w:top w:val="none" w:sz="0" w:space="0" w:color="auto"/>
              <w:left w:val="none" w:sz="0" w:space="0" w:color="auto"/>
              <w:bottom w:val="none" w:sz="0" w:space="0" w:color="auto"/>
              <w:right w:val="none" w:sz="0" w:space="0" w:color="auto"/>
            </w:tcBorders>
          </w:tcPr>
          <w:p w14:paraId="4EA4EDBD" w14:textId="77777777" w:rsidR="00B44148" w:rsidRPr="004B03EC" w:rsidRDefault="00B44148" w:rsidP="004B03EC">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&lt;0.001*</w:t>
            </w:r>
          </w:p>
        </w:tc>
      </w:tr>
      <w:tr w:rsidR="00B44148" w:rsidRPr="004B03EC" w14:paraId="1BB57D64" w14:textId="77777777" w:rsidTr="00AF1802">
        <w:trPr>
          <w:cnfStyle w:val="000000010000" w:firstRow="0" w:lastRow="0" w:firstColumn="0" w:lastColumn="0" w:oddVBand="0" w:evenVBand="0" w:oddHBand="0" w:evenHBand="1"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2206" w:type="dxa"/>
            <w:tcBorders>
              <w:top w:val="none" w:sz="0" w:space="0" w:color="auto"/>
              <w:left w:val="none" w:sz="0" w:space="0" w:color="auto"/>
              <w:bottom w:val="none" w:sz="0" w:space="0" w:color="auto"/>
              <w:right w:val="none" w:sz="0" w:space="0" w:color="auto"/>
            </w:tcBorders>
            <w:vAlign w:val="bottom"/>
          </w:tcPr>
          <w:p w14:paraId="6D7E155D" w14:textId="77777777" w:rsidR="00B44148" w:rsidRPr="004B03EC" w:rsidRDefault="00B44148" w:rsidP="004B03EC">
            <w:pPr>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WHR</w:t>
            </w:r>
          </w:p>
        </w:tc>
        <w:tc>
          <w:tcPr>
            <w:tcW w:w="2244" w:type="dxa"/>
            <w:tcBorders>
              <w:top w:val="none" w:sz="0" w:space="0" w:color="auto"/>
              <w:left w:val="none" w:sz="0" w:space="0" w:color="auto"/>
              <w:bottom w:val="none" w:sz="0" w:space="0" w:color="auto"/>
              <w:right w:val="none" w:sz="0" w:space="0" w:color="auto"/>
            </w:tcBorders>
            <w:vAlign w:val="bottom"/>
          </w:tcPr>
          <w:p w14:paraId="19068CDE" w14:textId="77777777" w:rsidR="00B44148" w:rsidRPr="004B03EC" w:rsidRDefault="00B44148" w:rsidP="004B03EC">
            <w:pPr>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0.86 ± 0.06</w:t>
            </w:r>
          </w:p>
        </w:tc>
        <w:tc>
          <w:tcPr>
            <w:tcW w:w="2766" w:type="dxa"/>
            <w:tcBorders>
              <w:top w:val="none" w:sz="0" w:space="0" w:color="auto"/>
              <w:left w:val="none" w:sz="0" w:space="0" w:color="auto"/>
              <w:bottom w:val="none" w:sz="0" w:space="0" w:color="auto"/>
              <w:right w:val="none" w:sz="0" w:space="0" w:color="auto"/>
            </w:tcBorders>
            <w:vAlign w:val="bottom"/>
          </w:tcPr>
          <w:p w14:paraId="2B56F2B2" w14:textId="77777777" w:rsidR="00B44148" w:rsidRPr="004B03EC" w:rsidRDefault="00B44148" w:rsidP="004B03EC">
            <w:pPr>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0"/>
                <w:szCs w:val="20"/>
                <w:u w:val="single"/>
              </w:rPr>
            </w:pPr>
            <w:r w:rsidRPr="004B03EC">
              <w:rPr>
                <w:rFonts w:asciiTheme="majorBidi" w:eastAsia="Times New Roman" w:hAnsiTheme="majorBidi" w:cstheme="majorBidi"/>
                <w:sz w:val="20"/>
                <w:szCs w:val="20"/>
              </w:rPr>
              <w:t>0.93 ± 0.04</w:t>
            </w:r>
          </w:p>
        </w:tc>
        <w:tc>
          <w:tcPr>
            <w:tcW w:w="2198" w:type="dxa"/>
            <w:tcBorders>
              <w:top w:val="none" w:sz="0" w:space="0" w:color="auto"/>
              <w:left w:val="none" w:sz="0" w:space="0" w:color="auto"/>
              <w:bottom w:val="none" w:sz="0" w:space="0" w:color="auto"/>
              <w:right w:val="none" w:sz="0" w:space="0" w:color="auto"/>
            </w:tcBorders>
          </w:tcPr>
          <w:p w14:paraId="41A96C88" w14:textId="77777777" w:rsidR="00B44148" w:rsidRPr="004B03EC" w:rsidRDefault="00B44148" w:rsidP="004B03EC">
            <w:pPr>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&lt;0.001*</w:t>
            </w:r>
          </w:p>
        </w:tc>
      </w:tr>
      <w:tr w:rsidR="00B44148" w:rsidRPr="004B03EC" w14:paraId="5EF618A0" w14:textId="77777777" w:rsidTr="00AF1802">
        <w:trPr>
          <w:cnfStyle w:val="000000100000" w:firstRow="0" w:lastRow="0" w:firstColumn="0" w:lastColumn="0" w:oddVBand="0" w:evenVBand="0" w:oddHBand="1"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2206" w:type="dxa"/>
            <w:tcBorders>
              <w:top w:val="none" w:sz="0" w:space="0" w:color="auto"/>
              <w:left w:val="none" w:sz="0" w:space="0" w:color="auto"/>
              <w:bottom w:val="none" w:sz="0" w:space="0" w:color="auto"/>
              <w:right w:val="none" w:sz="0" w:space="0" w:color="auto"/>
            </w:tcBorders>
          </w:tcPr>
          <w:p w14:paraId="1C9832F5" w14:textId="77777777" w:rsidR="00B44148" w:rsidRPr="004B03EC" w:rsidRDefault="00B44148" w:rsidP="004B03EC">
            <w:pPr>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DM</w:t>
            </w:r>
          </w:p>
          <w:p w14:paraId="15E79B60" w14:textId="77777777" w:rsidR="00B44148" w:rsidRPr="004B03EC" w:rsidRDefault="00B44148" w:rsidP="004B03EC">
            <w:pPr>
              <w:numPr>
                <w:ilvl w:val="0"/>
                <w:numId w:val="3"/>
              </w:numPr>
              <w:jc w:val="both"/>
              <w:rPr>
                <w:rFonts w:asciiTheme="majorBidi" w:hAnsiTheme="majorBidi" w:cstheme="majorBidi"/>
                <w:sz w:val="20"/>
                <w:szCs w:val="20"/>
              </w:rPr>
            </w:pPr>
            <w:r w:rsidRPr="004B03EC">
              <w:rPr>
                <w:rFonts w:asciiTheme="majorBidi" w:eastAsia="Times New Roman" w:hAnsiTheme="majorBidi" w:cstheme="majorBidi"/>
                <w:sz w:val="20"/>
                <w:szCs w:val="20"/>
              </w:rPr>
              <w:t>No</w:t>
            </w:r>
          </w:p>
          <w:p w14:paraId="71407874" w14:textId="77777777" w:rsidR="00B44148" w:rsidRPr="004B03EC" w:rsidRDefault="00B44148" w:rsidP="004B03EC">
            <w:pPr>
              <w:numPr>
                <w:ilvl w:val="0"/>
                <w:numId w:val="3"/>
              </w:numPr>
              <w:jc w:val="both"/>
              <w:rPr>
                <w:rFonts w:asciiTheme="majorBidi" w:hAnsiTheme="majorBidi" w:cstheme="majorBidi"/>
                <w:sz w:val="20"/>
                <w:szCs w:val="20"/>
              </w:rPr>
            </w:pPr>
            <w:r w:rsidRPr="004B03EC">
              <w:rPr>
                <w:rFonts w:asciiTheme="majorBidi" w:eastAsia="Times New Roman" w:hAnsiTheme="majorBidi" w:cstheme="majorBidi"/>
                <w:sz w:val="20"/>
                <w:szCs w:val="20"/>
              </w:rPr>
              <w:t>Yes</w:t>
            </w:r>
          </w:p>
        </w:tc>
        <w:tc>
          <w:tcPr>
            <w:tcW w:w="2244" w:type="dxa"/>
            <w:tcBorders>
              <w:top w:val="none" w:sz="0" w:space="0" w:color="auto"/>
              <w:left w:val="none" w:sz="0" w:space="0" w:color="auto"/>
              <w:bottom w:val="none" w:sz="0" w:space="0" w:color="auto"/>
              <w:right w:val="none" w:sz="0" w:space="0" w:color="auto"/>
            </w:tcBorders>
          </w:tcPr>
          <w:p w14:paraId="5159FE63" w14:textId="77777777" w:rsidR="00B44148" w:rsidRPr="004B03EC" w:rsidRDefault="00B44148" w:rsidP="004B03EC">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p w14:paraId="04810CBC" w14:textId="77777777" w:rsidR="00B44148" w:rsidRPr="004B03EC" w:rsidRDefault="00B44148" w:rsidP="004B03EC">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70 (89.7%)</w:t>
            </w:r>
          </w:p>
          <w:p w14:paraId="65D249EF" w14:textId="77777777" w:rsidR="00B44148" w:rsidRPr="004B03EC" w:rsidRDefault="00B44148" w:rsidP="004B03EC">
            <w:pPr>
              <w:numPr>
                <w:ilvl w:val="0"/>
                <w:numId w:val="4"/>
              </w:num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(10.3%)</w:t>
            </w:r>
          </w:p>
        </w:tc>
        <w:tc>
          <w:tcPr>
            <w:tcW w:w="2766" w:type="dxa"/>
            <w:tcBorders>
              <w:top w:val="none" w:sz="0" w:space="0" w:color="auto"/>
              <w:left w:val="none" w:sz="0" w:space="0" w:color="auto"/>
              <w:bottom w:val="none" w:sz="0" w:space="0" w:color="auto"/>
              <w:right w:val="none" w:sz="0" w:space="0" w:color="auto"/>
            </w:tcBorders>
          </w:tcPr>
          <w:p w14:paraId="4F6B3429" w14:textId="77777777" w:rsidR="00B44148" w:rsidRPr="004B03EC" w:rsidRDefault="00B44148" w:rsidP="004B03EC">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
          <w:p w14:paraId="5EBCD6AB" w14:textId="77777777" w:rsidR="00B44148" w:rsidRPr="004B03EC" w:rsidRDefault="00B44148" w:rsidP="004B03EC">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22 (100.0%)</w:t>
            </w:r>
          </w:p>
          <w:p w14:paraId="0D844CCB" w14:textId="77777777" w:rsidR="00B44148" w:rsidRPr="004B03EC" w:rsidRDefault="00B44148" w:rsidP="004B03EC">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0 (0.0%)</w:t>
            </w:r>
          </w:p>
        </w:tc>
        <w:tc>
          <w:tcPr>
            <w:tcW w:w="2198" w:type="dxa"/>
            <w:tcBorders>
              <w:top w:val="none" w:sz="0" w:space="0" w:color="auto"/>
              <w:left w:val="none" w:sz="0" w:space="0" w:color="auto"/>
              <w:bottom w:val="none" w:sz="0" w:space="0" w:color="auto"/>
              <w:right w:val="none" w:sz="0" w:space="0" w:color="auto"/>
            </w:tcBorders>
          </w:tcPr>
          <w:p w14:paraId="2782C617" w14:textId="77777777" w:rsidR="00B44148" w:rsidRPr="004B03EC" w:rsidRDefault="00B44148" w:rsidP="004B03EC">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0.194</w:t>
            </w:r>
          </w:p>
        </w:tc>
      </w:tr>
      <w:tr w:rsidR="00B44148" w:rsidRPr="004B03EC" w14:paraId="45E69A1B" w14:textId="77777777" w:rsidTr="00AF1802">
        <w:trPr>
          <w:cnfStyle w:val="000000010000" w:firstRow="0" w:lastRow="0" w:firstColumn="0" w:lastColumn="0" w:oddVBand="0" w:evenVBand="0" w:oddHBand="0" w:evenHBand="1"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2206" w:type="dxa"/>
            <w:tcBorders>
              <w:top w:val="none" w:sz="0" w:space="0" w:color="auto"/>
              <w:left w:val="none" w:sz="0" w:space="0" w:color="auto"/>
              <w:bottom w:val="none" w:sz="0" w:space="0" w:color="auto"/>
              <w:right w:val="none" w:sz="0" w:space="0" w:color="auto"/>
            </w:tcBorders>
            <w:vAlign w:val="bottom"/>
          </w:tcPr>
          <w:p w14:paraId="221B9BC7" w14:textId="77777777" w:rsidR="00B44148" w:rsidRPr="004B03EC" w:rsidRDefault="00B44148" w:rsidP="004B03EC">
            <w:pPr>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Hypertension</w:t>
            </w:r>
          </w:p>
          <w:p w14:paraId="1833D91E" w14:textId="77777777" w:rsidR="00B44148" w:rsidRPr="004B03EC" w:rsidRDefault="00B44148" w:rsidP="004B03EC">
            <w:pPr>
              <w:numPr>
                <w:ilvl w:val="0"/>
                <w:numId w:val="3"/>
              </w:numPr>
              <w:jc w:val="both"/>
              <w:rPr>
                <w:rFonts w:asciiTheme="majorBidi" w:hAnsiTheme="majorBidi" w:cstheme="majorBidi"/>
                <w:sz w:val="20"/>
                <w:szCs w:val="20"/>
              </w:rPr>
            </w:pPr>
            <w:r w:rsidRPr="004B03EC">
              <w:rPr>
                <w:rFonts w:asciiTheme="majorBidi" w:eastAsia="Times New Roman" w:hAnsiTheme="majorBidi" w:cstheme="majorBidi"/>
                <w:sz w:val="20"/>
                <w:szCs w:val="20"/>
              </w:rPr>
              <w:t>No</w:t>
            </w:r>
          </w:p>
          <w:p w14:paraId="181D13BD" w14:textId="77777777" w:rsidR="00B44148" w:rsidRPr="004B03EC" w:rsidRDefault="00B44148" w:rsidP="004B03EC">
            <w:pPr>
              <w:numPr>
                <w:ilvl w:val="0"/>
                <w:numId w:val="3"/>
              </w:numPr>
              <w:jc w:val="both"/>
              <w:rPr>
                <w:rFonts w:asciiTheme="majorBidi" w:hAnsiTheme="majorBidi" w:cstheme="majorBidi"/>
                <w:sz w:val="20"/>
                <w:szCs w:val="20"/>
              </w:rPr>
            </w:pPr>
            <w:r w:rsidRPr="004B03EC">
              <w:rPr>
                <w:rFonts w:asciiTheme="majorBidi" w:eastAsia="Times New Roman" w:hAnsiTheme="majorBidi" w:cstheme="majorBidi"/>
                <w:sz w:val="20"/>
                <w:szCs w:val="20"/>
              </w:rPr>
              <w:t>Yes</w:t>
            </w:r>
          </w:p>
        </w:tc>
        <w:tc>
          <w:tcPr>
            <w:tcW w:w="2244" w:type="dxa"/>
            <w:tcBorders>
              <w:top w:val="none" w:sz="0" w:space="0" w:color="auto"/>
              <w:left w:val="none" w:sz="0" w:space="0" w:color="auto"/>
              <w:bottom w:val="none" w:sz="0" w:space="0" w:color="auto"/>
              <w:right w:val="none" w:sz="0" w:space="0" w:color="auto"/>
            </w:tcBorders>
            <w:vAlign w:val="bottom"/>
          </w:tcPr>
          <w:p w14:paraId="2E8B0A36" w14:textId="77777777" w:rsidR="00B44148" w:rsidRPr="004B03EC" w:rsidRDefault="00B44148" w:rsidP="004B03EC">
            <w:pPr>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58 (74.4%)</w:t>
            </w:r>
          </w:p>
          <w:p w14:paraId="27137736" w14:textId="77777777" w:rsidR="00B44148" w:rsidRPr="004B03EC" w:rsidRDefault="00B44148" w:rsidP="004B03EC">
            <w:pPr>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20 (25.6%)</w:t>
            </w:r>
          </w:p>
        </w:tc>
        <w:tc>
          <w:tcPr>
            <w:tcW w:w="2766" w:type="dxa"/>
            <w:tcBorders>
              <w:top w:val="none" w:sz="0" w:space="0" w:color="auto"/>
              <w:left w:val="none" w:sz="0" w:space="0" w:color="auto"/>
              <w:bottom w:val="none" w:sz="0" w:space="0" w:color="auto"/>
              <w:right w:val="none" w:sz="0" w:space="0" w:color="auto"/>
            </w:tcBorders>
            <w:vAlign w:val="bottom"/>
          </w:tcPr>
          <w:p w14:paraId="30D111EF" w14:textId="77777777" w:rsidR="00B44148" w:rsidRPr="004B03EC" w:rsidRDefault="00B44148" w:rsidP="004B03EC">
            <w:pPr>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18 (81.8%)</w:t>
            </w:r>
          </w:p>
          <w:p w14:paraId="5FA9C3F5" w14:textId="77777777" w:rsidR="00B44148" w:rsidRPr="004B03EC" w:rsidRDefault="00B44148" w:rsidP="004B03EC">
            <w:pPr>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4 (18.2%)</w:t>
            </w:r>
          </w:p>
        </w:tc>
        <w:tc>
          <w:tcPr>
            <w:tcW w:w="2198" w:type="dxa"/>
            <w:tcBorders>
              <w:top w:val="none" w:sz="0" w:space="0" w:color="auto"/>
              <w:left w:val="none" w:sz="0" w:space="0" w:color="auto"/>
              <w:bottom w:val="none" w:sz="0" w:space="0" w:color="auto"/>
              <w:right w:val="none" w:sz="0" w:space="0" w:color="auto"/>
            </w:tcBorders>
          </w:tcPr>
          <w:p w14:paraId="0ECF6872" w14:textId="77777777" w:rsidR="00B44148" w:rsidRPr="004B03EC" w:rsidRDefault="00B44148" w:rsidP="004B03EC">
            <w:pPr>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0.469</w:t>
            </w:r>
          </w:p>
        </w:tc>
      </w:tr>
      <w:tr w:rsidR="00B44148" w:rsidRPr="004B03EC" w14:paraId="6187F562" w14:textId="77777777" w:rsidTr="00AF1802">
        <w:trPr>
          <w:cnfStyle w:val="000000100000" w:firstRow="0" w:lastRow="0" w:firstColumn="0" w:lastColumn="0" w:oddVBand="0" w:evenVBand="0" w:oddHBand="1" w:evenHBand="0" w:firstRowFirstColumn="0" w:firstRowLastColumn="0" w:lastRowFirstColumn="0" w:lastRowLastColumn="0"/>
          <w:trHeight w:val="46"/>
          <w:jc w:val="center"/>
        </w:trPr>
        <w:tc>
          <w:tcPr>
            <w:cnfStyle w:val="001000000000" w:firstRow="0" w:lastRow="0" w:firstColumn="1" w:lastColumn="0" w:oddVBand="0" w:evenVBand="0" w:oddHBand="0" w:evenHBand="0" w:firstRowFirstColumn="0" w:firstRowLastColumn="0" w:lastRowFirstColumn="0" w:lastRowLastColumn="0"/>
            <w:tcW w:w="2206" w:type="dxa"/>
            <w:tcBorders>
              <w:top w:val="none" w:sz="0" w:space="0" w:color="auto"/>
              <w:left w:val="none" w:sz="0" w:space="0" w:color="auto"/>
              <w:bottom w:val="single" w:sz="4" w:space="0" w:color="auto"/>
              <w:right w:val="none" w:sz="0" w:space="0" w:color="auto"/>
            </w:tcBorders>
            <w:vAlign w:val="bottom"/>
          </w:tcPr>
          <w:p w14:paraId="3AB2DC98" w14:textId="77777777" w:rsidR="00B44148" w:rsidRPr="004B03EC" w:rsidRDefault="00B44148" w:rsidP="004B03EC">
            <w:pPr>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History of regimen:</w:t>
            </w:r>
          </w:p>
          <w:p w14:paraId="7AC58470" w14:textId="77777777" w:rsidR="00B44148" w:rsidRPr="004B03EC" w:rsidRDefault="00B44148" w:rsidP="004B03EC">
            <w:pPr>
              <w:numPr>
                <w:ilvl w:val="0"/>
                <w:numId w:val="3"/>
              </w:numPr>
              <w:jc w:val="both"/>
              <w:rPr>
                <w:rFonts w:asciiTheme="majorBidi" w:hAnsiTheme="majorBidi" w:cstheme="majorBidi"/>
                <w:sz w:val="20"/>
                <w:szCs w:val="20"/>
              </w:rPr>
            </w:pPr>
            <w:r w:rsidRPr="004B03EC">
              <w:rPr>
                <w:rFonts w:asciiTheme="majorBidi" w:eastAsia="Times New Roman" w:hAnsiTheme="majorBidi" w:cstheme="majorBidi"/>
                <w:sz w:val="20"/>
                <w:szCs w:val="20"/>
              </w:rPr>
              <w:t>No</w:t>
            </w:r>
          </w:p>
          <w:p w14:paraId="0676B8FF" w14:textId="77777777" w:rsidR="00B44148" w:rsidRPr="004B03EC" w:rsidRDefault="00B44148" w:rsidP="004B03EC">
            <w:pPr>
              <w:numPr>
                <w:ilvl w:val="0"/>
                <w:numId w:val="3"/>
              </w:numPr>
              <w:jc w:val="both"/>
              <w:rPr>
                <w:rFonts w:asciiTheme="majorBidi" w:hAnsiTheme="majorBidi" w:cstheme="majorBidi"/>
                <w:sz w:val="20"/>
                <w:szCs w:val="20"/>
              </w:rPr>
            </w:pPr>
            <w:r w:rsidRPr="004B03EC">
              <w:rPr>
                <w:rFonts w:asciiTheme="majorBidi" w:eastAsia="Times New Roman" w:hAnsiTheme="majorBidi" w:cstheme="majorBidi"/>
                <w:sz w:val="20"/>
                <w:szCs w:val="20"/>
              </w:rPr>
              <w:t>Yes</w:t>
            </w:r>
          </w:p>
        </w:tc>
        <w:tc>
          <w:tcPr>
            <w:tcW w:w="2244" w:type="dxa"/>
            <w:tcBorders>
              <w:top w:val="none" w:sz="0" w:space="0" w:color="auto"/>
              <w:left w:val="none" w:sz="0" w:space="0" w:color="auto"/>
              <w:bottom w:val="single" w:sz="4" w:space="0" w:color="auto"/>
              <w:right w:val="none" w:sz="0" w:space="0" w:color="auto"/>
            </w:tcBorders>
            <w:vAlign w:val="bottom"/>
          </w:tcPr>
          <w:p w14:paraId="13A3CF4E" w14:textId="77777777" w:rsidR="00B44148" w:rsidRPr="004B03EC" w:rsidRDefault="00B44148" w:rsidP="004B03EC">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54 (69.2%)</w:t>
            </w:r>
          </w:p>
          <w:p w14:paraId="0E548D73" w14:textId="77777777" w:rsidR="00B44148" w:rsidRPr="004B03EC" w:rsidRDefault="00B44148" w:rsidP="004B03EC">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24 (30.8%)</w:t>
            </w:r>
          </w:p>
        </w:tc>
        <w:tc>
          <w:tcPr>
            <w:tcW w:w="2766" w:type="dxa"/>
            <w:tcBorders>
              <w:top w:val="none" w:sz="0" w:space="0" w:color="auto"/>
              <w:left w:val="none" w:sz="0" w:space="0" w:color="auto"/>
              <w:bottom w:val="single" w:sz="4" w:space="0" w:color="auto"/>
              <w:right w:val="none" w:sz="0" w:space="0" w:color="auto"/>
            </w:tcBorders>
            <w:vAlign w:val="bottom"/>
          </w:tcPr>
          <w:p w14:paraId="5CC32B66" w14:textId="77777777" w:rsidR="00B44148" w:rsidRPr="004B03EC" w:rsidRDefault="00B44148" w:rsidP="004B03EC">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18 (81.8%)</w:t>
            </w:r>
          </w:p>
          <w:p w14:paraId="4664D1DA" w14:textId="77777777" w:rsidR="00B44148" w:rsidRPr="004B03EC" w:rsidRDefault="00B44148" w:rsidP="004B03EC">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4 (18.2%)</w:t>
            </w:r>
          </w:p>
        </w:tc>
        <w:tc>
          <w:tcPr>
            <w:tcW w:w="2198" w:type="dxa"/>
            <w:tcBorders>
              <w:top w:val="none" w:sz="0" w:space="0" w:color="auto"/>
              <w:left w:val="none" w:sz="0" w:space="0" w:color="auto"/>
              <w:bottom w:val="single" w:sz="4" w:space="0" w:color="auto"/>
              <w:right w:val="none" w:sz="0" w:space="0" w:color="auto"/>
            </w:tcBorders>
          </w:tcPr>
          <w:p w14:paraId="24D38452" w14:textId="77777777" w:rsidR="00B44148" w:rsidRPr="004B03EC" w:rsidRDefault="00B44148" w:rsidP="004B03EC">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0.246</w:t>
            </w:r>
          </w:p>
        </w:tc>
      </w:tr>
    </w:tbl>
    <w:p w14:paraId="4D8CEF40" w14:textId="5F4F8E45" w:rsidR="00B44148" w:rsidRPr="00AF1802" w:rsidRDefault="00AF1802" w:rsidP="004B03EC">
      <w:pPr>
        <w:spacing w:after="0" w:line="240" w:lineRule="auto"/>
        <w:jc w:val="both"/>
        <w:rPr>
          <w:rFonts w:asciiTheme="majorBidi" w:hAnsiTheme="majorBidi" w:cstheme="majorBidi"/>
          <w:sz w:val="20"/>
          <w:szCs w:val="20"/>
        </w:rPr>
      </w:pPr>
      <w:r w:rsidRPr="00AF1802">
        <w:rPr>
          <w:rFonts w:asciiTheme="majorBidi" w:eastAsia="Times New Roman" w:hAnsiTheme="majorBidi" w:cstheme="majorBidi"/>
          <w:b/>
          <w:i/>
          <w:iCs/>
          <w:color w:val="1F497D" w:themeColor="text2"/>
          <w:sz w:val="20"/>
          <w:szCs w:val="20"/>
        </w:rPr>
        <w:t>Abbreviation: n, number of cases/participants; BMI, Body mass index; WHR, waist-hip ratio</w:t>
      </w:r>
    </w:p>
    <w:p w14:paraId="32C34D15" w14:textId="6565E285" w:rsidR="00076E62" w:rsidRPr="005C6C9A" w:rsidRDefault="006C59F4" w:rsidP="004B03EC">
      <w:pPr>
        <w:spacing w:after="0" w:line="240" w:lineRule="auto"/>
        <w:jc w:val="both"/>
        <w:rPr>
          <w:rFonts w:asciiTheme="majorBidi" w:hAnsiTheme="majorBidi" w:cstheme="majorBidi"/>
          <w:sz w:val="24"/>
          <w:szCs w:val="24"/>
        </w:rPr>
      </w:pPr>
      <w:r w:rsidRPr="005C6C9A">
        <w:rPr>
          <w:rFonts w:asciiTheme="majorBidi" w:hAnsiTheme="majorBidi" w:cstheme="majorBidi"/>
          <w:sz w:val="24"/>
          <w:szCs w:val="24"/>
        </w:rPr>
        <w:t xml:space="preserve">The mean age was (45.36 ± 8.76) in </w:t>
      </w:r>
      <w:r w:rsidR="00696A8F" w:rsidRPr="005C6C9A">
        <w:rPr>
          <w:rFonts w:asciiTheme="majorBidi" w:hAnsiTheme="majorBidi" w:cstheme="majorBidi"/>
          <w:sz w:val="24"/>
          <w:szCs w:val="24"/>
        </w:rPr>
        <w:t xml:space="preserve">the </w:t>
      </w:r>
      <w:r w:rsidRPr="005C6C9A">
        <w:rPr>
          <w:rFonts w:asciiTheme="majorBidi" w:hAnsiTheme="majorBidi" w:cstheme="majorBidi"/>
          <w:sz w:val="24"/>
          <w:szCs w:val="24"/>
        </w:rPr>
        <w:t>early fibrosis group and (47.27 ± 9.44) in the advanced fibrosis group. A statistically significant difference was detected between both groups regarding weight, waist, BMI, and WHR ratio (p &lt;0.001*).</w:t>
      </w:r>
    </w:p>
    <w:p w14:paraId="0970E883" w14:textId="3B577C90" w:rsidR="00B44148" w:rsidRPr="005C6C9A" w:rsidRDefault="006C59F4" w:rsidP="004B03EC">
      <w:pPr>
        <w:spacing w:after="0" w:line="240" w:lineRule="auto"/>
        <w:jc w:val="both"/>
        <w:rPr>
          <w:rFonts w:asciiTheme="majorBidi" w:hAnsiTheme="majorBidi" w:cstheme="majorBidi"/>
          <w:b/>
          <w:bCs/>
          <w:sz w:val="24"/>
          <w:szCs w:val="24"/>
        </w:rPr>
      </w:pPr>
      <w:r w:rsidRPr="005C6C9A">
        <w:rPr>
          <w:rFonts w:asciiTheme="majorBidi" w:hAnsiTheme="majorBidi" w:cstheme="majorBidi"/>
          <w:sz w:val="24"/>
          <w:szCs w:val="24"/>
        </w:rPr>
        <w:t xml:space="preserve">The clinical and laboratory data of </w:t>
      </w:r>
      <w:r w:rsidR="00696A8F" w:rsidRPr="005C6C9A">
        <w:rPr>
          <w:rFonts w:asciiTheme="majorBidi" w:hAnsiTheme="majorBidi" w:cstheme="majorBidi"/>
          <w:sz w:val="24"/>
          <w:szCs w:val="24"/>
        </w:rPr>
        <w:t xml:space="preserve">the </w:t>
      </w:r>
      <w:r w:rsidRPr="005C6C9A">
        <w:rPr>
          <w:rFonts w:asciiTheme="majorBidi" w:hAnsiTheme="majorBidi" w:cstheme="majorBidi"/>
          <w:sz w:val="24"/>
          <w:szCs w:val="24"/>
        </w:rPr>
        <w:t xml:space="preserve">early fibrosis group were compared with data of </w:t>
      </w:r>
      <w:r w:rsidR="00696A8F" w:rsidRPr="005C6C9A">
        <w:rPr>
          <w:rFonts w:asciiTheme="majorBidi" w:hAnsiTheme="majorBidi" w:cstheme="majorBidi"/>
          <w:sz w:val="24"/>
          <w:szCs w:val="24"/>
        </w:rPr>
        <w:t xml:space="preserve">the </w:t>
      </w:r>
      <w:r w:rsidRPr="005C6C9A">
        <w:rPr>
          <w:rFonts w:asciiTheme="majorBidi" w:hAnsiTheme="majorBidi" w:cstheme="majorBidi"/>
          <w:sz w:val="24"/>
          <w:szCs w:val="24"/>
        </w:rPr>
        <w:t>advanced fibrosis group</w:t>
      </w:r>
      <w:r w:rsidR="00696A8F" w:rsidRPr="005C6C9A">
        <w:rPr>
          <w:rFonts w:asciiTheme="majorBidi" w:hAnsiTheme="majorBidi" w:cstheme="majorBidi"/>
          <w:sz w:val="24"/>
          <w:szCs w:val="24"/>
        </w:rPr>
        <w:t>,</w:t>
      </w:r>
      <w:r w:rsidRPr="005C6C9A">
        <w:rPr>
          <w:rFonts w:asciiTheme="majorBidi" w:hAnsiTheme="majorBidi" w:cstheme="majorBidi"/>
          <w:sz w:val="24"/>
          <w:szCs w:val="24"/>
        </w:rPr>
        <w:t xml:space="preserve"> as shown in </w:t>
      </w:r>
      <w:r w:rsidRPr="005C6C9A">
        <w:rPr>
          <w:rFonts w:asciiTheme="majorBidi" w:hAnsiTheme="majorBidi" w:cstheme="majorBidi"/>
          <w:b/>
          <w:bCs/>
          <w:sz w:val="24"/>
          <w:szCs w:val="24"/>
        </w:rPr>
        <w:t>Table 2</w:t>
      </w:r>
      <w:r w:rsidR="00696A8F" w:rsidRPr="005C6C9A">
        <w:rPr>
          <w:rFonts w:asciiTheme="majorBidi" w:hAnsiTheme="majorBidi" w:cstheme="majorBidi"/>
          <w:b/>
          <w:bCs/>
          <w:sz w:val="24"/>
          <w:szCs w:val="24"/>
        </w:rPr>
        <w:t>.</w:t>
      </w:r>
    </w:p>
    <w:p w14:paraId="78352F29" w14:textId="5D36BD73" w:rsidR="00F24934" w:rsidRPr="007C4701" w:rsidRDefault="00F24934" w:rsidP="007C4701">
      <w:pPr>
        <w:spacing w:after="0" w:line="240" w:lineRule="auto"/>
        <w:jc w:val="both"/>
        <w:rPr>
          <w:rFonts w:asciiTheme="majorBidi" w:hAnsiTheme="majorBidi" w:cstheme="majorBidi"/>
          <w:b/>
          <w:bCs/>
          <w:sz w:val="20"/>
          <w:szCs w:val="20"/>
        </w:rPr>
      </w:pPr>
    </w:p>
    <w:p w14:paraId="000B8DE5" w14:textId="28CFD51F" w:rsidR="007C4701" w:rsidRPr="00532D5E" w:rsidRDefault="007C4701" w:rsidP="007C4701">
      <w:pPr>
        <w:pStyle w:val="Caption"/>
        <w:keepNext/>
        <w:rPr>
          <w:b/>
          <w:bCs/>
          <w:sz w:val="20"/>
          <w:szCs w:val="20"/>
        </w:rPr>
      </w:pPr>
      <w:r w:rsidRPr="00532D5E">
        <w:rPr>
          <w:sz w:val="20"/>
          <w:szCs w:val="20"/>
        </w:rPr>
        <w:t xml:space="preserve">Table </w:t>
      </w:r>
      <w:r w:rsidR="0045681E" w:rsidRPr="00532D5E">
        <w:rPr>
          <w:sz w:val="20"/>
          <w:szCs w:val="20"/>
        </w:rPr>
        <w:fldChar w:fldCharType="begin"/>
      </w:r>
      <w:r w:rsidR="0045681E" w:rsidRPr="00532D5E">
        <w:rPr>
          <w:sz w:val="20"/>
          <w:szCs w:val="20"/>
        </w:rPr>
        <w:instrText xml:space="preserve"> SEQ Table \* ARABIC </w:instrText>
      </w:r>
      <w:r w:rsidR="0045681E" w:rsidRPr="00532D5E">
        <w:rPr>
          <w:sz w:val="20"/>
          <w:szCs w:val="20"/>
        </w:rPr>
        <w:fldChar w:fldCharType="separate"/>
      </w:r>
      <w:r w:rsidR="008F28EB">
        <w:rPr>
          <w:noProof/>
          <w:sz w:val="20"/>
          <w:szCs w:val="20"/>
        </w:rPr>
        <w:t>1</w:t>
      </w:r>
      <w:r w:rsidR="0045681E" w:rsidRPr="00532D5E">
        <w:rPr>
          <w:sz w:val="20"/>
          <w:szCs w:val="20"/>
        </w:rPr>
        <w:fldChar w:fldCharType="end"/>
      </w:r>
      <w:r w:rsidRPr="00532D5E">
        <w:rPr>
          <w:sz w:val="20"/>
          <w:szCs w:val="20"/>
        </w:rPr>
        <w:t xml:space="preserve">. </w:t>
      </w:r>
      <w:r w:rsidR="00532D5E" w:rsidRPr="00532D5E">
        <w:rPr>
          <w:b/>
          <w:sz w:val="20"/>
          <w:szCs w:val="20"/>
        </w:rPr>
        <w:t>Clinical</w:t>
      </w:r>
      <w:r w:rsidRPr="00532D5E">
        <w:rPr>
          <w:b/>
          <w:sz w:val="20"/>
          <w:szCs w:val="20"/>
        </w:rPr>
        <w:t xml:space="preserve"> and laboratory data of the studied patients.</w:t>
      </w:r>
    </w:p>
    <w:tbl>
      <w:tblPr>
        <w:tblW w:w="9414" w:type="dxa"/>
        <w:jc w:val="center"/>
        <w:tblLayout w:type="fixed"/>
        <w:tblLook w:val="04A0" w:firstRow="1" w:lastRow="0" w:firstColumn="1" w:lastColumn="0" w:noHBand="0" w:noVBand="1"/>
        <w:tblCaption w:val="Table (2): clinical and laboratory data of the studied patients."/>
        <w:tblDescription w:val="Data presented as mean + SD. (P &lt; 0.05 is significant). &#10;Abbreviation: n, number of cases/participants; FBS, Fasting blood sugar; HbA1c, Glycated hemoglobin; TC, Total cholesterol; TG, Triacylglycerol; HDL-c, High-density lipoprotein–cholesterol; LDL-c, Low-density lipoprotein–cholesterol; VLDL-c, Very low-density lipoprotein–cholesterol; ALT, Alanine aminotransferase; AST, Aspartate Aminotransferase; ALP, Alkaline phosphatase; GGT, Gamma-glutamyl Transferase; INR, International normalized ratio; HB, Hemoglobin; WBCs, White blood cells; GPR, Gamma-glutamyl transferase to platelets ratio; GAR, Gamma-glutamyl transferase to albumin ratio. &#10;"/>
      </w:tblPr>
      <w:tblGrid>
        <w:gridCol w:w="2206"/>
        <w:gridCol w:w="2244"/>
        <w:gridCol w:w="2766"/>
        <w:gridCol w:w="2198"/>
      </w:tblGrid>
      <w:tr w:rsidR="00B44148" w:rsidRPr="004B03EC" w14:paraId="74F7BC6C" w14:textId="77777777" w:rsidTr="00F24934">
        <w:trPr>
          <w:trHeight w:val="397"/>
          <w:jc w:val="center"/>
        </w:trPr>
        <w:tc>
          <w:tcPr>
            <w:tcW w:w="2206" w:type="dxa"/>
            <w:tcBorders>
              <w:top w:val="single" w:sz="4" w:space="0" w:color="auto"/>
              <w:bottom w:val="single" w:sz="4" w:space="0" w:color="auto"/>
            </w:tcBorders>
          </w:tcPr>
          <w:p w14:paraId="2DE4712E" w14:textId="77777777" w:rsidR="00B44148" w:rsidRPr="004B03EC" w:rsidRDefault="00B44148" w:rsidP="004B03EC">
            <w:pPr>
              <w:spacing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Variable</w:t>
            </w:r>
          </w:p>
        </w:tc>
        <w:tc>
          <w:tcPr>
            <w:tcW w:w="2244" w:type="dxa"/>
            <w:tcBorders>
              <w:top w:val="single" w:sz="4" w:space="0" w:color="auto"/>
              <w:bottom w:val="single" w:sz="4" w:space="0" w:color="auto"/>
            </w:tcBorders>
          </w:tcPr>
          <w:p w14:paraId="2FD6AACF" w14:textId="4245BAC4" w:rsidR="00B44148" w:rsidRPr="004B03EC" w:rsidRDefault="00B44148" w:rsidP="004B03EC">
            <w:pPr>
              <w:spacing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 xml:space="preserve">Early Fibrosis </w:t>
            </w:r>
            <w:r w:rsidR="00696A8F">
              <w:rPr>
                <w:rFonts w:asciiTheme="majorBidi" w:eastAsia="Times New Roman" w:hAnsiTheme="majorBidi" w:cstheme="majorBidi"/>
                <w:sz w:val="20"/>
                <w:szCs w:val="20"/>
              </w:rPr>
              <w:t>Group</w:t>
            </w:r>
          </w:p>
          <w:p w14:paraId="59638A69" w14:textId="77777777" w:rsidR="00B44148" w:rsidRPr="004B03EC" w:rsidRDefault="00B44148" w:rsidP="004B03EC">
            <w:pPr>
              <w:spacing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(n= 78)</w:t>
            </w:r>
          </w:p>
        </w:tc>
        <w:tc>
          <w:tcPr>
            <w:tcW w:w="2766" w:type="dxa"/>
            <w:tcBorders>
              <w:top w:val="single" w:sz="4" w:space="0" w:color="auto"/>
              <w:bottom w:val="single" w:sz="4" w:space="0" w:color="auto"/>
            </w:tcBorders>
          </w:tcPr>
          <w:p w14:paraId="5AC1B55C" w14:textId="090B7E3B" w:rsidR="00B44148" w:rsidRPr="004B03EC" w:rsidRDefault="00B44148" w:rsidP="004B03EC">
            <w:pPr>
              <w:spacing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 xml:space="preserve">Advanced Fibrosis </w:t>
            </w:r>
            <w:r w:rsidR="00696A8F">
              <w:rPr>
                <w:rFonts w:asciiTheme="majorBidi" w:eastAsia="Times New Roman" w:hAnsiTheme="majorBidi" w:cstheme="majorBidi"/>
                <w:sz w:val="20"/>
                <w:szCs w:val="20"/>
              </w:rPr>
              <w:t>Group</w:t>
            </w:r>
          </w:p>
          <w:p w14:paraId="545774BF" w14:textId="18F644D9" w:rsidR="00B44148" w:rsidRPr="004B03EC" w:rsidRDefault="00B44148" w:rsidP="004B03EC">
            <w:pPr>
              <w:spacing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(n= 22)</w:t>
            </w:r>
          </w:p>
        </w:tc>
        <w:tc>
          <w:tcPr>
            <w:tcW w:w="2198" w:type="dxa"/>
            <w:tcBorders>
              <w:top w:val="single" w:sz="4" w:space="0" w:color="auto"/>
              <w:bottom w:val="single" w:sz="4" w:space="0" w:color="auto"/>
            </w:tcBorders>
          </w:tcPr>
          <w:p w14:paraId="3A269390" w14:textId="77777777" w:rsidR="00B44148" w:rsidRPr="004B03EC" w:rsidRDefault="00B44148" w:rsidP="004B03EC">
            <w:pPr>
              <w:spacing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p-value</w:t>
            </w:r>
          </w:p>
        </w:tc>
      </w:tr>
      <w:tr w:rsidR="00B44148" w:rsidRPr="004B03EC" w14:paraId="200180C5" w14:textId="77777777" w:rsidTr="00F24934">
        <w:trPr>
          <w:trHeight w:val="170"/>
          <w:jc w:val="center"/>
        </w:trPr>
        <w:tc>
          <w:tcPr>
            <w:tcW w:w="2206" w:type="dxa"/>
            <w:tcBorders>
              <w:top w:val="single" w:sz="4" w:space="0" w:color="auto"/>
            </w:tcBorders>
            <w:vAlign w:val="bottom"/>
          </w:tcPr>
          <w:p w14:paraId="5F047584" w14:textId="77777777" w:rsidR="00B44148" w:rsidRPr="004B03EC" w:rsidRDefault="00B44148" w:rsidP="004B03EC">
            <w:pPr>
              <w:spacing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Steatosis grade</w:t>
            </w:r>
          </w:p>
          <w:p w14:paraId="491D3393" w14:textId="77777777" w:rsidR="00B44148" w:rsidRPr="004B03EC" w:rsidRDefault="00B44148" w:rsidP="004B03EC">
            <w:pPr>
              <w:spacing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S0</w:t>
            </w:r>
          </w:p>
          <w:p w14:paraId="00507A74" w14:textId="77777777" w:rsidR="00B44148" w:rsidRPr="004B03EC" w:rsidRDefault="00B44148" w:rsidP="004B03EC">
            <w:pPr>
              <w:spacing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S1</w:t>
            </w:r>
          </w:p>
          <w:p w14:paraId="2A7664C5" w14:textId="77777777" w:rsidR="00B44148" w:rsidRPr="004B03EC" w:rsidRDefault="00B44148" w:rsidP="004B03EC">
            <w:pPr>
              <w:spacing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S2</w:t>
            </w:r>
          </w:p>
          <w:p w14:paraId="1B04AEFD" w14:textId="77777777" w:rsidR="00B44148" w:rsidRPr="004B03EC" w:rsidRDefault="00B44148" w:rsidP="004B03EC">
            <w:pPr>
              <w:spacing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S3</w:t>
            </w:r>
          </w:p>
        </w:tc>
        <w:tc>
          <w:tcPr>
            <w:tcW w:w="2244" w:type="dxa"/>
            <w:tcBorders>
              <w:top w:val="single" w:sz="4" w:space="0" w:color="auto"/>
            </w:tcBorders>
            <w:vAlign w:val="bottom"/>
          </w:tcPr>
          <w:p w14:paraId="1DB9E479"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8 (10.3%)</w:t>
            </w:r>
          </w:p>
          <w:p w14:paraId="7F7EB126"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20 (25.6%)</w:t>
            </w:r>
          </w:p>
          <w:p w14:paraId="3A5EEBAD"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28 (35.9%)</w:t>
            </w:r>
          </w:p>
          <w:p w14:paraId="668422D6"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22 (28.2%)</w:t>
            </w:r>
          </w:p>
        </w:tc>
        <w:tc>
          <w:tcPr>
            <w:tcW w:w="2766" w:type="dxa"/>
            <w:tcBorders>
              <w:top w:val="single" w:sz="4" w:space="0" w:color="auto"/>
            </w:tcBorders>
            <w:vAlign w:val="bottom"/>
          </w:tcPr>
          <w:p w14:paraId="76396785"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0 (0.0%)</w:t>
            </w:r>
          </w:p>
          <w:p w14:paraId="13455C38"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4 (18.2%)</w:t>
            </w:r>
          </w:p>
          <w:p w14:paraId="66EF9068"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0 (0.0%)</w:t>
            </w:r>
          </w:p>
          <w:p w14:paraId="0F83CB3D"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18 (81.8%)</w:t>
            </w:r>
          </w:p>
        </w:tc>
        <w:tc>
          <w:tcPr>
            <w:tcW w:w="2198" w:type="dxa"/>
            <w:tcBorders>
              <w:top w:val="single" w:sz="4" w:space="0" w:color="auto"/>
            </w:tcBorders>
          </w:tcPr>
          <w:p w14:paraId="4E189463"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&lt;0.001*</w:t>
            </w:r>
          </w:p>
        </w:tc>
      </w:tr>
      <w:tr w:rsidR="00B44148" w:rsidRPr="004B03EC" w14:paraId="5D6E5D41" w14:textId="77777777" w:rsidTr="00F24934">
        <w:trPr>
          <w:trHeight w:val="170"/>
          <w:jc w:val="center"/>
        </w:trPr>
        <w:tc>
          <w:tcPr>
            <w:tcW w:w="2206" w:type="dxa"/>
            <w:vAlign w:val="bottom"/>
          </w:tcPr>
          <w:p w14:paraId="74B5C122" w14:textId="77777777" w:rsidR="00B44148" w:rsidRPr="004B03EC" w:rsidRDefault="00B44148" w:rsidP="004B03EC">
            <w:pPr>
              <w:spacing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fibrosis score</w:t>
            </w:r>
          </w:p>
        </w:tc>
        <w:tc>
          <w:tcPr>
            <w:tcW w:w="2244" w:type="dxa"/>
            <w:vAlign w:val="bottom"/>
          </w:tcPr>
          <w:p w14:paraId="7BBF1EB3"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5.11 ± 0.92</w:t>
            </w:r>
          </w:p>
        </w:tc>
        <w:tc>
          <w:tcPr>
            <w:tcW w:w="2766" w:type="dxa"/>
            <w:vAlign w:val="bottom"/>
          </w:tcPr>
          <w:p w14:paraId="6E09A1D9"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9.18 ± 1.38</w:t>
            </w:r>
          </w:p>
        </w:tc>
        <w:tc>
          <w:tcPr>
            <w:tcW w:w="2198" w:type="dxa"/>
          </w:tcPr>
          <w:p w14:paraId="02930689"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&lt;0.001*</w:t>
            </w:r>
          </w:p>
        </w:tc>
      </w:tr>
      <w:tr w:rsidR="00B44148" w:rsidRPr="004B03EC" w14:paraId="2E4A058D" w14:textId="77777777" w:rsidTr="00F24934">
        <w:trPr>
          <w:trHeight w:val="170"/>
          <w:jc w:val="center"/>
        </w:trPr>
        <w:tc>
          <w:tcPr>
            <w:tcW w:w="2206" w:type="dxa"/>
            <w:vAlign w:val="bottom"/>
          </w:tcPr>
          <w:p w14:paraId="6DFC7C40" w14:textId="77777777" w:rsidR="00B44148" w:rsidRPr="004B03EC" w:rsidRDefault="00B44148" w:rsidP="004B03EC">
            <w:pPr>
              <w:spacing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steatosis score</w:t>
            </w:r>
          </w:p>
        </w:tc>
        <w:tc>
          <w:tcPr>
            <w:tcW w:w="2244" w:type="dxa"/>
            <w:vAlign w:val="bottom"/>
          </w:tcPr>
          <w:p w14:paraId="0A379AD7"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280.18 ± 37.75</w:t>
            </w:r>
          </w:p>
        </w:tc>
        <w:tc>
          <w:tcPr>
            <w:tcW w:w="2766" w:type="dxa"/>
            <w:vAlign w:val="bottom"/>
          </w:tcPr>
          <w:p w14:paraId="123BD9B0"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323.27 ± 42.07</w:t>
            </w:r>
          </w:p>
        </w:tc>
        <w:tc>
          <w:tcPr>
            <w:tcW w:w="2198" w:type="dxa"/>
          </w:tcPr>
          <w:p w14:paraId="1D1AF587"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&lt;0.001*</w:t>
            </w:r>
          </w:p>
        </w:tc>
      </w:tr>
      <w:tr w:rsidR="00B44148" w:rsidRPr="004B03EC" w14:paraId="3A8B35B4" w14:textId="77777777" w:rsidTr="00F24934">
        <w:trPr>
          <w:trHeight w:val="170"/>
          <w:jc w:val="center"/>
        </w:trPr>
        <w:tc>
          <w:tcPr>
            <w:tcW w:w="2206" w:type="dxa"/>
            <w:vAlign w:val="bottom"/>
          </w:tcPr>
          <w:p w14:paraId="68C3ACF7" w14:textId="77777777" w:rsidR="00B44148" w:rsidRPr="004B03EC" w:rsidRDefault="00B44148" w:rsidP="004B03EC">
            <w:pPr>
              <w:spacing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SBP</w:t>
            </w:r>
          </w:p>
        </w:tc>
        <w:tc>
          <w:tcPr>
            <w:tcW w:w="2244" w:type="dxa"/>
            <w:vAlign w:val="bottom"/>
          </w:tcPr>
          <w:p w14:paraId="35CF6928"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123.33 ± 15.97</w:t>
            </w:r>
          </w:p>
        </w:tc>
        <w:tc>
          <w:tcPr>
            <w:tcW w:w="2766" w:type="dxa"/>
            <w:vAlign w:val="bottom"/>
          </w:tcPr>
          <w:p w14:paraId="7101ECCF" w14:textId="77777777" w:rsidR="00B44148" w:rsidRPr="004B03EC" w:rsidRDefault="00B44148" w:rsidP="004B03EC">
            <w:pPr>
              <w:spacing w:line="240" w:lineRule="auto"/>
              <w:jc w:val="both"/>
              <w:rPr>
                <w:rFonts w:asciiTheme="majorBidi" w:eastAsia="Times New Roman" w:hAnsiTheme="majorBidi" w:cstheme="majorBidi"/>
                <w:b/>
                <w:sz w:val="20"/>
                <w:szCs w:val="20"/>
                <w:u w:val="single"/>
              </w:rPr>
            </w:pPr>
            <w:r w:rsidRPr="004B03EC">
              <w:rPr>
                <w:rFonts w:asciiTheme="majorBidi" w:eastAsia="Times New Roman" w:hAnsiTheme="majorBidi" w:cstheme="majorBidi"/>
                <w:b/>
                <w:sz w:val="20"/>
                <w:szCs w:val="20"/>
              </w:rPr>
              <w:t>134.55 ± 14.05</w:t>
            </w:r>
          </w:p>
        </w:tc>
        <w:tc>
          <w:tcPr>
            <w:tcW w:w="2198" w:type="dxa"/>
          </w:tcPr>
          <w:p w14:paraId="71E6B3C3"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0.003*</w:t>
            </w:r>
          </w:p>
        </w:tc>
      </w:tr>
      <w:tr w:rsidR="00B44148" w:rsidRPr="004B03EC" w14:paraId="25491978" w14:textId="77777777" w:rsidTr="00F24934">
        <w:trPr>
          <w:trHeight w:val="170"/>
          <w:jc w:val="center"/>
        </w:trPr>
        <w:tc>
          <w:tcPr>
            <w:tcW w:w="2206" w:type="dxa"/>
            <w:vAlign w:val="bottom"/>
          </w:tcPr>
          <w:p w14:paraId="09980998" w14:textId="77777777" w:rsidR="00B44148" w:rsidRPr="004B03EC" w:rsidRDefault="00B44148" w:rsidP="004B03EC">
            <w:pPr>
              <w:spacing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DBP</w:t>
            </w:r>
          </w:p>
        </w:tc>
        <w:tc>
          <w:tcPr>
            <w:tcW w:w="2244" w:type="dxa"/>
            <w:vAlign w:val="bottom"/>
          </w:tcPr>
          <w:p w14:paraId="28B4BF79" w14:textId="77777777" w:rsidR="00B44148" w:rsidRPr="004B03EC" w:rsidRDefault="00B44148" w:rsidP="004B03EC">
            <w:pPr>
              <w:spacing w:line="240" w:lineRule="auto"/>
              <w:jc w:val="both"/>
              <w:rPr>
                <w:rFonts w:asciiTheme="majorBidi" w:eastAsia="Times New Roman" w:hAnsiTheme="majorBidi" w:cstheme="majorBidi"/>
                <w:b/>
                <w:sz w:val="20"/>
                <w:szCs w:val="20"/>
                <w:u w:val="single"/>
              </w:rPr>
            </w:pPr>
            <w:r w:rsidRPr="004B03EC">
              <w:rPr>
                <w:rFonts w:asciiTheme="majorBidi" w:eastAsia="Times New Roman" w:hAnsiTheme="majorBidi" w:cstheme="majorBidi"/>
                <w:b/>
                <w:sz w:val="20"/>
                <w:szCs w:val="20"/>
              </w:rPr>
              <w:t>72.31 ± 11.72</w:t>
            </w:r>
          </w:p>
        </w:tc>
        <w:tc>
          <w:tcPr>
            <w:tcW w:w="2766" w:type="dxa"/>
            <w:vAlign w:val="bottom"/>
          </w:tcPr>
          <w:p w14:paraId="392241BA"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82.73 ± 12.41</w:t>
            </w:r>
          </w:p>
        </w:tc>
        <w:tc>
          <w:tcPr>
            <w:tcW w:w="2198" w:type="dxa"/>
          </w:tcPr>
          <w:p w14:paraId="72403BF5"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&lt;0.001*</w:t>
            </w:r>
          </w:p>
        </w:tc>
      </w:tr>
      <w:tr w:rsidR="00B44148" w:rsidRPr="004B03EC" w14:paraId="7C0C7075" w14:textId="77777777" w:rsidTr="00F24934">
        <w:trPr>
          <w:trHeight w:val="170"/>
          <w:jc w:val="center"/>
        </w:trPr>
        <w:tc>
          <w:tcPr>
            <w:tcW w:w="2206" w:type="dxa"/>
            <w:vAlign w:val="bottom"/>
          </w:tcPr>
          <w:p w14:paraId="0062E6FE" w14:textId="77777777" w:rsidR="00B44148" w:rsidRPr="004B03EC" w:rsidRDefault="00B44148" w:rsidP="004B03EC">
            <w:pPr>
              <w:spacing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ALT</w:t>
            </w:r>
          </w:p>
        </w:tc>
        <w:tc>
          <w:tcPr>
            <w:tcW w:w="2244" w:type="dxa"/>
            <w:vAlign w:val="bottom"/>
          </w:tcPr>
          <w:p w14:paraId="6D443BF1"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43.84 ± 24.61</w:t>
            </w:r>
          </w:p>
        </w:tc>
        <w:tc>
          <w:tcPr>
            <w:tcW w:w="2766" w:type="dxa"/>
            <w:vAlign w:val="bottom"/>
          </w:tcPr>
          <w:p w14:paraId="6DBC8A0E" w14:textId="77777777" w:rsidR="00B44148" w:rsidRPr="004B03EC" w:rsidRDefault="00B44148" w:rsidP="004B03EC">
            <w:pPr>
              <w:spacing w:line="240" w:lineRule="auto"/>
              <w:jc w:val="both"/>
              <w:rPr>
                <w:rFonts w:asciiTheme="majorBidi" w:eastAsia="Times New Roman" w:hAnsiTheme="majorBidi" w:cstheme="majorBidi"/>
                <w:b/>
                <w:sz w:val="20"/>
                <w:szCs w:val="20"/>
                <w:u w:val="single"/>
              </w:rPr>
            </w:pPr>
            <w:r w:rsidRPr="004B03EC">
              <w:rPr>
                <w:rFonts w:asciiTheme="majorBidi" w:eastAsia="Times New Roman" w:hAnsiTheme="majorBidi" w:cstheme="majorBidi"/>
                <w:b/>
                <w:sz w:val="20"/>
                <w:szCs w:val="20"/>
              </w:rPr>
              <w:t>60.30 ± 28.15</w:t>
            </w:r>
          </w:p>
        </w:tc>
        <w:tc>
          <w:tcPr>
            <w:tcW w:w="2198" w:type="dxa"/>
          </w:tcPr>
          <w:p w14:paraId="75092CE6"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&lt;0.001*</w:t>
            </w:r>
          </w:p>
        </w:tc>
      </w:tr>
      <w:tr w:rsidR="00B44148" w:rsidRPr="004B03EC" w14:paraId="621B3F4B" w14:textId="77777777" w:rsidTr="00F24934">
        <w:trPr>
          <w:trHeight w:val="170"/>
          <w:jc w:val="center"/>
        </w:trPr>
        <w:tc>
          <w:tcPr>
            <w:tcW w:w="2206" w:type="dxa"/>
            <w:vAlign w:val="bottom"/>
          </w:tcPr>
          <w:p w14:paraId="044330EB" w14:textId="77777777" w:rsidR="00B44148" w:rsidRPr="004B03EC" w:rsidRDefault="00B44148" w:rsidP="004B03EC">
            <w:pPr>
              <w:spacing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AST</w:t>
            </w:r>
          </w:p>
        </w:tc>
        <w:tc>
          <w:tcPr>
            <w:tcW w:w="2244" w:type="dxa"/>
            <w:vAlign w:val="bottom"/>
          </w:tcPr>
          <w:p w14:paraId="20B856F4"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45.26 ± 20.54</w:t>
            </w:r>
          </w:p>
        </w:tc>
        <w:tc>
          <w:tcPr>
            <w:tcW w:w="2766" w:type="dxa"/>
            <w:vAlign w:val="bottom"/>
          </w:tcPr>
          <w:p w14:paraId="5AEC8F3A" w14:textId="77777777" w:rsidR="00B44148" w:rsidRPr="004B03EC" w:rsidRDefault="00B44148" w:rsidP="004B03EC">
            <w:pPr>
              <w:spacing w:line="240" w:lineRule="auto"/>
              <w:jc w:val="both"/>
              <w:rPr>
                <w:rFonts w:asciiTheme="majorBidi" w:eastAsia="Times New Roman" w:hAnsiTheme="majorBidi" w:cstheme="majorBidi"/>
                <w:b/>
                <w:sz w:val="20"/>
                <w:szCs w:val="20"/>
                <w:u w:val="single"/>
              </w:rPr>
            </w:pPr>
            <w:r w:rsidRPr="004B03EC">
              <w:rPr>
                <w:rFonts w:asciiTheme="majorBidi" w:eastAsia="Times New Roman" w:hAnsiTheme="majorBidi" w:cstheme="majorBidi"/>
                <w:b/>
                <w:sz w:val="20"/>
                <w:szCs w:val="20"/>
              </w:rPr>
              <w:t>63.18 ± 20.99</w:t>
            </w:r>
          </w:p>
        </w:tc>
        <w:tc>
          <w:tcPr>
            <w:tcW w:w="2198" w:type="dxa"/>
          </w:tcPr>
          <w:p w14:paraId="403F93F0"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&lt;0.001*</w:t>
            </w:r>
          </w:p>
        </w:tc>
      </w:tr>
      <w:tr w:rsidR="00B44148" w:rsidRPr="004B03EC" w14:paraId="78355168" w14:textId="77777777" w:rsidTr="00F24934">
        <w:trPr>
          <w:trHeight w:val="170"/>
          <w:jc w:val="center"/>
        </w:trPr>
        <w:tc>
          <w:tcPr>
            <w:tcW w:w="2206" w:type="dxa"/>
            <w:vAlign w:val="bottom"/>
          </w:tcPr>
          <w:p w14:paraId="4A5809AB" w14:textId="77777777" w:rsidR="00B44148" w:rsidRPr="004B03EC" w:rsidRDefault="00B44148" w:rsidP="004B03EC">
            <w:pPr>
              <w:spacing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Bilirubin</w:t>
            </w:r>
          </w:p>
        </w:tc>
        <w:tc>
          <w:tcPr>
            <w:tcW w:w="2244" w:type="dxa"/>
            <w:vAlign w:val="bottom"/>
          </w:tcPr>
          <w:p w14:paraId="2E77D4C4"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0.84 ± 0.23</w:t>
            </w:r>
          </w:p>
        </w:tc>
        <w:tc>
          <w:tcPr>
            <w:tcW w:w="2766" w:type="dxa"/>
            <w:vAlign w:val="bottom"/>
          </w:tcPr>
          <w:p w14:paraId="462A2F68" w14:textId="77777777" w:rsidR="00B44148" w:rsidRPr="004B03EC" w:rsidRDefault="00B44148" w:rsidP="004B03EC">
            <w:pPr>
              <w:spacing w:line="240" w:lineRule="auto"/>
              <w:jc w:val="both"/>
              <w:rPr>
                <w:rFonts w:asciiTheme="majorBidi" w:eastAsia="Times New Roman" w:hAnsiTheme="majorBidi" w:cstheme="majorBidi"/>
                <w:b/>
                <w:sz w:val="20"/>
                <w:szCs w:val="20"/>
                <w:u w:val="single"/>
              </w:rPr>
            </w:pPr>
            <w:r w:rsidRPr="004B03EC">
              <w:rPr>
                <w:rFonts w:asciiTheme="majorBidi" w:eastAsia="Times New Roman" w:hAnsiTheme="majorBidi" w:cstheme="majorBidi"/>
                <w:b/>
                <w:sz w:val="20"/>
                <w:szCs w:val="20"/>
              </w:rPr>
              <w:t>0.87 ± 0.27</w:t>
            </w:r>
          </w:p>
        </w:tc>
        <w:tc>
          <w:tcPr>
            <w:tcW w:w="2198" w:type="dxa"/>
          </w:tcPr>
          <w:p w14:paraId="5B697834"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0.786</w:t>
            </w:r>
          </w:p>
        </w:tc>
      </w:tr>
      <w:tr w:rsidR="00B44148" w:rsidRPr="004B03EC" w14:paraId="163144B6" w14:textId="77777777" w:rsidTr="00F24934">
        <w:trPr>
          <w:trHeight w:val="170"/>
          <w:jc w:val="center"/>
        </w:trPr>
        <w:tc>
          <w:tcPr>
            <w:tcW w:w="2206" w:type="dxa"/>
            <w:vAlign w:val="bottom"/>
          </w:tcPr>
          <w:p w14:paraId="3080FFEA" w14:textId="77777777" w:rsidR="00B44148" w:rsidRPr="004B03EC" w:rsidRDefault="00B44148" w:rsidP="004B03EC">
            <w:pPr>
              <w:spacing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albumin</w:t>
            </w:r>
          </w:p>
        </w:tc>
        <w:tc>
          <w:tcPr>
            <w:tcW w:w="2244" w:type="dxa"/>
            <w:vAlign w:val="bottom"/>
          </w:tcPr>
          <w:p w14:paraId="5FE674AB" w14:textId="77777777" w:rsidR="00B44148" w:rsidRPr="004B03EC" w:rsidRDefault="00B44148" w:rsidP="004B03EC">
            <w:pPr>
              <w:spacing w:line="240" w:lineRule="auto"/>
              <w:jc w:val="both"/>
              <w:rPr>
                <w:rFonts w:asciiTheme="majorBidi" w:eastAsia="Times New Roman" w:hAnsiTheme="majorBidi" w:cstheme="majorBidi"/>
                <w:b/>
                <w:sz w:val="20"/>
                <w:szCs w:val="20"/>
                <w:u w:val="single"/>
              </w:rPr>
            </w:pPr>
            <w:r w:rsidRPr="004B03EC">
              <w:rPr>
                <w:rFonts w:asciiTheme="majorBidi" w:eastAsia="Times New Roman" w:hAnsiTheme="majorBidi" w:cstheme="majorBidi"/>
                <w:b/>
                <w:sz w:val="20"/>
                <w:szCs w:val="20"/>
              </w:rPr>
              <w:t>4.22 ± 0.35</w:t>
            </w:r>
          </w:p>
        </w:tc>
        <w:tc>
          <w:tcPr>
            <w:tcW w:w="2766" w:type="dxa"/>
            <w:vAlign w:val="bottom"/>
          </w:tcPr>
          <w:p w14:paraId="2716BAF6"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3.95 ± 0.18</w:t>
            </w:r>
          </w:p>
        </w:tc>
        <w:tc>
          <w:tcPr>
            <w:tcW w:w="2198" w:type="dxa"/>
          </w:tcPr>
          <w:p w14:paraId="2E0F25FE"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0.001*</w:t>
            </w:r>
          </w:p>
        </w:tc>
      </w:tr>
      <w:tr w:rsidR="00B44148" w:rsidRPr="004B03EC" w14:paraId="3FCC298E" w14:textId="77777777" w:rsidTr="00F24934">
        <w:trPr>
          <w:trHeight w:val="170"/>
          <w:jc w:val="center"/>
        </w:trPr>
        <w:tc>
          <w:tcPr>
            <w:tcW w:w="2206" w:type="dxa"/>
            <w:vAlign w:val="bottom"/>
          </w:tcPr>
          <w:p w14:paraId="7B25BFDF" w14:textId="77777777" w:rsidR="00B44148" w:rsidRPr="004B03EC" w:rsidRDefault="00B44148" w:rsidP="004B03EC">
            <w:pPr>
              <w:spacing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INR</w:t>
            </w:r>
          </w:p>
        </w:tc>
        <w:tc>
          <w:tcPr>
            <w:tcW w:w="2244" w:type="dxa"/>
            <w:vAlign w:val="bottom"/>
          </w:tcPr>
          <w:p w14:paraId="723ED255"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1.08 ± 0.32</w:t>
            </w:r>
          </w:p>
        </w:tc>
        <w:tc>
          <w:tcPr>
            <w:tcW w:w="2766" w:type="dxa"/>
            <w:vAlign w:val="bottom"/>
          </w:tcPr>
          <w:p w14:paraId="6F17FEB0" w14:textId="77777777" w:rsidR="00B44148" w:rsidRPr="004B03EC" w:rsidRDefault="00B44148" w:rsidP="004B03EC">
            <w:pPr>
              <w:spacing w:line="240" w:lineRule="auto"/>
              <w:jc w:val="both"/>
              <w:rPr>
                <w:rFonts w:asciiTheme="majorBidi" w:eastAsia="Times New Roman" w:hAnsiTheme="majorBidi" w:cstheme="majorBidi"/>
                <w:b/>
                <w:sz w:val="20"/>
                <w:szCs w:val="20"/>
                <w:u w:val="single"/>
              </w:rPr>
            </w:pPr>
            <w:r w:rsidRPr="004B03EC">
              <w:rPr>
                <w:rFonts w:asciiTheme="majorBidi" w:eastAsia="Times New Roman" w:hAnsiTheme="majorBidi" w:cstheme="majorBidi"/>
                <w:b/>
                <w:sz w:val="20"/>
                <w:szCs w:val="20"/>
              </w:rPr>
              <w:t>1.00 ± 0.00</w:t>
            </w:r>
          </w:p>
        </w:tc>
        <w:tc>
          <w:tcPr>
            <w:tcW w:w="2198" w:type="dxa"/>
          </w:tcPr>
          <w:p w14:paraId="069290DD"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0.720</w:t>
            </w:r>
          </w:p>
        </w:tc>
      </w:tr>
      <w:tr w:rsidR="00B44148" w:rsidRPr="004B03EC" w14:paraId="353798CE" w14:textId="77777777" w:rsidTr="00F24934">
        <w:trPr>
          <w:trHeight w:val="170"/>
          <w:jc w:val="center"/>
        </w:trPr>
        <w:tc>
          <w:tcPr>
            <w:tcW w:w="2206" w:type="dxa"/>
            <w:vAlign w:val="bottom"/>
          </w:tcPr>
          <w:p w14:paraId="1662FA11" w14:textId="77777777" w:rsidR="00B44148" w:rsidRPr="004B03EC" w:rsidRDefault="00B44148" w:rsidP="004B03EC">
            <w:pPr>
              <w:spacing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Fasting sugar</w:t>
            </w:r>
          </w:p>
        </w:tc>
        <w:tc>
          <w:tcPr>
            <w:tcW w:w="2244" w:type="dxa"/>
            <w:vAlign w:val="bottom"/>
          </w:tcPr>
          <w:p w14:paraId="6E200A9B"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100.10 ± 9.62</w:t>
            </w:r>
          </w:p>
        </w:tc>
        <w:tc>
          <w:tcPr>
            <w:tcW w:w="2766" w:type="dxa"/>
            <w:vAlign w:val="bottom"/>
          </w:tcPr>
          <w:p w14:paraId="5E43D17F" w14:textId="77777777" w:rsidR="00B44148" w:rsidRPr="004B03EC" w:rsidRDefault="00B44148" w:rsidP="004B03EC">
            <w:pPr>
              <w:spacing w:line="240" w:lineRule="auto"/>
              <w:jc w:val="both"/>
              <w:rPr>
                <w:rFonts w:asciiTheme="majorBidi" w:eastAsia="Times New Roman" w:hAnsiTheme="majorBidi" w:cstheme="majorBidi"/>
                <w:b/>
                <w:sz w:val="20"/>
                <w:szCs w:val="20"/>
                <w:u w:val="single"/>
              </w:rPr>
            </w:pPr>
            <w:r w:rsidRPr="004B03EC">
              <w:rPr>
                <w:rFonts w:asciiTheme="majorBidi" w:eastAsia="Times New Roman" w:hAnsiTheme="majorBidi" w:cstheme="majorBidi"/>
                <w:b/>
                <w:sz w:val="20"/>
                <w:szCs w:val="20"/>
              </w:rPr>
              <w:t>106.36 ± 12.45</w:t>
            </w:r>
          </w:p>
        </w:tc>
        <w:tc>
          <w:tcPr>
            <w:tcW w:w="2198" w:type="dxa"/>
          </w:tcPr>
          <w:p w14:paraId="6AC8D245"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0.358</w:t>
            </w:r>
          </w:p>
        </w:tc>
      </w:tr>
      <w:tr w:rsidR="00B44148" w:rsidRPr="004B03EC" w14:paraId="364F1432" w14:textId="77777777" w:rsidTr="00F24934">
        <w:trPr>
          <w:trHeight w:val="170"/>
          <w:jc w:val="center"/>
        </w:trPr>
        <w:tc>
          <w:tcPr>
            <w:tcW w:w="2206" w:type="dxa"/>
            <w:vAlign w:val="bottom"/>
          </w:tcPr>
          <w:p w14:paraId="30EDD481" w14:textId="77777777" w:rsidR="00B44148" w:rsidRPr="004B03EC" w:rsidRDefault="00B44148" w:rsidP="004B03EC">
            <w:pPr>
              <w:spacing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HbA1C</w:t>
            </w:r>
          </w:p>
        </w:tc>
        <w:tc>
          <w:tcPr>
            <w:tcW w:w="2244" w:type="dxa"/>
            <w:vAlign w:val="bottom"/>
          </w:tcPr>
          <w:p w14:paraId="2EFE1F26"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5.73 ± 1.07</w:t>
            </w:r>
          </w:p>
        </w:tc>
        <w:tc>
          <w:tcPr>
            <w:tcW w:w="2766" w:type="dxa"/>
            <w:vAlign w:val="bottom"/>
          </w:tcPr>
          <w:p w14:paraId="65FDB6D1" w14:textId="77777777" w:rsidR="00B44148" w:rsidRPr="004B03EC" w:rsidRDefault="00B44148" w:rsidP="004B03EC">
            <w:pPr>
              <w:spacing w:line="240" w:lineRule="auto"/>
              <w:jc w:val="both"/>
              <w:rPr>
                <w:rFonts w:asciiTheme="majorBidi" w:eastAsia="Times New Roman" w:hAnsiTheme="majorBidi" w:cstheme="majorBidi"/>
                <w:b/>
                <w:sz w:val="20"/>
                <w:szCs w:val="20"/>
                <w:u w:val="single"/>
              </w:rPr>
            </w:pPr>
            <w:r w:rsidRPr="004B03EC">
              <w:rPr>
                <w:rFonts w:asciiTheme="majorBidi" w:eastAsia="Times New Roman" w:hAnsiTheme="majorBidi" w:cstheme="majorBidi"/>
                <w:b/>
                <w:sz w:val="20"/>
                <w:szCs w:val="20"/>
              </w:rPr>
              <w:t>5.92 ± 0.14</w:t>
            </w:r>
          </w:p>
        </w:tc>
        <w:tc>
          <w:tcPr>
            <w:tcW w:w="2198" w:type="dxa"/>
          </w:tcPr>
          <w:p w14:paraId="515B4ABD"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0.234</w:t>
            </w:r>
          </w:p>
        </w:tc>
      </w:tr>
      <w:tr w:rsidR="00B44148" w:rsidRPr="004B03EC" w14:paraId="0C8E3E66" w14:textId="77777777" w:rsidTr="00F24934">
        <w:trPr>
          <w:trHeight w:val="170"/>
          <w:jc w:val="center"/>
        </w:trPr>
        <w:tc>
          <w:tcPr>
            <w:tcW w:w="2206" w:type="dxa"/>
            <w:vAlign w:val="bottom"/>
          </w:tcPr>
          <w:p w14:paraId="12C68C59" w14:textId="77777777" w:rsidR="00B44148" w:rsidRPr="004B03EC" w:rsidRDefault="00B44148" w:rsidP="004B03EC">
            <w:pPr>
              <w:spacing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TG</w:t>
            </w:r>
          </w:p>
        </w:tc>
        <w:tc>
          <w:tcPr>
            <w:tcW w:w="2244" w:type="dxa"/>
            <w:vAlign w:val="bottom"/>
          </w:tcPr>
          <w:p w14:paraId="6602DF10"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164.97 ± 52.97</w:t>
            </w:r>
          </w:p>
        </w:tc>
        <w:tc>
          <w:tcPr>
            <w:tcW w:w="2766" w:type="dxa"/>
            <w:vAlign w:val="bottom"/>
          </w:tcPr>
          <w:p w14:paraId="17345383" w14:textId="77777777" w:rsidR="00B44148" w:rsidRPr="004B03EC" w:rsidRDefault="00B44148" w:rsidP="004B03EC">
            <w:pPr>
              <w:spacing w:line="240" w:lineRule="auto"/>
              <w:jc w:val="both"/>
              <w:rPr>
                <w:rFonts w:asciiTheme="majorBidi" w:eastAsia="Times New Roman" w:hAnsiTheme="majorBidi" w:cstheme="majorBidi"/>
                <w:b/>
                <w:sz w:val="20"/>
                <w:szCs w:val="20"/>
                <w:u w:val="single"/>
              </w:rPr>
            </w:pPr>
            <w:r w:rsidRPr="004B03EC">
              <w:rPr>
                <w:rFonts w:asciiTheme="majorBidi" w:eastAsia="Times New Roman" w:hAnsiTheme="majorBidi" w:cstheme="majorBidi"/>
                <w:b/>
                <w:sz w:val="20"/>
                <w:szCs w:val="20"/>
              </w:rPr>
              <w:t>152.91 ± 47.74</w:t>
            </w:r>
          </w:p>
        </w:tc>
        <w:tc>
          <w:tcPr>
            <w:tcW w:w="2198" w:type="dxa"/>
          </w:tcPr>
          <w:p w14:paraId="4D74953E"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0.751</w:t>
            </w:r>
          </w:p>
        </w:tc>
      </w:tr>
      <w:tr w:rsidR="00B44148" w:rsidRPr="004B03EC" w14:paraId="6D1229CD" w14:textId="77777777" w:rsidTr="00F24934">
        <w:trPr>
          <w:trHeight w:val="170"/>
          <w:jc w:val="center"/>
        </w:trPr>
        <w:tc>
          <w:tcPr>
            <w:tcW w:w="2206" w:type="dxa"/>
            <w:vAlign w:val="bottom"/>
          </w:tcPr>
          <w:p w14:paraId="47FC7E7C" w14:textId="4B3F6781" w:rsidR="00B44148" w:rsidRPr="004B03EC" w:rsidRDefault="00696A8F" w:rsidP="004B03EC">
            <w:pPr>
              <w:spacing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cholesterol</w:t>
            </w:r>
          </w:p>
        </w:tc>
        <w:tc>
          <w:tcPr>
            <w:tcW w:w="2244" w:type="dxa"/>
            <w:vAlign w:val="bottom"/>
          </w:tcPr>
          <w:p w14:paraId="3C8D3410" w14:textId="77777777" w:rsidR="00B44148" w:rsidRPr="004B03EC" w:rsidRDefault="00B44148" w:rsidP="004B03EC">
            <w:pPr>
              <w:spacing w:line="240" w:lineRule="auto"/>
              <w:jc w:val="both"/>
              <w:rPr>
                <w:rFonts w:asciiTheme="majorBidi" w:eastAsia="Times New Roman" w:hAnsiTheme="majorBidi" w:cstheme="majorBidi"/>
                <w:b/>
                <w:sz w:val="20"/>
                <w:szCs w:val="20"/>
                <w:u w:val="single"/>
              </w:rPr>
            </w:pPr>
            <w:r w:rsidRPr="004B03EC">
              <w:rPr>
                <w:rFonts w:asciiTheme="majorBidi" w:eastAsia="Times New Roman" w:hAnsiTheme="majorBidi" w:cstheme="majorBidi"/>
                <w:b/>
                <w:sz w:val="20"/>
                <w:szCs w:val="20"/>
              </w:rPr>
              <w:t>212.87 ± 46.61</w:t>
            </w:r>
          </w:p>
        </w:tc>
        <w:tc>
          <w:tcPr>
            <w:tcW w:w="2766" w:type="dxa"/>
            <w:vAlign w:val="bottom"/>
          </w:tcPr>
          <w:p w14:paraId="10131B90"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178.09 ± 38.17</w:t>
            </w:r>
          </w:p>
        </w:tc>
        <w:tc>
          <w:tcPr>
            <w:tcW w:w="2198" w:type="dxa"/>
          </w:tcPr>
          <w:p w14:paraId="48151D4F"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0.147</w:t>
            </w:r>
          </w:p>
        </w:tc>
      </w:tr>
      <w:tr w:rsidR="00B44148" w:rsidRPr="004B03EC" w14:paraId="69AC194C" w14:textId="77777777" w:rsidTr="00F24934">
        <w:trPr>
          <w:trHeight w:val="170"/>
          <w:jc w:val="center"/>
        </w:trPr>
        <w:tc>
          <w:tcPr>
            <w:tcW w:w="2206" w:type="dxa"/>
            <w:vAlign w:val="bottom"/>
          </w:tcPr>
          <w:p w14:paraId="6CDA8FF6" w14:textId="77777777" w:rsidR="00B44148" w:rsidRPr="004B03EC" w:rsidRDefault="00B44148" w:rsidP="004B03EC">
            <w:pPr>
              <w:spacing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LDL</w:t>
            </w:r>
          </w:p>
        </w:tc>
        <w:tc>
          <w:tcPr>
            <w:tcW w:w="2244" w:type="dxa"/>
            <w:vAlign w:val="bottom"/>
          </w:tcPr>
          <w:p w14:paraId="17D1BF30"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167.24 ± 59.79</w:t>
            </w:r>
          </w:p>
        </w:tc>
        <w:tc>
          <w:tcPr>
            <w:tcW w:w="2766" w:type="dxa"/>
            <w:vAlign w:val="bottom"/>
          </w:tcPr>
          <w:p w14:paraId="64A060CA" w14:textId="77777777" w:rsidR="00B44148" w:rsidRPr="004B03EC" w:rsidRDefault="00B44148" w:rsidP="004B03EC">
            <w:pPr>
              <w:spacing w:line="240" w:lineRule="auto"/>
              <w:jc w:val="both"/>
              <w:rPr>
                <w:rFonts w:asciiTheme="majorBidi" w:eastAsia="Times New Roman" w:hAnsiTheme="majorBidi" w:cstheme="majorBidi"/>
                <w:b/>
                <w:sz w:val="20"/>
                <w:szCs w:val="20"/>
                <w:u w:val="single"/>
              </w:rPr>
            </w:pPr>
            <w:r w:rsidRPr="004B03EC">
              <w:rPr>
                <w:rFonts w:asciiTheme="majorBidi" w:eastAsia="Times New Roman" w:hAnsiTheme="majorBidi" w:cstheme="majorBidi"/>
                <w:b/>
                <w:sz w:val="20"/>
                <w:szCs w:val="20"/>
              </w:rPr>
              <w:t>145.58 ± 53.72</w:t>
            </w:r>
          </w:p>
        </w:tc>
        <w:tc>
          <w:tcPr>
            <w:tcW w:w="2198" w:type="dxa"/>
          </w:tcPr>
          <w:p w14:paraId="77AE02BE"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0.264</w:t>
            </w:r>
          </w:p>
        </w:tc>
      </w:tr>
      <w:tr w:rsidR="00B44148" w:rsidRPr="004B03EC" w14:paraId="5F3C6370" w14:textId="77777777" w:rsidTr="00F24934">
        <w:trPr>
          <w:trHeight w:val="170"/>
          <w:jc w:val="center"/>
        </w:trPr>
        <w:tc>
          <w:tcPr>
            <w:tcW w:w="2206" w:type="dxa"/>
            <w:vAlign w:val="bottom"/>
          </w:tcPr>
          <w:p w14:paraId="0A537691" w14:textId="77777777" w:rsidR="00B44148" w:rsidRPr="004B03EC" w:rsidRDefault="00B44148" w:rsidP="004B03EC">
            <w:pPr>
              <w:spacing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HDL</w:t>
            </w:r>
          </w:p>
        </w:tc>
        <w:tc>
          <w:tcPr>
            <w:tcW w:w="2244" w:type="dxa"/>
            <w:vAlign w:val="bottom"/>
          </w:tcPr>
          <w:p w14:paraId="3EF8591D"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36.78 ± 10.56</w:t>
            </w:r>
          </w:p>
        </w:tc>
        <w:tc>
          <w:tcPr>
            <w:tcW w:w="2766" w:type="dxa"/>
            <w:vAlign w:val="bottom"/>
          </w:tcPr>
          <w:p w14:paraId="587F8F77" w14:textId="77777777" w:rsidR="00B44148" w:rsidRPr="004B03EC" w:rsidRDefault="00B44148" w:rsidP="004B03EC">
            <w:pPr>
              <w:spacing w:line="240" w:lineRule="auto"/>
              <w:jc w:val="both"/>
              <w:rPr>
                <w:rFonts w:asciiTheme="majorBidi" w:eastAsia="Times New Roman" w:hAnsiTheme="majorBidi" w:cstheme="majorBidi"/>
                <w:b/>
                <w:sz w:val="20"/>
                <w:szCs w:val="20"/>
                <w:u w:val="single"/>
              </w:rPr>
            </w:pPr>
            <w:r w:rsidRPr="004B03EC">
              <w:rPr>
                <w:rFonts w:asciiTheme="majorBidi" w:eastAsia="Times New Roman" w:hAnsiTheme="majorBidi" w:cstheme="majorBidi"/>
                <w:b/>
                <w:sz w:val="20"/>
                <w:szCs w:val="20"/>
              </w:rPr>
              <w:t>38.95 ± 11.71</w:t>
            </w:r>
          </w:p>
        </w:tc>
        <w:tc>
          <w:tcPr>
            <w:tcW w:w="2198" w:type="dxa"/>
          </w:tcPr>
          <w:p w14:paraId="30AFB195"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0.650</w:t>
            </w:r>
          </w:p>
        </w:tc>
      </w:tr>
      <w:tr w:rsidR="00B44148" w:rsidRPr="004B03EC" w14:paraId="31C9DBFA" w14:textId="77777777" w:rsidTr="00F24934">
        <w:trPr>
          <w:trHeight w:val="170"/>
          <w:jc w:val="center"/>
        </w:trPr>
        <w:tc>
          <w:tcPr>
            <w:tcW w:w="2206" w:type="dxa"/>
            <w:vAlign w:val="bottom"/>
          </w:tcPr>
          <w:p w14:paraId="2ABFB660" w14:textId="77777777" w:rsidR="00B44148" w:rsidRPr="004B03EC" w:rsidRDefault="00B44148" w:rsidP="004B03EC">
            <w:pPr>
              <w:spacing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VLDL</w:t>
            </w:r>
          </w:p>
        </w:tc>
        <w:tc>
          <w:tcPr>
            <w:tcW w:w="2244" w:type="dxa"/>
            <w:vAlign w:val="bottom"/>
          </w:tcPr>
          <w:p w14:paraId="17C44FED" w14:textId="77777777" w:rsidR="00B44148" w:rsidRPr="004B03EC" w:rsidRDefault="00B44148" w:rsidP="004B03EC">
            <w:pPr>
              <w:spacing w:line="240" w:lineRule="auto"/>
              <w:jc w:val="both"/>
              <w:rPr>
                <w:rFonts w:asciiTheme="majorBidi" w:eastAsia="Times New Roman" w:hAnsiTheme="majorBidi" w:cstheme="majorBidi"/>
                <w:b/>
                <w:sz w:val="20"/>
                <w:szCs w:val="20"/>
                <w:u w:val="single"/>
              </w:rPr>
            </w:pPr>
            <w:r w:rsidRPr="004B03EC">
              <w:rPr>
                <w:rFonts w:asciiTheme="majorBidi" w:eastAsia="Times New Roman" w:hAnsiTheme="majorBidi" w:cstheme="majorBidi"/>
                <w:b/>
                <w:sz w:val="20"/>
                <w:szCs w:val="20"/>
              </w:rPr>
              <w:t>29.90 ± 15.56</w:t>
            </w:r>
          </w:p>
        </w:tc>
        <w:tc>
          <w:tcPr>
            <w:tcW w:w="2766" w:type="dxa"/>
            <w:vAlign w:val="bottom"/>
          </w:tcPr>
          <w:p w14:paraId="613B02C6"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23.36 ± 8.36</w:t>
            </w:r>
          </w:p>
        </w:tc>
        <w:tc>
          <w:tcPr>
            <w:tcW w:w="2198" w:type="dxa"/>
          </w:tcPr>
          <w:p w14:paraId="2FE6514E"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0.340</w:t>
            </w:r>
          </w:p>
        </w:tc>
      </w:tr>
      <w:tr w:rsidR="00B44148" w:rsidRPr="004B03EC" w14:paraId="0B72D680" w14:textId="77777777" w:rsidTr="00F24934">
        <w:trPr>
          <w:trHeight w:val="170"/>
          <w:jc w:val="center"/>
        </w:trPr>
        <w:tc>
          <w:tcPr>
            <w:tcW w:w="2206" w:type="dxa"/>
            <w:vAlign w:val="bottom"/>
          </w:tcPr>
          <w:p w14:paraId="2808D9F7" w14:textId="77777777" w:rsidR="00B44148" w:rsidRPr="004B03EC" w:rsidRDefault="00B44148" w:rsidP="004B03EC">
            <w:pPr>
              <w:spacing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GGT</w:t>
            </w:r>
          </w:p>
        </w:tc>
        <w:tc>
          <w:tcPr>
            <w:tcW w:w="2244" w:type="dxa"/>
            <w:vAlign w:val="bottom"/>
          </w:tcPr>
          <w:p w14:paraId="769EB1E4" w14:textId="77777777" w:rsidR="00B44148" w:rsidRPr="004B03EC" w:rsidRDefault="00B44148" w:rsidP="004B03EC">
            <w:pPr>
              <w:spacing w:line="240" w:lineRule="auto"/>
              <w:jc w:val="both"/>
              <w:rPr>
                <w:rFonts w:asciiTheme="majorBidi" w:eastAsia="Times New Roman" w:hAnsiTheme="majorBidi" w:cstheme="majorBidi"/>
                <w:b/>
                <w:sz w:val="20"/>
                <w:szCs w:val="20"/>
                <w:u w:val="single"/>
              </w:rPr>
            </w:pPr>
            <w:r w:rsidRPr="004B03EC">
              <w:rPr>
                <w:rFonts w:asciiTheme="majorBidi" w:eastAsia="Times New Roman" w:hAnsiTheme="majorBidi" w:cstheme="majorBidi"/>
                <w:b/>
                <w:sz w:val="20"/>
                <w:szCs w:val="20"/>
              </w:rPr>
              <w:t>20.56 ± 3.69</w:t>
            </w:r>
          </w:p>
        </w:tc>
        <w:tc>
          <w:tcPr>
            <w:tcW w:w="2766" w:type="dxa"/>
            <w:vAlign w:val="bottom"/>
          </w:tcPr>
          <w:p w14:paraId="411B7DE0"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26.62 ± 2.70</w:t>
            </w:r>
          </w:p>
        </w:tc>
        <w:tc>
          <w:tcPr>
            <w:tcW w:w="2198" w:type="dxa"/>
          </w:tcPr>
          <w:p w14:paraId="56B8D291"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&lt;0.001*</w:t>
            </w:r>
          </w:p>
        </w:tc>
      </w:tr>
      <w:tr w:rsidR="00B44148" w:rsidRPr="004B03EC" w14:paraId="5116EE38" w14:textId="77777777" w:rsidTr="00F24934">
        <w:trPr>
          <w:trHeight w:val="170"/>
          <w:jc w:val="center"/>
        </w:trPr>
        <w:tc>
          <w:tcPr>
            <w:tcW w:w="2206" w:type="dxa"/>
            <w:vAlign w:val="bottom"/>
          </w:tcPr>
          <w:p w14:paraId="4F9BAD76" w14:textId="77777777" w:rsidR="00B44148" w:rsidRPr="004B03EC" w:rsidRDefault="00B44148" w:rsidP="004B03EC">
            <w:pPr>
              <w:spacing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HB</w:t>
            </w:r>
          </w:p>
        </w:tc>
        <w:tc>
          <w:tcPr>
            <w:tcW w:w="2244" w:type="dxa"/>
            <w:vAlign w:val="bottom"/>
          </w:tcPr>
          <w:p w14:paraId="225A7437" w14:textId="77777777" w:rsidR="00B44148" w:rsidRPr="004B03EC" w:rsidRDefault="00B44148" w:rsidP="004B03EC">
            <w:pPr>
              <w:spacing w:line="240" w:lineRule="auto"/>
              <w:jc w:val="both"/>
              <w:rPr>
                <w:rFonts w:asciiTheme="majorBidi" w:eastAsia="Times New Roman" w:hAnsiTheme="majorBidi" w:cstheme="majorBidi"/>
                <w:b/>
                <w:sz w:val="20"/>
                <w:szCs w:val="20"/>
                <w:u w:val="single"/>
              </w:rPr>
            </w:pPr>
            <w:r w:rsidRPr="004B03EC">
              <w:rPr>
                <w:rFonts w:asciiTheme="majorBidi" w:eastAsia="Times New Roman" w:hAnsiTheme="majorBidi" w:cstheme="majorBidi"/>
                <w:b/>
                <w:sz w:val="20"/>
                <w:szCs w:val="20"/>
              </w:rPr>
              <w:t>12.22 ± 1.18</w:t>
            </w:r>
          </w:p>
        </w:tc>
        <w:tc>
          <w:tcPr>
            <w:tcW w:w="2766" w:type="dxa"/>
            <w:vAlign w:val="bottom"/>
          </w:tcPr>
          <w:p w14:paraId="03292E7C"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11.62 ± 0.69</w:t>
            </w:r>
          </w:p>
        </w:tc>
        <w:tc>
          <w:tcPr>
            <w:tcW w:w="2198" w:type="dxa"/>
          </w:tcPr>
          <w:p w14:paraId="5DE90FFB"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0.029*</w:t>
            </w:r>
          </w:p>
        </w:tc>
      </w:tr>
      <w:tr w:rsidR="00B44148" w:rsidRPr="004B03EC" w14:paraId="22C3EDC1" w14:textId="77777777" w:rsidTr="00F24934">
        <w:trPr>
          <w:trHeight w:val="170"/>
          <w:jc w:val="center"/>
        </w:trPr>
        <w:tc>
          <w:tcPr>
            <w:tcW w:w="2206" w:type="dxa"/>
            <w:vAlign w:val="bottom"/>
          </w:tcPr>
          <w:p w14:paraId="77BDC99C" w14:textId="77777777" w:rsidR="00B44148" w:rsidRPr="004B03EC" w:rsidRDefault="00B44148" w:rsidP="004B03EC">
            <w:pPr>
              <w:spacing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WBC</w:t>
            </w:r>
          </w:p>
        </w:tc>
        <w:tc>
          <w:tcPr>
            <w:tcW w:w="2244" w:type="dxa"/>
            <w:vAlign w:val="bottom"/>
          </w:tcPr>
          <w:p w14:paraId="46EC5BC2" w14:textId="77777777" w:rsidR="00B44148" w:rsidRPr="004B03EC" w:rsidRDefault="00B44148" w:rsidP="004B03EC">
            <w:pPr>
              <w:spacing w:line="240" w:lineRule="auto"/>
              <w:jc w:val="both"/>
              <w:rPr>
                <w:rFonts w:asciiTheme="majorBidi" w:eastAsia="Times New Roman" w:hAnsiTheme="majorBidi" w:cstheme="majorBidi"/>
                <w:b/>
                <w:sz w:val="20"/>
                <w:szCs w:val="20"/>
                <w:u w:val="single"/>
              </w:rPr>
            </w:pPr>
            <w:r w:rsidRPr="004B03EC">
              <w:rPr>
                <w:rFonts w:asciiTheme="majorBidi" w:eastAsia="Times New Roman" w:hAnsiTheme="majorBidi" w:cstheme="majorBidi"/>
                <w:b/>
                <w:sz w:val="20"/>
                <w:szCs w:val="20"/>
              </w:rPr>
              <w:t>7.21 ± 1.85</w:t>
            </w:r>
          </w:p>
        </w:tc>
        <w:tc>
          <w:tcPr>
            <w:tcW w:w="2766" w:type="dxa"/>
            <w:vAlign w:val="bottom"/>
          </w:tcPr>
          <w:p w14:paraId="74890581"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7.38 ± 2.01</w:t>
            </w:r>
          </w:p>
        </w:tc>
        <w:tc>
          <w:tcPr>
            <w:tcW w:w="2198" w:type="dxa"/>
          </w:tcPr>
          <w:p w14:paraId="47A51282"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0.880</w:t>
            </w:r>
          </w:p>
        </w:tc>
      </w:tr>
      <w:tr w:rsidR="00B44148" w:rsidRPr="004B03EC" w14:paraId="415B2D68" w14:textId="77777777" w:rsidTr="00F24934">
        <w:trPr>
          <w:trHeight w:val="223"/>
          <w:jc w:val="center"/>
        </w:trPr>
        <w:tc>
          <w:tcPr>
            <w:tcW w:w="2206" w:type="dxa"/>
            <w:vAlign w:val="bottom"/>
          </w:tcPr>
          <w:p w14:paraId="5184C780" w14:textId="77777777" w:rsidR="00B44148" w:rsidRPr="004B03EC" w:rsidRDefault="00B44148" w:rsidP="004B03EC">
            <w:pPr>
              <w:spacing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Lymphocyte (%)</w:t>
            </w:r>
          </w:p>
        </w:tc>
        <w:tc>
          <w:tcPr>
            <w:tcW w:w="2244" w:type="dxa"/>
            <w:vAlign w:val="bottom"/>
          </w:tcPr>
          <w:p w14:paraId="6DE650CA"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29.50 ± 11.26</w:t>
            </w:r>
          </w:p>
        </w:tc>
        <w:tc>
          <w:tcPr>
            <w:tcW w:w="2766" w:type="dxa"/>
            <w:vAlign w:val="bottom"/>
          </w:tcPr>
          <w:p w14:paraId="37B646AD" w14:textId="77777777" w:rsidR="00B44148" w:rsidRPr="004B03EC" w:rsidRDefault="00B44148" w:rsidP="004B03EC">
            <w:pPr>
              <w:spacing w:line="240" w:lineRule="auto"/>
              <w:jc w:val="both"/>
              <w:rPr>
                <w:rFonts w:asciiTheme="majorBidi" w:eastAsia="Times New Roman" w:hAnsiTheme="majorBidi" w:cstheme="majorBidi"/>
                <w:b/>
                <w:sz w:val="20"/>
                <w:szCs w:val="20"/>
                <w:u w:val="single"/>
              </w:rPr>
            </w:pPr>
            <w:r w:rsidRPr="004B03EC">
              <w:rPr>
                <w:rFonts w:asciiTheme="majorBidi" w:eastAsia="Times New Roman" w:hAnsiTheme="majorBidi" w:cstheme="majorBidi"/>
                <w:b/>
                <w:sz w:val="20"/>
                <w:szCs w:val="20"/>
              </w:rPr>
              <w:t>33.64 ± 6.57</w:t>
            </w:r>
          </w:p>
        </w:tc>
        <w:tc>
          <w:tcPr>
            <w:tcW w:w="2198" w:type="dxa"/>
          </w:tcPr>
          <w:p w14:paraId="66C226E6"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0.078</w:t>
            </w:r>
          </w:p>
        </w:tc>
      </w:tr>
      <w:tr w:rsidR="00B44148" w:rsidRPr="004B03EC" w14:paraId="281F1104" w14:textId="77777777" w:rsidTr="00F24934">
        <w:trPr>
          <w:trHeight w:val="170"/>
          <w:jc w:val="center"/>
        </w:trPr>
        <w:tc>
          <w:tcPr>
            <w:tcW w:w="2206" w:type="dxa"/>
            <w:vAlign w:val="bottom"/>
          </w:tcPr>
          <w:p w14:paraId="61E9BF2D" w14:textId="7BDDE4C5" w:rsidR="00B44148" w:rsidRPr="004B03EC" w:rsidRDefault="00696A8F" w:rsidP="004B03EC">
            <w:pPr>
              <w:spacing w:line="240" w:lineRule="auto"/>
              <w:jc w:val="both"/>
              <w:rPr>
                <w:rFonts w:asciiTheme="majorBidi" w:eastAsia="Times New Roman" w:hAnsiTheme="majorBidi" w:cstheme="majorBidi"/>
                <w:sz w:val="20"/>
                <w:szCs w:val="20"/>
              </w:rPr>
            </w:pPr>
            <w:r>
              <w:rPr>
                <w:rFonts w:asciiTheme="majorBidi" w:eastAsia="Times New Roman" w:hAnsiTheme="majorBidi" w:cstheme="majorBidi"/>
                <w:sz w:val="20"/>
                <w:szCs w:val="20"/>
              </w:rPr>
              <w:t>neutrophil</w:t>
            </w:r>
            <w:r w:rsidR="00B44148" w:rsidRPr="004B03EC">
              <w:rPr>
                <w:rFonts w:asciiTheme="majorBidi" w:eastAsia="Times New Roman" w:hAnsiTheme="majorBidi" w:cstheme="majorBidi"/>
                <w:sz w:val="20"/>
                <w:szCs w:val="20"/>
              </w:rPr>
              <w:t xml:space="preserve"> (%)</w:t>
            </w:r>
          </w:p>
        </w:tc>
        <w:tc>
          <w:tcPr>
            <w:tcW w:w="2244" w:type="dxa"/>
            <w:vAlign w:val="bottom"/>
          </w:tcPr>
          <w:p w14:paraId="5F581DBA"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59.10 ± 8.47</w:t>
            </w:r>
          </w:p>
        </w:tc>
        <w:tc>
          <w:tcPr>
            <w:tcW w:w="2766" w:type="dxa"/>
            <w:vAlign w:val="bottom"/>
          </w:tcPr>
          <w:p w14:paraId="5279567D" w14:textId="77777777" w:rsidR="00B44148" w:rsidRPr="004B03EC" w:rsidRDefault="00B44148" w:rsidP="004B03EC">
            <w:pPr>
              <w:spacing w:line="240" w:lineRule="auto"/>
              <w:jc w:val="both"/>
              <w:rPr>
                <w:rFonts w:asciiTheme="majorBidi" w:eastAsia="Times New Roman" w:hAnsiTheme="majorBidi" w:cstheme="majorBidi"/>
                <w:b/>
                <w:sz w:val="20"/>
                <w:szCs w:val="20"/>
                <w:u w:val="single"/>
              </w:rPr>
            </w:pPr>
            <w:r w:rsidRPr="004B03EC">
              <w:rPr>
                <w:rFonts w:asciiTheme="majorBidi" w:eastAsia="Times New Roman" w:hAnsiTheme="majorBidi" w:cstheme="majorBidi"/>
                <w:b/>
                <w:sz w:val="20"/>
                <w:szCs w:val="20"/>
              </w:rPr>
              <w:t>55.82 ± 5.53</w:t>
            </w:r>
          </w:p>
        </w:tc>
        <w:tc>
          <w:tcPr>
            <w:tcW w:w="2198" w:type="dxa"/>
          </w:tcPr>
          <w:p w14:paraId="13F7E529"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0.026*</w:t>
            </w:r>
          </w:p>
        </w:tc>
      </w:tr>
      <w:tr w:rsidR="00B44148" w:rsidRPr="004B03EC" w14:paraId="234A0E6A" w14:textId="77777777" w:rsidTr="00F24934">
        <w:trPr>
          <w:trHeight w:val="170"/>
          <w:jc w:val="center"/>
        </w:trPr>
        <w:tc>
          <w:tcPr>
            <w:tcW w:w="2206" w:type="dxa"/>
            <w:vAlign w:val="bottom"/>
          </w:tcPr>
          <w:p w14:paraId="4ADC85FE" w14:textId="77777777" w:rsidR="00B44148" w:rsidRPr="004B03EC" w:rsidRDefault="00B44148" w:rsidP="004B03EC">
            <w:pPr>
              <w:spacing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Platelets</w:t>
            </w:r>
          </w:p>
        </w:tc>
        <w:tc>
          <w:tcPr>
            <w:tcW w:w="2244" w:type="dxa"/>
            <w:vAlign w:val="bottom"/>
          </w:tcPr>
          <w:p w14:paraId="090D3C51"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274.92 ± 58.44</w:t>
            </w:r>
          </w:p>
        </w:tc>
        <w:tc>
          <w:tcPr>
            <w:tcW w:w="2766" w:type="dxa"/>
            <w:vAlign w:val="bottom"/>
          </w:tcPr>
          <w:p w14:paraId="5BCF9723" w14:textId="77777777" w:rsidR="00B44148" w:rsidRPr="004B03EC" w:rsidRDefault="00B44148" w:rsidP="004B03EC">
            <w:pPr>
              <w:spacing w:line="240" w:lineRule="auto"/>
              <w:jc w:val="both"/>
              <w:rPr>
                <w:rFonts w:asciiTheme="majorBidi" w:eastAsia="Times New Roman" w:hAnsiTheme="majorBidi" w:cstheme="majorBidi"/>
                <w:b/>
                <w:sz w:val="20"/>
                <w:szCs w:val="20"/>
                <w:u w:val="single"/>
              </w:rPr>
            </w:pPr>
            <w:r w:rsidRPr="004B03EC">
              <w:rPr>
                <w:rFonts w:asciiTheme="majorBidi" w:eastAsia="Times New Roman" w:hAnsiTheme="majorBidi" w:cstheme="majorBidi"/>
                <w:b/>
                <w:sz w:val="20"/>
                <w:szCs w:val="20"/>
              </w:rPr>
              <w:t>259.64 ± 76.03</w:t>
            </w:r>
          </w:p>
        </w:tc>
        <w:tc>
          <w:tcPr>
            <w:tcW w:w="2198" w:type="dxa"/>
          </w:tcPr>
          <w:p w14:paraId="45E5FDE5"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0.211</w:t>
            </w:r>
          </w:p>
        </w:tc>
      </w:tr>
      <w:tr w:rsidR="00B44148" w:rsidRPr="004B03EC" w14:paraId="3BAD9A36" w14:textId="77777777" w:rsidTr="00F24934">
        <w:trPr>
          <w:trHeight w:val="170"/>
          <w:jc w:val="center"/>
        </w:trPr>
        <w:tc>
          <w:tcPr>
            <w:tcW w:w="2206" w:type="dxa"/>
            <w:vAlign w:val="bottom"/>
          </w:tcPr>
          <w:p w14:paraId="6B17B246" w14:textId="77777777" w:rsidR="00B44148" w:rsidRPr="004B03EC" w:rsidRDefault="00B44148" w:rsidP="004B03EC">
            <w:pPr>
              <w:spacing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GPR</w:t>
            </w:r>
          </w:p>
        </w:tc>
        <w:tc>
          <w:tcPr>
            <w:tcW w:w="2244" w:type="dxa"/>
            <w:vAlign w:val="bottom"/>
          </w:tcPr>
          <w:p w14:paraId="071F295C"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0.08 ± 0.03</w:t>
            </w:r>
          </w:p>
        </w:tc>
        <w:tc>
          <w:tcPr>
            <w:tcW w:w="2766" w:type="dxa"/>
            <w:vAlign w:val="bottom"/>
          </w:tcPr>
          <w:p w14:paraId="518260B3"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0.11 ± 0.03</w:t>
            </w:r>
          </w:p>
        </w:tc>
        <w:tc>
          <w:tcPr>
            <w:tcW w:w="2198" w:type="dxa"/>
          </w:tcPr>
          <w:p w14:paraId="11C4884D"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&lt;0.001*</w:t>
            </w:r>
          </w:p>
        </w:tc>
      </w:tr>
      <w:tr w:rsidR="00B44148" w:rsidRPr="004B03EC" w14:paraId="5DE32051" w14:textId="77777777" w:rsidTr="00F24934">
        <w:trPr>
          <w:trHeight w:val="170"/>
          <w:jc w:val="center"/>
        </w:trPr>
        <w:tc>
          <w:tcPr>
            <w:tcW w:w="2206" w:type="dxa"/>
            <w:tcBorders>
              <w:bottom w:val="single" w:sz="4" w:space="0" w:color="auto"/>
            </w:tcBorders>
            <w:vAlign w:val="bottom"/>
          </w:tcPr>
          <w:p w14:paraId="0E01D1DA" w14:textId="77777777" w:rsidR="00B44148" w:rsidRPr="004B03EC" w:rsidRDefault="00B44148" w:rsidP="004B03EC">
            <w:pPr>
              <w:spacing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GAR</w:t>
            </w:r>
          </w:p>
        </w:tc>
        <w:tc>
          <w:tcPr>
            <w:tcW w:w="2244" w:type="dxa"/>
            <w:tcBorders>
              <w:bottom w:val="single" w:sz="4" w:space="0" w:color="auto"/>
            </w:tcBorders>
            <w:vAlign w:val="bottom"/>
          </w:tcPr>
          <w:p w14:paraId="76DC4F90"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4.92 ± 1.03</w:t>
            </w:r>
          </w:p>
        </w:tc>
        <w:tc>
          <w:tcPr>
            <w:tcW w:w="2766" w:type="dxa"/>
            <w:tcBorders>
              <w:bottom w:val="single" w:sz="4" w:space="0" w:color="auto"/>
            </w:tcBorders>
            <w:vAlign w:val="bottom"/>
          </w:tcPr>
          <w:p w14:paraId="7CE5506E"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6.78 ± .91</w:t>
            </w:r>
          </w:p>
        </w:tc>
        <w:tc>
          <w:tcPr>
            <w:tcW w:w="2198" w:type="dxa"/>
            <w:tcBorders>
              <w:bottom w:val="single" w:sz="4" w:space="0" w:color="auto"/>
            </w:tcBorders>
          </w:tcPr>
          <w:p w14:paraId="044B7564" w14:textId="77777777" w:rsidR="00B44148" w:rsidRPr="004B03EC" w:rsidRDefault="00B44148" w:rsidP="004B03EC">
            <w:pPr>
              <w:spacing w:line="240" w:lineRule="auto"/>
              <w:jc w:val="both"/>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&lt;0.001*</w:t>
            </w:r>
          </w:p>
        </w:tc>
      </w:tr>
    </w:tbl>
    <w:p w14:paraId="2D4D409C" w14:textId="77777777" w:rsidR="007C4701" w:rsidRPr="007C4701" w:rsidRDefault="007C4701" w:rsidP="007C4701">
      <w:pPr>
        <w:pStyle w:val="Caption"/>
        <w:keepNext/>
      </w:pPr>
      <w:r w:rsidRPr="007C4701">
        <w:t>Data presented as mean + SD. (P &lt; 0.05 is significant).</w:t>
      </w:r>
      <w:r w:rsidRPr="007C4701">
        <w:rPr>
          <w:vertAlign w:val="superscript"/>
        </w:rPr>
        <w:t xml:space="preserve"> </w:t>
      </w:r>
    </w:p>
    <w:p w14:paraId="07B46C94" w14:textId="77777777" w:rsidR="007C4701" w:rsidRPr="007C4701" w:rsidRDefault="007C4701" w:rsidP="007C4701">
      <w:pPr>
        <w:pStyle w:val="Caption"/>
        <w:keepNext/>
      </w:pPr>
      <w:r w:rsidRPr="007C4701">
        <w:t xml:space="preserve">Abbreviation: n, number of cases/participants; FBS, Fasting blood sugar; HbA1c, Glycated hemoglobin; TC, Total cholesterol; TG, Triacylglycerol; HDL-c, High-density lipoprotein–cholesterol; LDL-c, Low-density lipoprotein–cholesterol; VLDL-c, Very low-density lipoprotein–cholesterol; ALT, Alanine aminotransferase; AST, Aspartate Aminotransferase; ALP, Alkaline phosphatase; GGT, Gamma-glutamyl Transferase; INR, International normalized ratio; HB, Hemoglobin; WBCs, White blood cells; GPR, Gamma-glutamyl transferase to platelets ratio; GAR, Gamma-glutamyl transferase to albumin ratio. </w:t>
      </w:r>
    </w:p>
    <w:p w14:paraId="4DFBD3A5" w14:textId="35DE8A8F" w:rsidR="00076E62" w:rsidRPr="00A1317A" w:rsidRDefault="006C59F4" w:rsidP="004B03EC">
      <w:pPr>
        <w:spacing w:after="0" w:line="240" w:lineRule="auto"/>
        <w:jc w:val="both"/>
        <w:rPr>
          <w:rFonts w:asciiTheme="majorBidi" w:hAnsiTheme="majorBidi" w:cstheme="majorBidi"/>
          <w:sz w:val="24"/>
          <w:szCs w:val="24"/>
        </w:rPr>
      </w:pPr>
      <w:r w:rsidRPr="00A1317A">
        <w:rPr>
          <w:rFonts w:asciiTheme="majorBidi" w:hAnsiTheme="majorBidi" w:cstheme="majorBidi"/>
          <w:sz w:val="24"/>
          <w:szCs w:val="24"/>
        </w:rPr>
        <w:t xml:space="preserve">Patients with advanced fibrosis </w:t>
      </w:r>
      <w:r w:rsidR="00696A8F" w:rsidRPr="00A1317A">
        <w:rPr>
          <w:rFonts w:asciiTheme="majorBidi" w:hAnsiTheme="majorBidi" w:cstheme="majorBidi"/>
          <w:sz w:val="24"/>
          <w:szCs w:val="24"/>
        </w:rPr>
        <w:t>had</w:t>
      </w:r>
      <w:r w:rsidRPr="00A1317A">
        <w:rPr>
          <w:rFonts w:asciiTheme="majorBidi" w:hAnsiTheme="majorBidi" w:cstheme="majorBidi"/>
          <w:sz w:val="24"/>
          <w:szCs w:val="24"/>
        </w:rPr>
        <w:t xml:space="preserve"> significantly higher levels according to fibrosis score and steatosis </w:t>
      </w:r>
      <w:r w:rsidR="001766D4" w:rsidRPr="00A1317A">
        <w:rPr>
          <w:rFonts w:asciiTheme="majorBidi" w:hAnsiTheme="majorBidi" w:cstheme="majorBidi"/>
          <w:sz w:val="24"/>
          <w:szCs w:val="24"/>
        </w:rPr>
        <w:t>score,</w:t>
      </w:r>
      <w:r w:rsidRPr="00A1317A">
        <w:rPr>
          <w:rFonts w:asciiTheme="majorBidi" w:hAnsiTheme="majorBidi" w:cstheme="majorBidi"/>
          <w:sz w:val="24"/>
          <w:szCs w:val="24"/>
        </w:rPr>
        <w:t xml:space="preserve"> </w:t>
      </w:r>
      <w:r w:rsidR="00760173" w:rsidRPr="00A1317A">
        <w:rPr>
          <w:rFonts w:asciiTheme="majorBidi" w:hAnsiTheme="majorBidi" w:cstheme="majorBidi"/>
          <w:sz w:val="24"/>
          <w:szCs w:val="24"/>
        </w:rPr>
        <w:t>ALT,</w:t>
      </w:r>
      <w:r w:rsidRPr="00A1317A">
        <w:rPr>
          <w:rFonts w:asciiTheme="majorBidi" w:hAnsiTheme="majorBidi" w:cstheme="majorBidi"/>
          <w:sz w:val="24"/>
          <w:szCs w:val="24"/>
        </w:rPr>
        <w:t xml:space="preserve"> AST, and GGT (P &lt;0.001)</w:t>
      </w:r>
      <w:r w:rsidR="003A0130" w:rsidRPr="00A1317A">
        <w:rPr>
          <w:rFonts w:asciiTheme="majorBidi" w:hAnsiTheme="majorBidi" w:cstheme="majorBidi"/>
          <w:sz w:val="24"/>
          <w:szCs w:val="24"/>
        </w:rPr>
        <w:t>. Still, lower</w:t>
      </w:r>
      <w:r w:rsidRPr="00A1317A">
        <w:rPr>
          <w:rFonts w:asciiTheme="majorBidi" w:hAnsiTheme="majorBidi" w:cstheme="majorBidi"/>
          <w:sz w:val="24"/>
          <w:szCs w:val="24"/>
        </w:rPr>
        <w:t xml:space="preserve"> levels of </w:t>
      </w:r>
      <w:r w:rsidR="00760173" w:rsidRPr="00A1317A">
        <w:rPr>
          <w:rFonts w:asciiTheme="majorBidi" w:hAnsiTheme="majorBidi" w:cstheme="majorBidi"/>
          <w:sz w:val="24"/>
          <w:szCs w:val="24"/>
        </w:rPr>
        <w:t>albumin (</w:t>
      </w:r>
      <w:r w:rsidRPr="00A1317A">
        <w:rPr>
          <w:rFonts w:asciiTheme="majorBidi" w:hAnsiTheme="majorBidi" w:cstheme="majorBidi"/>
          <w:sz w:val="24"/>
          <w:szCs w:val="24"/>
        </w:rPr>
        <w:t>P = 0.001)</w:t>
      </w:r>
      <w:r w:rsidR="00607100">
        <w:rPr>
          <w:rFonts w:asciiTheme="majorBidi" w:hAnsiTheme="majorBidi" w:cstheme="majorBidi"/>
          <w:sz w:val="24"/>
          <w:szCs w:val="24"/>
        </w:rPr>
        <w:t xml:space="preserve"> and systolic</w:t>
      </w:r>
      <w:r w:rsidRPr="00A1317A">
        <w:rPr>
          <w:rFonts w:asciiTheme="majorBidi" w:eastAsia="Times New Roman" w:hAnsiTheme="majorBidi" w:cstheme="majorBidi"/>
          <w:sz w:val="24"/>
          <w:szCs w:val="24"/>
        </w:rPr>
        <w:t xml:space="preserve"> and diastolic blood pressure </w:t>
      </w:r>
      <w:r w:rsidRPr="00A1317A">
        <w:rPr>
          <w:rFonts w:asciiTheme="majorBidi" w:hAnsiTheme="majorBidi" w:cstheme="majorBidi"/>
          <w:sz w:val="24"/>
          <w:szCs w:val="24"/>
        </w:rPr>
        <w:t xml:space="preserve">were significantly increased in </w:t>
      </w:r>
      <w:r w:rsidR="003A0130" w:rsidRPr="00A1317A">
        <w:rPr>
          <w:rFonts w:asciiTheme="majorBidi" w:hAnsiTheme="majorBidi" w:cstheme="majorBidi"/>
          <w:sz w:val="24"/>
          <w:szCs w:val="24"/>
        </w:rPr>
        <w:t xml:space="preserve">the </w:t>
      </w:r>
      <w:r w:rsidRPr="00A1317A">
        <w:rPr>
          <w:rFonts w:asciiTheme="majorBidi" w:hAnsiTheme="majorBidi" w:cstheme="majorBidi"/>
          <w:sz w:val="24"/>
          <w:szCs w:val="24"/>
        </w:rPr>
        <w:t>advanced fibrosis group</w:t>
      </w:r>
      <w:r w:rsidR="003A0130" w:rsidRPr="00A1317A">
        <w:rPr>
          <w:rFonts w:asciiTheme="majorBidi" w:hAnsiTheme="majorBidi" w:cstheme="majorBidi"/>
          <w:sz w:val="24"/>
          <w:szCs w:val="24"/>
        </w:rPr>
        <w:t>.</w:t>
      </w:r>
    </w:p>
    <w:p w14:paraId="50F3360F" w14:textId="49F73983" w:rsidR="00076E62" w:rsidRPr="00A1317A" w:rsidRDefault="006C59F4" w:rsidP="004B03EC">
      <w:pPr>
        <w:spacing w:after="0" w:line="240" w:lineRule="auto"/>
        <w:jc w:val="both"/>
        <w:rPr>
          <w:rFonts w:asciiTheme="majorBidi" w:hAnsiTheme="majorBidi" w:cstheme="majorBidi"/>
          <w:sz w:val="24"/>
          <w:szCs w:val="24"/>
        </w:rPr>
      </w:pPr>
      <w:r w:rsidRPr="00A1317A">
        <w:rPr>
          <w:rFonts w:asciiTheme="majorBidi" w:hAnsiTheme="majorBidi" w:cstheme="majorBidi"/>
          <w:b/>
          <w:bCs/>
          <w:sz w:val="24"/>
          <w:szCs w:val="24"/>
        </w:rPr>
        <w:t>Table 3</w:t>
      </w:r>
      <w:r w:rsidRPr="00A1317A">
        <w:rPr>
          <w:rFonts w:asciiTheme="majorBidi" w:hAnsiTheme="majorBidi" w:cstheme="majorBidi"/>
          <w:sz w:val="24"/>
          <w:szCs w:val="24"/>
        </w:rPr>
        <w:t xml:space="preserve"> demonstrates that </w:t>
      </w:r>
      <w:r w:rsidR="00CE145F" w:rsidRPr="00A1317A">
        <w:rPr>
          <w:rFonts w:asciiTheme="majorBidi" w:hAnsiTheme="majorBidi" w:cstheme="majorBidi"/>
          <w:sz w:val="24"/>
          <w:szCs w:val="24"/>
        </w:rPr>
        <w:t xml:space="preserve">both GPR and GAR values </w:t>
      </w:r>
      <w:r w:rsidRPr="00A1317A">
        <w:rPr>
          <w:rFonts w:asciiTheme="majorBidi" w:hAnsiTheme="majorBidi" w:cstheme="majorBidi"/>
          <w:sz w:val="24"/>
          <w:szCs w:val="24"/>
        </w:rPr>
        <w:t>were positively correlated with fibrosis grade</w:t>
      </w:r>
      <w:r w:rsidR="00607100">
        <w:rPr>
          <w:rFonts w:asciiTheme="majorBidi" w:hAnsiTheme="majorBidi" w:cstheme="majorBidi"/>
          <w:sz w:val="24"/>
          <w:szCs w:val="24"/>
        </w:rPr>
        <w:t xml:space="preserve"> and steatosis grade scores</w:t>
      </w:r>
      <w:r w:rsidRPr="00A1317A">
        <w:rPr>
          <w:rFonts w:asciiTheme="majorBidi" w:hAnsiTheme="majorBidi" w:cstheme="majorBidi"/>
          <w:sz w:val="24"/>
          <w:szCs w:val="24"/>
        </w:rPr>
        <w:t xml:space="preserve"> by bivariate correlation analysis.</w:t>
      </w:r>
    </w:p>
    <w:p w14:paraId="1D6DC47A" w14:textId="735C628D" w:rsidR="00393A50" w:rsidRPr="00A1317A" w:rsidRDefault="006C59F4" w:rsidP="004B03EC">
      <w:pPr>
        <w:spacing w:after="0" w:line="240" w:lineRule="auto"/>
        <w:jc w:val="both"/>
        <w:rPr>
          <w:rFonts w:asciiTheme="majorBidi" w:hAnsiTheme="majorBidi" w:cstheme="majorBidi"/>
          <w:sz w:val="24"/>
          <w:szCs w:val="24"/>
        </w:rPr>
      </w:pPr>
      <w:bookmarkStart w:id="1" w:name="_gjdgxs" w:colFirst="0" w:colLast="0"/>
      <w:bookmarkEnd w:id="1"/>
      <w:r w:rsidRPr="00A1317A">
        <w:rPr>
          <w:rFonts w:asciiTheme="majorBidi" w:hAnsiTheme="majorBidi" w:cstheme="majorBidi"/>
          <w:sz w:val="24"/>
          <w:szCs w:val="24"/>
        </w:rPr>
        <w:t xml:space="preserve">There was a significant positive correlation between GPR and GAR and </w:t>
      </w:r>
      <w:r w:rsidR="003A0130" w:rsidRPr="00A1317A">
        <w:rPr>
          <w:rFonts w:asciiTheme="majorBidi" w:hAnsiTheme="majorBidi" w:cstheme="majorBidi"/>
          <w:sz w:val="24"/>
          <w:szCs w:val="24"/>
        </w:rPr>
        <w:t xml:space="preserve">the </w:t>
      </w:r>
      <w:r w:rsidRPr="00A1317A">
        <w:rPr>
          <w:rFonts w:asciiTheme="majorBidi" w:hAnsiTheme="majorBidi" w:cstheme="majorBidi"/>
          <w:sz w:val="24"/>
          <w:szCs w:val="24"/>
        </w:rPr>
        <w:t>degree of fibrosis</w:t>
      </w:r>
      <w:r w:rsidR="003A0130" w:rsidRPr="00A1317A">
        <w:rPr>
          <w:rFonts w:asciiTheme="majorBidi" w:hAnsiTheme="majorBidi" w:cstheme="majorBidi"/>
          <w:sz w:val="24"/>
          <w:szCs w:val="24"/>
        </w:rPr>
        <w:t>,</w:t>
      </w:r>
      <w:r w:rsidRPr="00A1317A">
        <w:rPr>
          <w:rFonts w:asciiTheme="majorBidi" w:hAnsiTheme="majorBidi" w:cstheme="majorBidi"/>
          <w:sz w:val="24"/>
          <w:szCs w:val="24"/>
        </w:rPr>
        <w:t xml:space="preserve"> while there was </w:t>
      </w:r>
      <w:r w:rsidR="003A0130" w:rsidRPr="00A1317A">
        <w:rPr>
          <w:rFonts w:asciiTheme="majorBidi" w:hAnsiTheme="majorBidi" w:cstheme="majorBidi"/>
          <w:sz w:val="24"/>
          <w:szCs w:val="24"/>
        </w:rPr>
        <w:t xml:space="preserve">a </w:t>
      </w:r>
      <w:r w:rsidRPr="00A1317A">
        <w:rPr>
          <w:rFonts w:asciiTheme="majorBidi" w:hAnsiTheme="majorBidi" w:cstheme="majorBidi"/>
          <w:sz w:val="24"/>
          <w:szCs w:val="24"/>
        </w:rPr>
        <w:t xml:space="preserve">non-significant negative correlation between GPR and </w:t>
      </w:r>
      <w:r w:rsidR="003A0130" w:rsidRPr="00A1317A">
        <w:rPr>
          <w:rFonts w:asciiTheme="majorBidi" w:hAnsiTheme="majorBidi" w:cstheme="majorBidi"/>
          <w:sz w:val="24"/>
          <w:szCs w:val="24"/>
        </w:rPr>
        <w:t xml:space="preserve">the </w:t>
      </w:r>
      <w:r w:rsidRPr="00A1317A">
        <w:rPr>
          <w:rFonts w:asciiTheme="majorBidi" w:hAnsiTheme="majorBidi" w:cstheme="majorBidi"/>
          <w:sz w:val="24"/>
          <w:szCs w:val="24"/>
        </w:rPr>
        <w:t xml:space="preserve">degree of </w:t>
      </w:r>
      <w:r w:rsidR="003A0130" w:rsidRPr="00A1317A">
        <w:rPr>
          <w:rFonts w:asciiTheme="majorBidi" w:hAnsiTheme="majorBidi" w:cstheme="majorBidi"/>
          <w:sz w:val="24"/>
          <w:szCs w:val="24"/>
        </w:rPr>
        <w:t>steatosis</w:t>
      </w:r>
      <w:r w:rsidRPr="00A1317A">
        <w:rPr>
          <w:rFonts w:asciiTheme="majorBidi" w:hAnsiTheme="majorBidi" w:cstheme="majorBidi"/>
          <w:sz w:val="24"/>
          <w:szCs w:val="24"/>
        </w:rPr>
        <w:t>. A significant positive correlation between GAR and grade of steatosis was noticed.</w:t>
      </w:r>
    </w:p>
    <w:p w14:paraId="17174CCC" w14:textId="786B1D30" w:rsidR="00393A50" w:rsidRPr="00A1317A" w:rsidRDefault="00393A50" w:rsidP="004B03EC">
      <w:pPr>
        <w:spacing w:line="240" w:lineRule="auto"/>
        <w:jc w:val="both"/>
        <w:rPr>
          <w:rFonts w:asciiTheme="majorBidi" w:eastAsia="Times New Roman" w:hAnsiTheme="majorBidi" w:cstheme="majorBidi"/>
          <w:sz w:val="24"/>
          <w:szCs w:val="24"/>
        </w:rPr>
      </w:pPr>
      <w:bookmarkStart w:id="2" w:name="_Hlk143512737"/>
      <w:r w:rsidRPr="00A1317A">
        <w:rPr>
          <w:rFonts w:asciiTheme="majorBidi" w:eastAsia="Times New Roman" w:hAnsiTheme="majorBidi" w:cstheme="majorBidi"/>
          <w:b/>
          <w:sz w:val="24"/>
          <w:szCs w:val="24"/>
        </w:rPr>
        <w:t>Table (3): Bivariate correlations between GPR and GAR and grades of steatosis and fibrosis</w:t>
      </w:r>
      <w:r w:rsidR="00A1317A">
        <w:rPr>
          <w:rFonts w:asciiTheme="majorBidi" w:eastAsia="Times New Roman" w:hAnsiTheme="majorBidi" w:cstheme="majorBidi"/>
          <w:b/>
          <w:sz w:val="24"/>
          <w:szCs w:val="24"/>
        </w:rPr>
        <w:t>.</w:t>
      </w:r>
    </w:p>
    <w:bookmarkEnd w:id="2"/>
    <w:p w14:paraId="1A80B5B9" w14:textId="321B3006" w:rsidR="00723243" w:rsidRPr="00A1317A" w:rsidRDefault="00723243" w:rsidP="00723243">
      <w:pPr>
        <w:pStyle w:val="Caption"/>
        <w:keepNext/>
        <w:rPr>
          <w:sz w:val="20"/>
          <w:szCs w:val="20"/>
        </w:rPr>
      </w:pPr>
      <w:r w:rsidRPr="00A1317A">
        <w:rPr>
          <w:sz w:val="20"/>
          <w:szCs w:val="20"/>
        </w:rPr>
        <w:t>Table 3</w:t>
      </w:r>
      <w:r w:rsidR="00532D5E">
        <w:rPr>
          <w:sz w:val="20"/>
          <w:szCs w:val="20"/>
        </w:rPr>
        <w:t>.</w:t>
      </w:r>
      <w:r w:rsidRPr="00A1317A">
        <w:rPr>
          <w:b/>
          <w:sz w:val="20"/>
          <w:szCs w:val="20"/>
        </w:rPr>
        <w:t xml:space="preserve"> Bivariate correlations between GPR and GAR and grades of steatosis and fibrosis</w:t>
      </w:r>
      <w:r w:rsidR="009003C1">
        <w:rPr>
          <w:b/>
          <w:sz w:val="20"/>
          <w:szCs w:val="20"/>
        </w:rPr>
        <w:t>.</w:t>
      </w:r>
    </w:p>
    <w:tbl>
      <w:tblPr>
        <w:tblStyle w:val="a1"/>
        <w:tblW w:w="8472" w:type="dxa"/>
        <w:tblInd w:w="-108" w:type="dxa"/>
        <w:tblLayout w:type="fixed"/>
        <w:tblLook w:val="04A0" w:firstRow="1" w:lastRow="0" w:firstColumn="1" w:lastColumn="0" w:noHBand="0" w:noVBand="1"/>
        <w:tblCaption w:val="Table (3): Bivariate correlations between GPR and GAR and grades of steatosis and fibrosis"/>
      </w:tblPr>
      <w:tblGrid>
        <w:gridCol w:w="1668"/>
        <w:gridCol w:w="1559"/>
        <w:gridCol w:w="2479"/>
        <w:gridCol w:w="2766"/>
      </w:tblGrid>
      <w:tr w:rsidR="00393A50" w:rsidRPr="004B03EC" w14:paraId="002F0988" w14:textId="77777777" w:rsidTr="00723243">
        <w:trPr>
          <w:cnfStyle w:val="100000000000" w:firstRow="1" w:lastRow="0" w:firstColumn="0" w:lastColumn="0" w:oddVBand="0" w:evenVBand="0" w:oddHBand="0"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left w:val="none" w:sz="0" w:space="0" w:color="auto"/>
              <w:bottom w:val="single" w:sz="4" w:space="0" w:color="auto"/>
              <w:right w:val="none" w:sz="0" w:space="0" w:color="auto"/>
            </w:tcBorders>
          </w:tcPr>
          <w:p w14:paraId="73E9E4BB" w14:textId="77777777" w:rsidR="00393A50" w:rsidRPr="004B03EC" w:rsidRDefault="00393A50" w:rsidP="004B03EC">
            <w:pPr>
              <w:jc w:val="both"/>
              <w:rPr>
                <w:rFonts w:asciiTheme="majorBidi" w:eastAsia="Times New Roman" w:hAnsiTheme="majorBidi" w:cstheme="majorBidi"/>
                <w:sz w:val="20"/>
                <w:szCs w:val="20"/>
              </w:rPr>
            </w:pPr>
          </w:p>
        </w:tc>
        <w:tc>
          <w:tcPr>
            <w:tcW w:w="1559" w:type="dxa"/>
            <w:tcBorders>
              <w:top w:val="single" w:sz="4" w:space="0" w:color="auto"/>
              <w:left w:val="none" w:sz="0" w:space="0" w:color="auto"/>
              <w:bottom w:val="single" w:sz="4" w:space="0" w:color="auto"/>
              <w:right w:val="none" w:sz="0" w:space="0" w:color="auto"/>
            </w:tcBorders>
          </w:tcPr>
          <w:p w14:paraId="6EF8C3BB" w14:textId="77777777" w:rsidR="00393A50" w:rsidRPr="004B03EC" w:rsidRDefault="00393A50" w:rsidP="004B03EC">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2479" w:type="dxa"/>
            <w:tcBorders>
              <w:top w:val="single" w:sz="4" w:space="0" w:color="auto"/>
              <w:left w:val="none" w:sz="0" w:space="0" w:color="auto"/>
              <w:bottom w:val="single" w:sz="4" w:space="0" w:color="auto"/>
              <w:right w:val="none" w:sz="0" w:space="0" w:color="auto"/>
            </w:tcBorders>
          </w:tcPr>
          <w:p w14:paraId="5879C90E" w14:textId="77777777" w:rsidR="00393A50" w:rsidRPr="004B03EC" w:rsidRDefault="00393A50" w:rsidP="004B03EC">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B03EC">
              <w:rPr>
                <w:rFonts w:asciiTheme="majorBidi" w:hAnsiTheme="majorBidi" w:cstheme="majorBidi"/>
                <w:sz w:val="20"/>
                <w:szCs w:val="20"/>
              </w:rPr>
              <w:t>GPR</w:t>
            </w:r>
          </w:p>
        </w:tc>
        <w:tc>
          <w:tcPr>
            <w:tcW w:w="2766" w:type="dxa"/>
            <w:tcBorders>
              <w:top w:val="single" w:sz="4" w:space="0" w:color="auto"/>
              <w:left w:val="none" w:sz="0" w:space="0" w:color="auto"/>
              <w:bottom w:val="single" w:sz="4" w:space="0" w:color="auto"/>
              <w:right w:val="none" w:sz="0" w:space="0" w:color="auto"/>
            </w:tcBorders>
          </w:tcPr>
          <w:p w14:paraId="5322FC1F" w14:textId="77777777" w:rsidR="00393A50" w:rsidRPr="004B03EC" w:rsidRDefault="00393A50" w:rsidP="004B03EC">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B03EC">
              <w:rPr>
                <w:rFonts w:asciiTheme="majorBidi" w:hAnsiTheme="majorBidi" w:cstheme="majorBidi"/>
                <w:sz w:val="20"/>
                <w:szCs w:val="20"/>
              </w:rPr>
              <w:t>GAR</w:t>
            </w:r>
          </w:p>
        </w:tc>
      </w:tr>
      <w:tr w:rsidR="00393A50" w:rsidRPr="004B03EC" w14:paraId="7F2B21EA" w14:textId="77777777" w:rsidTr="0072324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668" w:type="dxa"/>
            <w:vMerge w:val="restart"/>
            <w:tcBorders>
              <w:top w:val="single" w:sz="4" w:space="0" w:color="auto"/>
              <w:left w:val="none" w:sz="0" w:space="0" w:color="auto"/>
              <w:bottom w:val="none" w:sz="0" w:space="0" w:color="auto"/>
              <w:right w:val="none" w:sz="0" w:space="0" w:color="auto"/>
            </w:tcBorders>
            <w:shd w:val="clear" w:color="auto" w:fill="FFFFFF"/>
          </w:tcPr>
          <w:p w14:paraId="278D58D6" w14:textId="77777777" w:rsidR="00393A50" w:rsidRPr="004B03EC" w:rsidRDefault="00393A50" w:rsidP="004B03EC">
            <w:pPr>
              <w:jc w:val="both"/>
              <w:rPr>
                <w:rFonts w:asciiTheme="majorBidi" w:hAnsiTheme="majorBidi" w:cstheme="majorBidi"/>
                <w:sz w:val="20"/>
                <w:szCs w:val="20"/>
              </w:rPr>
            </w:pPr>
            <w:r w:rsidRPr="004B03EC">
              <w:rPr>
                <w:rFonts w:asciiTheme="majorBidi" w:hAnsiTheme="majorBidi" w:cstheme="majorBidi"/>
                <w:sz w:val="20"/>
                <w:szCs w:val="20"/>
              </w:rPr>
              <w:t>Steatosis grade</w:t>
            </w:r>
          </w:p>
        </w:tc>
        <w:tc>
          <w:tcPr>
            <w:tcW w:w="1559" w:type="dxa"/>
            <w:tcBorders>
              <w:top w:val="single" w:sz="4" w:space="0" w:color="auto"/>
              <w:left w:val="none" w:sz="0" w:space="0" w:color="auto"/>
              <w:bottom w:val="none" w:sz="0" w:space="0" w:color="auto"/>
              <w:right w:val="none" w:sz="0" w:space="0" w:color="auto"/>
            </w:tcBorders>
            <w:shd w:val="clear" w:color="auto" w:fill="FFFFFF"/>
          </w:tcPr>
          <w:p w14:paraId="7495C695" w14:textId="77777777" w:rsidR="00393A50" w:rsidRPr="004B03EC" w:rsidRDefault="00393A50" w:rsidP="004B03EC">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r</w:t>
            </w:r>
          </w:p>
        </w:tc>
        <w:tc>
          <w:tcPr>
            <w:tcW w:w="2479" w:type="dxa"/>
            <w:tcBorders>
              <w:top w:val="single" w:sz="4" w:space="0" w:color="auto"/>
              <w:left w:val="none" w:sz="0" w:space="0" w:color="auto"/>
              <w:bottom w:val="none" w:sz="0" w:space="0" w:color="auto"/>
              <w:right w:val="none" w:sz="0" w:space="0" w:color="auto"/>
            </w:tcBorders>
            <w:shd w:val="clear" w:color="auto" w:fill="FFFFFF"/>
          </w:tcPr>
          <w:p w14:paraId="30F03D3D" w14:textId="77777777" w:rsidR="00393A50" w:rsidRPr="004B03EC" w:rsidRDefault="00393A50" w:rsidP="004B03EC">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-0.036</w:t>
            </w:r>
          </w:p>
        </w:tc>
        <w:tc>
          <w:tcPr>
            <w:tcW w:w="2766" w:type="dxa"/>
            <w:tcBorders>
              <w:top w:val="single" w:sz="4" w:space="0" w:color="auto"/>
              <w:left w:val="none" w:sz="0" w:space="0" w:color="auto"/>
              <w:bottom w:val="none" w:sz="0" w:space="0" w:color="auto"/>
              <w:right w:val="none" w:sz="0" w:space="0" w:color="auto"/>
            </w:tcBorders>
            <w:shd w:val="clear" w:color="auto" w:fill="FFFFFF"/>
          </w:tcPr>
          <w:p w14:paraId="0B6A116C" w14:textId="77777777" w:rsidR="00393A50" w:rsidRPr="004B03EC" w:rsidRDefault="00393A50" w:rsidP="004B03EC">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0.226</w:t>
            </w:r>
          </w:p>
        </w:tc>
      </w:tr>
      <w:tr w:rsidR="00393A50" w:rsidRPr="004B03EC" w14:paraId="57D4FAF7" w14:textId="77777777" w:rsidTr="00723243">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668" w:type="dxa"/>
            <w:vMerge/>
            <w:tcBorders>
              <w:top w:val="none" w:sz="0" w:space="0" w:color="auto"/>
              <w:left w:val="none" w:sz="0" w:space="0" w:color="auto"/>
              <w:bottom w:val="none" w:sz="0" w:space="0" w:color="auto"/>
              <w:right w:val="none" w:sz="0" w:space="0" w:color="auto"/>
            </w:tcBorders>
            <w:shd w:val="clear" w:color="auto" w:fill="FFFFFF"/>
          </w:tcPr>
          <w:p w14:paraId="34C10B5D" w14:textId="77777777" w:rsidR="00393A50" w:rsidRPr="004B03EC" w:rsidRDefault="00393A50" w:rsidP="004B03EC">
            <w:pPr>
              <w:widowControl w:val="0"/>
              <w:pBdr>
                <w:top w:val="nil"/>
                <w:left w:val="nil"/>
                <w:bottom w:val="nil"/>
                <w:right w:val="nil"/>
                <w:between w:val="nil"/>
              </w:pBdr>
              <w:jc w:val="both"/>
              <w:rPr>
                <w:rFonts w:asciiTheme="majorBidi" w:eastAsia="Times New Roman" w:hAnsiTheme="majorBidi" w:cstheme="majorBidi"/>
                <w:sz w:val="20"/>
                <w:szCs w:val="20"/>
              </w:rPr>
            </w:pPr>
          </w:p>
        </w:tc>
        <w:tc>
          <w:tcPr>
            <w:tcW w:w="1559" w:type="dxa"/>
            <w:tcBorders>
              <w:top w:val="none" w:sz="0" w:space="0" w:color="auto"/>
              <w:left w:val="none" w:sz="0" w:space="0" w:color="auto"/>
              <w:bottom w:val="none" w:sz="0" w:space="0" w:color="auto"/>
              <w:right w:val="none" w:sz="0" w:space="0" w:color="auto"/>
            </w:tcBorders>
            <w:shd w:val="clear" w:color="auto" w:fill="FFFFFF"/>
          </w:tcPr>
          <w:p w14:paraId="6CDDC447" w14:textId="77777777" w:rsidR="00393A50" w:rsidRPr="004B03EC" w:rsidRDefault="00393A50" w:rsidP="004B03EC">
            <w:pPr>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P value</w:t>
            </w:r>
          </w:p>
        </w:tc>
        <w:tc>
          <w:tcPr>
            <w:tcW w:w="2479" w:type="dxa"/>
            <w:tcBorders>
              <w:top w:val="none" w:sz="0" w:space="0" w:color="auto"/>
              <w:left w:val="none" w:sz="0" w:space="0" w:color="auto"/>
              <w:bottom w:val="none" w:sz="0" w:space="0" w:color="auto"/>
              <w:right w:val="none" w:sz="0" w:space="0" w:color="auto"/>
            </w:tcBorders>
            <w:shd w:val="clear" w:color="auto" w:fill="FFFFFF"/>
          </w:tcPr>
          <w:p w14:paraId="12BFBB4D" w14:textId="77777777" w:rsidR="00393A50" w:rsidRPr="004B03EC" w:rsidRDefault="00393A50" w:rsidP="004B03EC">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4B03EC">
              <w:rPr>
                <w:rFonts w:asciiTheme="majorBidi" w:hAnsiTheme="majorBidi" w:cstheme="majorBidi"/>
                <w:sz w:val="20"/>
                <w:szCs w:val="20"/>
              </w:rPr>
              <w:t>0.725</w:t>
            </w:r>
          </w:p>
        </w:tc>
        <w:tc>
          <w:tcPr>
            <w:tcW w:w="2766" w:type="dxa"/>
            <w:tcBorders>
              <w:top w:val="none" w:sz="0" w:space="0" w:color="auto"/>
              <w:left w:val="none" w:sz="0" w:space="0" w:color="auto"/>
              <w:bottom w:val="none" w:sz="0" w:space="0" w:color="auto"/>
              <w:right w:val="none" w:sz="0" w:space="0" w:color="auto"/>
            </w:tcBorders>
            <w:shd w:val="clear" w:color="auto" w:fill="FFFFFF"/>
          </w:tcPr>
          <w:p w14:paraId="608134D7" w14:textId="77777777" w:rsidR="00393A50" w:rsidRPr="004B03EC" w:rsidRDefault="00393A50" w:rsidP="004B03EC">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4B03EC">
              <w:rPr>
                <w:rFonts w:asciiTheme="majorBidi" w:hAnsiTheme="majorBidi" w:cstheme="majorBidi"/>
                <w:sz w:val="20"/>
                <w:szCs w:val="20"/>
              </w:rPr>
              <w:t>0.024*</w:t>
            </w:r>
          </w:p>
        </w:tc>
      </w:tr>
      <w:tr w:rsidR="00393A50" w:rsidRPr="004B03EC" w14:paraId="2160E0C7" w14:textId="77777777" w:rsidTr="0072324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668" w:type="dxa"/>
            <w:vMerge w:val="restart"/>
            <w:tcBorders>
              <w:top w:val="none" w:sz="0" w:space="0" w:color="auto"/>
              <w:left w:val="none" w:sz="0" w:space="0" w:color="auto"/>
              <w:bottom w:val="none" w:sz="0" w:space="0" w:color="auto"/>
              <w:right w:val="none" w:sz="0" w:space="0" w:color="auto"/>
            </w:tcBorders>
            <w:shd w:val="clear" w:color="auto" w:fill="FFFFFF"/>
          </w:tcPr>
          <w:p w14:paraId="20ACADEC" w14:textId="77777777" w:rsidR="00393A50" w:rsidRPr="004B03EC" w:rsidRDefault="00393A50" w:rsidP="004B03EC">
            <w:pPr>
              <w:jc w:val="both"/>
              <w:rPr>
                <w:rFonts w:asciiTheme="majorBidi" w:hAnsiTheme="majorBidi" w:cstheme="majorBidi"/>
                <w:sz w:val="20"/>
                <w:szCs w:val="20"/>
              </w:rPr>
            </w:pPr>
            <w:r w:rsidRPr="004B03EC">
              <w:rPr>
                <w:rFonts w:asciiTheme="majorBidi" w:hAnsiTheme="majorBidi" w:cstheme="majorBidi"/>
                <w:sz w:val="20"/>
                <w:szCs w:val="20"/>
              </w:rPr>
              <w:t>Fibrosis grade</w:t>
            </w:r>
          </w:p>
        </w:tc>
        <w:tc>
          <w:tcPr>
            <w:tcW w:w="1559" w:type="dxa"/>
            <w:tcBorders>
              <w:top w:val="none" w:sz="0" w:space="0" w:color="auto"/>
              <w:left w:val="none" w:sz="0" w:space="0" w:color="auto"/>
              <w:bottom w:val="none" w:sz="0" w:space="0" w:color="auto"/>
              <w:right w:val="none" w:sz="0" w:space="0" w:color="auto"/>
            </w:tcBorders>
            <w:shd w:val="clear" w:color="auto" w:fill="FFFFFF"/>
          </w:tcPr>
          <w:p w14:paraId="1B99088F" w14:textId="77777777" w:rsidR="00393A50" w:rsidRPr="004B03EC" w:rsidRDefault="00393A50" w:rsidP="004B03EC">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r</w:t>
            </w:r>
          </w:p>
        </w:tc>
        <w:tc>
          <w:tcPr>
            <w:tcW w:w="2479" w:type="dxa"/>
            <w:tcBorders>
              <w:top w:val="none" w:sz="0" w:space="0" w:color="auto"/>
              <w:left w:val="none" w:sz="0" w:space="0" w:color="auto"/>
              <w:bottom w:val="none" w:sz="0" w:space="0" w:color="auto"/>
              <w:right w:val="none" w:sz="0" w:space="0" w:color="auto"/>
            </w:tcBorders>
            <w:shd w:val="clear" w:color="auto" w:fill="FFFFFF"/>
          </w:tcPr>
          <w:p w14:paraId="58EA16E9" w14:textId="77777777" w:rsidR="00393A50" w:rsidRPr="004B03EC" w:rsidRDefault="00393A50" w:rsidP="004B03EC">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0.417</w:t>
            </w:r>
          </w:p>
        </w:tc>
        <w:tc>
          <w:tcPr>
            <w:tcW w:w="2766" w:type="dxa"/>
            <w:tcBorders>
              <w:top w:val="none" w:sz="0" w:space="0" w:color="auto"/>
              <w:left w:val="none" w:sz="0" w:space="0" w:color="auto"/>
              <w:bottom w:val="none" w:sz="0" w:space="0" w:color="auto"/>
              <w:right w:val="none" w:sz="0" w:space="0" w:color="auto"/>
            </w:tcBorders>
            <w:shd w:val="clear" w:color="auto" w:fill="FFFFFF"/>
          </w:tcPr>
          <w:p w14:paraId="277DD4FE" w14:textId="77777777" w:rsidR="00393A50" w:rsidRPr="004B03EC" w:rsidRDefault="00393A50" w:rsidP="004B03EC">
            <w:pPr>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0.645</w:t>
            </w:r>
          </w:p>
        </w:tc>
      </w:tr>
      <w:tr w:rsidR="00393A50" w:rsidRPr="004B03EC" w14:paraId="50912C81" w14:textId="77777777" w:rsidTr="00723243">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668" w:type="dxa"/>
            <w:vMerge/>
            <w:tcBorders>
              <w:top w:val="none" w:sz="0" w:space="0" w:color="auto"/>
              <w:left w:val="none" w:sz="0" w:space="0" w:color="auto"/>
              <w:bottom w:val="single" w:sz="4" w:space="0" w:color="auto"/>
              <w:right w:val="none" w:sz="0" w:space="0" w:color="auto"/>
            </w:tcBorders>
            <w:shd w:val="clear" w:color="auto" w:fill="FFFFFF"/>
          </w:tcPr>
          <w:p w14:paraId="1C9BF73B" w14:textId="77777777" w:rsidR="00393A50" w:rsidRPr="004B03EC" w:rsidRDefault="00393A50" w:rsidP="004B03EC">
            <w:pPr>
              <w:widowControl w:val="0"/>
              <w:pBdr>
                <w:top w:val="nil"/>
                <w:left w:val="nil"/>
                <w:bottom w:val="nil"/>
                <w:right w:val="nil"/>
                <w:between w:val="nil"/>
              </w:pBdr>
              <w:jc w:val="both"/>
              <w:rPr>
                <w:rFonts w:asciiTheme="majorBidi" w:eastAsia="Times New Roman" w:hAnsiTheme="majorBidi" w:cstheme="majorBidi"/>
                <w:sz w:val="20"/>
                <w:szCs w:val="20"/>
              </w:rPr>
            </w:pPr>
          </w:p>
        </w:tc>
        <w:tc>
          <w:tcPr>
            <w:tcW w:w="1559" w:type="dxa"/>
            <w:tcBorders>
              <w:top w:val="none" w:sz="0" w:space="0" w:color="auto"/>
              <w:left w:val="none" w:sz="0" w:space="0" w:color="auto"/>
              <w:bottom w:val="single" w:sz="4" w:space="0" w:color="auto"/>
              <w:right w:val="none" w:sz="0" w:space="0" w:color="auto"/>
            </w:tcBorders>
            <w:shd w:val="clear" w:color="auto" w:fill="FFFFFF"/>
          </w:tcPr>
          <w:p w14:paraId="26684A1B" w14:textId="77777777" w:rsidR="00393A50" w:rsidRPr="004B03EC" w:rsidRDefault="00393A50" w:rsidP="004B03EC">
            <w:pPr>
              <w:jc w:val="both"/>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b/>
                <w:sz w:val="20"/>
                <w:szCs w:val="20"/>
              </w:rPr>
            </w:pPr>
            <w:r w:rsidRPr="004B03EC">
              <w:rPr>
                <w:rFonts w:asciiTheme="majorBidi" w:eastAsia="Times New Roman" w:hAnsiTheme="majorBidi" w:cstheme="majorBidi"/>
                <w:b/>
                <w:sz w:val="20"/>
                <w:szCs w:val="20"/>
              </w:rPr>
              <w:t>P value</w:t>
            </w:r>
          </w:p>
        </w:tc>
        <w:tc>
          <w:tcPr>
            <w:tcW w:w="2479" w:type="dxa"/>
            <w:tcBorders>
              <w:top w:val="none" w:sz="0" w:space="0" w:color="auto"/>
              <w:left w:val="none" w:sz="0" w:space="0" w:color="auto"/>
              <w:bottom w:val="single" w:sz="4" w:space="0" w:color="auto"/>
              <w:right w:val="none" w:sz="0" w:space="0" w:color="auto"/>
            </w:tcBorders>
            <w:shd w:val="clear" w:color="auto" w:fill="FFFFFF"/>
          </w:tcPr>
          <w:p w14:paraId="09EFC614" w14:textId="77777777" w:rsidR="00393A50" w:rsidRPr="004B03EC" w:rsidRDefault="00393A50" w:rsidP="004B03EC">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4B03EC">
              <w:rPr>
                <w:rFonts w:asciiTheme="majorBidi" w:hAnsiTheme="majorBidi" w:cstheme="majorBidi"/>
                <w:sz w:val="20"/>
                <w:szCs w:val="20"/>
              </w:rPr>
              <w:t>&lt;0.001*</w:t>
            </w:r>
          </w:p>
        </w:tc>
        <w:tc>
          <w:tcPr>
            <w:tcW w:w="2766" w:type="dxa"/>
            <w:tcBorders>
              <w:top w:val="none" w:sz="0" w:space="0" w:color="auto"/>
              <w:left w:val="none" w:sz="0" w:space="0" w:color="auto"/>
              <w:bottom w:val="single" w:sz="4" w:space="0" w:color="auto"/>
              <w:right w:val="none" w:sz="0" w:space="0" w:color="auto"/>
            </w:tcBorders>
            <w:shd w:val="clear" w:color="auto" w:fill="FFFFFF"/>
          </w:tcPr>
          <w:p w14:paraId="4E8E9FB1" w14:textId="77777777" w:rsidR="00393A50" w:rsidRPr="004B03EC" w:rsidRDefault="00393A50" w:rsidP="004B03EC">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0"/>
                <w:szCs w:val="20"/>
              </w:rPr>
            </w:pPr>
            <w:r w:rsidRPr="004B03EC">
              <w:rPr>
                <w:rFonts w:asciiTheme="majorBidi" w:hAnsiTheme="majorBidi" w:cstheme="majorBidi"/>
                <w:sz w:val="20"/>
                <w:szCs w:val="20"/>
              </w:rPr>
              <w:t>&lt;0.001*</w:t>
            </w:r>
          </w:p>
        </w:tc>
      </w:tr>
    </w:tbl>
    <w:p w14:paraId="6C653D95" w14:textId="77777777" w:rsidR="00393A50" w:rsidRPr="004B03EC" w:rsidRDefault="00393A50" w:rsidP="004B03EC">
      <w:pPr>
        <w:spacing w:after="0" w:line="240" w:lineRule="auto"/>
        <w:jc w:val="both"/>
        <w:rPr>
          <w:rFonts w:asciiTheme="majorBidi" w:hAnsiTheme="majorBidi" w:cstheme="majorBidi"/>
          <w:sz w:val="20"/>
          <w:szCs w:val="20"/>
        </w:rPr>
      </w:pPr>
    </w:p>
    <w:p w14:paraId="27F50D26" w14:textId="2402F7D8" w:rsidR="00C7504E" w:rsidRPr="0072698B" w:rsidRDefault="00C7504E" w:rsidP="0072698B">
      <w:pPr>
        <w:spacing w:line="240" w:lineRule="auto"/>
        <w:jc w:val="both"/>
        <w:rPr>
          <w:rFonts w:asciiTheme="majorBidi" w:eastAsia="Times New Roman" w:hAnsiTheme="majorBidi" w:cstheme="majorBidi"/>
          <w:sz w:val="24"/>
          <w:szCs w:val="24"/>
        </w:rPr>
      </w:pPr>
      <w:r w:rsidRPr="0072698B">
        <w:rPr>
          <w:rFonts w:asciiTheme="majorBidi" w:eastAsia="Times New Roman" w:hAnsiTheme="majorBidi" w:cstheme="majorBidi"/>
          <w:sz w:val="24"/>
          <w:szCs w:val="24"/>
        </w:rPr>
        <w:t xml:space="preserve">GPR (B 3.424, P &lt;0.001*) and GAR (B 0.175, P &lt;0.001*) </w:t>
      </w:r>
      <w:r w:rsidR="00AC5668" w:rsidRPr="0072698B">
        <w:rPr>
          <w:rFonts w:asciiTheme="majorBidi" w:eastAsia="Times New Roman" w:hAnsiTheme="majorBidi" w:cstheme="majorBidi"/>
          <w:sz w:val="24"/>
          <w:szCs w:val="24"/>
        </w:rPr>
        <w:t>were</w:t>
      </w:r>
      <w:r w:rsidRPr="0072698B">
        <w:rPr>
          <w:rFonts w:asciiTheme="majorBidi" w:eastAsia="Times New Roman" w:hAnsiTheme="majorBidi" w:cstheme="majorBidi"/>
          <w:sz w:val="24"/>
          <w:szCs w:val="24"/>
        </w:rPr>
        <w:t xml:space="preserve"> the independent predictors for advanced hepatic fibrosis by multiple linear regression analysis. Fibrosis score was used as </w:t>
      </w:r>
      <w:r w:rsidR="00AC5668" w:rsidRPr="0072698B">
        <w:rPr>
          <w:rFonts w:asciiTheme="majorBidi" w:eastAsia="Times New Roman" w:hAnsiTheme="majorBidi" w:cstheme="majorBidi"/>
          <w:sz w:val="24"/>
          <w:szCs w:val="24"/>
        </w:rPr>
        <w:t xml:space="preserve">the </w:t>
      </w:r>
      <w:r w:rsidRPr="0072698B">
        <w:rPr>
          <w:rFonts w:asciiTheme="majorBidi" w:eastAsia="Times New Roman" w:hAnsiTheme="majorBidi" w:cstheme="majorBidi"/>
          <w:sz w:val="24"/>
          <w:szCs w:val="24"/>
        </w:rPr>
        <w:t>dependent variable, with the other studied biomarkers as independent variables, as shown in Table 4.</w:t>
      </w:r>
    </w:p>
    <w:p w14:paraId="4A56BD89" w14:textId="1EB39B75" w:rsidR="00723243" w:rsidRPr="0072698B" w:rsidRDefault="00723243" w:rsidP="0039534F">
      <w:pPr>
        <w:pStyle w:val="Caption"/>
        <w:keepNext/>
      </w:pPr>
      <w:r>
        <w:t>Table 4</w:t>
      </w:r>
      <w:r w:rsidRPr="0072698B">
        <w:t xml:space="preserve">. </w:t>
      </w:r>
      <w:r w:rsidR="0039534F" w:rsidRPr="0072698B">
        <w:t>Potential predictors of advanced hepatic fibrosis by multiple linear regression analysis</w:t>
      </w:r>
      <w:r w:rsidR="0072698B">
        <w:t>.</w:t>
      </w:r>
    </w:p>
    <w:tbl>
      <w:tblPr>
        <w:tblStyle w:val="a2"/>
        <w:tblW w:w="8595" w:type="dxa"/>
        <w:jc w:val="center"/>
        <w:tblLayout w:type="fixed"/>
        <w:tblLook w:val="0000" w:firstRow="0" w:lastRow="0" w:firstColumn="0" w:lastColumn="0" w:noHBand="0" w:noVBand="0"/>
        <w:tblCaption w:val="Table (4): Multiple linear regression analysis for potential predictors of advanced hepatic fibrosis "/>
      </w:tblPr>
      <w:tblGrid>
        <w:gridCol w:w="1822"/>
        <w:gridCol w:w="1103"/>
        <w:gridCol w:w="1276"/>
        <w:gridCol w:w="2040"/>
        <w:gridCol w:w="1275"/>
        <w:gridCol w:w="1079"/>
      </w:tblGrid>
      <w:tr w:rsidR="00393A50" w:rsidRPr="004B03EC" w14:paraId="41B2834D" w14:textId="77777777" w:rsidTr="0072324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22" w:type="dxa"/>
            <w:vMerge w:val="restart"/>
            <w:tcBorders>
              <w:top w:val="single" w:sz="4" w:space="0" w:color="auto"/>
              <w:left w:val="none" w:sz="0" w:space="0" w:color="auto"/>
              <w:bottom w:val="none" w:sz="0" w:space="0" w:color="auto"/>
              <w:right w:val="none" w:sz="0" w:space="0" w:color="auto"/>
            </w:tcBorders>
            <w:shd w:val="clear" w:color="auto" w:fill="DEEBF6"/>
          </w:tcPr>
          <w:p w14:paraId="0B6DA2C6" w14:textId="77777777" w:rsidR="00393A50" w:rsidRPr="004B03EC" w:rsidRDefault="00393A50" w:rsidP="004B03EC">
            <w:pPr>
              <w:ind w:left="60" w:right="60"/>
              <w:jc w:val="both"/>
              <w:rPr>
                <w:rFonts w:asciiTheme="majorBidi" w:eastAsia="Times New Roman" w:hAnsiTheme="majorBidi" w:cstheme="majorBidi"/>
                <w:color w:val="000000"/>
                <w:sz w:val="20"/>
                <w:szCs w:val="20"/>
              </w:rPr>
            </w:pPr>
          </w:p>
        </w:tc>
        <w:tc>
          <w:tcPr>
            <w:tcW w:w="2379" w:type="dxa"/>
            <w:gridSpan w:val="2"/>
            <w:tcBorders>
              <w:top w:val="single" w:sz="4" w:space="0" w:color="auto"/>
              <w:bottom w:val="none" w:sz="0" w:space="0" w:color="auto"/>
            </w:tcBorders>
            <w:shd w:val="clear" w:color="auto" w:fill="DEEBF6"/>
          </w:tcPr>
          <w:p w14:paraId="080A45EC" w14:textId="77777777" w:rsidR="00393A50" w:rsidRPr="004B03EC" w:rsidRDefault="00393A50" w:rsidP="004B03EC">
            <w:pPr>
              <w:ind w:left="60" w:right="60"/>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0"/>
                <w:szCs w:val="20"/>
              </w:rPr>
            </w:pPr>
            <w:r w:rsidRPr="004B03EC">
              <w:rPr>
                <w:rFonts w:asciiTheme="majorBidi" w:eastAsia="Times New Roman" w:hAnsiTheme="majorBidi" w:cstheme="majorBidi"/>
                <w:b/>
                <w:color w:val="000000"/>
                <w:sz w:val="20"/>
                <w:szCs w:val="20"/>
              </w:rPr>
              <w:t>Unstandardized Coefficients</w:t>
            </w:r>
          </w:p>
        </w:tc>
        <w:tc>
          <w:tcPr>
            <w:cnfStyle w:val="000010000000" w:firstRow="0" w:lastRow="0" w:firstColumn="0" w:lastColumn="0" w:oddVBand="1" w:evenVBand="0" w:oddHBand="0" w:evenHBand="0" w:firstRowFirstColumn="0" w:firstRowLastColumn="0" w:lastRowFirstColumn="0" w:lastRowLastColumn="0"/>
            <w:tcW w:w="2040" w:type="dxa"/>
            <w:tcBorders>
              <w:top w:val="single" w:sz="4" w:space="0" w:color="auto"/>
              <w:left w:val="none" w:sz="0" w:space="0" w:color="auto"/>
              <w:bottom w:val="none" w:sz="0" w:space="0" w:color="auto"/>
              <w:right w:val="none" w:sz="0" w:space="0" w:color="auto"/>
            </w:tcBorders>
            <w:shd w:val="clear" w:color="auto" w:fill="DEEBF6"/>
          </w:tcPr>
          <w:p w14:paraId="0D2926DC" w14:textId="77777777" w:rsidR="00393A50" w:rsidRPr="004B03EC" w:rsidRDefault="00393A50" w:rsidP="004B03EC">
            <w:pPr>
              <w:ind w:left="60" w:right="60"/>
              <w:jc w:val="both"/>
              <w:rPr>
                <w:rFonts w:asciiTheme="majorBidi" w:eastAsia="Times New Roman" w:hAnsiTheme="majorBidi" w:cstheme="majorBidi"/>
                <w:b/>
                <w:color w:val="000000"/>
                <w:sz w:val="20"/>
                <w:szCs w:val="20"/>
              </w:rPr>
            </w:pPr>
            <w:r w:rsidRPr="004B03EC">
              <w:rPr>
                <w:rFonts w:asciiTheme="majorBidi" w:eastAsia="Times New Roman" w:hAnsiTheme="majorBidi" w:cstheme="majorBidi"/>
                <w:b/>
                <w:color w:val="000000"/>
                <w:sz w:val="20"/>
                <w:szCs w:val="20"/>
              </w:rPr>
              <w:t>Standardized Coefficients</w:t>
            </w:r>
          </w:p>
        </w:tc>
        <w:tc>
          <w:tcPr>
            <w:tcW w:w="1275" w:type="dxa"/>
            <w:vMerge w:val="restart"/>
            <w:tcBorders>
              <w:top w:val="single" w:sz="4" w:space="0" w:color="auto"/>
              <w:bottom w:val="none" w:sz="0" w:space="0" w:color="auto"/>
            </w:tcBorders>
            <w:shd w:val="clear" w:color="auto" w:fill="DEEBF6"/>
          </w:tcPr>
          <w:p w14:paraId="7EC47B44" w14:textId="77777777" w:rsidR="00393A50" w:rsidRPr="004B03EC" w:rsidRDefault="00393A50" w:rsidP="004B03EC">
            <w:pPr>
              <w:ind w:left="60" w:right="60"/>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color w:val="000000"/>
                <w:sz w:val="20"/>
                <w:szCs w:val="20"/>
              </w:rPr>
            </w:pPr>
            <w:r w:rsidRPr="004B03EC">
              <w:rPr>
                <w:rFonts w:asciiTheme="majorBidi" w:eastAsia="Times New Roman" w:hAnsiTheme="majorBidi" w:cstheme="majorBidi"/>
                <w:b/>
                <w:color w:val="000000"/>
                <w:sz w:val="20"/>
                <w:szCs w:val="20"/>
              </w:rPr>
              <w:t>t</w:t>
            </w:r>
          </w:p>
        </w:tc>
        <w:tc>
          <w:tcPr>
            <w:cnfStyle w:val="000010000000" w:firstRow="0" w:lastRow="0" w:firstColumn="0" w:lastColumn="0" w:oddVBand="1" w:evenVBand="0" w:oddHBand="0" w:evenHBand="0" w:firstRowFirstColumn="0" w:firstRowLastColumn="0" w:lastRowFirstColumn="0" w:lastRowLastColumn="0"/>
            <w:tcW w:w="1079" w:type="dxa"/>
            <w:vMerge w:val="restart"/>
            <w:tcBorders>
              <w:top w:val="single" w:sz="4" w:space="0" w:color="auto"/>
              <w:left w:val="none" w:sz="0" w:space="0" w:color="auto"/>
              <w:bottom w:val="none" w:sz="0" w:space="0" w:color="auto"/>
              <w:right w:val="none" w:sz="0" w:space="0" w:color="auto"/>
            </w:tcBorders>
            <w:shd w:val="clear" w:color="auto" w:fill="DEEBF6"/>
          </w:tcPr>
          <w:p w14:paraId="52B9EC7E" w14:textId="77777777" w:rsidR="00393A50" w:rsidRPr="004B03EC" w:rsidRDefault="00393A50" w:rsidP="004B03EC">
            <w:pPr>
              <w:ind w:left="60" w:right="60"/>
              <w:jc w:val="both"/>
              <w:rPr>
                <w:rFonts w:asciiTheme="majorBidi" w:eastAsia="Times New Roman" w:hAnsiTheme="majorBidi" w:cstheme="majorBidi"/>
                <w:b/>
                <w:color w:val="000000"/>
                <w:sz w:val="20"/>
                <w:szCs w:val="20"/>
              </w:rPr>
            </w:pPr>
            <w:r w:rsidRPr="004B03EC">
              <w:rPr>
                <w:rFonts w:asciiTheme="majorBidi" w:eastAsia="Times New Roman" w:hAnsiTheme="majorBidi" w:cstheme="majorBidi"/>
                <w:b/>
                <w:color w:val="000000"/>
                <w:sz w:val="20"/>
                <w:szCs w:val="20"/>
              </w:rPr>
              <w:t>P value</w:t>
            </w:r>
          </w:p>
        </w:tc>
      </w:tr>
      <w:tr w:rsidR="00393A50" w:rsidRPr="004B03EC" w14:paraId="09E4E3D9" w14:textId="77777777" w:rsidTr="00723243">
        <w:trPr>
          <w:jc w:val="center"/>
        </w:trPr>
        <w:tc>
          <w:tcPr>
            <w:cnfStyle w:val="000010000000" w:firstRow="0" w:lastRow="0" w:firstColumn="0" w:lastColumn="0" w:oddVBand="1" w:evenVBand="0" w:oddHBand="0" w:evenHBand="0" w:firstRowFirstColumn="0" w:firstRowLastColumn="0" w:lastRowFirstColumn="0" w:lastRowLastColumn="0"/>
            <w:tcW w:w="1822" w:type="dxa"/>
            <w:vMerge/>
            <w:tcBorders>
              <w:left w:val="none" w:sz="0" w:space="0" w:color="auto"/>
              <w:bottom w:val="single" w:sz="4" w:space="0" w:color="auto"/>
              <w:right w:val="none" w:sz="0" w:space="0" w:color="auto"/>
            </w:tcBorders>
            <w:shd w:val="clear" w:color="auto" w:fill="DEEBF6"/>
          </w:tcPr>
          <w:p w14:paraId="7863FF87" w14:textId="77777777" w:rsidR="00393A50" w:rsidRPr="004B03EC" w:rsidRDefault="00393A50" w:rsidP="004B03EC">
            <w:pPr>
              <w:widowControl w:val="0"/>
              <w:pBdr>
                <w:top w:val="nil"/>
                <w:left w:val="nil"/>
                <w:bottom w:val="nil"/>
                <w:right w:val="nil"/>
                <w:between w:val="nil"/>
              </w:pBdr>
              <w:jc w:val="both"/>
              <w:rPr>
                <w:rFonts w:asciiTheme="majorBidi" w:eastAsia="Times New Roman" w:hAnsiTheme="majorBidi" w:cstheme="majorBidi"/>
                <w:b/>
                <w:color w:val="000000"/>
                <w:sz w:val="20"/>
                <w:szCs w:val="20"/>
              </w:rPr>
            </w:pPr>
          </w:p>
        </w:tc>
        <w:tc>
          <w:tcPr>
            <w:tcW w:w="1103" w:type="dxa"/>
            <w:tcBorders>
              <w:bottom w:val="single" w:sz="4" w:space="0" w:color="auto"/>
            </w:tcBorders>
            <w:shd w:val="clear" w:color="auto" w:fill="DEEBF6"/>
          </w:tcPr>
          <w:p w14:paraId="2F4EE717" w14:textId="77777777" w:rsidR="00393A50" w:rsidRPr="004B03EC" w:rsidRDefault="00393A50" w:rsidP="004B03EC">
            <w:pPr>
              <w:ind w:left="60" w:right="6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color w:val="000000"/>
                <w:sz w:val="20"/>
                <w:szCs w:val="20"/>
              </w:rPr>
            </w:pPr>
            <w:r w:rsidRPr="004B03EC">
              <w:rPr>
                <w:rFonts w:asciiTheme="majorBidi" w:eastAsia="Times New Roman" w:hAnsiTheme="majorBidi" w:cstheme="majorBidi"/>
                <w:b/>
                <w:color w:val="000000"/>
                <w:sz w:val="20"/>
                <w:szCs w:val="20"/>
              </w:rPr>
              <w:t>B</w:t>
            </w:r>
          </w:p>
        </w:tc>
        <w:tc>
          <w:tcPr>
            <w:cnfStyle w:val="000010000000" w:firstRow="0" w:lastRow="0" w:firstColumn="0" w:lastColumn="0" w:oddVBand="1" w:evenVBand="0" w:oddHBand="0" w:evenHBand="0" w:firstRowFirstColumn="0" w:firstRowLastColumn="0" w:lastRowFirstColumn="0" w:lastRowLastColumn="0"/>
            <w:tcW w:w="1276" w:type="dxa"/>
            <w:tcBorders>
              <w:left w:val="none" w:sz="0" w:space="0" w:color="auto"/>
              <w:bottom w:val="single" w:sz="4" w:space="0" w:color="auto"/>
              <w:right w:val="none" w:sz="0" w:space="0" w:color="auto"/>
            </w:tcBorders>
            <w:shd w:val="clear" w:color="auto" w:fill="DEEBF6"/>
          </w:tcPr>
          <w:p w14:paraId="01041961" w14:textId="77777777" w:rsidR="00393A50" w:rsidRPr="004B03EC" w:rsidRDefault="00393A50" w:rsidP="004B03EC">
            <w:pPr>
              <w:ind w:left="60" w:right="60"/>
              <w:jc w:val="both"/>
              <w:rPr>
                <w:rFonts w:asciiTheme="majorBidi" w:eastAsia="Times New Roman" w:hAnsiTheme="majorBidi" w:cstheme="majorBidi"/>
                <w:b/>
                <w:color w:val="000000"/>
                <w:sz w:val="20"/>
                <w:szCs w:val="20"/>
              </w:rPr>
            </w:pPr>
            <w:r w:rsidRPr="004B03EC">
              <w:rPr>
                <w:rFonts w:asciiTheme="majorBidi" w:eastAsia="Times New Roman" w:hAnsiTheme="majorBidi" w:cstheme="majorBidi"/>
                <w:b/>
                <w:color w:val="000000"/>
                <w:sz w:val="20"/>
                <w:szCs w:val="20"/>
              </w:rPr>
              <w:t>Std. Error</w:t>
            </w:r>
          </w:p>
        </w:tc>
        <w:tc>
          <w:tcPr>
            <w:tcW w:w="2040" w:type="dxa"/>
            <w:tcBorders>
              <w:bottom w:val="single" w:sz="4" w:space="0" w:color="auto"/>
            </w:tcBorders>
            <w:shd w:val="clear" w:color="auto" w:fill="DEEBF6"/>
          </w:tcPr>
          <w:p w14:paraId="154E3E4F" w14:textId="77777777" w:rsidR="00393A50" w:rsidRPr="004B03EC" w:rsidRDefault="00393A50" w:rsidP="004B03EC">
            <w:pPr>
              <w:ind w:left="60" w:right="6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color w:val="000000"/>
                <w:sz w:val="20"/>
                <w:szCs w:val="20"/>
              </w:rPr>
            </w:pPr>
            <w:r w:rsidRPr="004B03EC">
              <w:rPr>
                <w:rFonts w:asciiTheme="majorBidi" w:eastAsia="Times New Roman" w:hAnsiTheme="majorBidi" w:cstheme="majorBidi"/>
                <w:b/>
                <w:color w:val="000000"/>
                <w:sz w:val="20"/>
                <w:szCs w:val="20"/>
              </w:rPr>
              <w:t>Beta</w:t>
            </w:r>
          </w:p>
        </w:tc>
        <w:tc>
          <w:tcPr>
            <w:cnfStyle w:val="000010000000" w:firstRow="0" w:lastRow="0" w:firstColumn="0" w:lastColumn="0" w:oddVBand="1" w:evenVBand="0" w:oddHBand="0" w:evenHBand="0" w:firstRowFirstColumn="0" w:firstRowLastColumn="0" w:lastRowFirstColumn="0" w:lastRowLastColumn="0"/>
            <w:tcW w:w="1275" w:type="dxa"/>
            <w:vMerge/>
            <w:tcBorders>
              <w:left w:val="none" w:sz="0" w:space="0" w:color="auto"/>
              <w:bottom w:val="single" w:sz="4" w:space="0" w:color="auto"/>
              <w:right w:val="none" w:sz="0" w:space="0" w:color="auto"/>
            </w:tcBorders>
            <w:shd w:val="clear" w:color="auto" w:fill="DEEBF6"/>
          </w:tcPr>
          <w:p w14:paraId="75B92CA5" w14:textId="77777777" w:rsidR="00393A50" w:rsidRPr="004B03EC" w:rsidRDefault="00393A50" w:rsidP="004B03EC">
            <w:pPr>
              <w:widowControl w:val="0"/>
              <w:pBdr>
                <w:top w:val="nil"/>
                <w:left w:val="nil"/>
                <w:bottom w:val="nil"/>
                <w:right w:val="nil"/>
                <w:between w:val="nil"/>
              </w:pBdr>
              <w:jc w:val="both"/>
              <w:rPr>
                <w:rFonts w:asciiTheme="majorBidi" w:eastAsia="Times New Roman" w:hAnsiTheme="majorBidi" w:cstheme="majorBidi"/>
                <w:b/>
                <w:color w:val="000000"/>
                <w:sz w:val="20"/>
                <w:szCs w:val="20"/>
              </w:rPr>
            </w:pPr>
          </w:p>
        </w:tc>
        <w:tc>
          <w:tcPr>
            <w:tcW w:w="1079" w:type="dxa"/>
            <w:vMerge/>
            <w:tcBorders>
              <w:bottom w:val="single" w:sz="4" w:space="0" w:color="auto"/>
            </w:tcBorders>
            <w:shd w:val="clear" w:color="auto" w:fill="DEEBF6"/>
          </w:tcPr>
          <w:p w14:paraId="5BF2BA60" w14:textId="77777777" w:rsidR="00393A50" w:rsidRPr="004B03EC" w:rsidRDefault="00393A50" w:rsidP="004B03EC">
            <w:pPr>
              <w:widowControl w:val="0"/>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color w:val="000000"/>
                <w:sz w:val="20"/>
                <w:szCs w:val="20"/>
              </w:rPr>
            </w:pPr>
          </w:p>
        </w:tc>
      </w:tr>
      <w:tr w:rsidR="00393A50" w:rsidRPr="004B03EC" w14:paraId="1F4417BC" w14:textId="77777777" w:rsidTr="0072324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22" w:type="dxa"/>
            <w:tcBorders>
              <w:top w:val="single" w:sz="4" w:space="0" w:color="auto"/>
              <w:left w:val="none" w:sz="0" w:space="0" w:color="auto"/>
              <w:bottom w:val="none" w:sz="0" w:space="0" w:color="auto"/>
              <w:right w:val="none" w:sz="0" w:space="0" w:color="auto"/>
            </w:tcBorders>
          </w:tcPr>
          <w:p w14:paraId="2D05AFAF" w14:textId="77777777" w:rsidR="00393A50" w:rsidRPr="004B03EC" w:rsidRDefault="00393A50" w:rsidP="004B03EC">
            <w:pPr>
              <w:ind w:left="60" w:right="60"/>
              <w:jc w:val="both"/>
              <w:rPr>
                <w:rFonts w:asciiTheme="majorBidi" w:eastAsia="Times New Roman" w:hAnsiTheme="majorBidi" w:cstheme="majorBidi"/>
                <w:b/>
                <w:color w:val="000000"/>
                <w:sz w:val="20"/>
                <w:szCs w:val="20"/>
              </w:rPr>
            </w:pPr>
            <w:r w:rsidRPr="004B03EC">
              <w:rPr>
                <w:rFonts w:asciiTheme="majorBidi" w:eastAsia="Times New Roman" w:hAnsiTheme="majorBidi" w:cstheme="majorBidi"/>
                <w:b/>
                <w:color w:val="000000"/>
                <w:sz w:val="20"/>
                <w:szCs w:val="20"/>
              </w:rPr>
              <w:t>GPR</w:t>
            </w:r>
          </w:p>
        </w:tc>
        <w:tc>
          <w:tcPr>
            <w:tcW w:w="1103" w:type="dxa"/>
            <w:tcBorders>
              <w:top w:val="single" w:sz="4" w:space="0" w:color="auto"/>
              <w:bottom w:val="none" w:sz="0" w:space="0" w:color="auto"/>
            </w:tcBorders>
          </w:tcPr>
          <w:p w14:paraId="4E319AB9" w14:textId="77777777" w:rsidR="00393A50" w:rsidRPr="004B03EC" w:rsidRDefault="00393A50" w:rsidP="004B03EC">
            <w:pPr>
              <w:ind w:left="60" w:right="60"/>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Pr>
            </w:pPr>
            <w:r w:rsidRPr="004B03EC">
              <w:rPr>
                <w:rFonts w:asciiTheme="majorBidi" w:eastAsia="Times New Roman" w:hAnsiTheme="majorBidi" w:cstheme="majorBidi"/>
                <w:color w:val="000000"/>
                <w:sz w:val="20"/>
                <w:szCs w:val="20"/>
              </w:rPr>
              <w:t>3.424</w:t>
            </w: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auto"/>
              <w:left w:val="none" w:sz="0" w:space="0" w:color="auto"/>
              <w:bottom w:val="none" w:sz="0" w:space="0" w:color="auto"/>
              <w:right w:val="none" w:sz="0" w:space="0" w:color="auto"/>
            </w:tcBorders>
          </w:tcPr>
          <w:p w14:paraId="6009965A" w14:textId="77777777" w:rsidR="00393A50" w:rsidRPr="004B03EC" w:rsidRDefault="00393A50" w:rsidP="004B03EC">
            <w:pPr>
              <w:ind w:left="60" w:right="60"/>
              <w:jc w:val="both"/>
              <w:rPr>
                <w:rFonts w:asciiTheme="majorBidi" w:eastAsia="Times New Roman" w:hAnsiTheme="majorBidi" w:cstheme="majorBidi"/>
                <w:color w:val="000000"/>
                <w:sz w:val="20"/>
                <w:szCs w:val="20"/>
              </w:rPr>
            </w:pPr>
            <w:r w:rsidRPr="004B03EC">
              <w:rPr>
                <w:rFonts w:asciiTheme="majorBidi" w:eastAsia="Times New Roman" w:hAnsiTheme="majorBidi" w:cstheme="majorBidi"/>
                <w:color w:val="000000"/>
                <w:sz w:val="20"/>
                <w:szCs w:val="20"/>
              </w:rPr>
              <w:t>1.470</w:t>
            </w:r>
          </w:p>
        </w:tc>
        <w:tc>
          <w:tcPr>
            <w:tcW w:w="2040" w:type="dxa"/>
            <w:tcBorders>
              <w:top w:val="single" w:sz="4" w:space="0" w:color="auto"/>
              <w:bottom w:val="none" w:sz="0" w:space="0" w:color="auto"/>
            </w:tcBorders>
          </w:tcPr>
          <w:p w14:paraId="6AD9F128" w14:textId="77777777" w:rsidR="00393A50" w:rsidRPr="004B03EC" w:rsidRDefault="00393A50" w:rsidP="004B03EC">
            <w:pPr>
              <w:ind w:left="60" w:right="60"/>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Pr>
            </w:pPr>
            <w:r w:rsidRPr="004B03EC">
              <w:rPr>
                <w:rFonts w:asciiTheme="majorBidi" w:eastAsia="Times New Roman" w:hAnsiTheme="majorBidi" w:cstheme="majorBidi"/>
                <w:color w:val="000000"/>
                <w:sz w:val="20"/>
                <w:szCs w:val="20"/>
              </w:rPr>
              <w:t>0.332</w:t>
            </w:r>
          </w:p>
        </w:tc>
        <w:tc>
          <w:tcPr>
            <w:cnfStyle w:val="000010000000" w:firstRow="0" w:lastRow="0" w:firstColumn="0" w:lastColumn="0" w:oddVBand="1" w:evenVBand="0" w:oddHBand="0" w:evenHBand="0" w:firstRowFirstColumn="0" w:firstRowLastColumn="0" w:lastRowFirstColumn="0" w:lastRowLastColumn="0"/>
            <w:tcW w:w="1275" w:type="dxa"/>
            <w:tcBorders>
              <w:top w:val="single" w:sz="4" w:space="0" w:color="auto"/>
              <w:left w:val="none" w:sz="0" w:space="0" w:color="auto"/>
              <w:bottom w:val="none" w:sz="0" w:space="0" w:color="auto"/>
              <w:right w:val="none" w:sz="0" w:space="0" w:color="auto"/>
            </w:tcBorders>
          </w:tcPr>
          <w:p w14:paraId="46056C0A" w14:textId="77777777" w:rsidR="00393A50" w:rsidRPr="004B03EC" w:rsidRDefault="00393A50" w:rsidP="004B03EC">
            <w:pPr>
              <w:ind w:left="60" w:right="60"/>
              <w:jc w:val="both"/>
              <w:rPr>
                <w:rFonts w:asciiTheme="majorBidi" w:eastAsia="Times New Roman" w:hAnsiTheme="majorBidi" w:cstheme="majorBidi"/>
                <w:color w:val="000000"/>
                <w:sz w:val="20"/>
                <w:szCs w:val="20"/>
              </w:rPr>
            </w:pPr>
            <w:r w:rsidRPr="004B03EC">
              <w:rPr>
                <w:rFonts w:asciiTheme="majorBidi" w:eastAsia="Times New Roman" w:hAnsiTheme="majorBidi" w:cstheme="majorBidi"/>
                <w:color w:val="000000"/>
                <w:sz w:val="20"/>
                <w:szCs w:val="20"/>
              </w:rPr>
              <w:t>2.329</w:t>
            </w:r>
          </w:p>
        </w:tc>
        <w:tc>
          <w:tcPr>
            <w:tcW w:w="1079" w:type="dxa"/>
            <w:tcBorders>
              <w:top w:val="single" w:sz="4" w:space="0" w:color="auto"/>
              <w:bottom w:val="none" w:sz="0" w:space="0" w:color="auto"/>
              <w:right w:val="none" w:sz="0" w:space="0" w:color="auto"/>
            </w:tcBorders>
          </w:tcPr>
          <w:p w14:paraId="590E93AC" w14:textId="77777777" w:rsidR="00393A50" w:rsidRPr="004B03EC" w:rsidRDefault="00393A50" w:rsidP="004B03EC">
            <w:pPr>
              <w:bidi/>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Pr>
            </w:pPr>
            <w:r w:rsidRPr="004B03EC">
              <w:rPr>
                <w:rFonts w:asciiTheme="majorBidi" w:eastAsia="Times New Roman" w:hAnsiTheme="majorBidi" w:cstheme="majorBidi"/>
                <w:color w:val="000000"/>
                <w:sz w:val="20"/>
                <w:szCs w:val="20"/>
              </w:rPr>
              <w:t>&lt;0.01*</w:t>
            </w:r>
          </w:p>
        </w:tc>
      </w:tr>
      <w:tr w:rsidR="00393A50" w:rsidRPr="004B03EC" w14:paraId="13B05261" w14:textId="77777777" w:rsidTr="00723243">
        <w:trPr>
          <w:jc w:val="center"/>
        </w:trPr>
        <w:tc>
          <w:tcPr>
            <w:cnfStyle w:val="000010000000" w:firstRow="0" w:lastRow="0" w:firstColumn="0" w:lastColumn="0" w:oddVBand="1" w:evenVBand="0" w:oddHBand="0" w:evenHBand="0" w:firstRowFirstColumn="0" w:firstRowLastColumn="0" w:lastRowFirstColumn="0" w:lastRowLastColumn="0"/>
            <w:tcW w:w="1822" w:type="dxa"/>
            <w:tcBorders>
              <w:left w:val="none" w:sz="0" w:space="0" w:color="auto"/>
              <w:right w:val="none" w:sz="0" w:space="0" w:color="auto"/>
            </w:tcBorders>
            <w:shd w:val="clear" w:color="auto" w:fill="DEEBF6"/>
          </w:tcPr>
          <w:p w14:paraId="124F5081" w14:textId="77777777" w:rsidR="00393A50" w:rsidRPr="004B03EC" w:rsidRDefault="00393A50" w:rsidP="004B03EC">
            <w:pPr>
              <w:ind w:left="60" w:right="60"/>
              <w:jc w:val="both"/>
              <w:rPr>
                <w:rFonts w:asciiTheme="majorBidi" w:eastAsia="Times New Roman" w:hAnsiTheme="majorBidi" w:cstheme="majorBidi"/>
                <w:b/>
                <w:color w:val="000000"/>
                <w:sz w:val="20"/>
                <w:szCs w:val="20"/>
              </w:rPr>
            </w:pPr>
            <w:r w:rsidRPr="004B03EC">
              <w:rPr>
                <w:rFonts w:asciiTheme="majorBidi" w:eastAsia="Times New Roman" w:hAnsiTheme="majorBidi" w:cstheme="majorBidi"/>
                <w:b/>
                <w:color w:val="000000"/>
                <w:sz w:val="20"/>
                <w:szCs w:val="20"/>
              </w:rPr>
              <w:t>GAR</w:t>
            </w:r>
          </w:p>
        </w:tc>
        <w:tc>
          <w:tcPr>
            <w:tcW w:w="1103" w:type="dxa"/>
            <w:shd w:val="clear" w:color="auto" w:fill="DEEBF6"/>
          </w:tcPr>
          <w:p w14:paraId="07D02A1A" w14:textId="77777777" w:rsidR="00393A50" w:rsidRPr="004B03EC" w:rsidRDefault="00393A50" w:rsidP="004B03EC">
            <w:pPr>
              <w:ind w:left="60" w:right="6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B03EC">
              <w:rPr>
                <w:rFonts w:asciiTheme="majorBidi" w:eastAsia="Times New Roman" w:hAnsiTheme="majorBidi" w:cstheme="majorBidi"/>
                <w:color w:val="000000"/>
                <w:sz w:val="20"/>
                <w:szCs w:val="20"/>
              </w:rPr>
              <w:t>0.175</w:t>
            </w:r>
          </w:p>
        </w:tc>
        <w:tc>
          <w:tcPr>
            <w:cnfStyle w:val="000010000000" w:firstRow="0" w:lastRow="0" w:firstColumn="0" w:lastColumn="0" w:oddVBand="1" w:evenVBand="0" w:oddHBand="0" w:evenHBand="0" w:firstRowFirstColumn="0" w:firstRowLastColumn="0" w:lastRowFirstColumn="0" w:lastRowLastColumn="0"/>
            <w:tcW w:w="1276" w:type="dxa"/>
            <w:tcBorders>
              <w:left w:val="none" w:sz="0" w:space="0" w:color="auto"/>
              <w:right w:val="none" w:sz="0" w:space="0" w:color="auto"/>
            </w:tcBorders>
            <w:shd w:val="clear" w:color="auto" w:fill="DEEBF6"/>
          </w:tcPr>
          <w:p w14:paraId="57EBD4A0" w14:textId="77777777" w:rsidR="00393A50" w:rsidRPr="004B03EC" w:rsidRDefault="00393A50" w:rsidP="004B03EC">
            <w:pPr>
              <w:ind w:left="60" w:right="60"/>
              <w:jc w:val="both"/>
              <w:rPr>
                <w:rFonts w:asciiTheme="majorBidi" w:eastAsia="Times New Roman" w:hAnsiTheme="majorBidi" w:cstheme="majorBidi"/>
                <w:color w:val="000000"/>
                <w:sz w:val="20"/>
                <w:szCs w:val="20"/>
              </w:rPr>
            </w:pPr>
            <w:r w:rsidRPr="004B03EC">
              <w:rPr>
                <w:rFonts w:asciiTheme="majorBidi" w:eastAsia="Times New Roman" w:hAnsiTheme="majorBidi" w:cstheme="majorBidi"/>
                <w:color w:val="000000"/>
                <w:sz w:val="20"/>
                <w:szCs w:val="20"/>
              </w:rPr>
              <w:t>0.075</w:t>
            </w:r>
          </w:p>
        </w:tc>
        <w:tc>
          <w:tcPr>
            <w:tcW w:w="2040" w:type="dxa"/>
            <w:shd w:val="clear" w:color="auto" w:fill="DEEBF6"/>
          </w:tcPr>
          <w:p w14:paraId="0D48EC46" w14:textId="77777777" w:rsidR="00393A50" w:rsidRPr="004B03EC" w:rsidRDefault="00393A50" w:rsidP="004B03EC">
            <w:pPr>
              <w:ind w:left="60" w:right="6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B03EC">
              <w:rPr>
                <w:rFonts w:asciiTheme="majorBidi" w:eastAsia="Times New Roman" w:hAnsiTheme="majorBidi" w:cstheme="majorBidi"/>
                <w:color w:val="000000"/>
                <w:sz w:val="20"/>
                <w:szCs w:val="20"/>
              </w:rPr>
              <w:t>0.307</w:t>
            </w:r>
          </w:p>
        </w:tc>
        <w:tc>
          <w:tcPr>
            <w:cnfStyle w:val="000010000000" w:firstRow="0" w:lastRow="0" w:firstColumn="0" w:lastColumn="0" w:oddVBand="1" w:evenVBand="0" w:oddHBand="0" w:evenHBand="0" w:firstRowFirstColumn="0" w:firstRowLastColumn="0" w:lastRowFirstColumn="0" w:lastRowLastColumn="0"/>
            <w:tcW w:w="1275" w:type="dxa"/>
            <w:tcBorders>
              <w:left w:val="none" w:sz="0" w:space="0" w:color="auto"/>
              <w:right w:val="none" w:sz="0" w:space="0" w:color="auto"/>
            </w:tcBorders>
            <w:shd w:val="clear" w:color="auto" w:fill="DEEBF6"/>
          </w:tcPr>
          <w:p w14:paraId="419CED5B" w14:textId="77777777" w:rsidR="00393A50" w:rsidRPr="004B03EC" w:rsidRDefault="00393A50" w:rsidP="004B03EC">
            <w:pPr>
              <w:ind w:left="60" w:right="60"/>
              <w:jc w:val="both"/>
              <w:rPr>
                <w:rFonts w:asciiTheme="majorBidi" w:eastAsia="Times New Roman" w:hAnsiTheme="majorBidi" w:cstheme="majorBidi"/>
                <w:color w:val="000000"/>
                <w:sz w:val="20"/>
                <w:szCs w:val="20"/>
              </w:rPr>
            </w:pPr>
            <w:r w:rsidRPr="004B03EC">
              <w:rPr>
                <w:rFonts w:asciiTheme="majorBidi" w:eastAsia="Times New Roman" w:hAnsiTheme="majorBidi" w:cstheme="majorBidi"/>
                <w:color w:val="000000"/>
                <w:sz w:val="20"/>
                <w:szCs w:val="20"/>
              </w:rPr>
              <w:t>2.323</w:t>
            </w:r>
          </w:p>
        </w:tc>
        <w:tc>
          <w:tcPr>
            <w:tcW w:w="1079" w:type="dxa"/>
            <w:shd w:val="clear" w:color="auto" w:fill="DEEBF6"/>
          </w:tcPr>
          <w:p w14:paraId="3C4A912D" w14:textId="77777777" w:rsidR="00393A50" w:rsidRPr="004B03EC" w:rsidRDefault="00393A50" w:rsidP="004B03EC">
            <w:pPr>
              <w:bidi/>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B03EC">
              <w:rPr>
                <w:rFonts w:asciiTheme="majorBidi" w:eastAsia="Times New Roman" w:hAnsiTheme="majorBidi" w:cstheme="majorBidi"/>
                <w:color w:val="000000"/>
                <w:sz w:val="20"/>
                <w:szCs w:val="20"/>
              </w:rPr>
              <w:t>&lt;0.01*</w:t>
            </w:r>
          </w:p>
        </w:tc>
      </w:tr>
      <w:tr w:rsidR="00393A50" w:rsidRPr="004B03EC" w14:paraId="462A4420" w14:textId="77777777" w:rsidTr="0072324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22" w:type="dxa"/>
            <w:tcBorders>
              <w:top w:val="none" w:sz="0" w:space="0" w:color="auto"/>
              <w:left w:val="none" w:sz="0" w:space="0" w:color="auto"/>
              <w:bottom w:val="none" w:sz="0" w:space="0" w:color="auto"/>
              <w:right w:val="none" w:sz="0" w:space="0" w:color="auto"/>
            </w:tcBorders>
          </w:tcPr>
          <w:p w14:paraId="6E54FD58" w14:textId="77777777" w:rsidR="00393A50" w:rsidRPr="004B03EC" w:rsidRDefault="00393A50" w:rsidP="004B03EC">
            <w:pPr>
              <w:ind w:left="60" w:right="60"/>
              <w:jc w:val="both"/>
              <w:rPr>
                <w:rFonts w:asciiTheme="majorBidi" w:eastAsia="Times New Roman" w:hAnsiTheme="majorBidi" w:cstheme="majorBidi"/>
                <w:b/>
                <w:color w:val="000000"/>
                <w:sz w:val="20"/>
                <w:szCs w:val="20"/>
              </w:rPr>
            </w:pPr>
            <w:r w:rsidRPr="004B03EC">
              <w:rPr>
                <w:rFonts w:asciiTheme="majorBidi" w:eastAsia="Times New Roman" w:hAnsiTheme="majorBidi" w:cstheme="majorBidi"/>
                <w:b/>
                <w:color w:val="000000"/>
                <w:sz w:val="20"/>
                <w:szCs w:val="20"/>
              </w:rPr>
              <w:t>Albumin</w:t>
            </w:r>
          </w:p>
        </w:tc>
        <w:tc>
          <w:tcPr>
            <w:tcW w:w="1103" w:type="dxa"/>
            <w:tcBorders>
              <w:top w:val="none" w:sz="0" w:space="0" w:color="auto"/>
              <w:bottom w:val="none" w:sz="0" w:space="0" w:color="auto"/>
            </w:tcBorders>
          </w:tcPr>
          <w:p w14:paraId="4D881C51" w14:textId="77777777" w:rsidR="00393A50" w:rsidRPr="004B03EC" w:rsidRDefault="00393A50" w:rsidP="004B03EC">
            <w:pPr>
              <w:ind w:left="60" w:right="60"/>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Pr>
            </w:pPr>
            <w:r w:rsidRPr="004B03EC">
              <w:rPr>
                <w:rFonts w:asciiTheme="majorBidi" w:eastAsia="Times New Roman" w:hAnsiTheme="majorBidi" w:cstheme="majorBidi"/>
                <w:color w:val="000000"/>
                <w:sz w:val="20"/>
                <w:szCs w:val="20"/>
              </w:rPr>
              <w:t>-0.496</w:t>
            </w:r>
          </w:p>
        </w:tc>
        <w:tc>
          <w:tcPr>
            <w:cnfStyle w:val="000010000000" w:firstRow="0" w:lastRow="0" w:firstColumn="0" w:lastColumn="0" w:oddVBand="1" w:evenVBand="0" w:oddHBand="0" w:evenHBand="0" w:firstRowFirstColumn="0" w:firstRowLastColumn="0" w:lastRowFirstColumn="0" w:lastRowLastColumn="0"/>
            <w:tcW w:w="1276" w:type="dxa"/>
            <w:tcBorders>
              <w:top w:val="none" w:sz="0" w:space="0" w:color="auto"/>
              <w:left w:val="none" w:sz="0" w:space="0" w:color="auto"/>
              <w:bottom w:val="none" w:sz="0" w:space="0" w:color="auto"/>
              <w:right w:val="none" w:sz="0" w:space="0" w:color="auto"/>
            </w:tcBorders>
          </w:tcPr>
          <w:p w14:paraId="79B3394C" w14:textId="77777777" w:rsidR="00393A50" w:rsidRPr="004B03EC" w:rsidRDefault="00393A50" w:rsidP="004B03EC">
            <w:pPr>
              <w:ind w:left="60" w:right="60"/>
              <w:jc w:val="both"/>
              <w:rPr>
                <w:rFonts w:asciiTheme="majorBidi" w:eastAsia="Times New Roman" w:hAnsiTheme="majorBidi" w:cstheme="majorBidi"/>
                <w:color w:val="000000"/>
                <w:sz w:val="20"/>
                <w:szCs w:val="20"/>
              </w:rPr>
            </w:pPr>
            <w:r w:rsidRPr="004B03EC">
              <w:rPr>
                <w:rFonts w:asciiTheme="majorBidi" w:eastAsia="Times New Roman" w:hAnsiTheme="majorBidi" w:cstheme="majorBidi"/>
                <w:color w:val="000000"/>
                <w:sz w:val="20"/>
                <w:szCs w:val="20"/>
              </w:rPr>
              <w:t>0.243</w:t>
            </w:r>
          </w:p>
        </w:tc>
        <w:tc>
          <w:tcPr>
            <w:tcW w:w="2040" w:type="dxa"/>
            <w:tcBorders>
              <w:top w:val="none" w:sz="0" w:space="0" w:color="auto"/>
              <w:bottom w:val="none" w:sz="0" w:space="0" w:color="auto"/>
            </w:tcBorders>
          </w:tcPr>
          <w:p w14:paraId="6BAA0BB2" w14:textId="77777777" w:rsidR="00393A50" w:rsidRPr="004B03EC" w:rsidRDefault="00393A50" w:rsidP="004B03EC">
            <w:pPr>
              <w:ind w:left="60" w:right="60"/>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Pr>
            </w:pPr>
            <w:r w:rsidRPr="004B03EC">
              <w:rPr>
                <w:rFonts w:asciiTheme="majorBidi" w:eastAsia="Times New Roman" w:hAnsiTheme="majorBidi" w:cstheme="majorBidi"/>
                <w:color w:val="000000"/>
                <w:sz w:val="20"/>
                <w:szCs w:val="20"/>
              </w:rPr>
              <w:t>-0.202</w:t>
            </w:r>
          </w:p>
        </w:tc>
        <w:tc>
          <w:tcPr>
            <w:cnfStyle w:val="000010000000" w:firstRow="0" w:lastRow="0" w:firstColumn="0" w:lastColumn="0" w:oddVBand="1" w:evenVBand="0" w:oddHBand="0" w:evenHBand="0" w:firstRowFirstColumn="0" w:firstRowLastColumn="0" w:lastRowFirstColumn="0" w:lastRowLastColumn="0"/>
            <w:tcW w:w="1275" w:type="dxa"/>
            <w:tcBorders>
              <w:top w:val="none" w:sz="0" w:space="0" w:color="auto"/>
              <w:left w:val="none" w:sz="0" w:space="0" w:color="auto"/>
              <w:bottom w:val="none" w:sz="0" w:space="0" w:color="auto"/>
              <w:right w:val="none" w:sz="0" w:space="0" w:color="auto"/>
            </w:tcBorders>
          </w:tcPr>
          <w:p w14:paraId="758FABDD" w14:textId="77777777" w:rsidR="00393A50" w:rsidRPr="004B03EC" w:rsidRDefault="00393A50" w:rsidP="004B03EC">
            <w:pPr>
              <w:ind w:left="60" w:right="60"/>
              <w:jc w:val="both"/>
              <w:rPr>
                <w:rFonts w:asciiTheme="majorBidi" w:eastAsia="Times New Roman" w:hAnsiTheme="majorBidi" w:cstheme="majorBidi"/>
                <w:color w:val="000000"/>
                <w:sz w:val="20"/>
                <w:szCs w:val="20"/>
              </w:rPr>
            </w:pPr>
            <w:r w:rsidRPr="004B03EC">
              <w:rPr>
                <w:rFonts w:asciiTheme="majorBidi" w:eastAsia="Times New Roman" w:hAnsiTheme="majorBidi" w:cstheme="majorBidi"/>
                <w:color w:val="000000"/>
                <w:sz w:val="20"/>
                <w:szCs w:val="20"/>
              </w:rPr>
              <w:t>-2.037</w:t>
            </w:r>
          </w:p>
        </w:tc>
        <w:tc>
          <w:tcPr>
            <w:tcW w:w="1079" w:type="dxa"/>
            <w:tcBorders>
              <w:top w:val="none" w:sz="0" w:space="0" w:color="auto"/>
              <w:bottom w:val="none" w:sz="0" w:space="0" w:color="auto"/>
              <w:right w:val="none" w:sz="0" w:space="0" w:color="auto"/>
            </w:tcBorders>
          </w:tcPr>
          <w:p w14:paraId="23C13566" w14:textId="77777777" w:rsidR="00393A50" w:rsidRPr="004B03EC" w:rsidRDefault="00393A50" w:rsidP="004B03EC">
            <w:pPr>
              <w:ind w:left="60" w:right="60"/>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Pr>
            </w:pPr>
            <w:r w:rsidRPr="004B03EC">
              <w:rPr>
                <w:rFonts w:asciiTheme="majorBidi" w:eastAsia="Times New Roman" w:hAnsiTheme="majorBidi" w:cstheme="majorBidi"/>
                <w:color w:val="000000"/>
                <w:sz w:val="20"/>
                <w:szCs w:val="20"/>
              </w:rPr>
              <w:t>&lt;0.05 *</w:t>
            </w:r>
          </w:p>
        </w:tc>
      </w:tr>
      <w:tr w:rsidR="00393A50" w:rsidRPr="004B03EC" w14:paraId="6C0E0CAF" w14:textId="77777777" w:rsidTr="00723243">
        <w:trPr>
          <w:jc w:val="center"/>
        </w:trPr>
        <w:tc>
          <w:tcPr>
            <w:cnfStyle w:val="000010000000" w:firstRow="0" w:lastRow="0" w:firstColumn="0" w:lastColumn="0" w:oddVBand="1" w:evenVBand="0" w:oddHBand="0" w:evenHBand="0" w:firstRowFirstColumn="0" w:firstRowLastColumn="0" w:lastRowFirstColumn="0" w:lastRowLastColumn="0"/>
            <w:tcW w:w="1822" w:type="dxa"/>
            <w:tcBorders>
              <w:left w:val="none" w:sz="0" w:space="0" w:color="auto"/>
              <w:right w:val="none" w:sz="0" w:space="0" w:color="auto"/>
            </w:tcBorders>
            <w:shd w:val="clear" w:color="auto" w:fill="DEEBF6"/>
          </w:tcPr>
          <w:p w14:paraId="5E8450B2" w14:textId="77777777" w:rsidR="00393A50" w:rsidRPr="004B03EC" w:rsidRDefault="00393A50" w:rsidP="004B03EC">
            <w:pPr>
              <w:ind w:left="60" w:right="60"/>
              <w:jc w:val="both"/>
              <w:rPr>
                <w:rFonts w:asciiTheme="majorBidi" w:eastAsia="Times New Roman" w:hAnsiTheme="majorBidi" w:cstheme="majorBidi"/>
                <w:b/>
                <w:color w:val="000000"/>
                <w:sz w:val="20"/>
                <w:szCs w:val="20"/>
              </w:rPr>
            </w:pPr>
            <w:r w:rsidRPr="004B03EC">
              <w:rPr>
                <w:rFonts w:asciiTheme="majorBidi" w:eastAsia="Times New Roman" w:hAnsiTheme="majorBidi" w:cstheme="majorBidi"/>
                <w:b/>
                <w:color w:val="000000"/>
                <w:sz w:val="20"/>
                <w:szCs w:val="20"/>
              </w:rPr>
              <w:t>GGT</w:t>
            </w:r>
          </w:p>
        </w:tc>
        <w:tc>
          <w:tcPr>
            <w:tcW w:w="1103" w:type="dxa"/>
            <w:shd w:val="clear" w:color="auto" w:fill="DEEBF6"/>
          </w:tcPr>
          <w:p w14:paraId="1518AB09" w14:textId="77777777" w:rsidR="00393A50" w:rsidRPr="004B03EC" w:rsidRDefault="00393A50" w:rsidP="004B03EC">
            <w:pPr>
              <w:ind w:left="60" w:right="6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B03EC">
              <w:rPr>
                <w:rFonts w:asciiTheme="majorBidi" w:eastAsia="Times New Roman" w:hAnsiTheme="majorBidi" w:cstheme="majorBidi"/>
                <w:color w:val="000000"/>
                <w:sz w:val="20"/>
                <w:szCs w:val="20"/>
              </w:rPr>
              <w:t>0.023</w:t>
            </w:r>
          </w:p>
        </w:tc>
        <w:tc>
          <w:tcPr>
            <w:cnfStyle w:val="000010000000" w:firstRow="0" w:lastRow="0" w:firstColumn="0" w:lastColumn="0" w:oddVBand="1" w:evenVBand="0" w:oddHBand="0" w:evenHBand="0" w:firstRowFirstColumn="0" w:firstRowLastColumn="0" w:lastRowFirstColumn="0" w:lastRowLastColumn="0"/>
            <w:tcW w:w="1276" w:type="dxa"/>
            <w:tcBorders>
              <w:left w:val="none" w:sz="0" w:space="0" w:color="auto"/>
              <w:right w:val="none" w:sz="0" w:space="0" w:color="auto"/>
            </w:tcBorders>
            <w:shd w:val="clear" w:color="auto" w:fill="DEEBF6"/>
          </w:tcPr>
          <w:p w14:paraId="6E664119" w14:textId="77777777" w:rsidR="00393A50" w:rsidRPr="004B03EC" w:rsidRDefault="00393A50" w:rsidP="004B03EC">
            <w:pPr>
              <w:ind w:left="60" w:right="60"/>
              <w:jc w:val="both"/>
              <w:rPr>
                <w:rFonts w:asciiTheme="majorBidi" w:eastAsia="Times New Roman" w:hAnsiTheme="majorBidi" w:cstheme="majorBidi"/>
                <w:color w:val="000000"/>
                <w:sz w:val="20"/>
                <w:szCs w:val="20"/>
              </w:rPr>
            </w:pPr>
            <w:r w:rsidRPr="004B03EC">
              <w:rPr>
                <w:rFonts w:asciiTheme="majorBidi" w:eastAsia="Times New Roman" w:hAnsiTheme="majorBidi" w:cstheme="majorBidi"/>
                <w:color w:val="000000"/>
                <w:sz w:val="20"/>
                <w:szCs w:val="20"/>
              </w:rPr>
              <w:t>0.023</w:t>
            </w:r>
          </w:p>
        </w:tc>
        <w:tc>
          <w:tcPr>
            <w:tcW w:w="2040" w:type="dxa"/>
            <w:shd w:val="clear" w:color="auto" w:fill="DEEBF6"/>
          </w:tcPr>
          <w:p w14:paraId="63DC4B33" w14:textId="77777777" w:rsidR="00393A50" w:rsidRPr="004B03EC" w:rsidRDefault="00393A50" w:rsidP="004B03EC">
            <w:pPr>
              <w:ind w:left="60" w:right="6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B03EC">
              <w:rPr>
                <w:rFonts w:asciiTheme="majorBidi" w:eastAsia="Times New Roman" w:hAnsiTheme="majorBidi" w:cstheme="majorBidi"/>
                <w:color w:val="000000"/>
                <w:sz w:val="20"/>
                <w:szCs w:val="20"/>
              </w:rPr>
              <w:t>0.121</w:t>
            </w:r>
          </w:p>
        </w:tc>
        <w:tc>
          <w:tcPr>
            <w:cnfStyle w:val="000010000000" w:firstRow="0" w:lastRow="0" w:firstColumn="0" w:lastColumn="0" w:oddVBand="1" w:evenVBand="0" w:oddHBand="0" w:evenHBand="0" w:firstRowFirstColumn="0" w:firstRowLastColumn="0" w:lastRowFirstColumn="0" w:lastRowLastColumn="0"/>
            <w:tcW w:w="1275" w:type="dxa"/>
            <w:tcBorders>
              <w:left w:val="none" w:sz="0" w:space="0" w:color="auto"/>
              <w:right w:val="none" w:sz="0" w:space="0" w:color="auto"/>
            </w:tcBorders>
            <w:shd w:val="clear" w:color="auto" w:fill="DEEBF6"/>
          </w:tcPr>
          <w:p w14:paraId="153DCBC1" w14:textId="77777777" w:rsidR="00393A50" w:rsidRPr="004B03EC" w:rsidRDefault="00393A50" w:rsidP="004B03EC">
            <w:pPr>
              <w:ind w:left="60" w:right="60"/>
              <w:jc w:val="both"/>
              <w:rPr>
                <w:rFonts w:asciiTheme="majorBidi" w:eastAsia="Times New Roman" w:hAnsiTheme="majorBidi" w:cstheme="majorBidi"/>
                <w:color w:val="000000"/>
                <w:sz w:val="20"/>
                <w:szCs w:val="20"/>
              </w:rPr>
            </w:pPr>
            <w:r w:rsidRPr="004B03EC">
              <w:rPr>
                <w:rFonts w:asciiTheme="majorBidi" w:eastAsia="Times New Roman" w:hAnsiTheme="majorBidi" w:cstheme="majorBidi"/>
                <w:color w:val="000000"/>
                <w:sz w:val="20"/>
                <w:szCs w:val="20"/>
              </w:rPr>
              <w:t>0.995</w:t>
            </w:r>
          </w:p>
        </w:tc>
        <w:tc>
          <w:tcPr>
            <w:tcW w:w="1079" w:type="dxa"/>
            <w:shd w:val="clear" w:color="auto" w:fill="DEEBF6"/>
          </w:tcPr>
          <w:p w14:paraId="7EBE77FC" w14:textId="77777777" w:rsidR="00393A50" w:rsidRPr="004B03EC" w:rsidRDefault="00393A50" w:rsidP="004B03EC">
            <w:pPr>
              <w:ind w:left="60" w:right="60"/>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4B03EC">
              <w:rPr>
                <w:rFonts w:asciiTheme="majorBidi" w:eastAsia="Times New Roman" w:hAnsiTheme="majorBidi" w:cstheme="majorBidi"/>
                <w:color w:val="000000"/>
                <w:sz w:val="20"/>
                <w:szCs w:val="20"/>
              </w:rPr>
              <w:t>0.324</w:t>
            </w:r>
          </w:p>
        </w:tc>
      </w:tr>
      <w:tr w:rsidR="00393A50" w:rsidRPr="004B03EC" w14:paraId="7F7F217B" w14:textId="77777777" w:rsidTr="0072324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22" w:type="dxa"/>
            <w:tcBorders>
              <w:top w:val="none" w:sz="0" w:space="0" w:color="auto"/>
              <w:left w:val="none" w:sz="0" w:space="0" w:color="auto"/>
              <w:bottom w:val="none" w:sz="0" w:space="0" w:color="auto"/>
              <w:right w:val="none" w:sz="0" w:space="0" w:color="auto"/>
            </w:tcBorders>
          </w:tcPr>
          <w:p w14:paraId="72098570" w14:textId="77777777" w:rsidR="00393A50" w:rsidRPr="004B03EC" w:rsidRDefault="00393A50" w:rsidP="004B03EC">
            <w:pPr>
              <w:ind w:left="60" w:right="60"/>
              <w:jc w:val="both"/>
              <w:rPr>
                <w:rFonts w:asciiTheme="majorBidi" w:eastAsia="Times New Roman" w:hAnsiTheme="majorBidi" w:cstheme="majorBidi"/>
                <w:b/>
                <w:color w:val="000000"/>
                <w:sz w:val="20"/>
                <w:szCs w:val="20"/>
              </w:rPr>
            </w:pPr>
            <w:r w:rsidRPr="004B03EC">
              <w:rPr>
                <w:rFonts w:asciiTheme="majorBidi" w:eastAsia="Times New Roman" w:hAnsiTheme="majorBidi" w:cstheme="majorBidi"/>
                <w:b/>
                <w:color w:val="000000"/>
                <w:sz w:val="20"/>
                <w:szCs w:val="20"/>
              </w:rPr>
              <w:t>ALT</w:t>
            </w:r>
          </w:p>
        </w:tc>
        <w:tc>
          <w:tcPr>
            <w:tcW w:w="1103" w:type="dxa"/>
            <w:tcBorders>
              <w:top w:val="none" w:sz="0" w:space="0" w:color="auto"/>
              <w:bottom w:val="none" w:sz="0" w:space="0" w:color="auto"/>
            </w:tcBorders>
          </w:tcPr>
          <w:p w14:paraId="7251213B" w14:textId="77777777" w:rsidR="00393A50" w:rsidRPr="004B03EC" w:rsidRDefault="00393A50" w:rsidP="004B03EC">
            <w:pPr>
              <w:ind w:left="60" w:right="60"/>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Pr>
            </w:pPr>
            <w:r w:rsidRPr="004B03EC">
              <w:rPr>
                <w:rFonts w:asciiTheme="majorBidi" w:eastAsia="Times New Roman" w:hAnsiTheme="majorBidi" w:cstheme="majorBidi"/>
                <w:color w:val="000000"/>
                <w:sz w:val="20"/>
                <w:szCs w:val="20"/>
              </w:rPr>
              <w:t>0.004</w:t>
            </w:r>
          </w:p>
        </w:tc>
        <w:tc>
          <w:tcPr>
            <w:cnfStyle w:val="000010000000" w:firstRow="0" w:lastRow="0" w:firstColumn="0" w:lastColumn="0" w:oddVBand="1" w:evenVBand="0" w:oddHBand="0" w:evenHBand="0" w:firstRowFirstColumn="0" w:firstRowLastColumn="0" w:lastRowFirstColumn="0" w:lastRowLastColumn="0"/>
            <w:tcW w:w="1276" w:type="dxa"/>
            <w:tcBorders>
              <w:top w:val="none" w:sz="0" w:space="0" w:color="auto"/>
              <w:left w:val="none" w:sz="0" w:space="0" w:color="auto"/>
              <w:bottom w:val="none" w:sz="0" w:space="0" w:color="auto"/>
              <w:right w:val="none" w:sz="0" w:space="0" w:color="auto"/>
            </w:tcBorders>
          </w:tcPr>
          <w:p w14:paraId="2D74C4E7" w14:textId="77777777" w:rsidR="00393A50" w:rsidRPr="004B03EC" w:rsidRDefault="00393A50" w:rsidP="004B03EC">
            <w:pPr>
              <w:ind w:left="60" w:right="60"/>
              <w:jc w:val="both"/>
              <w:rPr>
                <w:rFonts w:asciiTheme="majorBidi" w:eastAsia="Times New Roman" w:hAnsiTheme="majorBidi" w:cstheme="majorBidi"/>
                <w:color w:val="000000"/>
                <w:sz w:val="20"/>
                <w:szCs w:val="20"/>
              </w:rPr>
            </w:pPr>
            <w:r w:rsidRPr="004B03EC">
              <w:rPr>
                <w:rFonts w:asciiTheme="majorBidi" w:eastAsia="Times New Roman" w:hAnsiTheme="majorBidi" w:cstheme="majorBidi"/>
                <w:color w:val="000000"/>
                <w:sz w:val="20"/>
                <w:szCs w:val="20"/>
              </w:rPr>
              <w:t>0.011</w:t>
            </w:r>
          </w:p>
        </w:tc>
        <w:tc>
          <w:tcPr>
            <w:tcW w:w="2040" w:type="dxa"/>
            <w:tcBorders>
              <w:top w:val="none" w:sz="0" w:space="0" w:color="auto"/>
              <w:bottom w:val="none" w:sz="0" w:space="0" w:color="auto"/>
            </w:tcBorders>
          </w:tcPr>
          <w:p w14:paraId="73B29E1E" w14:textId="77777777" w:rsidR="00393A50" w:rsidRPr="004B03EC" w:rsidRDefault="00393A50" w:rsidP="004B03EC">
            <w:pPr>
              <w:ind w:left="60" w:right="60"/>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Pr>
            </w:pPr>
            <w:r w:rsidRPr="004B03EC">
              <w:rPr>
                <w:rFonts w:asciiTheme="majorBidi" w:eastAsia="Times New Roman" w:hAnsiTheme="majorBidi" w:cstheme="majorBidi"/>
                <w:color w:val="000000"/>
                <w:sz w:val="20"/>
                <w:szCs w:val="20"/>
              </w:rPr>
              <w:t>0.043</w:t>
            </w:r>
          </w:p>
        </w:tc>
        <w:tc>
          <w:tcPr>
            <w:cnfStyle w:val="000010000000" w:firstRow="0" w:lastRow="0" w:firstColumn="0" w:lastColumn="0" w:oddVBand="1" w:evenVBand="0" w:oddHBand="0" w:evenHBand="0" w:firstRowFirstColumn="0" w:firstRowLastColumn="0" w:lastRowFirstColumn="0" w:lastRowLastColumn="0"/>
            <w:tcW w:w="1275" w:type="dxa"/>
            <w:tcBorders>
              <w:top w:val="none" w:sz="0" w:space="0" w:color="auto"/>
              <w:left w:val="none" w:sz="0" w:space="0" w:color="auto"/>
              <w:bottom w:val="none" w:sz="0" w:space="0" w:color="auto"/>
              <w:right w:val="none" w:sz="0" w:space="0" w:color="auto"/>
            </w:tcBorders>
          </w:tcPr>
          <w:p w14:paraId="2668DAB0" w14:textId="77777777" w:rsidR="00393A50" w:rsidRPr="004B03EC" w:rsidRDefault="00393A50" w:rsidP="004B03EC">
            <w:pPr>
              <w:ind w:left="60" w:right="60"/>
              <w:jc w:val="both"/>
              <w:rPr>
                <w:rFonts w:asciiTheme="majorBidi" w:eastAsia="Times New Roman" w:hAnsiTheme="majorBidi" w:cstheme="majorBidi"/>
                <w:color w:val="000000"/>
                <w:sz w:val="20"/>
                <w:szCs w:val="20"/>
              </w:rPr>
            </w:pPr>
            <w:r w:rsidRPr="004B03EC">
              <w:rPr>
                <w:rFonts w:asciiTheme="majorBidi" w:eastAsia="Times New Roman" w:hAnsiTheme="majorBidi" w:cstheme="majorBidi"/>
                <w:color w:val="000000"/>
                <w:sz w:val="20"/>
                <w:szCs w:val="20"/>
              </w:rPr>
              <w:t>0.348</w:t>
            </w:r>
          </w:p>
        </w:tc>
        <w:tc>
          <w:tcPr>
            <w:tcW w:w="1079" w:type="dxa"/>
            <w:tcBorders>
              <w:top w:val="none" w:sz="0" w:space="0" w:color="auto"/>
              <w:bottom w:val="none" w:sz="0" w:space="0" w:color="auto"/>
              <w:right w:val="none" w:sz="0" w:space="0" w:color="auto"/>
            </w:tcBorders>
          </w:tcPr>
          <w:p w14:paraId="1F9A5A19" w14:textId="77777777" w:rsidR="00393A50" w:rsidRPr="004B03EC" w:rsidRDefault="00393A50" w:rsidP="004B03EC">
            <w:pPr>
              <w:ind w:left="60" w:right="60"/>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Pr>
            </w:pPr>
            <w:r w:rsidRPr="004B03EC">
              <w:rPr>
                <w:rFonts w:asciiTheme="majorBidi" w:eastAsia="Times New Roman" w:hAnsiTheme="majorBidi" w:cstheme="majorBidi"/>
                <w:color w:val="000000"/>
                <w:sz w:val="20"/>
                <w:szCs w:val="20"/>
              </w:rPr>
              <w:t>0.729</w:t>
            </w:r>
          </w:p>
        </w:tc>
      </w:tr>
      <w:tr w:rsidR="00393A50" w:rsidRPr="004B03EC" w14:paraId="370FDEB6" w14:textId="77777777" w:rsidTr="00723243">
        <w:trPr>
          <w:jc w:val="center"/>
        </w:trPr>
        <w:tc>
          <w:tcPr>
            <w:cnfStyle w:val="000010000000" w:firstRow="0" w:lastRow="0" w:firstColumn="0" w:lastColumn="0" w:oddVBand="1" w:evenVBand="0" w:oddHBand="0" w:evenHBand="0" w:firstRowFirstColumn="0" w:firstRowLastColumn="0" w:lastRowFirstColumn="0" w:lastRowLastColumn="0"/>
            <w:tcW w:w="8595" w:type="dxa"/>
            <w:gridSpan w:val="6"/>
            <w:tcBorders>
              <w:left w:val="none" w:sz="0" w:space="0" w:color="auto"/>
              <w:bottom w:val="single" w:sz="4" w:space="0" w:color="auto"/>
              <w:right w:val="none" w:sz="0" w:space="0" w:color="auto"/>
            </w:tcBorders>
            <w:shd w:val="clear" w:color="auto" w:fill="DEEBF6"/>
          </w:tcPr>
          <w:p w14:paraId="4B3478EC" w14:textId="77777777" w:rsidR="00393A50" w:rsidRPr="004B03EC" w:rsidRDefault="00393A50" w:rsidP="004B03EC">
            <w:pPr>
              <w:ind w:left="60" w:right="60"/>
              <w:jc w:val="both"/>
              <w:rPr>
                <w:rFonts w:asciiTheme="majorBidi" w:eastAsia="Times New Roman" w:hAnsiTheme="majorBidi" w:cstheme="majorBidi"/>
                <w:color w:val="000000"/>
                <w:sz w:val="20"/>
                <w:szCs w:val="20"/>
              </w:rPr>
            </w:pPr>
            <w:r w:rsidRPr="004B03EC">
              <w:rPr>
                <w:rFonts w:asciiTheme="majorBidi" w:eastAsia="Times New Roman" w:hAnsiTheme="majorBidi" w:cstheme="majorBidi"/>
                <w:b/>
                <w:color w:val="000000"/>
                <w:sz w:val="20"/>
                <w:szCs w:val="20"/>
              </w:rPr>
              <w:t>Dependent variable:</w:t>
            </w:r>
            <w:r w:rsidRPr="004B03EC">
              <w:rPr>
                <w:rFonts w:asciiTheme="majorBidi" w:eastAsia="Times New Roman" w:hAnsiTheme="majorBidi" w:cstheme="majorBidi"/>
                <w:color w:val="000000"/>
                <w:sz w:val="20"/>
                <w:szCs w:val="20"/>
              </w:rPr>
              <w:t xml:space="preserve"> Fibrosis score</w:t>
            </w:r>
          </w:p>
        </w:tc>
      </w:tr>
    </w:tbl>
    <w:p w14:paraId="76DFB1F3" w14:textId="77777777" w:rsidR="00393A50" w:rsidRPr="004B03EC" w:rsidRDefault="00393A50" w:rsidP="004B03EC">
      <w:pPr>
        <w:spacing w:after="0" w:line="240" w:lineRule="auto"/>
        <w:jc w:val="both"/>
        <w:rPr>
          <w:rFonts w:asciiTheme="majorBidi" w:hAnsiTheme="majorBidi" w:cstheme="majorBidi"/>
          <w:sz w:val="20"/>
          <w:szCs w:val="20"/>
        </w:rPr>
      </w:pPr>
    </w:p>
    <w:p w14:paraId="58076A81" w14:textId="6D809FAE" w:rsidR="00076E62" w:rsidRPr="0045681E" w:rsidRDefault="003A0130" w:rsidP="004B03EC">
      <w:pPr>
        <w:spacing w:after="0" w:line="240" w:lineRule="auto"/>
        <w:jc w:val="both"/>
        <w:rPr>
          <w:rFonts w:asciiTheme="majorBidi" w:hAnsiTheme="majorBidi" w:cstheme="majorBidi"/>
          <w:sz w:val="24"/>
          <w:szCs w:val="24"/>
        </w:rPr>
      </w:pPr>
      <w:r w:rsidRPr="0045681E">
        <w:rPr>
          <w:rFonts w:asciiTheme="majorBidi" w:hAnsiTheme="majorBidi" w:cstheme="majorBidi"/>
          <w:sz w:val="24"/>
          <w:szCs w:val="24"/>
        </w:rPr>
        <w:t>The receiver</w:t>
      </w:r>
      <w:r w:rsidR="006C59F4" w:rsidRPr="0045681E">
        <w:rPr>
          <w:rFonts w:asciiTheme="majorBidi" w:hAnsiTheme="majorBidi" w:cstheme="majorBidi"/>
          <w:sz w:val="24"/>
          <w:szCs w:val="24"/>
        </w:rPr>
        <w:t xml:space="preserve"> operating characteristic (ROC) curve (</w:t>
      </w:r>
      <w:r w:rsidR="00D92064" w:rsidRPr="0045681E">
        <w:rPr>
          <w:rFonts w:asciiTheme="majorBidi" w:hAnsiTheme="majorBidi" w:cstheme="majorBidi"/>
          <w:b/>
          <w:bCs/>
          <w:sz w:val="24"/>
          <w:szCs w:val="24"/>
        </w:rPr>
        <w:t>Table 5, F</w:t>
      </w:r>
      <w:r w:rsidR="006C59F4" w:rsidRPr="0045681E">
        <w:rPr>
          <w:rFonts w:asciiTheme="majorBidi" w:hAnsiTheme="majorBidi" w:cstheme="majorBidi"/>
          <w:b/>
          <w:bCs/>
          <w:sz w:val="24"/>
          <w:szCs w:val="24"/>
        </w:rPr>
        <w:t>ig 1</w:t>
      </w:r>
      <w:r w:rsidR="006C59F4" w:rsidRPr="0045681E">
        <w:rPr>
          <w:rFonts w:asciiTheme="majorBidi" w:hAnsiTheme="majorBidi" w:cstheme="majorBidi"/>
          <w:sz w:val="24"/>
          <w:szCs w:val="24"/>
        </w:rPr>
        <w:t>) showed that GAR has the largest area under the curve (0.949, 95% CI 0.905- 0.992) followed by GGT (0.921, 95% CI 0.864 - 0.978), then GPR (0.790, 95%CI0.700-0,880).</w:t>
      </w:r>
    </w:p>
    <w:p w14:paraId="2F8DBB32" w14:textId="04D8E510" w:rsidR="00393A50" w:rsidRPr="0045681E" w:rsidRDefault="006C59F4" w:rsidP="004B03EC">
      <w:pPr>
        <w:spacing w:after="0" w:line="240" w:lineRule="auto"/>
        <w:jc w:val="both"/>
        <w:rPr>
          <w:rFonts w:asciiTheme="majorBidi" w:hAnsiTheme="majorBidi" w:cstheme="majorBidi"/>
          <w:sz w:val="24"/>
          <w:szCs w:val="24"/>
        </w:rPr>
      </w:pPr>
      <w:r w:rsidRPr="0045681E">
        <w:rPr>
          <w:rFonts w:asciiTheme="majorBidi" w:hAnsiTheme="majorBidi" w:cstheme="majorBidi"/>
          <w:sz w:val="24"/>
          <w:szCs w:val="24"/>
        </w:rPr>
        <w:t xml:space="preserve">Using a cut-off </w:t>
      </w:r>
      <w:r w:rsidR="003A0130" w:rsidRPr="0045681E">
        <w:rPr>
          <w:rFonts w:asciiTheme="majorBidi" w:hAnsiTheme="majorBidi" w:cstheme="majorBidi"/>
          <w:sz w:val="24"/>
          <w:szCs w:val="24"/>
        </w:rPr>
        <w:t xml:space="preserve">of </w:t>
      </w:r>
      <w:r w:rsidRPr="0045681E">
        <w:rPr>
          <w:rFonts w:asciiTheme="majorBidi" w:hAnsiTheme="majorBidi" w:cstheme="majorBidi"/>
          <w:sz w:val="24"/>
          <w:szCs w:val="24"/>
        </w:rPr>
        <w:t>more than 5.897, GAR showed a 90.9% sensitivity and 94.8% specificity for differentiating early and advanced fibrosis. ROC curve results for GPR demonstrated that using &gt;0.079   as a cut-off will have a 100% sensitivity and 61.5%</w:t>
      </w:r>
      <w:r w:rsidR="003A0130" w:rsidRPr="0045681E">
        <w:rPr>
          <w:rFonts w:asciiTheme="majorBidi" w:hAnsiTheme="majorBidi" w:cstheme="majorBidi"/>
          <w:sz w:val="24"/>
          <w:szCs w:val="24"/>
        </w:rPr>
        <w:t>. In contrast,</w:t>
      </w:r>
      <w:r w:rsidRPr="0045681E">
        <w:rPr>
          <w:rFonts w:asciiTheme="majorBidi" w:hAnsiTheme="majorBidi" w:cstheme="majorBidi"/>
          <w:sz w:val="24"/>
          <w:szCs w:val="24"/>
        </w:rPr>
        <w:t xml:space="preserve"> </w:t>
      </w:r>
      <w:r w:rsidR="003A0130" w:rsidRPr="0045681E">
        <w:rPr>
          <w:rFonts w:asciiTheme="majorBidi" w:hAnsiTheme="majorBidi" w:cstheme="majorBidi"/>
          <w:sz w:val="24"/>
          <w:szCs w:val="24"/>
        </w:rPr>
        <w:t xml:space="preserve">with </w:t>
      </w:r>
      <w:r w:rsidRPr="0045681E">
        <w:rPr>
          <w:rFonts w:asciiTheme="majorBidi" w:hAnsiTheme="majorBidi" w:cstheme="majorBidi"/>
          <w:sz w:val="24"/>
          <w:szCs w:val="24"/>
        </w:rPr>
        <w:t>a cut-off value of &gt;23, GGT showed a 90.9% sensitivity and 89.7% for differentiating early and advanced fibrosis.</w:t>
      </w:r>
    </w:p>
    <w:p w14:paraId="6EAB598A" w14:textId="77777777" w:rsidR="00393A50" w:rsidRPr="0045681E" w:rsidRDefault="00393A50" w:rsidP="004B03EC">
      <w:pPr>
        <w:spacing w:after="0" w:line="240" w:lineRule="auto"/>
        <w:jc w:val="both"/>
        <w:rPr>
          <w:rFonts w:asciiTheme="majorBidi" w:hAnsiTheme="majorBidi" w:cstheme="majorBidi"/>
          <w:sz w:val="24"/>
          <w:szCs w:val="24"/>
        </w:rPr>
      </w:pPr>
    </w:p>
    <w:p w14:paraId="1FE9D482" w14:textId="6568D7F8" w:rsidR="0045681E" w:rsidRPr="0045681E" w:rsidRDefault="0045681E" w:rsidP="0045681E">
      <w:pPr>
        <w:pStyle w:val="Caption"/>
        <w:keepNext/>
      </w:pPr>
      <w:r>
        <w:t>Table 5.</w:t>
      </w:r>
      <w:r w:rsidRPr="0045681E">
        <w:rPr>
          <w:b/>
        </w:rPr>
        <w:t xml:space="preserve"> Performance of GPR and GAR as predictors of advanced hepatic fibrosis (ROC curve analysis)</w:t>
      </w:r>
      <w:r w:rsidRPr="0045681E">
        <w:t xml:space="preserve"> </w:t>
      </w:r>
    </w:p>
    <w:tbl>
      <w:tblPr>
        <w:tblStyle w:val="a3"/>
        <w:tblW w:w="9911" w:type="dxa"/>
        <w:tblInd w:w="-572" w:type="dxa"/>
        <w:tblLayout w:type="fixed"/>
        <w:tblLook w:val="0400" w:firstRow="0" w:lastRow="0" w:firstColumn="0" w:lastColumn="0" w:noHBand="0" w:noVBand="1"/>
        <w:tblCaption w:val="Table 5. Performance of GPR and GAR as predictors of advanced hepatic fibrosis (ROC curve analysis) "/>
        <w:tblDescription w:val="AUC: area under the ROC curve; CI: confidence interval of AUC; NPV: negative predictive value; PPV: positive predictive value; SE: standard error of AUC; Sens: sensitivity; spec: specificity; * significant at p&lt;0.05."/>
      </w:tblPr>
      <w:tblGrid>
        <w:gridCol w:w="1134"/>
        <w:gridCol w:w="851"/>
        <w:gridCol w:w="1031"/>
        <w:gridCol w:w="1657"/>
        <w:gridCol w:w="861"/>
        <w:gridCol w:w="721"/>
        <w:gridCol w:w="712"/>
        <w:gridCol w:w="711"/>
        <w:gridCol w:w="689"/>
        <w:gridCol w:w="692"/>
        <w:gridCol w:w="852"/>
      </w:tblGrid>
      <w:tr w:rsidR="00393A50" w:rsidRPr="004B03EC" w14:paraId="24CC69BC" w14:textId="77777777" w:rsidTr="0045681E">
        <w:tc>
          <w:tcPr>
            <w:tcW w:w="1134" w:type="dxa"/>
            <w:tcBorders>
              <w:top w:val="single" w:sz="4" w:space="0" w:color="auto"/>
              <w:bottom w:val="single" w:sz="4" w:space="0" w:color="auto"/>
            </w:tcBorders>
            <w:shd w:val="clear" w:color="auto" w:fill="E3E3E3"/>
            <w:tcMar>
              <w:top w:w="30" w:type="dxa"/>
              <w:left w:w="120" w:type="dxa"/>
              <w:bottom w:w="15" w:type="dxa"/>
              <w:right w:w="120" w:type="dxa"/>
            </w:tcMar>
            <w:vAlign w:val="bottom"/>
          </w:tcPr>
          <w:p w14:paraId="3FA78BC0"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Variable</w:t>
            </w:r>
          </w:p>
        </w:tc>
        <w:tc>
          <w:tcPr>
            <w:tcW w:w="851" w:type="dxa"/>
            <w:tcBorders>
              <w:top w:val="single" w:sz="4" w:space="0" w:color="auto"/>
              <w:bottom w:val="single" w:sz="4" w:space="0" w:color="auto"/>
            </w:tcBorders>
            <w:shd w:val="clear" w:color="auto" w:fill="E3E3E3"/>
            <w:tcMar>
              <w:top w:w="30" w:type="dxa"/>
              <w:left w:w="120" w:type="dxa"/>
              <w:bottom w:w="15" w:type="dxa"/>
              <w:right w:w="120" w:type="dxa"/>
            </w:tcMar>
            <w:vAlign w:val="bottom"/>
          </w:tcPr>
          <w:p w14:paraId="19A911EE"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AUC</w:t>
            </w:r>
          </w:p>
        </w:tc>
        <w:tc>
          <w:tcPr>
            <w:tcW w:w="1031" w:type="dxa"/>
            <w:tcBorders>
              <w:top w:val="single" w:sz="4" w:space="0" w:color="auto"/>
              <w:bottom w:val="single" w:sz="4" w:space="0" w:color="auto"/>
            </w:tcBorders>
            <w:shd w:val="clear" w:color="auto" w:fill="E3E3E3"/>
            <w:tcMar>
              <w:top w:w="30" w:type="dxa"/>
              <w:left w:w="120" w:type="dxa"/>
              <w:bottom w:w="15" w:type="dxa"/>
              <w:right w:w="120" w:type="dxa"/>
            </w:tcMar>
            <w:vAlign w:val="bottom"/>
          </w:tcPr>
          <w:p w14:paraId="06218E63"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SE</w:t>
            </w:r>
          </w:p>
        </w:tc>
        <w:tc>
          <w:tcPr>
            <w:tcW w:w="1657" w:type="dxa"/>
            <w:tcBorders>
              <w:top w:val="single" w:sz="4" w:space="0" w:color="auto"/>
              <w:bottom w:val="single" w:sz="4" w:space="0" w:color="auto"/>
            </w:tcBorders>
            <w:shd w:val="clear" w:color="auto" w:fill="E3E3E3"/>
            <w:tcMar>
              <w:top w:w="30" w:type="dxa"/>
              <w:left w:w="120" w:type="dxa"/>
              <w:bottom w:w="15" w:type="dxa"/>
              <w:right w:w="120" w:type="dxa"/>
            </w:tcMar>
            <w:vAlign w:val="bottom"/>
          </w:tcPr>
          <w:p w14:paraId="506024E9"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 xml:space="preserve">95% CI </w:t>
            </w:r>
            <w:r w:rsidRPr="004B03EC">
              <w:rPr>
                <w:rFonts w:asciiTheme="majorBidi" w:hAnsiTheme="majorBidi" w:cstheme="majorBidi"/>
                <w:color w:val="000000"/>
                <w:sz w:val="20"/>
                <w:szCs w:val="20"/>
                <w:vertAlign w:val="superscript"/>
              </w:rPr>
              <w:t>b</w:t>
            </w:r>
          </w:p>
        </w:tc>
        <w:tc>
          <w:tcPr>
            <w:tcW w:w="861" w:type="dxa"/>
            <w:tcBorders>
              <w:top w:val="single" w:sz="4" w:space="0" w:color="auto"/>
              <w:bottom w:val="single" w:sz="4" w:space="0" w:color="auto"/>
            </w:tcBorders>
            <w:shd w:val="clear" w:color="auto" w:fill="E3E3E3"/>
          </w:tcPr>
          <w:p w14:paraId="1374DA49"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p-value</w:t>
            </w:r>
          </w:p>
        </w:tc>
        <w:tc>
          <w:tcPr>
            <w:tcW w:w="721" w:type="dxa"/>
            <w:tcBorders>
              <w:top w:val="single" w:sz="4" w:space="0" w:color="auto"/>
              <w:bottom w:val="single" w:sz="4" w:space="0" w:color="auto"/>
            </w:tcBorders>
            <w:shd w:val="clear" w:color="auto" w:fill="E3E3E3"/>
          </w:tcPr>
          <w:p w14:paraId="04E6DB9E"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Cut-off</w:t>
            </w:r>
          </w:p>
        </w:tc>
        <w:tc>
          <w:tcPr>
            <w:tcW w:w="712" w:type="dxa"/>
            <w:tcBorders>
              <w:top w:val="single" w:sz="4" w:space="0" w:color="auto"/>
              <w:bottom w:val="single" w:sz="4" w:space="0" w:color="auto"/>
            </w:tcBorders>
            <w:shd w:val="clear" w:color="auto" w:fill="E3E3E3"/>
          </w:tcPr>
          <w:p w14:paraId="2783FF9C" w14:textId="134F8C07" w:rsidR="00393A50" w:rsidRPr="004B03EC" w:rsidRDefault="003A013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Sens</w:t>
            </w:r>
          </w:p>
        </w:tc>
        <w:tc>
          <w:tcPr>
            <w:tcW w:w="711" w:type="dxa"/>
            <w:tcBorders>
              <w:top w:val="single" w:sz="4" w:space="0" w:color="auto"/>
              <w:bottom w:val="single" w:sz="4" w:space="0" w:color="auto"/>
            </w:tcBorders>
            <w:shd w:val="clear" w:color="auto" w:fill="E3E3E3"/>
          </w:tcPr>
          <w:p w14:paraId="0DF1DAE4"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spec</w:t>
            </w:r>
          </w:p>
        </w:tc>
        <w:tc>
          <w:tcPr>
            <w:tcW w:w="689" w:type="dxa"/>
            <w:tcBorders>
              <w:top w:val="single" w:sz="4" w:space="0" w:color="auto"/>
              <w:bottom w:val="single" w:sz="4" w:space="0" w:color="auto"/>
            </w:tcBorders>
            <w:shd w:val="clear" w:color="auto" w:fill="E3E3E3"/>
          </w:tcPr>
          <w:p w14:paraId="126720CB"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PPV</w:t>
            </w:r>
          </w:p>
        </w:tc>
        <w:tc>
          <w:tcPr>
            <w:tcW w:w="692" w:type="dxa"/>
            <w:tcBorders>
              <w:top w:val="single" w:sz="4" w:space="0" w:color="auto"/>
              <w:bottom w:val="single" w:sz="4" w:space="0" w:color="auto"/>
            </w:tcBorders>
            <w:shd w:val="clear" w:color="auto" w:fill="E3E3E3"/>
          </w:tcPr>
          <w:p w14:paraId="1961B58F"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NPV</w:t>
            </w:r>
          </w:p>
        </w:tc>
        <w:tc>
          <w:tcPr>
            <w:tcW w:w="852" w:type="dxa"/>
            <w:tcBorders>
              <w:top w:val="single" w:sz="4" w:space="0" w:color="auto"/>
              <w:bottom w:val="single" w:sz="4" w:space="0" w:color="auto"/>
            </w:tcBorders>
            <w:shd w:val="clear" w:color="auto" w:fill="E3E3E3"/>
          </w:tcPr>
          <w:p w14:paraId="547EF010"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Accuracy</w:t>
            </w:r>
          </w:p>
        </w:tc>
      </w:tr>
      <w:tr w:rsidR="00393A50" w:rsidRPr="004B03EC" w14:paraId="35DAD468" w14:textId="77777777" w:rsidTr="0045681E">
        <w:tc>
          <w:tcPr>
            <w:tcW w:w="1134" w:type="dxa"/>
            <w:tcBorders>
              <w:top w:val="single" w:sz="4" w:space="0" w:color="auto"/>
            </w:tcBorders>
            <w:tcMar>
              <w:top w:w="30" w:type="dxa"/>
              <w:left w:w="120" w:type="dxa"/>
              <w:bottom w:w="15" w:type="dxa"/>
              <w:right w:w="120" w:type="dxa"/>
            </w:tcMar>
          </w:tcPr>
          <w:p w14:paraId="5101158E"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GAR</w:t>
            </w:r>
          </w:p>
        </w:tc>
        <w:tc>
          <w:tcPr>
            <w:tcW w:w="851" w:type="dxa"/>
            <w:tcBorders>
              <w:top w:val="single" w:sz="4" w:space="0" w:color="auto"/>
            </w:tcBorders>
            <w:tcMar>
              <w:top w:w="30" w:type="dxa"/>
              <w:left w:w="120" w:type="dxa"/>
              <w:bottom w:w="15" w:type="dxa"/>
              <w:right w:w="120" w:type="dxa"/>
            </w:tcMar>
          </w:tcPr>
          <w:p w14:paraId="31A4D4A2"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0.949</w:t>
            </w:r>
          </w:p>
        </w:tc>
        <w:tc>
          <w:tcPr>
            <w:tcW w:w="1031" w:type="dxa"/>
            <w:tcBorders>
              <w:top w:val="single" w:sz="4" w:space="0" w:color="auto"/>
            </w:tcBorders>
            <w:tcMar>
              <w:top w:w="30" w:type="dxa"/>
              <w:left w:w="120" w:type="dxa"/>
              <w:bottom w:w="15" w:type="dxa"/>
              <w:right w:w="120" w:type="dxa"/>
            </w:tcMar>
          </w:tcPr>
          <w:p w14:paraId="1B7E21D9"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0.0222</w:t>
            </w:r>
          </w:p>
        </w:tc>
        <w:tc>
          <w:tcPr>
            <w:tcW w:w="1657" w:type="dxa"/>
            <w:tcBorders>
              <w:top w:val="single" w:sz="4" w:space="0" w:color="auto"/>
            </w:tcBorders>
            <w:tcMar>
              <w:top w:w="30" w:type="dxa"/>
              <w:left w:w="120" w:type="dxa"/>
              <w:bottom w:w="15" w:type="dxa"/>
              <w:right w:w="120" w:type="dxa"/>
            </w:tcMar>
          </w:tcPr>
          <w:p w14:paraId="50E530E3"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0.905 to 0.992</w:t>
            </w:r>
          </w:p>
        </w:tc>
        <w:tc>
          <w:tcPr>
            <w:tcW w:w="861" w:type="dxa"/>
            <w:tcBorders>
              <w:top w:val="single" w:sz="4" w:space="0" w:color="auto"/>
            </w:tcBorders>
          </w:tcPr>
          <w:p w14:paraId="03915101" w14:textId="77777777" w:rsidR="00393A50" w:rsidRPr="004B03EC" w:rsidRDefault="00393A50" w:rsidP="004B03EC">
            <w:pPr>
              <w:spacing w:after="0" w:line="240" w:lineRule="auto"/>
              <w:jc w:val="both"/>
              <w:rPr>
                <w:rFonts w:asciiTheme="majorBidi" w:hAnsiTheme="majorBidi" w:cstheme="majorBidi"/>
                <w:sz w:val="20"/>
                <w:szCs w:val="20"/>
              </w:rPr>
            </w:pPr>
            <w:r w:rsidRPr="004B03EC">
              <w:rPr>
                <w:rFonts w:asciiTheme="majorBidi" w:hAnsiTheme="majorBidi" w:cstheme="majorBidi"/>
                <w:sz w:val="20"/>
                <w:szCs w:val="20"/>
              </w:rPr>
              <w:t>&lt;</w:t>
            </w:r>
            <w:r w:rsidRPr="004B03EC">
              <w:rPr>
                <w:rFonts w:asciiTheme="majorBidi" w:hAnsiTheme="majorBidi" w:cstheme="majorBidi"/>
                <w:color w:val="000000"/>
                <w:sz w:val="20"/>
                <w:szCs w:val="20"/>
              </w:rPr>
              <w:t>0.001*</w:t>
            </w:r>
          </w:p>
        </w:tc>
        <w:tc>
          <w:tcPr>
            <w:tcW w:w="721" w:type="dxa"/>
            <w:tcBorders>
              <w:top w:val="single" w:sz="4" w:space="0" w:color="auto"/>
            </w:tcBorders>
          </w:tcPr>
          <w:p w14:paraId="78DD5359"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&gt;5.897</w:t>
            </w:r>
          </w:p>
        </w:tc>
        <w:tc>
          <w:tcPr>
            <w:tcW w:w="712" w:type="dxa"/>
            <w:tcBorders>
              <w:top w:val="single" w:sz="4" w:space="0" w:color="auto"/>
            </w:tcBorders>
          </w:tcPr>
          <w:p w14:paraId="5DD3822E"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90.91</w:t>
            </w:r>
          </w:p>
        </w:tc>
        <w:tc>
          <w:tcPr>
            <w:tcW w:w="711" w:type="dxa"/>
            <w:tcBorders>
              <w:top w:val="single" w:sz="4" w:space="0" w:color="auto"/>
            </w:tcBorders>
          </w:tcPr>
          <w:p w14:paraId="1635FA80"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94.87</w:t>
            </w:r>
          </w:p>
        </w:tc>
        <w:tc>
          <w:tcPr>
            <w:tcW w:w="689" w:type="dxa"/>
            <w:tcBorders>
              <w:top w:val="single" w:sz="4" w:space="0" w:color="auto"/>
            </w:tcBorders>
          </w:tcPr>
          <w:p w14:paraId="2FD7C789"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83.3</w:t>
            </w:r>
          </w:p>
        </w:tc>
        <w:tc>
          <w:tcPr>
            <w:tcW w:w="692" w:type="dxa"/>
            <w:tcBorders>
              <w:top w:val="single" w:sz="4" w:space="0" w:color="auto"/>
            </w:tcBorders>
          </w:tcPr>
          <w:p w14:paraId="040E8DBE"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97.4</w:t>
            </w:r>
          </w:p>
        </w:tc>
        <w:tc>
          <w:tcPr>
            <w:tcW w:w="852" w:type="dxa"/>
            <w:tcBorders>
              <w:top w:val="single" w:sz="4" w:space="0" w:color="auto"/>
            </w:tcBorders>
            <w:vAlign w:val="bottom"/>
          </w:tcPr>
          <w:p w14:paraId="3D6063A0"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94.0</w:t>
            </w:r>
          </w:p>
        </w:tc>
      </w:tr>
      <w:tr w:rsidR="00393A50" w:rsidRPr="004B03EC" w14:paraId="09AC7A39" w14:textId="77777777" w:rsidTr="0045681E">
        <w:tc>
          <w:tcPr>
            <w:tcW w:w="1134" w:type="dxa"/>
            <w:tcMar>
              <w:top w:w="30" w:type="dxa"/>
              <w:left w:w="120" w:type="dxa"/>
              <w:bottom w:w="15" w:type="dxa"/>
              <w:right w:w="120" w:type="dxa"/>
            </w:tcMar>
          </w:tcPr>
          <w:p w14:paraId="2713671C"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GPR</w:t>
            </w:r>
          </w:p>
        </w:tc>
        <w:tc>
          <w:tcPr>
            <w:tcW w:w="851" w:type="dxa"/>
            <w:tcMar>
              <w:top w:w="30" w:type="dxa"/>
              <w:left w:w="120" w:type="dxa"/>
              <w:bottom w:w="15" w:type="dxa"/>
              <w:right w:w="120" w:type="dxa"/>
            </w:tcMar>
          </w:tcPr>
          <w:p w14:paraId="2E676208"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0.790</w:t>
            </w:r>
          </w:p>
        </w:tc>
        <w:tc>
          <w:tcPr>
            <w:tcW w:w="1031" w:type="dxa"/>
            <w:tcMar>
              <w:top w:w="30" w:type="dxa"/>
              <w:left w:w="120" w:type="dxa"/>
              <w:bottom w:w="15" w:type="dxa"/>
              <w:right w:w="120" w:type="dxa"/>
            </w:tcMar>
          </w:tcPr>
          <w:p w14:paraId="4F28A3F9"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0.0459</w:t>
            </w:r>
          </w:p>
        </w:tc>
        <w:tc>
          <w:tcPr>
            <w:tcW w:w="1657" w:type="dxa"/>
            <w:tcMar>
              <w:top w:w="30" w:type="dxa"/>
              <w:left w:w="120" w:type="dxa"/>
              <w:bottom w:w="15" w:type="dxa"/>
              <w:right w:w="120" w:type="dxa"/>
            </w:tcMar>
          </w:tcPr>
          <w:p w14:paraId="652763D7"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0.700 to 0.880</w:t>
            </w:r>
          </w:p>
        </w:tc>
        <w:tc>
          <w:tcPr>
            <w:tcW w:w="861" w:type="dxa"/>
          </w:tcPr>
          <w:p w14:paraId="332E2DE3" w14:textId="77777777" w:rsidR="00393A50" w:rsidRPr="004B03EC" w:rsidRDefault="00393A50" w:rsidP="004B03EC">
            <w:pPr>
              <w:spacing w:after="0" w:line="240" w:lineRule="auto"/>
              <w:jc w:val="both"/>
              <w:rPr>
                <w:rFonts w:asciiTheme="majorBidi" w:hAnsiTheme="majorBidi" w:cstheme="majorBidi"/>
                <w:sz w:val="20"/>
                <w:szCs w:val="20"/>
              </w:rPr>
            </w:pPr>
            <w:r w:rsidRPr="004B03EC">
              <w:rPr>
                <w:rFonts w:asciiTheme="majorBidi" w:hAnsiTheme="majorBidi" w:cstheme="majorBidi"/>
                <w:sz w:val="20"/>
                <w:szCs w:val="20"/>
              </w:rPr>
              <w:t>&lt;</w:t>
            </w:r>
            <w:r w:rsidRPr="004B03EC">
              <w:rPr>
                <w:rFonts w:asciiTheme="majorBidi" w:hAnsiTheme="majorBidi" w:cstheme="majorBidi"/>
                <w:color w:val="000000"/>
                <w:sz w:val="20"/>
                <w:szCs w:val="20"/>
              </w:rPr>
              <w:t>0.001*</w:t>
            </w:r>
          </w:p>
        </w:tc>
        <w:tc>
          <w:tcPr>
            <w:tcW w:w="721" w:type="dxa"/>
          </w:tcPr>
          <w:p w14:paraId="0DA31DD5"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&gt;0.079</w:t>
            </w:r>
          </w:p>
        </w:tc>
        <w:tc>
          <w:tcPr>
            <w:tcW w:w="712" w:type="dxa"/>
          </w:tcPr>
          <w:p w14:paraId="45BC28FB"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100.00</w:t>
            </w:r>
          </w:p>
        </w:tc>
        <w:tc>
          <w:tcPr>
            <w:tcW w:w="711" w:type="dxa"/>
          </w:tcPr>
          <w:p w14:paraId="5E7CEC4A"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61.54</w:t>
            </w:r>
          </w:p>
        </w:tc>
        <w:tc>
          <w:tcPr>
            <w:tcW w:w="689" w:type="dxa"/>
          </w:tcPr>
          <w:p w14:paraId="7981BB2E"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42.3</w:t>
            </w:r>
          </w:p>
        </w:tc>
        <w:tc>
          <w:tcPr>
            <w:tcW w:w="692" w:type="dxa"/>
          </w:tcPr>
          <w:p w14:paraId="00F6CDEC"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100.0</w:t>
            </w:r>
          </w:p>
        </w:tc>
        <w:tc>
          <w:tcPr>
            <w:tcW w:w="852" w:type="dxa"/>
            <w:vAlign w:val="bottom"/>
          </w:tcPr>
          <w:p w14:paraId="1746941A"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70.0</w:t>
            </w:r>
          </w:p>
        </w:tc>
      </w:tr>
      <w:tr w:rsidR="00393A50" w:rsidRPr="004B03EC" w14:paraId="17D70F4C" w14:textId="77777777" w:rsidTr="0045681E">
        <w:tc>
          <w:tcPr>
            <w:tcW w:w="1134" w:type="dxa"/>
            <w:tcMar>
              <w:top w:w="30" w:type="dxa"/>
              <w:left w:w="120" w:type="dxa"/>
              <w:bottom w:w="15" w:type="dxa"/>
              <w:right w:w="120" w:type="dxa"/>
            </w:tcMar>
          </w:tcPr>
          <w:p w14:paraId="38D99458"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albumin</w:t>
            </w:r>
          </w:p>
        </w:tc>
        <w:tc>
          <w:tcPr>
            <w:tcW w:w="851" w:type="dxa"/>
            <w:tcMar>
              <w:top w:w="30" w:type="dxa"/>
              <w:left w:w="120" w:type="dxa"/>
              <w:bottom w:w="15" w:type="dxa"/>
              <w:right w:w="120" w:type="dxa"/>
            </w:tcMar>
          </w:tcPr>
          <w:p w14:paraId="0E1CB592"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0.723</w:t>
            </w:r>
          </w:p>
        </w:tc>
        <w:tc>
          <w:tcPr>
            <w:tcW w:w="1031" w:type="dxa"/>
            <w:tcMar>
              <w:top w:w="30" w:type="dxa"/>
              <w:left w:w="120" w:type="dxa"/>
              <w:bottom w:w="15" w:type="dxa"/>
              <w:right w:w="120" w:type="dxa"/>
            </w:tcMar>
          </w:tcPr>
          <w:p w14:paraId="7E6E69AB"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0.0646</w:t>
            </w:r>
          </w:p>
        </w:tc>
        <w:tc>
          <w:tcPr>
            <w:tcW w:w="1657" w:type="dxa"/>
            <w:tcMar>
              <w:top w:w="30" w:type="dxa"/>
              <w:left w:w="120" w:type="dxa"/>
              <w:bottom w:w="15" w:type="dxa"/>
              <w:right w:w="120" w:type="dxa"/>
            </w:tcMar>
          </w:tcPr>
          <w:p w14:paraId="6CD8B7D5"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0.596 to 0.849</w:t>
            </w:r>
          </w:p>
        </w:tc>
        <w:tc>
          <w:tcPr>
            <w:tcW w:w="861" w:type="dxa"/>
          </w:tcPr>
          <w:p w14:paraId="51116A2D" w14:textId="77777777" w:rsidR="00393A50" w:rsidRPr="004B03EC" w:rsidRDefault="00393A50" w:rsidP="004B03EC">
            <w:pPr>
              <w:spacing w:after="0" w:line="240" w:lineRule="auto"/>
              <w:jc w:val="both"/>
              <w:rPr>
                <w:rFonts w:asciiTheme="majorBidi" w:hAnsiTheme="majorBidi" w:cstheme="majorBidi"/>
                <w:sz w:val="20"/>
                <w:szCs w:val="20"/>
              </w:rPr>
            </w:pPr>
            <w:r w:rsidRPr="004B03EC">
              <w:rPr>
                <w:rFonts w:asciiTheme="majorBidi" w:hAnsiTheme="majorBidi" w:cstheme="majorBidi"/>
                <w:sz w:val="20"/>
                <w:szCs w:val="20"/>
              </w:rPr>
              <w:t>&lt;</w:t>
            </w:r>
            <w:r w:rsidRPr="004B03EC">
              <w:rPr>
                <w:rFonts w:asciiTheme="majorBidi" w:hAnsiTheme="majorBidi" w:cstheme="majorBidi"/>
                <w:color w:val="000000"/>
                <w:sz w:val="20"/>
                <w:szCs w:val="20"/>
              </w:rPr>
              <w:t>0.001*</w:t>
            </w:r>
          </w:p>
        </w:tc>
        <w:tc>
          <w:tcPr>
            <w:tcW w:w="721" w:type="dxa"/>
          </w:tcPr>
          <w:p w14:paraId="24232DAC"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≤3.8</w:t>
            </w:r>
          </w:p>
        </w:tc>
        <w:tc>
          <w:tcPr>
            <w:tcW w:w="712" w:type="dxa"/>
          </w:tcPr>
          <w:p w14:paraId="749BD37B"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36.36</w:t>
            </w:r>
          </w:p>
        </w:tc>
        <w:tc>
          <w:tcPr>
            <w:tcW w:w="711" w:type="dxa"/>
          </w:tcPr>
          <w:p w14:paraId="190D1823"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100.00</w:t>
            </w:r>
          </w:p>
        </w:tc>
        <w:tc>
          <w:tcPr>
            <w:tcW w:w="689" w:type="dxa"/>
          </w:tcPr>
          <w:p w14:paraId="2663B355"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100.0</w:t>
            </w:r>
          </w:p>
        </w:tc>
        <w:tc>
          <w:tcPr>
            <w:tcW w:w="692" w:type="dxa"/>
          </w:tcPr>
          <w:p w14:paraId="59E39BB2"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84.8</w:t>
            </w:r>
          </w:p>
        </w:tc>
        <w:tc>
          <w:tcPr>
            <w:tcW w:w="852" w:type="dxa"/>
            <w:vAlign w:val="bottom"/>
          </w:tcPr>
          <w:p w14:paraId="0BD8D103"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86.0</w:t>
            </w:r>
          </w:p>
        </w:tc>
      </w:tr>
      <w:tr w:rsidR="00393A50" w:rsidRPr="004B03EC" w14:paraId="25781F53" w14:textId="77777777" w:rsidTr="0045681E">
        <w:tc>
          <w:tcPr>
            <w:tcW w:w="1134" w:type="dxa"/>
            <w:tcMar>
              <w:top w:w="30" w:type="dxa"/>
              <w:left w:w="120" w:type="dxa"/>
              <w:bottom w:w="15" w:type="dxa"/>
              <w:right w:w="120" w:type="dxa"/>
            </w:tcMar>
          </w:tcPr>
          <w:p w14:paraId="30729AB8"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ALT</w:t>
            </w:r>
          </w:p>
        </w:tc>
        <w:tc>
          <w:tcPr>
            <w:tcW w:w="851" w:type="dxa"/>
            <w:tcMar>
              <w:top w:w="30" w:type="dxa"/>
              <w:left w:w="120" w:type="dxa"/>
              <w:bottom w:w="15" w:type="dxa"/>
              <w:right w:w="120" w:type="dxa"/>
            </w:tcMar>
          </w:tcPr>
          <w:p w14:paraId="37A662F4"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0.769</w:t>
            </w:r>
          </w:p>
        </w:tc>
        <w:tc>
          <w:tcPr>
            <w:tcW w:w="1031" w:type="dxa"/>
            <w:tcMar>
              <w:top w:w="30" w:type="dxa"/>
              <w:left w:w="120" w:type="dxa"/>
              <w:bottom w:w="15" w:type="dxa"/>
              <w:right w:w="120" w:type="dxa"/>
            </w:tcMar>
          </w:tcPr>
          <w:p w14:paraId="052F09E1"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0.0520</w:t>
            </w:r>
          </w:p>
        </w:tc>
        <w:tc>
          <w:tcPr>
            <w:tcW w:w="1657" w:type="dxa"/>
            <w:tcMar>
              <w:top w:w="30" w:type="dxa"/>
              <w:left w:w="120" w:type="dxa"/>
              <w:bottom w:w="15" w:type="dxa"/>
              <w:right w:w="120" w:type="dxa"/>
            </w:tcMar>
          </w:tcPr>
          <w:p w14:paraId="789AAB0A"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0.667 to 0.871</w:t>
            </w:r>
          </w:p>
        </w:tc>
        <w:tc>
          <w:tcPr>
            <w:tcW w:w="861" w:type="dxa"/>
          </w:tcPr>
          <w:p w14:paraId="60A0A893" w14:textId="77777777" w:rsidR="00393A50" w:rsidRPr="004B03EC" w:rsidRDefault="00393A50" w:rsidP="004B03EC">
            <w:pPr>
              <w:spacing w:after="0" w:line="240" w:lineRule="auto"/>
              <w:jc w:val="both"/>
              <w:rPr>
                <w:rFonts w:asciiTheme="majorBidi" w:hAnsiTheme="majorBidi" w:cstheme="majorBidi"/>
                <w:sz w:val="20"/>
                <w:szCs w:val="20"/>
              </w:rPr>
            </w:pPr>
            <w:r w:rsidRPr="004B03EC">
              <w:rPr>
                <w:rFonts w:asciiTheme="majorBidi" w:hAnsiTheme="majorBidi" w:cstheme="majorBidi"/>
                <w:sz w:val="20"/>
                <w:szCs w:val="20"/>
              </w:rPr>
              <w:t>&lt;</w:t>
            </w:r>
            <w:r w:rsidRPr="004B03EC">
              <w:rPr>
                <w:rFonts w:asciiTheme="majorBidi" w:hAnsiTheme="majorBidi" w:cstheme="majorBidi"/>
                <w:color w:val="000000"/>
                <w:sz w:val="20"/>
                <w:szCs w:val="20"/>
              </w:rPr>
              <w:t>0.001*</w:t>
            </w:r>
          </w:p>
        </w:tc>
        <w:tc>
          <w:tcPr>
            <w:tcW w:w="721" w:type="dxa"/>
          </w:tcPr>
          <w:p w14:paraId="0E6FF8AE"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&gt;43</w:t>
            </w:r>
          </w:p>
        </w:tc>
        <w:tc>
          <w:tcPr>
            <w:tcW w:w="712" w:type="dxa"/>
          </w:tcPr>
          <w:p w14:paraId="78A3E68D"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72.73</w:t>
            </w:r>
          </w:p>
        </w:tc>
        <w:tc>
          <w:tcPr>
            <w:tcW w:w="711" w:type="dxa"/>
          </w:tcPr>
          <w:p w14:paraId="42D0AA08"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71.79</w:t>
            </w:r>
          </w:p>
        </w:tc>
        <w:tc>
          <w:tcPr>
            <w:tcW w:w="689" w:type="dxa"/>
          </w:tcPr>
          <w:p w14:paraId="5A17C3A8"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42.1</w:t>
            </w:r>
          </w:p>
        </w:tc>
        <w:tc>
          <w:tcPr>
            <w:tcW w:w="692" w:type="dxa"/>
          </w:tcPr>
          <w:p w14:paraId="5CB9DA33"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90.3</w:t>
            </w:r>
          </w:p>
        </w:tc>
        <w:tc>
          <w:tcPr>
            <w:tcW w:w="852" w:type="dxa"/>
            <w:vAlign w:val="bottom"/>
          </w:tcPr>
          <w:p w14:paraId="60F4AC05"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72.0</w:t>
            </w:r>
          </w:p>
        </w:tc>
      </w:tr>
      <w:tr w:rsidR="00393A50" w:rsidRPr="004B03EC" w14:paraId="70388778" w14:textId="77777777" w:rsidTr="0045681E">
        <w:tc>
          <w:tcPr>
            <w:tcW w:w="1134" w:type="dxa"/>
            <w:tcMar>
              <w:top w:w="30" w:type="dxa"/>
              <w:left w:w="120" w:type="dxa"/>
              <w:bottom w:w="15" w:type="dxa"/>
              <w:right w:w="120" w:type="dxa"/>
            </w:tcMar>
          </w:tcPr>
          <w:p w14:paraId="0C566F06"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AST</w:t>
            </w:r>
          </w:p>
        </w:tc>
        <w:tc>
          <w:tcPr>
            <w:tcW w:w="851" w:type="dxa"/>
            <w:tcMar>
              <w:top w:w="30" w:type="dxa"/>
              <w:left w:w="120" w:type="dxa"/>
              <w:bottom w:w="15" w:type="dxa"/>
              <w:right w:w="120" w:type="dxa"/>
            </w:tcMar>
          </w:tcPr>
          <w:p w14:paraId="6AEDF1AC"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0.781</w:t>
            </w:r>
          </w:p>
        </w:tc>
        <w:tc>
          <w:tcPr>
            <w:tcW w:w="1031" w:type="dxa"/>
            <w:tcMar>
              <w:top w:w="30" w:type="dxa"/>
              <w:left w:w="120" w:type="dxa"/>
              <w:bottom w:w="15" w:type="dxa"/>
              <w:right w:w="120" w:type="dxa"/>
            </w:tcMar>
          </w:tcPr>
          <w:p w14:paraId="455D520A"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0.0459</w:t>
            </w:r>
          </w:p>
        </w:tc>
        <w:tc>
          <w:tcPr>
            <w:tcW w:w="1657" w:type="dxa"/>
            <w:tcMar>
              <w:top w:w="30" w:type="dxa"/>
              <w:left w:w="120" w:type="dxa"/>
              <w:bottom w:w="15" w:type="dxa"/>
              <w:right w:w="120" w:type="dxa"/>
            </w:tcMar>
          </w:tcPr>
          <w:p w14:paraId="28211B88"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0.691 to 0.871</w:t>
            </w:r>
          </w:p>
        </w:tc>
        <w:tc>
          <w:tcPr>
            <w:tcW w:w="861" w:type="dxa"/>
          </w:tcPr>
          <w:p w14:paraId="1929F857" w14:textId="77777777" w:rsidR="00393A50" w:rsidRPr="004B03EC" w:rsidRDefault="00393A50" w:rsidP="004B03EC">
            <w:pPr>
              <w:spacing w:after="0" w:line="240" w:lineRule="auto"/>
              <w:jc w:val="both"/>
              <w:rPr>
                <w:rFonts w:asciiTheme="majorBidi" w:hAnsiTheme="majorBidi" w:cstheme="majorBidi"/>
                <w:sz w:val="20"/>
                <w:szCs w:val="20"/>
              </w:rPr>
            </w:pPr>
            <w:r w:rsidRPr="004B03EC">
              <w:rPr>
                <w:rFonts w:asciiTheme="majorBidi" w:hAnsiTheme="majorBidi" w:cstheme="majorBidi"/>
                <w:sz w:val="20"/>
                <w:szCs w:val="20"/>
              </w:rPr>
              <w:t>&lt;</w:t>
            </w:r>
            <w:r w:rsidRPr="004B03EC">
              <w:rPr>
                <w:rFonts w:asciiTheme="majorBidi" w:hAnsiTheme="majorBidi" w:cstheme="majorBidi"/>
                <w:color w:val="000000"/>
                <w:sz w:val="20"/>
                <w:szCs w:val="20"/>
              </w:rPr>
              <w:t>0.001*</w:t>
            </w:r>
          </w:p>
        </w:tc>
        <w:tc>
          <w:tcPr>
            <w:tcW w:w="721" w:type="dxa"/>
          </w:tcPr>
          <w:p w14:paraId="7A28E377"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&gt;38</w:t>
            </w:r>
          </w:p>
        </w:tc>
        <w:tc>
          <w:tcPr>
            <w:tcW w:w="712" w:type="dxa"/>
          </w:tcPr>
          <w:p w14:paraId="0DAB3F79"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100.00</w:t>
            </w:r>
          </w:p>
        </w:tc>
        <w:tc>
          <w:tcPr>
            <w:tcW w:w="711" w:type="dxa"/>
          </w:tcPr>
          <w:p w14:paraId="7DAEC684"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58.97</w:t>
            </w:r>
          </w:p>
        </w:tc>
        <w:tc>
          <w:tcPr>
            <w:tcW w:w="689" w:type="dxa"/>
          </w:tcPr>
          <w:p w14:paraId="3502B3AF"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40.7</w:t>
            </w:r>
          </w:p>
        </w:tc>
        <w:tc>
          <w:tcPr>
            <w:tcW w:w="692" w:type="dxa"/>
          </w:tcPr>
          <w:p w14:paraId="43B4129F"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100.0</w:t>
            </w:r>
          </w:p>
        </w:tc>
        <w:tc>
          <w:tcPr>
            <w:tcW w:w="852" w:type="dxa"/>
            <w:vAlign w:val="bottom"/>
          </w:tcPr>
          <w:p w14:paraId="6E3B33A1"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68.0</w:t>
            </w:r>
          </w:p>
        </w:tc>
      </w:tr>
      <w:tr w:rsidR="00393A50" w:rsidRPr="004B03EC" w14:paraId="466BE6A5" w14:textId="77777777" w:rsidTr="0045681E">
        <w:tc>
          <w:tcPr>
            <w:tcW w:w="1134" w:type="dxa"/>
            <w:tcBorders>
              <w:bottom w:val="single" w:sz="4" w:space="0" w:color="auto"/>
            </w:tcBorders>
            <w:tcMar>
              <w:top w:w="30" w:type="dxa"/>
              <w:left w:w="120" w:type="dxa"/>
              <w:bottom w:w="15" w:type="dxa"/>
              <w:right w:w="120" w:type="dxa"/>
            </w:tcMar>
          </w:tcPr>
          <w:p w14:paraId="43B1FAA8"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GGT</w:t>
            </w:r>
          </w:p>
        </w:tc>
        <w:tc>
          <w:tcPr>
            <w:tcW w:w="851" w:type="dxa"/>
            <w:tcBorders>
              <w:bottom w:val="single" w:sz="4" w:space="0" w:color="auto"/>
            </w:tcBorders>
            <w:tcMar>
              <w:top w:w="30" w:type="dxa"/>
              <w:left w:w="120" w:type="dxa"/>
              <w:bottom w:w="15" w:type="dxa"/>
              <w:right w:w="120" w:type="dxa"/>
            </w:tcMar>
          </w:tcPr>
          <w:p w14:paraId="1DE9E6CF"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0.921</w:t>
            </w:r>
          </w:p>
        </w:tc>
        <w:tc>
          <w:tcPr>
            <w:tcW w:w="1031" w:type="dxa"/>
            <w:tcBorders>
              <w:bottom w:val="single" w:sz="4" w:space="0" w:color="auto"/>
            </w:tcBorders>
            <w:tcMar>
              <w:top w:w="30" w:type="dxa"/>
              <w:left w:w="120" w:type="dxa"/>
              <w:bottom w:w="15" w:type="dxa"/>
              <w:right w:w="120" w:type="dxa"/>
            </w:tcMar>
          </w:tcPr>
          <w:p w14:paraId="31485CA1"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0.0291</w:t>
            </w:r>
          </w:p>
        </w:tc>
        <w:tc>
          <w:tcPr>
            <w:tcW w:w="1657" w:type="dxa"/>
            <w:tcBorders>
              <w:bottom w:val="single" w:sz="4" w:space="0" w:color="auto"/>
            </w:tcBorders>
            <w:tcMar>
              <w:top w:w="30" w:type="dxa"/>
              <w:left w:w="120" w:type="dxa"/>
              <w:bottom w:w="15" w:type="dxa"/>
              <w:right w:w="120" w:type="dxa"/>
            </w:tcMar>
          </w:tcPr>
          <w:p w14:paraId="401666A1"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0.864 to 0.978</w:t>
            </w:r>
          </w:p>
        </w:tc>
        <w:tc>
          <w:tcPr>
            <w:tcW w:w="861" w:type="dxa"/>
            <w:tcBorders>
              <w:bottom w:val="single" w:sz="4" w:space="0" w:color="auto"/>
            </w:tcBorders>
          </w:tcPr>
          <w:p w14:paraId="366BF5AC" w14:textId="77777777" w:rsidR="00393A50" w:rsidRPr="004B03EC" w:rsidRDefault="00393A50" w:rsidP="004B03EC">
            <w:pPr>
              <w:spacing w:after="0" w:line="240" w:lineRule="auto"/>
              <w:jc w:val="both"/>
              <w:rPr>
                <w:rFonts w:asciiTheme="majorBidi" w:hAnsiTheme="majorBidi" w:cstheme="majorBidi"/>
                <w:sz w:val="20"/>
                <w:szCs w:val="20"/>
              </w:rPr>
            </w:pPr>
            <w:r w:rsidRPr="004B03EC">
              <w:rPr>
                <w:rFonts w:asciiTheme="majorBidi" w:hAnsiTheme="majorBidi" w:cstheme="majorBidi"/>
                <w:sz w:val="20"/>
                <w:szCs w:val="20"/>
              </w:rPr>
              <w:t>&lt;</w:t>
            </w:r>
            <w:r w:rsidRPr="004B03EC">
              <w:rPr>
                <w:rFonts w:asciiTheme="majorBidi" w:hAnsiTheme="majorBidi" w:cstheme="majorBidi"/>
                <w:color w:val="000000"/>
                <w:sz w:val="20"/>
                <w:szCs w:val="20"/>
              </w:rPr>
              <w:t>0.001*</w:t>
            </w:r>
          </w:p>
        </w:tc>
        <w:tc>
          <w:tcPr>
            <w:tcW w:w="721" w:type="dxa"/>
            <w:tcBorders>
              <w:bottom w:val="single" w:sz="4" w:space="0" w:color="auto"/>
            </w:tcBorders>
          </w:tcPr>
          <w:p w14:paraId="66BC9063"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&gt;23</w:t>
            </w:r>
          </w:p>
        </w:tc>
        <w:tc>
          <w:tcPr>
            <w:tcW w:w="712" w:type="dxa"/>
            <w:tcBorders>
              <w:bottom w:val="single" w:sz="4" w:space="0" w:color="auto"/>
            </w:tcBorders>
          </w:tcPr>
          <w:p w14:paraId="6AFC1C0D"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90.91</w:t>
            </w:r>
          </w:p>
        </w:tc>
        <w:tc>
          <w:tcPr>
            <w:tcW w:w="711" w:type="dxa"/>
            <w:tcBorders>
              <w:bottom w:val="single" w:sz="4" w:space="0" w:color="auto"/>
            </w:tcBorders>
          </w:tcPr>
          <w:p w14:paraId="64CD02C0"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89.74</w:t>
            </w:r>
          </w:p>
        </w:tc>
        <w:tc>
          <w:tcPr>
            <w:tcW w:w="689" w:type="dxa"/>
            <w:tcBorders>
              <w:bottom w:val="single" w:sz="4" w:space="0" w:color="auto"/>
            </w:tcBorders>
          </w:tcPr>
          <w:p w14:paraId="27EF6C79"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71.4</w:t>
            </w:r>
          </w:p>
        </w:tc>
        <w:tc>
          <w:tcPr>
            <w:tcW w:w="692" w:type="dxa"/>
            <w:tcBorders>
              <w:bottom w:val="single" w:sz="4" w:space="0" w:color="auto"/>
            </w:tcBorders>
          </w:tcPr>
          <w:p w14:paraId="272126F0" w14:textId="77777777" w:rsidR="00393A50" w:rsidRPr="004B03EC" w:rsidRDefault="00393A50" w:rsidP="004B03EC">
            <w:pP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97.2</w:t>
            </w:r>
          </w:p>
        </w:tc>
        <w:tc>
          <w:tcPr>
            <w:tcW w:w="852" w:type="dxa"/>
            <w:tcBorders>
              <w:bottom w:val="single" w:sz="4" w:space="0" w:color="auto"/>
            </w:tcBorders>
            <w:vAlign w:val="bottom"/>
          </w:tcPr>
          <w:p w14:paraId="3DDF9BE1" w14:textId="77777777" w:rsidR="00393A50" w:rsidRPr="004B03EC" w:rsidRDefault="00393A50" w:rsidP="0045681E">
            <w:pPr>
              <w:keepNext/>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90.0</w:t>
            </w:r>
          </w:p>
        </w:tc>
      </w:tr>
    </w:tbl>
    <w:p w14:paraId="41490336" w14:textId="74C2F129" w:rsidR="00393A50" w:rsidRPr="004B03EC" w:rsidRDefault="0045681E" w:rsidP="0045681E">
      <w:pPr>
        <w:pStyle w:val="Caption"/>
        <w:rPr>
          <w:rFonts w:asciiTheme="majorBidi" w:hAnsiTheme="majorBidi" w:cstheme="majorBidi"/>
          <w:sz w:val="20"/>
          <w:szCs w:val="20"/>
        </w:rPr>
      </w:pPr>
      <w:r w:rsidRPr="0045681E">
        <w:t>AUC: area under the ROC curve; CI: confidence interval of AUC; NPV: negative predictive value; PPV: positive predictive value; SE: standard error of AUC; Sens: sensitivity; spec: specificity; * significant at p&lt;0.05.</w:t>
      </w:r>
    </w:p>
    <w:p w14:paraId="7C6F55C9" w14:textId="77777777" w:rsidR="00227423" w:rsidRDefault="00DD3FB9" w:rsidP="00227423">
      <w:pPr>
        <w:keepNext/>
        <w:spacing w:after="0" w:line="240" w:lineRule="auto"/>
        <w:jc w:val="both"/>
      </w:pPr>
      <w:r w:rsidRPr="004B03EC">
        <w:rPr>
          <w:rFonts w:asciiTheme="majorBidi" w:hAnsiTheme="majorBidi" w:cstheme="majorBidi"/>
          <w:noProof/>
          <w:sz w:val="20"/>
          <w:szCs w:val="20"/>
        </w:rPr>
        <w:drawing>
          <wp:inline distT="0" distB="0" distL="0" distR="0" wp14:anchorId="433E4984" wp14:editId="479737CD">
            <wp:extent cx="5269272" cy="348442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4876" t="14205" r="10967" b="15488"/>
                    <a:stretch>
                      <a:fillRect/>
                    </a:stretch>
                  </pic:blipFill>
                  <pic:spPr>
                    <a:xfrm>
                      <a:off x="0" y="0"/>
                      <a:ext cx="5269272" cy="3484429"/>
                    </a:xfrm>
                    <a:prstGeom prst="rect">
                      <a:avLst/>
                    </a:prstGeom>
                    <a:ln/>
                  </pic:spPr>
                </pic:pic>
              </a:graphicData>
            </a:graphic>
          </wp:inline>
        </w:drawing>
      </w:r>
    </w:p>
    <w:p w14:paraId="59202E8A" w14:textId="515EE178" w:rsidR="00227423" w:rsidRPr="00227423" w:rsidRDefault="00227423" w:rsidP="00227423">
      <w:pPr>
        <w:pStyle w:val="Caption"/>
        <w:rPr>
          <w:b/>
        </w:rPr>
      </w:pPr>
      <w:r>
        <w:t xml:space="preserve">Figure </w:t>
      </w:r>
      <w:fldSimple w:instr=" SEQ Figure \* ARABIC ">
        <w:r w:rsidR="008F28EB">
          <w:rPr>
            <w:noProof/>
          </w:rPr>
          <w:t>1</w:t>
        </w:r>
      </w:fldSimple>
      <w:r>
        <w:t xml:space="preserve">. </w:t>
      </w:r>
      <w:r w:rsidRPr="00227423">
        <w:rPr>
          <w:b/>
        </w:rPr>
        <w:t>Fig 1: Receiver operating characteristic (ROC) curve of GPR, GAR value, albumin, ALT, AST, and GGT for differentiating early and advanced fibrosis groups.</w:t>
      </w:r>
    </w:p>
    <w:p w14:paraId="71B9DF4F" w14:textId="77777777" w:rsidR="00076E62" w:rsidRPr="00227423" w:rsidRDefault="00592430" w:rsidP="004B03EC">
      <w:pPr>
        <w:spacing w:line="240" w:lineRule="auto"/>
        <w:jc w:val="both"/>
        <w:rPr>
          <w:rFonts w:asciiTheme="majorBidi" w:hAnsiTheme="majorBidi" w:cstheme="majorBidi"/>
          <w:b/>
          <w:bCs/>
          <w:sz w:val="24"/>
          <w:szCs w:val="24"/>
        </w:rPr>
      </w:pPr>
      <w:r w:rsidRPr="00227423">
        <w:rPr>
          <w:rFonts w:asciiTheme="majorBidi" w:hAnsiTheme="majorBidi" w:cstheme="majorBidi"/>
          <w:b/>
          <w:bCs/>
          <w:sz w:val="24"/>
          <w:szCs w:val="24"/>
        </w:rPr>
        <w:t xml:space="preserve">Discussion </w:t>
      </w:r>
    </w:p>
    <w:p w14:paraId="6458574C" w14:textId="74D3B17E" w:rsidR="005C6CBF" w:rsidRDefault="005C6CBF" w:rsidP="004B03EC">
      <w:pPr>
        <w:spacing w:line="240" w:lineRule="auto"/>
        <w:jc w:val="both"/>
        <w:rPr>
          <w:rFonts w:asciiTheme="majorBidi" w:hAnsiTheme="majorBidi" w:cstheme="majorBidi"/>
          <w:color w:val="333333"/>
          <w:sz w:val="24"/>
          <w:szCs w:val="24"/>
          <w:shd w:val="clear" w:color="auto" w:fill="FFFFFF"/>
        </w:rPr>
      </w:pPr>
      <w:r w:rsidRPr="0072698B">
        <w:rPr>
          <w:rFonts w:asciiTheme="majorBidi" w:hAnsiTheme="majorBidi" w:cstheme="majorBidi"/>
          <w:color w:val="333333"/>
          <w:sz w:val="24"/>
          <w:szCs w:val="24"/>
          <w:shd w:val="clear" w:color="auto" w:fill="FFFFFF"/>
        </w:rPr>
        <w:t xml:space="preserve">The prevalence of NAFLD is </w:t>
      </w:r>
      <w:r w:rsidR="00AC5668" w:rsidRPr="0072698B">
        <w:rPr>
          <w:rFonts w:asciiTheme="majorBidi" w:hAnsiTheme="majorBidi" w:cstheme="majorBidi"/>
          <w:color w:val="333333"/>
          <w:sz w:val="24"/>
          <w:szCs w:val="24"/>
          <w:shd w:val="clear" w:color="auto" w:fill="FFFFFF"/>
        </w:rPr>
        <w:t>rising worldwide, and liver fibrosis is a risk of complications leading</w:t>
      </w:r>
      <w:r w:rsidRPr="0072698B">
        <w:rPr>
          <w:rFonts w:asciiTheme="majorBidi" w:hAnsiTheme="majorBidi" w:cstheme="majorBidi"/>
          <w:color w:val="333333"/>
          <w:sz w:val="24"/>
          <w:szCs w:val="24"/>
          <w:shd w:val="clear" w:color="auto" w:fill="FFFFFF"/>
        </w:rPr>
        <w:t xml:space="preserve"> to decompensation and HCC. </w:t>
      </w:r>
      <w:r w:rsidR="00AC5668" w:rsidRPr="0072698B">
        <w:rPr>
          <w:rFonts w:asciiTheme="majorBidi" w:hAnsiTheme="majorBidi" w:cstheme="majorBidi"/>
          <w:color w:val="333333"/>
          <w:sz w:val="24"/>
          <w:szCs w:val="24"/>
          <w:shd w:val="clear" w:color="auto" w:fill="FFFFFF"/>
        </w:rPr>
        <w:t xml:space="preserve">Identifying patients with advanced fibrosis (at-risk patients) is essential </w:t>
      </w:r>
      <w:r w:rsidRPr="0072698B">
        <w:rPr>
          <w:rFonts w:asciiTheme="majorBidi" w:hAnsiTheme="majorBidi" w:cstheme="majorBidi"/>
          <w:color w:val="333333"/>
          <w:sz w:val="24"/>
          <w:szCs w:val="24"/>
          <w:shd w:val="clear" w:color="auto" w:fill="FFFFFF"/>
        </w:rPr>
        <w:t xml:space="preserve">to treat them. Novel noninvasive biomarkers are emerging for </w:t>
      </w:r>
      <w:r w:rsidR="00AC5668" w:rsidRPr="0072698B">
        <w:rPr>
          <w:rFonts w:asciiTheme="majorBidi" w:hAnsiTheme="majorBidi" w:cstheme="majorBidi"/>
          <w:color w:val="333333"/>
          <w:sz w:val="24"/>
          <w:szCs w:val="24"/>
          <w:shd w:val="clear" w:color="auto" w:fill="FFFFFF"/>
        </w:rPr>
        <w:t xml:space="preserve">the </w:t>
      </w:r>
      <w:r w:rsidRPr="0072698B">
        <w:rPr>
          <w:rFonts w:asciiTheme="majorBidi" w:hAnsiTheme="majorBidi" w:cstheme="majorBidi"/>
          <w:color w:val="333333"/>
          <w:sz w:val="24"/>
          <w:szCs w:val="24"/>
          <w:shd w:val="clear" w:color="auto" w:fill="FFFFFF"/>
        </w:rPr>
        <w:t xml:space="preserve">assessment of </w:t>
      </w:r>
      <w:r w:rsidR="00AC5668" w:rsidRPr="0072698B">
        <w:rPr>
          <w:rFonts w:asciiTheme="majorBidi" w:hAnsiTheme="majorBidi" w:cstheme="majorBidi"/>
          <w:color w:val="333333"/>
          <w:sz w:val="24"/>
          <w:szCs w:val="24"/>
          <w:shd w:val="clear" w:color="auto" w:fill="FFFFFF"/>
        </w:rPr>
        <w:t>NAFLD-related</w:t>
      </w:r>
      <w:r w:rsidRPr="0072698B">
        <w:rPr>
          <w:rFonts w:asciiTheme="majorBidi" w:hAnsiTheme="majorBidi" w:cstheme="majorBidi"/>
          <w:color w:val="333333"/>
          <w:sz w:val="24"/>
          <w:szCs w:val="24"/>
          <w:shd w:val="clear" w:color="auto" w:fill="FFFFFF"/>
        </w:rPr>
        <w:t xml:space="preserve"> fibrosis.</w:t>
      </w:r>
    </w:p>
    <w:p w14:paraId="07F6CB65" w14:textId="7101BCCE" w:rsidR="00B268DA" w:rsidRPr="00227423" w:rsidRDefault="00B268DA" w:rsidP="004B03EC">
      <w:pPr>
        <w:spacing w:line="240" w:lineRule="auto"/>
        <w:jc w:val="both"/>
        <w:rPr>
          <w:rFonts w:asciiTheme="majorBidi" w:hAnsiTheme="majorBidi" w:cstheme="majorBidi"/>
          <w:color w:val="333333"/>
          <w:sz w:val="24"/>
          <w:szCs w:val="24"/>
          <w:shd w:val="clear" w:color="auto" w:fill="FFFFFF"/>
        </w:rPr>
      </w:pPr>
      <w:r w:rsidRPr="00227423">
        <w:rPr>
          <w:rFonts w:asciiTheme="majorBidi" w:hAnsiTheme="majorBidi" w:cstheme="majorBidi"/>
          <w:color w:val="333333"/>
          <w:sz w:val="24"/>
          <w:szCs w:val="24"/>
          <w:shd w:val="clear" w:color="auto" w:fill="FFFFFF"/>
        </w:rPr>
        <w:t xml:space="preserve">The Egyptian guidelines for MAFLD recommended that </w:t>
      </w:r>
      <w:r w:rsidR="002E2D94" w:rsidRPr="00227423">
        <w:rPr>
          <w:rFonts w:asciiTheme="majorBidi" w:hAnsiTheme="majorBidi" w:cstheme="majorBidi"/>
          <w:color w:val="333333"/>
          <w:sz w:val="24"/>
          <w:szCs w:val="24"/>
          <w:shd w:val="clear" w:color="auto" w:fill="FFFFFF"/>
        </w:rPr>
        <w:t>excluding</w:t>
      </w:r>
      <w:r w:rsidRPr="00227423">
        <w:rPr>
          <w:rFonts w:asciiTheme="majorBidi" w:hAnsiTheme="majorBidi" w:cstheme="majorBidi"/>
          <w:color w:val="333333"/>
          <w:sz w:val="24"/>
          <w:szCs w:val="24"/>
          <w:shd w:val="clear" w:color="auto" w:fill="FFFFFF"/>
        </w:rPr>
        <w:t xml:space="preserve"> </w:t>
      </w:r>
      <w:r w:rsidR="002E2D94" w:rsidRPr="00227423">
        <w:rPr>
          <w:rFonts w:asciiTheme="majorBidi" w:hAnsiTheme="majorBidi" w:cstheme="majorBidi"/>
          <w:color w:val="333333"/>
          <w:sz w:val="24"/>
          <w:szCs w:val="24"/>
          <w:shd w:val="clear" w:color="auto" w:fill="FFFFFF"/>
        </w:rPr>
        <w:t>high-risk</w:t>
      </w:r>
      <w:r w:rsidRPr="00227423">
        <w:rPr>
          <w:rFonts w:asciiTheme="majorBidi" w:hAnsiTheme="majorBidi" w:cstheme="majorBidi"/>
          <w:color w:val="333333"/>
          <w:sz w:val="24"/>
          <w:szCs w:val="24"/>
          <w:shd w:val="clear" w:color="auto" w:fill="FFFFFF"/>
        </w:rPr>
        <w:t xml:space="preserve"> of significant fibrosis is acceptable using simple</w:t>
      </w:r>
      <w:r w:rsidR="003A0130" w:rsidRPr="00227423">
        <w:rPr>
          <w:rFonts w:asciiTheme="majorBidi" w:hAnsiTheme="majorBidi" w:cstheme="majorBidi"/>
          <w:color w:val="333333"/>
          <w:sz w:val="24"/>
          <w:szCs w:val="24"/>
          <w:shd w:val="clear" w:color="auto" w:fill="FFFFFF"/>
        </w:rPr>
        <w:t>,</w:t>
      </w:r>
      <w:r w:rsidRPr="00227423">
        <w:rPr>
          <w:rFonts w:asciiTheme="majorBidi" w:hAnsiTheme="majorBidi" w:cstheme="majorBidi"/>
          <w:color w:val="333333"/>
          <w:sz w:val="24"/>
          <w:szCs w:val="24"/>
          <w:shd w:val="clear" w:color="auto" w:fill="FFFFFF"/>
        </w:rPr>
        <w:t xml:space="preserve"> noninvasive biomarkers and scores of fibrosis. </w:t>
      </w:r>
      <w:r w:rsidR="00EC53BC" w:rsidRPr="00227423">
        <w:rPr>
          <w:rFonts w:asciiTheme="majorBidi" w:hAnsiTheme="majorBidi" w:cstheme="majorBidi"/>
          <w:color w:val="333333"/>
          <w:sz w:val="24"/>
          <w:szCs w:val="24"/>
          <w:shd w:val="clear" w:color="auto" w:fill="FFFFFF"/>
        </w:rPr>
        <w:t xml:space="preserve">Also, </w:t>
      </w:r>
      <w:r w:rsidR="00CE145F" w:rsidRPr="00227423">
        <w:rPr>
          <w:rFonts w:asciiTheme="majorBidi" w:hAnsiTheme="majorBidi" w:cstheme="majorBidi"/>
          <w:color w:val="333333"/>
          <w:sz w:val="24"/>
          <w:szCs w:val="24"/>
          <w:shd w:val="clear" w:color="auto" w:fill="FFFFFF"/>
        </w:rPr>
        <w:t>considerable fibrosis can be confirmed</w:t>
      </w:r>
      <w:r w:rsidRPr="00227423">
        <w:rPr>
          <w:rFonts w:asciiTheme="majorBidi" w:hAnsiTheme="majorBidi" w:cstheme="majorBidi"/>
          <w:color w:val="333333"/>
          <w:sz w:val="24"/>
          <w:szCs w:val="24"/>
          <w:shd w:val="clear" w:color="auto" w:fill="FFFFFF"/>
        </w:rPr>
        <w:t xml:space="preserve"> by liver stiffness measurement by </w:t>
      </w:r>
      <w:r w:rsidR="00816308" w:rsidRPr="0072698B">
        <w:rPr>
          <w:rFonts w:asciiTheme="majorBidi" w:hAnsiTheme="majorBidi" w:cstheme="majorBidi"/>
          <w:color w:val="333333"/>
          <w:sz w:val="24"/>
          <w:szCs w:val="24"/>
          <w:shd w:val="clear" w:color="auto" w:fill="FFFFFF"/>
        </w:rPr>
        <w:t>Vibration-controlled transient elastography</w:t>
      </w:r>
      <w:r w:rsidR="00816308" w:rsidRPr="00816308">
        <w:rPr>
          <w:rFonts w:asciiTheme="majorBidi" w:hAnsiTheme="majorBidi" w:cstheme="majorBidi"/>
          <w:color w:val="333333"/>
          <w:sz w:val="24"/>
          <w:szCs w:val="24"/>
          <w:shd w:val="clear" w:color="auto" w:fill="FFFFFF"/>
        </w:rPr>
        <w:t xml:space="preserve"> </w:t>
      </w:r>
      <w:r w:rsidR="00816308">
        <w:rPr>
          <w:rFonts w:asciiTheme="majorBidi" w:hAnsiTheme="majorBidi" w:cstheme="majorBidi"/>
          <w:color w:val="333333"/>
          <w:sz w:val="24"/>
          <w:szCs w:val="24"/>
          <w:shd w:val="clear" w:color="auto" w:fill="FFFFFF"/>
        </w:rPr>
        <w:t>(</w:t>
      </w:r>
      <w:r w:rsidRPr="00227423">
        <w:rPr>
          <w:rFonts w:asciiTheme="majorBidi" w:hAnsiTheme="majorBidi" w:cstheme="majorBidi"/>
          <w:color w:val="333333"/>
          <w:sz w:val="24"/>
          <w:szCs w:val="24"/>
          <w:shd w:val="clear" w:color="auto" w:fill="FFFFFF"/>
        </w:rPr>
        <w:t>VCTE</w:t>
      </w:r>
      <w:r w:rsidR="00816308">
        <w:rPr>
          <w:rFonts w:asciiTheme="majorBidi" w:hAnsiTheme="majorBidi" w:cstheme="majorBidi"/>
          <w:color w:val="333333"/>
          <w:sz w:val="24"/>
          <w:szCs w:val="24"/>
          <w:shd w:val="clear" w:color="auto" w:fill="FFFFFF"/>
        </w:rPr>
        <w:t>)</w:t>
      </w:r>
      <w:r w:rsidRPr="00227423">
        <w:rPr>
          <w:rFonts w:asciiTheme="majorBidi" w:hAnsiTheme="majorBidi" w:cstheme="majorBidi"/>
          <w:color w:val="333333"/>
          <w:sz w:val="24"/>
          <w:szCs w:val="24"/>
          <w:shd w:val="clear" w:color="auto" w:fill="FFFFFF"/>
        </w:rPr>
        <w:t xml:space="preserve"> and/or sequential combination with serum biomarkers/scores</w:t>
      </w:r>
      <w:r w:rsidR="00394AE8" w:rsidRPr="00227423">
        <w:rPr>
          <w:rFonts w:asciiTheme="majorBidi" w:hAnsiTheme="majorBidi" w:cstheme="majorBidi"/>
          <w:color w:val="333333"/>
          <w:sz w:val="24"/>
          <w:szCs w:val="24"/>
          <w:shd w:val="clear" w:color="auto" w:fill="FFFFFF"/>
        </w:rPr>
        <w:t xml:space="preserve"> </w:t>
      </w:r>
      <w:r w:rsidR="00524F04" w:rsidRPr="00227423">
        <w:rPr>
          <w:rFonts w:asciiTheme="majorBidi" w:hAnsiTheme="majorBidi" w:cstheme="majorBidi"/>
          <w:color w:val="333333"/>
          <w:sz w:val="24"/>
          <w:szCs w:val="24"/>
          <w:shd w:val="clear" w:color="auto" w:fill="FFFFFF"/>
        </w:rPr>
        <w:t>[18]</w:t>
      </w:r>
      <w:r w:rsidR="00DC3FAB" w:rsidRPr="00227423">
        <w:rPr>
          <w:rFonts w:asciiTheme="majorBidi" w:hAnsiTheme="majorBidi" w:cstheme="majorBidi"/>
          <w:color w:val="333333"/>
          <w:sz w:val="24"/>
          <w:szCs w:val="24"/>
          <w:shd w:val="clear" w:color="auto" w:fill="FFFFFF"/>
        </w:rPr>
        <w:t>.</w:t>
      </w:r>
    </w:p>
    <w:p w14:paraId="21E58BCE" w14:textId="2C66341A" w:rsidR="00EC7268" w:rsidRPr="00227423" w:rsidRDefault="003B0EB2" w:rsidP="008C09CD">
      <w:pPr>
        <w:spacing w:line="240" w:lineRule="auto"/>
        <w:jc w:val="both"/>
        <w:rPr>
          <w:rFonts w:asciiTheme="majorBidi" w:hAnsiTheme="majorBidi" w:cstheme="majorBidi"/>
          <w:color w:val="333333"/>
          <w:sz w:val="24"/>
          <w:szCs w:val="24"/>
          <w:shd w:val="clear" w:color="auto" w:fill="FFFFFF"/>
        </w:rPr>
      </w:pPr>
      <w:r w:rsidRPr="00227423">
        <w:rPr>
          <w:rFonts w:asciiTheme="majorBidi" w:hAnsiTheme="majorBidi" w:cstheme="majorBidi"/>
          <w:color w:val="333333"/>
          <w:sz w:val="24"/>
          <w:szCs w:val="24"/>
          <w:shd w:val="clear" w:color="auto" w:fill="FFFFFF"/>
        </w:rPr>
        <w:t>In this study</w:t>
      </w:r>
      <w:r w:rsidR="00DC3FAB" w:rsidRPr="00227423">
        <w:rPr>
          <w:rFonts w:asciiTheme="majorBidi" w:hAnsiTheme="majorBidi" w:cstheme="majorBidi"/>
          <w:color w:val="333333"/>
          <w:sz w:val="24"/>
          <w:szCs w:val="24"/>
          <w:shd w:val="clear" w:color="auto" w:fill="FFFFFF"/>
        </w:rPr>
        <w:t>,</w:t>
      </w:r>
      <w:r w:rsidRPr="00227423">
        <w:rPr>
          <w:rFonts w:asciiTheme="majorBidi" w:hAnsiTheme="majorBidi" w:cstheme="majorBidi"/>
          <w:color w:val="333333"/>
          <w:sz w:val="24"/>
          <w:szCs w:val="24"/>
          <w:shd w:val="clear" w:color="auto" w:fill="FFFFFF"/>
        </w:rPr>
        <w:t xml:space="preserve"> we </w:t>
      </w:r>
      <w:r w:rsidR="00211B80" w:rsidRPr="00227423">
        <w:rPr>
          <w:rFonts w:asciiTheme="majorBidi" w:hAnsiTheme="majorBidi" w:cstheme="majorBidi"/>
          <w:color w:val="333333"/>
          <w:sz w:val="24"/>
          <w:szCs w:val="24"/>
          <w:shd w:val="clear" w:color="auto" w:fill="FFFFFF"/>
        </w:rPr>
        <w:t>compared</w:t>
      </w:r>
      <w:r w:rsidRPr="00227423">
        <w:rPr>
          <w:rFonts w:asciiTheme="majorBidi" w:hAnsiTheme="majorBidi" w:cstheme="majorBidi"/>
          <w:color w:val="333333"/>
          <w:sz w:val="24"/>
          <w:szCs w:val="24"/>
          <w:shd w:val="clear" w:color="auto" w:fill="FFFFFF"/>
        </w:rPr>
        <w:t xml:space="preserve"> the diagnostic performance of </w:t>
      </w:r>
      <w:r w:rsidR="00211B80" w:rsidRPr="00227423">
        <w:rPr>
          <w:rFonts w:asciiTheme="majorBidi" w:hAnsiTheme="majorBidi" w:cstheme="majorBidi"/>
          <w:color w:val="333333"/>
          <w:sz w:val="24"/>
          <w:szCs w:val="24"/>
          <w:shd w:val="clear" w:color="auto" w:fill="FFFFFF"/>
        </w:rPr>
        <w:t xml:space="preserve">GGT and other </w:t>
      </w:r>
      <w:r w:rsidR="001766D4" w:rsidRPr="00227423">
        <w:rPr>
          <w:rFonts w:asciiTheme="majorBidi" w:hAnsiTheme="majorBidi" w:cstheme="majorBidi"/>
          <w:color w:val="333333"/>
          <w:sz w:val="24"/>
          <w:szCs w:val="24"/>
          <w:shd w:val="clear" w:color="auto" w:fill="FFFFFF"/>
        </w:rPr>
        <w:t>noninvasive</w:t>
      </w:r>
      <w:r w:rsidRPr="00227423">
        <w:rPr>
          <w:rFonts w:asciiTheme="majorBidi" w:hAnsiTheme="majorBidi" w:cstheme="majorBidi"/>
          <w:color w:val="333333"/>
          <w:sz w:val="24"/>
          <w:szCs w:val="24"/>
          <w:shd w:val="clear" w:color="auto" w:fill="FFFFFF"/>
        </w:rPr>
        <w:t xml:space="preserve"> blood parameters (GPR &amp; GAR) </w:t>
      </w:r>
      <w:r w:rsidR="00211B80" w:rsidRPr="00227423">
        <w:rPr>
          <w:rFonts w:asciiTheme="majorBidi" w:hAnsiTheme="majorBidi" w:cstheme="majorBidi"/>
          <w:color w:val="333333"/>
          <w:sz w:val="24"/>
          <w:szCs w:val="24"/>
          <w:shd w:val="clear" w:color="auto" w:fill="FFFFFF"/>
        </w:rPr>
        <w:t xml:space="preserve">versus transient elastography </w:t>
      </w:r>
      <w:r w:rsidRPr="00227423">
        <w:rPr>
          <w:rFonts w:asciiTheme="majorBidi" w:hAnsiTheme="majorBidi" w:cstheme="majorBidi"/>
          <w:color w:val="333333"/>
          <w:sz w:val="24"/>
          <w:szCs w:val="24"/>
          <w:shd w:val="clear" w:color="auto" w:fill="FFFFFF"/>
        </w:rPr>
        <w:t>for assessing liver fibrosis in NAFLD</w:t>
      </w:r>
      <w:r w:rsidR="00DC3FAB" w:rsidRPr="00227423">
        <w:rPr>
          <w:rFonts w:asciiTheme="majorBidi" w:hAnsiTheme="majorBidi" w:cstheme="majorBidi"/>
          <w:color w:val="333333"/>
          <w:sz w:val="24"/>
          <w:szCs w:val="24"/>
          <w:shd w:val="clear" w:color="auto" w:fill="FFFFFF"/>
        </w:rPr>
        <w:t>. We found</w:t>
      </w:r>
      <w:r w:rsidR="00211B80" w:rsidRPr="00227423">
        <w:rPr>
          <w:rFonts w:asciiTheme="majorBidi" w:hAnsiTheme="majorBidi" w:cstheme="majorBidi"/>
          <w:color w:val="333333"/>
          <w:sz w:val="24"/>
          <w:szCs w:val="24"/>
          <w:shd w:val="clear" w:color="auto" w:fill="FFFFFF"/>
        </w:rPr>
        <w:t xml:space="preserve"> that</w:t>
      </w:r>
      <w:r w:rsidR="00447F81" w:rsidRPr="00227423">
        <w:rPr>
          <w:rFonts w:asciiTheme="majorBidi" w:hAnsiTheme="majorBidi" w:cstheme="majorBidi"/>
          <w:color w:val="333333"/>
          <w:sz w:val="24"/>
          <w:szCs w:val="24"/>
          <w:shd w:val="clear" w:color="auto" w:fill="FFFFFF"/>
        </w:rPr>
        <w:t xml:space="preserve"> </w:t>
      </w:r>
      <w:r w:rsidR="00447F81" w:rsidRPr="00227423">
        <w:rPr>
          <w:rFonts w:asciiTheme="majorBidi" w:hAnsiTheme="majorBidi" w:cstheme="majorBidi"/>
          <w:sz w:val="24"/>
          <w:szCs w:val="24"/>
        </w:rPr>
        <w:t xml:space="preserve">Patients with advanced fibrosis were </w:t>
      </w:r>
      <w:r w:rsidR="00DC3FAB" w:rsidRPr="00227423">
        <w:rPr>
          <w:rFonts w:asciiTheme="majorBidi" w:hAnsiTheme="majorBidi" w:cstheme="majorBidi"/>
          <w:sz w:val="24"/>
          <w:szCs w:val="24"/>
        </w:rPr>
        <w:t>significant</w:t>
      </w:r>
      <w:r w:rsidR="00447F81" w:rsidRPr="00227423">
        <w:rPr>
          <w:rFonts w:asciiTheme="majorBidi" w:hAnsiTheme="majorBidi" w:cstheme="majorBidi"/>
          <w:sz w:val="24"/>
          <w:szCs w:val="24"/>
        </w:rPr>
        <w:t xml:space="preserve"> with higher levels according to fibrosis score and steatosis score, ALT, AST, and GGT (P &lt;0.001) but lower levels of albumin</w:t>
      </w:r>
      <w:r w:rsidR="00DC3FAB" w:rsidRPr="00227423">
        <w:rPr>
          <w:rFonts w:asciiTheme="majorBidi" w:hAnsiTheme="majorBidi" w:cstheme="majorBidi"/>
          <w:sz w:val="24"/>
          <w:szCs w:val="24"/>
        </w:rPr>
        <w:t>,</w:t>
      </w:r>
      <w:r w:rsidR="00447F81" w:rsidRPr="00227423">
        <w:rPr>
          <w:rFonts w:asciiTheme="majorBidi" w:hAnsiTheme="majorBidi" w:cstheme="majorBidi"/>
          <w:sz w:val="24"/>
          <w:szCs w:val="24"/>
        </w:rPr>
        <w:t xml:space="preserve"> and this </w:t>
      </w:r>
      <w:r w:rsidR="00DC3FAB" w:rsidRPr="00227423">
        <w:rPr>
          <w:rFonts w:asciiTheme="majorBidi" w:hAnsiTheme="majorBidi" w:cstheme="majorBidi"/>
          <w:sz w:val="24"/>
          <w:szCs w:val="24"/>
        </w:rPr>
        <w:t>agrees</w:t>
      </w:r>
      <w:r w:rsidR="00447F81" w:rsidRPr="00227423">
        <w:rPr>
          <w:rFonts w:asciiTheme="majorBidi" w:hAnsiTheme="majorBidi" w:cstheme="majorBidi"/>
          <w:sz w:val="24"/>
          <w:szCs w:val="24"/>
        </w:rPr>
        <w:t xml:space="preserve"> </w:t>
      </w:r>
      <w:r w:rsidR="00447F81" w:rsidRPr="00227423">
        <w:rPr>
          <w:rFonts w:asciiTheme="majorBidi" w:hAnsiTheme="majorBidi" w:cstheme="majorBidi"/>
          <w:color w:val="333333"/>
          <w:sz w:val="24"/>
          <w:szCs w:val="24"/>
          <w:shd w:val="clear" w:color="auto" w:fill="FFFFFF"/>
        </w:rPr>
        <w:t xml:space="preserve">with </w:t>
      </w:r>
      <w:r w:rsidR="00DC3FAB" w:rsidRPr="00227423">
        <w:rPr>
          <w:rFonts w:asciiTheme="majorBidi" w:hAnsiTheme="majorBidi" w:cstheme="majorBidi"/>
          <w:color w:val="333333"/>
          <w:sz w:val="24"/>
          <w:szCs w:val="24"/>
          <w:shd w:val="clear" w:color="auto" w:fill="FFFFFF"/>
        </w:rPr>
        <w:t xml:space="preserve">a </w:t>
      </w:r>
      <w:r w:rsidR="00447F81" w:rsidRPr="00227423">
        <w:rPr>
          <w:rFonts w:asciiTheme="majorBidi" w:hAnsiTheme="majorBidi" w:cstheme="majorBidi"/>
          <w:color w:val="333333"/>
          <w:sz w:val="24"/>
          <w:szCs w:val="24"/>
          <w:shd w:val="clear" w:color="auto" w:fill="FFFFFF"/>
        </w:rPr>
        <w:t>study done by Chen et al</w:t>
      </w:r>
      <w:r w:rsidR="00BB6DB8" w:rsidRPr="00227423">
        <w:rPr>
          <w:rFonts w:asciiTheme="majorBidi" w:hAnsiTheme="majorBidi" w:cstheme="majorBidi"/>
          <w:color w:val="333333"/>
          <w:sz w:val="24"/>
          <w:szCs w:val="24"/>
          <w:shd w:val="clear" w:color="auto" w:fill="FFFFFF"/>
        </w:rPr>
        <w:t>.</w:t>
      </w:r>
      <w:r w:rsidR="00607100">
        <w:rPr>
          <w:rFonts w:asciiTheme="majorBidi" w:hAnsiTheme="majorBidi" w:cstheme="majorBidi"/>
          <w:color w:val="333333"/>
          <w:sz w:val="24"/>
          <w:szCs w:val="24"/>
          <w:shd w:val="clear" w:color="auto" w:fill="FFFFFF"/>
        </w:rPr>
        <w:t>,</w:t>
      </w:r>
      <w:r w:rsidR="00447F81" w:rsidRPr="00227423">
        <w:rPr>
          <w:rFonts w:asciiTheme="majorBidi" w:hAnsiTheme="majorBidi" w:cstheme="majorBidi"/>
          <w:color w:val="333333"/>
          <w:sz w:val="24"/>
          <w:szCs w:val="24"/>
          <w:shd w:val="clear" w:color="auto" w:fill="FFFFFF"/>
        </w:rPr>
        <w:t xml:space="preserve"> which demonstrated that GGT elevation was associated </w:t>
      </w:r>
      <w:r w:rsidR="00901705" w:rsidRPr="00227423">
        <w:rPr>
          <w:rFonts w:asciiTheme="majorBidi" w:hAnsiTheme="majorBidi" w:cstheme="majorBidi"/>
          <w:color w:val="333333"/>
          <w:sz w:val="24"/>
          <w:szCs w:val="24"/>
          <w:shd w:val="clear" w:color="auto" w:fill="FFFFFF"/>
        </w:rPr>
        <w:t xml:space="preserve">with </w:t>
      </w:r>
      <w:r w:rsidR="00901705" w:rsidRPr="00073E34">
        <w:rPr>
          <w:rFonts w:asciiTheme="majorBidi" w:hAnsiTheme="majorBidi" w:cstheme="majorBidi"/>
          <w:color w:val="333333"/>
          <w:sz w:val="24"/>
          <w:szCs w:val="24"/>
          <w:shd w:val="clear" w:color="auto" w:fill="FFFFFF"/>
        </w:rPr>
        <w:t>metabolic</w:t>
      </w:r>
      <w:r w:rsidR="00073E34" w:rsidRPr="00073E34">
        <w:rPr>
          <w:rFonts w:asciiTheme="majorBidi" w:hAnsiTheme="majorBidi" w:cstheme="majorBidi"/>
          <w:color w:val="333333"/>
          <w:sz w:val="24"/>
          <w:szCs w:val="24"/>
          <w:highlight w:val="yellow"/>
          <w:shd w:val="clear" w:color="auto" w:fill="FFFFFF"/>
        </w:rPr>
        <w:t xml:space="preserve"> </w:t>
      </w:r>
      <w:proofErr w:type="gramStart"/>
      <w:r w:rsidR="008C09CD" w:rsidRPr="0072698B">
        <w:rPr>
          <w:rFonts w:asciiTheme="majorBidi" w:hAnsiTheme="majorBidi" w:cstheme="majorBidi"/>
          <w:color w:val="333333"/>
          <w:sz w:val="24"/>
          <w:szCs w:val="24"/>
          <w:shd w:val="clear" w:color="auto" w:fill="FFFFFF"/>
        </w:rPr>
        <w:t>syndrome(</w:t>
      </w:r>
      <w:proofErr w:type="spellStart"/>
      <w:proofErr w:type="gramEnd"/>
      <w:r w:rsidR="008C09CD" w:rsidRPr="0072698B">
        <w:rPr>
          <w:rFonts w:asciiTheme="majorBidi" w:hAnsiTheme="majorBidi" w:cstheme="majorBidi"/>
          <w:color w:val="333333"/>
          <w:sz w:val="24"/>
          <w:szCs w:val="24"/>
          <w:shd w:val="clear" w:color="auto" w:fill="FFFFFF"/>
        </w:rPr>
        <w:t>MetS</w:t>
      </w:r>
      <w:proofErr w:type="spellEnd"/>
      <w:r w:rsidR="00073E34" w:rsidRPr="0072698B">
        <w:rPr>
          <w:rFonts w:asciiTheme="majorBidi" w:hAnsiTheme="majorBidi" w:cstheme="majorBidi"/>
          <w:color w:val="333333"/>
          <w:sz w:val="24"/>
          <w:szCs w:val="24"/>
          <w:shd w:val="clear" w:color="auto" w:fill="FFFFFF"/>
        </w:rPr>
        <w:t>)</w:t>
      </w:r>
      <w:r w:rsidR="00447F81" w:rsidRPr="00227423">
        <w:rPr>
          <w:rFonts w:asciiTheme="majorBidi" w:hAnsiTheme="majorBidi" w:cstheme="majorBidi"/>
          <w:color w:val="333333"/>
          <w:sz w:val="24"/>
          <w:szCs w:val="24"/>
          <w:shd w:val="clear" w:color="auto" w:fill="FFFFFF"/>
        </w:rPr>
        <w:t xml:space="preserve">, hepatic steatosis, and fibrosis in patients with non-alcoholic fatty liver </w:t>
      </w:r>
      <w:r w:rsidR="00DC3FAB" w:rsidRPr="00227423">
        <w:rPr>
          <w:rFonts w:asciiTheme="majorBidi" w:hAnsiTheme="majorBidi" w:cstheme="majorBidi"/>
          <w:color w:val="333333"/>
          <w:sz w:val="24"/>
          <w:szCs w:val="24"/>
          <w:shd w:val="clear" w:color="auto" w:fill="FFFFFF"/>
        </w:rPr>
        <w:t>disease [</w:t>
      </w:r>
      <w:r w:rsidR="00AF39E0" w:rsidRPr="00227423">
        <w:rPr>
          <w:rFonts w:asciiTheme="majorBidi" w:hAnsiTheme="majorBidi" w:cstheme="majorBidi"/>
          <w:color w:val="333333"/>
          <w:sz w:val="24"/>
          <w:szCs w:val="24"/>
          <w:shd w:val="clear" w:color="auto" w:fill="FFFFFF"/>
        </w:rPr>
        <w:t>1</w:t>
      </w:r>
      <w:r w:rsidR="00394AE8" w:rsidRPr="00227423">
        <w:rPr>
          <w:rFonts w:asciiTheme="majorBidi" w:hAnsiTheme="majorBidi" w:cstheme="majorBidi"/>
          <w:color w:val="333333"/>
          <w:sz w:val="24"/>
          <w:szCs w:val="24"/>
          <w:shd w:val="clear" w:color="auto" w:fill="FFFFFF"/>
        </w:rPr>
        <w:t>9</w:t>
      </w:r>
      <w:r w:rsidR="00AF39E0" w:rsidRPr="00227423">
        <w:rPr>
          <w:rFonts w:asciiTheme="majorBidi" w:hAnsiTheme="majorBidi" w:cstheme="majorBidi"/>
          <w:color w:val="333333"/>
          <w:sz w:val="24"/>
          <w:szCs w:val="24"/>
          <w:shd w:val="clear" w:color="auto" w:fill="FFFFFF"/>
        </w:rPr>
        <w:t>]</w:t>
      </w:r>
      <w:r w:rsidR="00DC3FAB" w:rsidRPr="00227423">
        <w:rPr>
          <w:rFonts w:asciiTheme="majorBidi" w:hAnsiTheme="majorBidi" w:cstheme="majorBidi"/>
          <w:color w:val="333333"/>
          <w:sz w:val="24"/>
          <w:szCs w:val="24"/>
          <w:shd w:val="clear" w:color="auto" w:fill="FFFFFF"/>
        </w:rPr>
        <w:t>.</w:t>
      </w:r>
      <w:r w:rsidR="00447F81" w:rsidRPr="00227423">
        <w:rPr>
          <w:rFonts w:asciiTheme="majorBidi" w:hAnsiTheme="majorBidi" w:cstheme="majorBidi"/>
          <w:color w:val="333333"/>
          <w:sz w:val="24"/>
          <w:szCs w:val="24"/>
          <w:shd w:val="clear" w:color="auto" w:fill="FFFFFF"/>
        </w:rPr>
        <w:cr/>
      </w:r>
      <w:r w:rsidR="00EC7268" w:rsidRPr="00227423">
        <w:rPr>
          <w:rFonts w:asciiTheme="majorBidi" w:hAnsiTheme="majorBidi" w:cstheme="majorBidi"/>
          <w:color w:val="333333"/>
          <w:sz w:val="24"/>
          <w:szCs w:val="24"/>
          <w:shd w:val="clear" w:color="auto" w:fill="FFFFFF"/>
        </w:rPr>
        <w:t>Also</w:t>
      </w:r>
      <w:r w:rsidR="00DC3FAB" w:rsidRPr="00227423">
        <w:rPr>
          <w:rFonts w:asciiTheme="majorBidi" w:hAnsiTheme="majorBidi" w:cstheme="majorBidi"/>
          <w:color w:val="333333"/>
          <w:sz w:val="24"/>
          <w:szCs w:val="24"/>
          <w:shd w:val="clear" w:color="auto" w:fill="FFFFFF"/>
        </w:rPr>
        <w:t>,</w:t>
      </w:r>
      <w:r w:rsidR="00EC7268" w:rsidRPr="00227423">
        <w:rPr>
          <w:rFonts w:asciiTheme="majorBidi" w:hAnsiTheme="majorBidi" w:cstheme="majorBidi"/>
          <w:color w:val="333333"/>
          <w:sz w:val="24"/>
          <w:szCs w:val="24"/>
          <w:shd w:val="clear" w:color="auto" w:fill="FFFFFF"/>
        </w:rPr>
        <w:t xml:space="preserve"> Zain et al.</w:t>
      </w:r>
      <w:r w:rsidR="00AC5668">
        <w:rPr>
          <w:rFonts w:asciiTheme="majorBidi" w:hAnsiTheme="majorBidi" w:cstheme="majorBidi"/>
          <w:color w:val="333333"/>
          <w:sz w:val="24"/>
          <w:szCs w:val="24"/>
          <w:shd w:val="clear" w:color="auto" w:fill="FFFFFF"/>
        </w:rPr>
        <w:t xml:space="preserve"> </w:t>
      </w:r>
      <w:r w:rsidR="008C09CD" w:rsidRPr="008C09CD">
        <w:rPr>
          <w:rFonts w:asciiTheme="majorBidi" w:hAnsiTheme="majorBidi" w:cstheme="majorBidi"/>
          <w:color w:val="333333"/>
          <w:sz w:val="24"/>
          <w:szCs w:val="24"/>
          <w:shd w:val="clear" w:color="auto" w:fill="FFFFFF"/>
        </w:rPr>
        <w:t xml:space="preserve">demonstrated that </w:t>
      </w:r>
      <w:r w:rsidR="00AC5668">
        <w:rPr>
          <w:rFonts w:asciiTheme="majorBidi" w:hAnsiTheme="majorBidi" w:cstheme="majorBidi"/>
          <w:color w:val="333333"/>
          <w:sz w:val="24"/>
          <w:szCs w:val="24"/>
          <w:shd w:val="clear" w:color="auto" w:fill="FFFFFF"/>
        </w:rPr>
        <w:t xml:space="preserve">the </w:t>
      </w:r>
      <w:r w:rsidR="008C09CD" w:rsidRPr="008C09CD">
        <w:rPr>
          <w:rFonts w:asciiTheme="majorBidi" w:hAnsiTheme="majorBidi" w:cstheme="majorBidi"/>
          <w:color w:val="333333"/>
          <w:sz w:val="24"/>
          <w:szCs w:val="24"/>
          <w:shd w:val="clear" w:color="auto" w:fill="FFFFFF"/>
        </w:rPr>
        <w:t xml:space="preserve">risk of advanced fibrosis </w:t>
      </w:r>
      <w:r w:rsidR="00AC5668">
        <w:rPr>
          <w:rFonts w:asciiTheme="majorBidi" w:hAnsiTheme="majorBidi" w:cstheme="majorBidi"/>
          <w:color w:val="333333"/>
          <w:sz w:val="24"/>
          <w:szCs w:val="24"/>
          <w:shd w:val="clear" w:color="auto" w:fill="FFFFFF"/>
        </w:rPr>
        <w:t xml:space="preserve">increased 13-fold when serum GGT level was above ULN and 5-fold with </w:t>
      </w:r>
      <w:r w:rsidR="008C09CD" w:rsidRPr="008C09CD">
        <w:rPr>
          <w:rFonts w:asciiTheme="majorBidi" w:hAnsiTheme="majorBidi" w:cstheme="majorBidi"/>
          <w:color w:val="333333"/>
          <w:sz w:val="24"/>
          <w:szCs w:val="24"/>
          <w:shd w:val="clear" w:color="auto" w:fill="FFFFFF"/>
        </w:rPr>
        <w:t xml:space="preserve">diabetes mellitus </w:t>
      </w:r>
      <w:r w:rsidR="00BF1251" w:rsidRPr="00227423">
        <w:rPr>
          <w:rFonts w:asciiTheme="majorBidi" w:hAnsiTheme="majorBidi" w:cstheme="majorBidi"/>
          <w:color w:val="333333"/>
          <w:sz w:val="24"/>
          <w:szCs w:val="24"/>
          <w:shd w:val="clear" w:color="auto" w:fill="FFFFFF"/>
        </w:rPr>
        <w:t>[</w:t>
      </w:r>
      <w:r w:rsidR="00394AE8" w:rsidRPr="00227423">
        <w:rPr>
          <w:rFonts w:asciiTheme="majorBidi" w:hAnsiTheme="majorBidi" w:cstheme="majorBidi"/>
          <w:color w:val="333333"/>
          <w:sz w:val="24"/>
          <w:szCs w:val="24"/>
          <w:shd w:val="clear" w:color="auto" w:fill="FFFFFF"/>
        </w:rPr>
        <w:t>20</w:t>
      </w:r>
      <w:r w:rsidR="00AF39E0" w:rsidRPr="00227423">
        <w:rPr>
          <w:rFonts w:asciiTheme="majorBidi" w:hAnsiTheme="majorBidi" w:cstheme="majorBidi"/>
          <w:color w:val="333333"/>
          <w:sz w:val="24"/>
          <w:szCs w:val="24"/>
          <w:shd w:val="clear" w:color="auto" w:fill="FFFFFF"/>
        </w:rPr>
        <w:t>]</w:t>
      </w:r>
      <w:r w:rsidR="00DC3FAB" w:rsidRPr="00227423">
        <w:rPr>
          <w:rFonts w:asciiTheme="majorBidi" w:hAnsiTheme="majorBidi" w:cstheme="majorBidi"/>
          <w:color w:val="333333"/>
          <w:sz w:val="24"/>
          <w:szCs w:val="24"/>
          <w:shd w:val="clear" w:color="auto" w:fill="FFFFFF"/>
        </w:rPr>
        <w:t>.</w:t>
      </w:r>
      <w:r w:rsidR="007879AA" w:rsidRPr="00227423">
        <w:rPr>
          <w:rFonts w:asciiTheme="majorBidi" w:hAnsiTheme="majorBidi" w:cstheme="majorBidi"/>
          <w:color w:val="333333"/>
          <w:sz w:val="24"/>
          <w:szCs w:val="24"/>
          <w:shd w:val="clear" w:color="auto" w:fill="FFFFFF"/>
        </w:rPr>
        <w:t xml:space="preserve"> </w:t>
      </w:r>
      <w:r w:rsidR="00DC3FAB" w:rsidRPr="00227423">
        <w:rPr>
          <w:rFonts w:asciiTheme="majorBidi" w:hAnsiTheme="majorBidi" w:cstheme="majorBidi"/>
          <w:color w:val="333333"/>
          <w:sz w:val="24"/>
          <w:szCs w:val="24"/>
          <w:shd w:val="clear" w:color="auto" w:fill="FFFFFF"/>
        </w:rPr>
        <w:t>In</w:t>
      </w:r>
      <w:r w:rsidR="007879AA" w:rsidRPr="00227423">
        <w:rPr>
          <w:rFonts w:asciiTheme="majorBidi" w:hAnsiTheme="majorBidi" w:cstheme="majorBidi"/>
          <w:color w:val="333333"/>
          <w:sz w:val="24"/>
          <w:szCs w:val="24"/>
          <w:shd w:val="clear" w:color="auto" w:fill="FFFFFF"/>
        </w:rPr>
        <w:t xml:space="preserve"> </w:t>
      </w:r>
      <w:r w:rsidR="00394AE8" w:rsidRPr="00227423">
        <w:rPr>
          <w:rFonts w:asciiTheme="majorBidi" w:hAnsiTheme="majorBidi" w:cstheme="majorBidi"/>
          <w:color w:val="333333"/>
          <w:sz w:val="24"/>
          <w:szCs w:val="24"/>
          <w:shd w:val="clear" w:color="auto" w:fill="FFFFFF"/>
        </w:rPr>
        <w:t xml:space="preserve">addition, </w:t>
      </w:r>
      <w:r w:rsidR="00DC3FAB" w:rsidRPr="00227423">
        <w:rPr>
          <w:rFonts w:asciiTheme="majorBidi" w:hAnsiTheme="majorBidi" w:cstheme="majorBidi"/>
          <w:color w:val="333333"/>
          <w:sz w:val="24"/>
          <w:szCs w:val="24"/>
          <w:shd w:val="clear" w:color="auto" w:fill="FFFFFF"/>
        </w:rPr>
        <w:t xml:space="preserve">the </w:t>
      </w:r>
      <w:r w:rsidR="00394AE8" w:rsidRPr="00227423">
        <w:rPr>
          <w:rFonts w:asciiTheme="majorBidi" w:hAnsiTheme="majorBidi" w:cstheme="majorBidi"/>
          <w:color w:val="333333"/>
          <w:sz w:val="24"/>
          <w:szCs w:val="24"/>
          <w:shd w:val="clear" w:color="auto" w:fill="FFFFFF"/>
        </w:rPr>
        <w:t>results</w:t>
      </w:r>
      <w:r w:rsidR="007879AA" w:rsidRPr="00227423">
        <w:rPr>
          <w:rFonts w:asciiTheme="majorBidi" w:hAnsiTheme="majorBidi" w:cstheme="majorBidi"/>
          <w:color w:val="333333"/>
          <w:sz w:val="24"/>
          <w:szCs w:val="24"/>
          <w:shd w:val="clear" w:color="auto" w:fill="FFFFFF"/>
        </w:rPr>
        <w:t xml:space="preserve"> of another study suggest that GGT is a new non-invasive marker that can be used to predict advanced histological liver </w:t>
      </w:r>
      <w:r w:rsidR="00394AE8" w:rsidRPr="00227423">
        <w:rPr>
          <w:rFonts w:asciiTheme="majorBidi" w:hAnsiTheme="majorBidi" w:cstheme="majorBidi"/>
          <w:color w:val="333333"/>
          <w:sz w:val="24"/>
          <w:szCs w:val="24"/>
          <w:shd w:val="clear" w:color="auto" w:fill="FFFFFF"/>
        </w:rPr>
        <w:t>damage. [21</w:t>
      </w:r>
      <w:r w:rsidR="007879AA" w:rsidRPr="00227423">
        <w:rPr>
          <w:rFonts w:asciiTheme="majorBidi" w:hAnsiTheme="majorBidi" w:cstheme="majorBidi"/>
          <w:color w:val="333333"/>
          <w:sz w:val="24"/>
          <w:szCs w:val="24"/>
          <w:shd w:val="clear" w:color="auto" w:fill="FFFFFF"/>
        </w:rPr>
        <w:t>]</w:t>
      </w:r>
      <w:r w:rsidR="00E871C3">
        <w:rPr>
          <w:rFonts w:asciiTheme="majorBidi" w:hAnsiTheme="majorBidi" w:cstheme="majorBidi"/>
          <w:color w:val="333333"/>
          <w:sz w:val="24"/>
          <w:szCs w:val="24"/>
          <w:shd w:val="clear" w:color="auto" w:fill="FFFFFF"/>
        </w:rPr>
        <w:t>.</w:t>
      </w:r>
    </w:p>
    <w:p w14:paraId="7E312B73" w14:textId="40B81D5A" w:rsidR="00AA500F" w:rsidRPr="00227423" w:rsidRDefault="00AA500F" w:rsidP="004B03EC">
      <w:pPr>
        <w:spacing w:line="240" w:lineRule="auto"/>
        <w:jc w:val="both"/>
        <w:rPr>
          <w:rFonts w:asciiTheme="majorBidi" w:hAnsiTheme="majorBidi" w:cstheme="majorBidi"/>
          <w:color w:val="333333"/>
          <w:sz w:val="24"/>
          <w:szCs w:val="24"/>
          <w:shd w:val="clear" w:color="auto" w:fill="FFFFFF"/>
        </w:rPr>
      </w:pPr>
      <w:r w:rsidRPr="00227423">
        <w:rPr>
          <w:rFonts w:asciiTheme="majorBidi" w:hAnsiTheme="majorBidi" w:cstheme="majorBidi"/>
          <w:color w:val="333333"/>
          <w:sz w:val="24"/>
          <w:szCs w:val="24"/>
          <w:shd w:val="clear" w:color="auto" w:fill="FFFFFF"/>
        </w:rPr>
        <w:t>In this work</w:t>
      </w:r>
      <w:r w:rsidR="00DC3FAB" w:rsidRPr="00227423">
        <w:rPr>
          <w:rFonts w:asciiTheme="majorBidi" w:hAnsiTheme="majorBidi" w:cstheme="majorBidi"/>
          <w:color w:val="333333"/>
          <w:sz w:val="24"/>
          <w:szCs w:val="24"/>
          <w:shd w:val="clear" w:color="auto" w:fill="FFFFFF"/>
        </w:rPr>
        <w:t>,</w:t>
      </w:r>
      <w:r w:rsidRPr="00227423">
        <w:rPr>
          <w:rFonts w:asciiTheme="majorBidi" w:hAnsiTheme="majorBidi" w:cstheme="majorBidi"/>
          <w:color w:val="333333"/>
          <w:sz w:val="24"/>
          <w:szCs w:val="24"/>
          <w:shd w:val="clear" w:color="auto" w:fill="FFFFFF"/>
        </w:rPr>
        <w:t xml:space="preserve"> we found that </w:t>
      </w:r>
      <w:r w:rsidRPr="00227423">
        <w:rPr>
          <w:rFonts w:asciiTheme="majorBidi" w:hAnsiTheme="majorBidi" w:cstheme="majorBidi"/>
          <w:sz w:val="24"/>
          <w:szCs w:val="24"/>
        </w:rPr>
        <w:t>the values of both GPR and GAR were positively correlated with fibrosis</w:t>
      </w:r>
      <w:r w:rsidR="00DC3FAB" w:rsidRPr="00227423">
        <w:rPr>
          <w:rFonts w:asciiTheme="majorBidi" w:hAnsiTheme="majorBidi" w:cstheme="majorBidi"/>
          <w:sz w:val="24"/>
          <w:szCs w:val="24"/>
        </w:rPr>
        <w:t>.</w:t>
      </w:r>
      <w:r w:rsidRPr="00227423">
        <w:rPr>
          <w:rFonts w:asciiTheme="majorBidi" w:hAnsiTheme="majorBidi" w:cstheme="majorBidi"/>
          <w:sz w:val="24"/>
          <w:szCs w:val="24"/>
        </w:rPr>
        <w:t xml:space="preserve"> </w:t>
      </w:r>
    </w:p>
    <w:p w14:paraId="5D08A0EE" w14:textId="6FD392B0" w:rsidR="00DC3FAB" w:rsidRPr="00227423" w:rsidRDefault="00AA500F" w:rsidP="004B03EC">
      <w:pPr>
        <w:spacing w:line="240" w:lineRule="auto"/>
        <w:rPr>
          <w:rFonts w:asciiTheme="majorBidi" w:hAnsiTheme="majorBidi" w:cstheme="majorBidi"/>
          <w:color w:val="333333"/>
          <w:sz w:val="24"/>
          <w:szCs w:val="24"/>
        </w:rPr>
      </w:pPr>
      <w:r w:rsidRPr="00227423">
        <w:rPr>
          <w:rFonts w:asciiTheme="majorBidi" w:hAnsiTheme="majorBidi" w:cstheme="majorBidi"/>
          <w:color w:val="333333"/>
          <w:sz w:val="24"/>
          <w:szCs w:val="24"/>
          <w:shd w:val="clear" w:color="auto" w:fill="FFFFFF"/>
        </w:rPr>
        <w:t>Many studies</w:t>
      </w:r>
      <w:r w:rsidR="00DC3FAB" w:rsidRPr="00227423">
        <w:rPr>
          <w:rFonts w:asciiTheme="majorBidi" w:hAnsiTheme="majorBidi" w:cstheme="majorBidi"/>
          <w:color w:val="333333"/>
          <w:sz w:val="24"/>
          <w:szCs w:val="24"/>
          <w:shd w:val="clear" w:color="auto" w:fill="FFFFFF"/>
        </w:rPr>
        <w:t xml:space="preserve"> have</w:t>
      </w:r>
      <w:r w:rsidR="00592430" w:rsidRPr="00227423">
        <w:rPr>
          <w:rFonts w:asciiTheme="majorBidi" w:hAnsiTheme="majorBidi" w:cstheme="majorBidi"/>
          <w:color w:val="333333"/>
          <w:sz w:val="24"/>
          <w:szCs w:val="24"/>
          <w:shd w:val="clear" w:color="auto" w:fill="FFFFFF"/>
        </w:rPr>
        <w:t xml:space="preserve"> suggested that GPR can evaluate liver fibrosis in patients with</w:t>
      </w:r>
      <w:r w:rsidR="00190CBE" w:rsidRPr="00227423">
        <w:rPr>
          <w:rFonts w:asciiTheme="majorBidi" w:hAnsiTheme="majorBidi" w:cstheme="majorBidi"/>
          <w:color w:val="333333"/>
          <w:sz w:val="24"/>
          <w:szCs w:val="24"/>
          <w:shd w:val="clear" w:color="auto" w:fill="FFFFFF"/>
        </w:rPr>
        <w:t xml:space="preserve"> </w:t>
      </w:r>
      <w:r w:rsidR="00592430" w:rsidRPr="00227423">
        <w:rPr>
          <w:rFonts w:asciiTheme="majorBidi" w:hAnsiTheme="majorBidi" w:cstheme="majorBidi"/>
          <w:color w:val="333333"/>
          <w:sz w:val="24"/>
          <w:szCs w:val="24"/>
          <w:shd w:val="clear" w:color="auto" w:fill="FFFFFF"/>
        </w:rPr>
        <w:t>chronic hepatitis B and NAFLD</w:t>
      </w:r>
      <w:r w:rsidR="00DC3FAB" w:rsidRPr="00227423">
        <w:rPr>
          <w:rFonts w:asciiTheme="majorBidi" w:hAnsiTheme="majorBidi" w:cstheme="majorBidi"/>
          <w:color w:val="333333"/>
          <w:sz w:val="24"/>
          <w:szCs w:val="24"/>
          <w:shd w:val="clear" w:color="auto" w:fill="FFFFFF"/>
        </w:rPr>
        <w:t xml:space="preserve"> </w:t>
      </w:r>
      <w:r w:rsidR="00540542" w:rsidRPr="00227423">
        <w:rPr>
          <w:rFonts w:asciiTheme="majorBidi" w:hAnsiTheme="majorBidi" w:cstheme="majorBidi"/>
          <w:color w:val="333333"/>
          <w:sz w:val="24"/>
          <w:szCs w:val="24"/>
        </w:rPr>
        <w:t>[</w:t>
      </w:r>
      <w:r w:rsidR="00394AE8" w:rsidRPr="00227423">
        <w:rPr>
          <w:rFonts w:asciiTheme="majorBidi" w:hAnsiTheme="majorBidi" w:cstheme="majorBidi"/>
          <w:color w:val="333333"/>
          <w:sz w:val="24"/>
          <w:szCs w:val="24"/>
        </w:rPr>
        <w:t>22</w:t>
      </w:r>
      <w:r w:rsidR="00E355A1" w:rsidRPr="00227423">
        <w:rPr>
          <w:rFonts w:asciiTheme="majorBidi" w:hAnsiTheme="majorBidi" w:cstheme="majorBidi"/>
          <w:color w:val="333333"/>
          <w:sz w:val="24"/>
          <w:szCs w:val="24"/>
        </w:rPr>
        <w:t>-</w:t>
      </w:r>
      <w:r w:rsidR="007879AA" w:rsidRPr="00227423">
        <w:rPr>
          <w:rFonts w:asciiTheme="majorBidi" w:hAnsiTheme="majorBidi" w:cstheme="majorBidi"/>
          <w:color w:val="333333"/>
          <w:sz w:val="24"/>
          <w:szCs w:val="24"/>
        </w:rPr>
        <w:t>2</w:t>
      </w:r>
      <w:r w:rsidR="00394AE8" w:rsidRPr="00227423">
        <w:rPr>
          <w:rFonts w:asciiTheme="majorBidi" w:hAnsiTheme="majorBidi" w:cstheme="majorBidi"/>
          <w:color w:val="333333"/>
          <w:sz w:val="24"/>
          <w:szCs w:val="24"/>
        </w:rPr>
        <w:t>4</w:t>
      </w:r>
      <w:r w:rsidR="00A24A9F" w:rsidRPr="00227423">
        <w:rPr>
          <w:rFonts w:asciiTheme="majorBidi" w:hAnsiTheme="majorBidi" w:cstheme="majorBidi"/>
          <w:color w:val="333333"/>
          <w:sz w:val="24"/>
          <w:szCs w:val="24"/>
        </w:rPr>
        <w:t>]</w:t>
      </w:r>
      <w:r w:rsidR="00DC3FAB" w:rsidRPr="00227423">
        <w:rPr>
          <w:rFonts w:asciiTheme="majorBidi" w:hAnsiTheme="majorBidi" w:cstheme="majorBidi"/>
          <w:color w:val="333333"/>
          <w:sz w:val="24"/>
          <w:szCs w:val="24"/>
        </w:rPr>
        <w:t>.</w:t>
      </w:r>
    </w:p>
    <w:p w14:paraId="3F5CD2A0" w14:textId="431AC017" w:rsidR="00CE02DB" w:rsidRPr="00227423" w:rsidRDefault="00592430" w:rsidP="004B03EC">
      <w:pPr>
        <w:spacing w:line="240" w:lineRule="auto"/>
        <w:rPr>
          <w:rFonts w:asciiTheme="majorBidi" w:hAnsiTheme="majorBidi" w:cstheme="majorBidi"/>
          <w:color w:val="333333"/>
          <w:sz w:val="24"/>
          <w:szCs w:val="24"/>
          <w:shd w:val="clear" w:color="auto" w:fill="FFFFFF"/>
        </w:rPr>
      </w:pPr>
      <w:r w:rsidRPr="00227423">
        <w:rPr>
          <w:rFonts w:asciiTheme="majorBidi" w:hAnsiTheme="majorBidi" w:cstheme="majorBidi"/>
          <w:color w:val="333333"/>
          <w:sz w:val="24"/>
          <w:szCs w:val="24"/>
          <w:shd w:val="clear" w:color="auto" w:fill="FFFFFF"/>
        </w:rPr>
        <w:t xml:space="preserve">In 2016, Lemoine et al. proposed GPR as a marker of </w:t>
      </w:r>
      <w:r w:rsidR="00DC3FAB" w:rsidRPr="00227423">
        <w:rPr>
          <w:rFonts w:asciiTheme="majorBidi" w:hAnsiTheme="majorBidi" w:cstheme="majorBidi"/>
          <w:color w:val="333333"/>
          <w:sz w:val="24"/>
          <w:szCs w:val="24"/>
          <w:shd w:val="clear" w:color="auto" w:fill="FFFFFF"/>
        </w:rPr>
        <w:t xml:space="preserve">the </w:t>
      </w:r>
      <w:r w:rsidRPr="00227423">
        <w:rPr>
          <w:rFonts w:asciiTheme="majorBidi" w:hAnsiTheme="majorBidi" w:cstheme="majorBidi"/>
          <w:color w:val="333333"/>
          <w:sz w:val="24"/>
          <w:szCs w:val="24"/>
          <w:shd w:val="clear" w:color="auto" w:fill="FFFFFF"/>
        </w:rPr>
        <w:t xml:space="preserve">fibrosis stage in patients with chronic hepatitis </w:t>
      </w:r>
      <w:r w:rsidR="00557711" w:rsidRPr="00227423">
        <w:rPr>
          <w:rFonts w:asciiTheme="majorBidi" w:hAnsiTheme="majorBidi" w:cstheme="majorBidi"/>
          <w:color w:val="333333"/>
          <w:sz w:val="24"/>
          <w:szCs w:val="24"/>
          <w:shd w:val="clear" w:color="auto" w:fill="FFFFFF"/>
        </w:rPr>
        <w:t>B [</w:t>
      </w:r>
      <w:r w:rsidR="00E355A1" w:rsidRPr="00227423">
        <w:rPr>
          <w:rFonts w:asciiTheme="majorBidi" w:hAnsiTheme="majorBidi" w:cstheme="majorBidi"/>
          <w:color w:val="333333"/>
          <w:sz w:val="24"/>
          <w:szCs w:val="24"/>
          <w:shd w:val="clear" w:color="auto" w:fill="FFFFFF"/>
        </w:rPr>
        <w:t>1</w:t>
      </w:r>
      <w:r w:rsidR="00394AE8" w:rsidRPr="00227423">
        <w:rPr>
          <w:rFonts w:asciiTheme="majorBidi" w:hAnsiTheme="majorBidi" w:cstheme="majorBidi"/>
          <w:color w:val="333333"/>
          <w:sz w:val="24"/>
          <w:szCs w:val="24"/>
          <w:shd w:val="clear" w:color="auto" w:fill="FFFFFF"/>
        </w:rPr>
        <w:t>4</w:t>
      </w:r>
      <w:r w:rsidR="00BF1251" w:rsidRPr="00227423">
        <w:rPr>
          <w:rFonts w:asciiTheme="majorBidi" w:hAnsiTheme="majorBidi" w:cstheme="majorBidi"/>
          <w:color w:val="333333"/>
          <w:sz w:val="24"/>
          <w:szCs w:val="24"/>
          <w:shd w:val="clear" w:color="auto" w:fill="FFFFFF"/>
        </w:rPr>
        <w:t>]</w:t>
      </w:r>
      <w:r w:rsidRPr="00227423">
        <w:rPr>
          <w:rFonts w:asciiTheme="majorBidi" w:hAnsiTheme="majorBidi" w:cstheme="majorBidi"/>
          <w:color w:val="333333"/>
          <w:sz w:val="24"/>
          <w:szCs w:val="24"/>
          <w:shd w:val="clear" w:color="auto" w:fill="FFFFFF"/>
        </w:rPr>
        <w:t>.</w:t>
      </w:r>
    </w:p>
    <w:p w14:paraId="67091F50" w14:textId="399623BA" w:rsidR="00592430" w:rsidRPr="00227423" w:rsidRDefault="00592430" w:rsidP="004B03EC">
      <w:pPr>
        <w:spacing w:line="240" w:lineRule="auto"/>
        <w:jc w:val="both"/>
        <w:rPr>
          <w:rFonts w:asciiTheme="majorBidi" w:hAnsiTheme="majorBidi" w:cstheme="majorBidi"/>
          <w:sz w:val="24"/>
          <w:szCs w:val="24"/>
        </w:rPr>
      </w:pPr>
      <w:r w:rsidRPr="00227423">
        <w:rPr>
          <w:rFonts w:asciiTheme="majorBidi" w:hAnsiTheme="majorBidi" w:cstheme="majorBidi"/>
          <w:color w:val="333333"/>
          <w:sz w:val="24"/>
          <w:szCs w:val="24"/>
          <w:shd w:val="clear" w:color="auto" w:fill="FFFFFF"/>
        </w:rPr>
        <w:t xml:space="preserve">Li et al. evaluated GPR as a predictive marker of fibrosis compared to liver biopsy in patients with HBV and NAFLD (HBV-NAFLD). In this study, GGT levels were higher in patients with HBV-NAFLD than in patients with HBV alone. </w:t>
      </w:r>
      <w:r w:rsidR="001766D4" w:rsidRPr="00227423">
        <w:rPr>
          <w:rFonts w:asciiTheme="majorBidi" w:hAnsiTheme="majorBidi" w:cstheme="majorBidi"/>
          <w:color w:val="333333"/>
          <w:sz w:val="24"/>
          <w:szCs w:val="24"/>
          <w:shd w:val="clear" w:color="auto" w:fill="FFFFFF"/>
        </w:rPr>
        <w:t xml:space="preserve">Additionally, </w:t>
      </w:r>
      <w:r w:rsidR="00CE145F" w:rsidRPr="00227423">
        <w:rPr>
          <w:rFonts w:asciiTheme="majorBidi" w:hAnsiTheme="majorBidi" w:cstheme="majorBidi"/>
          <w:color w:val="333333"/>
          <w:sz w:val="24"/>
          <w:szCs w:val="24"/>
          <w:shd w:val="clear" w:color="auto" w:fill="FFFFFF"/>
        </w:rPr>
        <w:t xml:space="preserve">it </w:t>
      </w:r>
      <w:r w:rsidR="001766D4" w:rsidRPr="00227423">
        <w:rPr>
          <w:rFonts w:asciiTheme="majorBidi" w:hAnsiTheme="majorBidi" w:cstheme="majorBidi"/>
          <w:color w:val="333333"/>
          <w:sz w:val="24"/>
          <w:szCs w:val="24"/>
          <w:shd w:val="clear" w:color="auto" w:fill="FFFFFF"/>
        </w:rPr>
        <w:t>showed</w:t>
      </w:r>
      <w:r w:rsidRPr="00227423">
        <w:rPr>
          <w:rFonts w:asciiTheme="majorBidi" w:hAnsiTheme="majorBidi" w:cstheme="majorBidi"/>
          <w:color w:val="333333"/>
          <w:sz w:val="24"/>
          <w:szCs w:val="24"/>
          <w:shd w:val="clear" w:color="auto" w:fill="FFFFFF"/>
        </w:rPr>
        <w:t xml:space="preserve"> higher GPR results in patients with advanced fibrosis and a correlation between fibrosis levels and GPR in patients who had only NAFLD and di</w:t>
      </w:r>
      <w:r w:rsidR="00A24A9F" w:rsidRPr="00227423">
        <w:rPr>
          <w:rFonts w:asciiTheme="majorBidi" w:hAnsiTheme="majorBidi" w:cstheme="majorBidi"/>
          <w:color w:val="333333"/>
          <w:sz w:val="24"/>
          <w:szCs w:val="24"/>
          <w:shd w:val="clear" w:color="auto" w:fill="FFFFFF"/>
        </w:rPr>
        <w:t xml:space="preserve">d not have chronic hepatitis </w:t>
      </w:r>
      <w:r w:rsidR="001766D4" w:rsidRPr="00227423">
        <w:rPr>
          <w:rFonts w:asciiTheme="majorBidi" w:hAnsiTheme="majorBidi" w:cstheme="majorBidi"/>
          <w:color w:val="333333"/>
          <w:sz w:val="24"/>
          <w:szCs w:val="24"/>
          <w:shd w:val="clear" w:color="auto" w:fill="FFFFFF"/>
        </w:rPr>
        <w:t>B [</w:t>
      </w:r>
      <w:r w:rsidR="00394AE8" w:rsidRPr="00227423">
        <w:rPr>
          <w:rFonts w:asciiTheme="majorBidi" w:hAnsiTheme="majorBidi" w:cstheme="majorBidi"/>
          <w:color w:val="333333"/>
          <w:sz w:val="24"/>
          <w:szCs w:val="24"/>
          <w:shd w:val="clear" w:color="auto" w:fill="FFFFFF"/>
        </w:rPr>
        <w:t>23</w:t>
      </w:r>
      <w:r w:rsidR="00A24A9F" w:rsidRPr="00227423">
        <w:rPr>
          <w:rFonts w:asciiTheme="majorBidi" w:hAnsiTheme="majorBidi" w:cstheme="majorBidi"/>
          <w:color w:val="333333"/>
          <w:sz w:val="24"/>
          <w:szCs w:val="24"/>
          <w:shd w:val="clear" w:color="auto" w:fill="FFFFFF"/>
        </w:rPr>
        <w:t>]</w:t>
      </w:r>
      <w:r w:rsidR="00DC3FAB" w:rsidRPr="00227423">
        <w:rPr>
          <w:rFonts w:asciiTheme="majorBidi" w:hAnsiTheme="majorBidi" w:cstheme="majorBidi"/>
          <w:color w:val="333333"/>
          <w:sz w:val="24"/>
          <w:szCs w:val="24"/>
          <w:shd w:val="clear" w:color="auto" w:fill="FFFFFF"/>
        </w:rPr>
        <w:t>.</w:t>
      </w:r>
    </w:p>
    <w:p w14:paraId="64031C13" w14:textId="5B52CF0B" w:rsidR="00A24A9F" w:rsidRPr="0072698B" w:rsidRDefault="005B4CA8" w:rsidP="005B4CA8">
      <w:pPr>
        <w:spacing w:line="240" w:lineRule="auto"/>
        <w:jc w:val="both"/>
        <w:rPr>
          <w:rFonts w:asciiTheme="majorBidi" w:hAnsiTheme="majorBidi" w:cstheme="majorBidi"/>
          <w:color w:val="333333"/>
          <w:sz w:val="24"/>
          <w:szCs w:val="24"/>
          <w:shd w:val="clear" w:color="auto" w:fill="FFFFFF"/>
        </w:rPr>
      </w:pPr>
      <w:r w:rsidRPr="0072698B">
        <w:rPr>
          <w:rFonts w:asciiTheme="majorBidi" w:hAnsiTheme="majorBidi" w:cstheme="majorBidi"/>
          <w:color w:val="333333"/>
          <w:sz w:val="24"/>
          <w:szCs w:val="24"/>
          <w:shd w:val="clear" w:color="auto" w:fill="FFFFFF"/>
        </w:rPr>
        <w:t xml:space="preserve">Khare et al. found that in patients with chronic hepatitis B, significant fibrosis could be ruled out by noninvasive blood parameters (APRI, FIB-4, and GPR) with negative predictive values above 93%. The results showed that GPR, APRI, and FIB-4 were highly correlated with LSM </w:t>
      </w:r>
      <w:r w:rsidR="001766D4" w:rsidRPr="0072698B">
        <w:rPr>
          <w:rFonts w:asciiTheme="majorBidi" w:hAnsiTheme="majorBidi" w:cstheme="majorBidi"/>
          <w:color w:val="333333"/>
          <w:sz w:val="24"/>
          <w:szCs w:val="24"/>
          <w:shd w:val="clear" w:color="auto" w:fill="FFFFFF"/>
        </w:rPr>
        <w:t>[</w:t>
      </w:r>
      <w:r w:rsidR="00E355A1" w:rsidRPr="0072698B">
        <w:rPr>
          <w:rFonts w:asciiTheme="majorBidi" w:hAnsiTheme="majorBidi" w:cstheme="majorBidi"/>
          <w:color w:val="333333"/>
          <w:sz w:val="24"/>
          <w:szCs w:val="24"/>
          <w:shd w:val="clear" w:color="auto" w:fill="FFFFFF"/>
        </w:rPr>
        <w:t>2</w:t>
      </w:r>
      <w:r w:rsidR="00394AE8" w:rsidRPr="0072698B">
        <w:rPr>
          <w:rFonts w:asciiTheme="majorBidi" w:hAnsiTheme="majorBidi" w:cstheme="majorBidi"/>
          <w:color w:val="333333"/>
          <w:sz w:val="24"/>
          <w:szCs w:val="24"/>
          <w:shd w:val="clear" w:color="auto" w:fill="FFFFFF"/>
        </w:rPr>
        <w:t>5</w:t>
      </w:r>
      <w:r w:rsidR="00A457EE" w:rsidRPr="0072698B">
        <w:rPr>
          <w:rFonts w:asciiTheme="majorBidi" w:hAnsiTheme="majorBidi" w:cstheme="majorBidi"/>
          <w:color w:val="333333"/>
          <w:sz w:val="24"/>
          <w:szCs w:val="24"/>
          <w:shd w:val="clear" w:color="auto" w:fill="FFFFFF"/>
        </w:rPr>
        <w:t>]</w:t>
      </w:r>
      <w:r w:rsidRPr="0072698B">
        <w:rPr>
          <w:rFonts w:asciiTheme="majorBidi" w:hAnsiTheme="majorBidi" w:cstheme="majorBidi"/>
          <w:color w:val="333333"/>
          <w:sz w:val="24"/>
          <w:szCs w:val="24"/>
          <w:shd w:val="clear" w:color="auto" w:fill="FFFFFF"/>
        </w:rPr>
        <w:t>.</w:t>
      </w:r>
      <w:r w:rsidR="00784845" w:rsidRPr="0072698B">
        <w:rPr>
          <w:rFonts w:asciiTheme="majorBidi" w:hAnsiTheme="majorBidi" w:cstheme="majorBidi"/>
          <w:color w:val="333333"/>
          <w:sz w:val="24"/>
          <w:szCs w:val="24"/>
          <w:shd w:val="clear" w:color="auto" w:fill="FFFFFF"/>
        </w:rPr>
        <w:t xml:space="preserve"> </w:t>
      </w:r>
    </w:p>
    <w:p w14:paraId="6658E0D6" w14:textId="4B24C60A" w:rsidR="00764B89" w:rsidRPr="00227423" w:rsidRDefault="00CE02DB" w:rsidP="00162B42">
      <w:pPr>
        <w:spacing w:line="240" w:lineRule="auto"/>
        <w:jc w:val="both"/>
        <w:rPr>
          <w:rFonts w:asciiTheme="majorBidi" w:hAnsiTheme="majorBidi" w:cstheme="majorBidi"/>
          <w:sz w:val="24"/>
          <w:szCs w:val="24"/>
        </w:rPr>
      </w:pPr>
      <w:r w:rsidRPr="0072698B">
        <w:rPr>
          <w:rFonts w:asciiTheme="majorBidi" w:hAnsiTheme="majorBidi" w:cstheme="majorBidi"/>
          <w:color w:val="333333"/>
          <w:sz w:val="24"/>
          <w:szCs w:val="24"/>
          <w:shd w:val="clear" w:color="auto" w:fill="FFFFFF"/>
        </w:rPr>
        <w:t xml:space="preserve">Also, </w:t>
      </w:r>
      <w:r w:rsidR="00784845" w:rsidRPr="0072698B">
        <w:rPr>
          <w:rFonts w:asciiTheme="majorBidi" w:hAnsiTheme="majorBidi" w:cstheme="majorBidi"/>
          <w:color w:val="333333"/>
          <w:sz w:val="24"/>
          <w:szCs w:val="24"/>
          <w:shd w:val="clear" w:color="auto" w:fill="FFFFFF"/>
        </w:rPr>
        <w:t>L</w:t>
      </w:r>
      <w:r w:rsidR="00764B89" w:rsidRPr="0072698B">
        <w:rPr>
          <w:rFonts w:asciiTheme="majorBidi" w:hAnsiTheme="majorBidi" w:cstheme="majorBidi"/>
          <w:color w:val="333333"/>
          <w:sz w:val="24"/>
          <w:szCs w:val="24"/>
          <w:shd w:val="clear" w:color="auto" w:fill="FFFFFF"/>
        </w:rPr>
        <w:t>uo</w:t>
      </w:r>
      <w:r w:rsidR="00784845" w:rsidRPr="0072698B">
        <w:rPr>
          <w:rFonts w:asciiTheme="majorBidi" w:hAnsiTheme="majorBidi" w:cstheme="majorBidi"/>
          <w:color w:val="333333"/>
          <w:sz w:val="24"/>
          <w:szCs w:val="24"/>
          <w:shd w:val="clear" w:color="auto" w:fill="FFFFFF"/>
        </w:rPr>
        <w:t xml:space="preserve"> </w:t>
      </w:r>
      <w:r w:rsidR="00DC3FAB" w:rsidRPr="0072698B">
        <w:rPr>
          <w:rFonts w:asciiTheme="majorBidi" w:hAnsiTheme="majorBidi" w:cstheme="majorBidi"/>
          <w:color w:val="333333"/>
          <w:sz w:val="24"/>
          <w:szCs w:val="24"/>
          <w:shd w:val="clear" w:color="auto" w:fill="FFFFFF"/>
        </w:rPr>
        <w:t>et al.</w:t>
      </w:r>
      <w:r w:rsidR="00784845" w:rsidRPr="0072698B">
        <w:rPr>
          <w:rFonts w:asciiTheme="majorBidi" w:hAnsiTheme="majorBidi" w:cstheme="majorBidi"/>
          <w:color w:val="333333"/>
          <w:sz w:val="24"/>
          <w:szCs w:val="24"/>
          <w:shd w:val="clear" w:color="auto" w:fill="FFFFFF"/>
        </w:rPr>
        <w:t xml:space="preserve"> suggested that </w:t>
      </w:r>
      <w:r w:rsidR="00AC5668" w:rsidRPr="0072698B">
        <w:rPr>
          <w:rFonts w:asciiTheme="majorBidi" w:hAnsiTheme="majorBidi" w:cstheme="majorBidi"/>
          <w:color w:val="333333"/>
          <w:sz w:val="24"/>
          <w:szCs w:val="24"/>
          <w:shd w:val="clear" w:color="auto" w:fill="FFFFFF"/>
        </w:rPr>
        <w:t>serological markers could evaluate hepatic fibrosis</w:t>
      </w:r>
      <w:r w:rsidR="00764B89" w:rsidRPr="0072698B">
        <w:rPr>
          <w:rFonts w:asciiTheme="majorBidi" w:hAnsiTheme="majorBidi" w:cstheme="majorBidi"/>
          <w:color w:val="333333"/>
          <w:sz w:val="24"/>
          <w:szCs w:val="24"/>
          <w:shd w:val="clear" w:color="auto" w:fill="FFFFFF"/>
        </w:rPr>
        <w:t>.</w:t>
      </w:r>
      <w:r w:rsidR="00764B89" w:rsidRPr="00227423">
        <w:rPr>
          <w:rFonts w:asciiTheme="majorBidi" w:hAnsiTheme="majorBidi" w:cstheme="majorBidi"/>
          <w:sz w:val="24"/>
          <w:szCs w:val="24"/>
        </w:rPr>
        <w:t xml:space="preserve"> They reported that GPR </w:t>
      </w:r>
      <w:r w:rsidR="00DC3FAB" w:rsidRPr="00227423">
        <w:rPr>
          <w:rFonts w:asciiTheme="majorBidi" w:hAnsiTheme="majorBidi" w:cstheme="majorBidi"/>
          <w:sz w:val="24"/>
          <w:szCs w:val="24"/>
        </w:rPr>
        <w:t>correlates well</w:t>
      </w:r>
      <w:r w:rsidR="00764B89" w:rsidRPr="00227423">
        <w:rPr>
          <w:rFonts w:asciiTheme="majorBidi" w:hAnsiTheme="majorBidi" w:cstheme="majorBidi"/>
          <w:sz w:val="24"/>
          <w:szCs w:val="24"/>
        </w:rPr>
        <w:t xml:space="preserve"> with LSM in assessing liver fibrosis and can be used as a noninvasive index </w:t>
      </w:r>
      <w:r w:rsidR="00CE145F" w:rsidRPr="00227423">
        <w:rPr>
          <w:rFonts w:asciiTheme="majorBidi" w:hAnsiTheme="majorBidi" w:cstheme="majorBidi"/>
          <w:sz w:val="24"/>
          <w:szCs w:val="24"/>
        </w:rPr>
        <w:t>to evaluate</w:t>
      </w:r>
      <w:r w:rsidR="00764B89" w:rsidRPr="00227423">
        <w:rPr>
          <w:rFonts w:asciiTheme="majorBidi" w:hAnsiTheme="majorBidi" w:cstheme="majorBidi"/>
          <w:sz w:val="24"/>
          <w:szCs w:val="24"/>
        </w:rPr>
        <w:t xml:space="preserve"> liver fibrosis in patients with concomitant CHB and NAFLD [</w:t>
      </w:r>
      <w:r w:rsidR="00055A60" w:rsidRPr="00227423">
        <w:rPr>
          <w:rFonts w:asciiTheme="majorBidi" w:hAnsiTheme="majorBidi" w:cstheme="majorBidi"/>
          <w:sz w:val="24"/>
          <w:szCs w:val="24"/>
        </w:rPr>
        <w:t>22</w:t>
      </w:r>
      <w:r w:rsidR="00764B89" w:rsidRPr="00227423">
        <w:rPr>
          <w:rFonts w:asciiTheme="majorBidi" w:hAnsiTheme="majorBidi" w:cstheme="majorBidi"/>
          <w:sz w:val="24"/>
          <w:szCs w:val="24"/>
        </w:rPr>
        <w:t>]</w:t>
      </w:r>
      <w:r w:rsidR="00DC3FAB" w:rsidRPr="00227423">
        <w:rPr>
          <w:rFonts w:asciiTheme="majorBidi" w:hAnsiTheme="majorBidi" w:cstheme="majorBidi"/>
          <w:sz w:val="24"/>
          <w:szCs w:val="24"/>
        </w:rPr>
        <w:t>.</w:t>
      </w:r>
    </w:p>
    <w:p w14:paraId="7AB66D12" w14:textId="32A059BB" w:rsidR="00F07C60" w:rsidRPr="00227423" w:rsidRDefault="00764B89" w:rsidP="004B03EC">
      <w:pPr>
        <w:spacing w:line="240" w:lineRule="auto"/>
        <w:jc w:val="both"/>
        <w:rPr>
          <w:rFonts w:asciiTheme="majorBidi" w:hAnsiTheme="majorBidi" w:cstheme="majorBidi"/>
          <w:sz w:val="24"/>
          <w:szCs w:val="24"/>
        </w:rPr>
      </w:pPr>
      <w:r w:rsidRPr="00227423">
        <w:rPr>
          <w:rFonts w:asciiTheme="majorBidi" w:hAnsiTheme="majorBidi" w:cstheme="majorBidi"/>
          <w:color w:val="1C1D1E"/>
          <w:sz w:val="24"/>
          <w:szCs w:val="24"/>
          <w:shd w:val="clear" w:color="auto" w:fill="FFFFFF"/>
        </w:rPr>
        <w:t xml:space="preserve">Meanwhile, </w:t>
      </w:r>
      <w:r w:rsidR="00F07C60" w:rsidRPr="00227423">
        <w:rPr>
          <w:rFonts w:asciiTheme="majorBidi" w:hAnsiTheme="majorBidi" w:cstheme="majorBidi"/>
          <w:color w:val="1C1D1E"/>
          <w:sz w:val="24"/>
          <w:szCs w:val="24"/>
          <w:shd w:val="clear" w:color="auto" w:fill="FFFFFF"/>
        </w:rPr>
        <w:t>GAR is a more accurate noninvasive index than APRI and FIB-4 to stage significant fibrosis and cirrhosis in CHB patients and represents a novel noninvasive alternative to liver biopsy</w:t>
      </w:r>
      <w:r w:rsidR="00F07C60" w:rsidRPr="00227423">
        <w:rPr>
          <w:rFonts w:asciiTheme="majorBidi" w:hAnsiTheme="majorBidi" w:cstheme="majorBidi"/>
          <w:sz w:val="24"/>
          <w:szCs w:val="24"/>
        </w:rPr>
        <w:t xml:space="preserve"> </w:t>
      </w:r>
      <w:r w:rsidRPr="00227423">
        <w:rPr>
          <w:rFonts w:asciiTheme="majorBidi" w:hAnsiTheme="majorBidi" w:cstheme="majorBidi"/>
          <w:sz w:val="24"/>
          <w:szCs w:val="24"/>
        </w:rPr>
        <w:t>[1</w:t>
      </w:r>
      <w:r w:rsidR="00055A60" w:rsidRPr="00227423">
        <w:rPr>
          <w:rFonts w:asciiTheme="majorBidi" w:hAnsiTheme="majorBidi" w:cstheme="majorBidi"/>
          <w:sz w:val="24"/>
          <w:szCs w:val="24"/>
        </w:rPr>
        <w:t>6</w:t>
      </w:r>
      <w:r w:rsidRPr="00227423">
        <w:rPr>
          <w:rFonts w:asciiTheme="majorBidi" w:hAnsiTheme="majorBidi" w:cstheme="majorBidi"/>
          <w:sz w:val="24"/>
          <w:szCs w:val="24"/>
        </w:rPr>
        <w:t>]</w:t>
      </w:r>
      <w:r w:rsidR="00DC3FAB" w:rsidRPr="00227423">
        <w:rPr>
          <w:rFonts w:asciiTheme="majorBidi" w:hAnsiTheme="majorBidi" w:cstheme="majorBidi"/>
          <w:sz w:val="24"/>
          <w:szCs w:val="24"/>
        </w:rPr>
        <w:t>.</w:t>
      </w:r>
    </w:p>
    <w:p w14:paraId="43834AFE" w14:textId="67E9974B" w:rsidR="000F4A30" w:rsidRPr="00227423" w:rsidRDefault="001C7E96" w:rsidP="004B03EC">
      <w:pPr>
        <w:spacing w:line="240" w:lineRule="auto"/>
        <w:jc w:val="both"/>
        <w:rPr>
          <w:rFonts w:asciiTheme="majorBidi" w:hAnsiTheme="majorBidi" w:cstheme="majorBidi"/>
          <w:sz w:val="24"/>
          <w:szCs w:val="24"/>
        </w:rPr>
      </w:pPr>
      <w:r w:rsidRPr="00227423">
        <w:rPr>
          <w:rFonts w:asciiTheme="majorBidi" w:hAnsiTheme="majorBidi" w:cstheme="majorBidi"/>
          <w:sz w:val="24"/>
          <w:szCs w:val="24"/>
        </w:rPr>
        <w:t xml:space="preserve">In </w:t>
      </w:r>
      <w:r w:rsidR="008476B3" w:rsidRPr="00227423">
        <w:rPr>
          <w:rFonts w:asciiTheme="majorBidi" w:hAnsiTheme="majorBidi" w:cstheme="majorBidi"/>
          <w:sz w:val="24"/>
          <w:szCs w:val="24"/>
        </w:rPr>
        <w:t>this</w:t>
      </w:r>
      <w:r w:rsidRPr="00227423">
        <w:rPr>
          <w:rFonts w:asciiTheme="majorBidi" w:hAnsiTheme="majorBidi" w:cstheme="majorBidi"/>
          <w:sz w:val="24"/>
          <w:szCs w:val="24"/>
        </w:rPr>
        <w:t xml:space="preserve"> study</w:t>
      </w:r>
      <w:r w:rsidR="00607100">
        <w:rPr>
          <w:rFonts w:asciiTheme="majorBidi" w:hAnsiTheme="majorBidi" w:cstheme="majorBidi"/>
          <w:sz w:val="24"/>
          <w:szCs w:val="24"/>
        </w:rPr>
        <w:t>, the</w:t>
      </w:r>
      <w:r w:rsidRPr="00227423">
        <w:rPr>
          <w:rFonts w:asciiTheme="majorBidi" w:hAnsiTheme="majorBidi" w:cstheme="majorBidi"/>
          <w:sz w:val="24"/>
          <w:szCs w:val="24"/>
        </w:rPr>
        <w:t xml:space="preserve"> </w:t>
      </w:r>
      <w:r w:rsidR="000F4A30" w:rsidRPr="00227423">
        <w:rPr>
          <w:rFonts w:asciiTheme="majorBidi" w:hAnsiTheme="majorBidi" w:cstheme="majorBidi"/>
          <w:sz w:val="24"/>
          <w:szCs w:val="24"/>
        </w:rPr>
        <w:t>Receiver operating characteristic (ROC) curve showed that GAR has the largest area under the curve (0.949, 95% CI 0.905- 0.992) followed by GGT (0.921, 95% CI 0.864 - 0.978), then GPR (0.790, 95%CI0.700-0,880).</w:t>
      </w:r>
    </w:p>
    <w:p w14:paraId="1EE0CB11" w14:textId="5CCE4BF7" w:rsidR="002A5D1B" w:rsidRPr="00227423" w:rsidRDefault="00BA2418" w:rsidP="00821221">
      <w:pPr>
        <w:spacing w:after="0" w:line="240" w:lineRule="auto"/>
        <w:jc w:val="both"/>
        <w:rPr>
          <w:rFonts w:asciiTheme="majorBidi" w:hAnsiTheme="majorBidi" w:cstheme="majorBidi"/>
          <w:sz w:val="24"/>
          <w:szCs w:val="24"/>
        </w:rPr>
      </w:pPr>
      <w:r w:rsidRPr="00227423">
        <w:rPr>
          <w:rFonts w:asciiTheme="majorBidi" w:hAnsiTheme="majorBidi" w:cstheme="majorBidi"/>
          <w:sz w:val="24"/>
          <w:szCs w:val="24"/>
        </w:rPr>
        <w:t xml:space="preserve">This result is consistent with </w:t>
      </w:r>
      <w:r w:rsidR="00DC3FAB" w:rsidRPr="00227423">
        <w:rPr>
          <w:rFonts w:asciiTheme="majorBidi" w:hAnsiTheme="majorBidi" w:cstheme="majorBidi"/>
          <w:sz w:val="24"/>
          <w:szCs w:val="24"/>
        </w:rPr>
        <w:t xml:space="preserve">a </w:t>
      </w:r>
      <w:r w:rsidRPr="00227423">
        <w:rPr>
          <w:rFonts w:asciiTheme="majorBidi" w:hAnsiTheme="majorBidi" w:cstheme="majorBidi"/>
          <w:sz w:val="24"/>
          <w:szCs w:val="24"/>
        </w:rPr>
        <w:t>previous study</w:t>
      </w:r>
      <w:r w:rsidR="00DC3FAB" w:rsidRPr="00227423">
        <w:rPr>
          <w:rFonts w:asciiTheme="majorBidi" w:hAnsiTheme="majorBidi" w:cstheme="majorBidi"/>
          <w:sz w:val="24"/>
          <w:szCs w:val="24"/>
        </w:rPr>
        <w:t>,</w:t>
      </w:r>
      <w:r w:rsidRPr="00227423">
        <w:rPr>
          <w:rFonts w:asciiTheme="majorBidi" w:hAnsiTheme="majorBidi" w:cstheme="majorBidi"/>
          <w:sz w:val="24"/>
          <w:szCs w:val="24"/>
        </w:rPr>
        <w:t xml:space="preserve"> which reported that </w:t>
      </w:r>
      <w:r w:rsidR="002A5D1B" w:rsidRPr="00227423">
        <w:rPr>
          <w:rFonts w:asciiTheme="majorBidi" w:hAnsiTheme="majorBidi" w:cstheme="majorBidi"/>
          <w:sz w:val="24"/>
          <w:szCs w:val="24"/>
        </w:rPr>
        <w:t xml:space="preserve">The AUCs of </w:t>
      </w:r>
      <w:r w:rsidR="00821221" w:rsidRPr="00821221">
        <w:rPr>
          <w:rFonts w:asciiTheme="majorBidi" w:hAnsiTheme="majorBidi" w:cstheme="majorBidi"/>
          <w:sz w:val="24"/>
          <w:szCs w:val="24"/>
        </w:rPr>
        <w:t>APRI, FIB-4</w:t>
      </w:r>
      <w:r w:rsidR="00AC5668">
        <w:rPr>
          <w:rFonts w:asciiTheme="majorBidi" w:hAnsiTheme="majorBidi" w:cstheme="majorBidi"/>
          <w:sz w:val="24"/>
          <w:szCs w:val="24"/>
        </w:rPr>
        <w:t>,</w:t>
      </w:r>
      <w:r w:rsidR="00821221" w:rsidRPr="00821221">
        <w:rPr>
          <w:rFonts w:asciiTheme="majorBidi" w:hAnsiTheme="majorBidi" w:cstheme="majorBidi"/>
          <w:sz w:val="24"/>
          <w:szCs w:val="24"/>
        </w:rPr>
        <w:t xml:space="preserve"> and GPR were 0.766</w:t>
      </w:r>
      <w:r w:rsidR="00821221" w:rsidRPr="00821221">
        <w:rPr>
          <w:rFonts w:ascii="Microsoft JhengHei" w:eastAsia="Microsoft JhengHei" w:hAnsi="Microsoft JhengHei" w:cs="Microsoft JhengHei" w:hint="eastAsia"/>
          <w:sz w:val="24"/>
          <w:szCs w:val="24"/>
        </w:rPr>
        <w:t>，</w:t>
      </w:r>
      <w:r w:rsidR="00821221" w:rsidRPr="00821221">
        <w:rPr>
          <w:rFonts w:asciiTheme="majorBidi" w:hAnsiTheme="majorBidi" w:cstheme="majorBidi"/>
          <w:sz w:val="24"/>
          <w:szCs w:val="24"/>
        </w:rPr>
        <w:t xml:space="preserve">0.826 and 0.805 </w:t>
      </w:r>
      <w:r w:rsidR="00821221" w:rsidRPr="00227423">
        <w:rPr>
          <w:rFonts w:asciiTheme="majorBidi" w:eastAsia="Microsoft JhengHei" w:hAnsiTheme="majorBidi" w:cstheme="majorBidi"/>
          <w:sz w:val="24"/>
          <w:szCs w:val="24"/>
        </w:rPr>
        <w:t>respectively</w:t>
      </w:r>
      <w:r w:rsidR="002A5D1B" w:rsidRPr="00227423">
        <w:rPr>
          <w:rFonts w:asciiTheme="majorBidi" w:hAnsiTheme="majorBidi" w:cstheme="majorBidi"/>
          <w:sz w:val="24"/>
          <w:szCs w:val="24"/>
        </w:rPr>
        <w:t xml:space="preserve"> </w:t>
      </w:r>
      <w:r w:rsidR="001C7E96" w:rsidRPr="00227423">
        <w:rPr>
          <w:rFonts w:asciiTheme="majorBidi" w:hAnsiTheme="majorBidi" w:cstheme="majorBidi"/>
          <w:sz w:val="24"/>
          <w:szCs w:val="24"/>
        </w:rPr>
        <w:t>[</w:t>
      </w:r>
      <w:r w:rsidR="00055A60" w:rsidRPr="00227423">
        <w:rPr>
          <w:rFonts w:asciiTheme="majorBidi" w:hAnsiTheme="majorBidi" w:cstheme="majorBidi"/>
          <w:sz w:val="24"/>
          <w:szCs w:val="24"/>
        </w:rPr>
        <w:t>22</w:t>
      </w:r>
      <w:r w:rsidR="001C7E96" w:rsidRPr="00227423">
        <w:rPr>
          <w:rFonts w:asciiTheme="majorBidi" w:hAnsiTheme="majorBidi" w:cstheme="majorBidi"/>
          <w:sz w:val="24"/>
          <w:szCs w:val="24"/>
        </w:rPr>
        <w:t>]</w:t>
      </w:r>
      <w:r w:rsidR="00DC3FAB" w:rsidRPr="00227423">
        <w:rPr>
          <w:rFonts w:asciiTheme="majorBidi" w:hAnsiTheme="majorBidi" w:cstheme="majorBidi"/>
          <w:sz w:val="24"/>
          <w:szCs w:val="24"/>
        </w:rPr>
        <w:t>.</w:t>
      </w:r>
    </w:p>
    <w:p w14:paraId="30DB0805" w14:textId="505390B1" w:rsidR="000F4A30" w:rsidRPr="0072698B" w:rsidRDefault="000F4A30" w:rsidP="004D6320">
      <w:pPr>
        <w:spacing w:after="0" w:line="240" w:lineRule="auto"/>
        <w:jc w:val="both"/>
        <w:rPr>
          <w:rFonts w:asciiTheme="majorBidi" w:hAnsiTheme="majorBidi" w:cstheme="majorBidi"/>
          <w:color w:val="333333"/>
          <w:sz w:val="24"/>
          <w:szCs w:val="24"/>
          <w:shd w:val="clear" w:color="auto" w:fill="FFFFFF"/>
        </w:rPr>
      </w:pPr>
      <w:r w:rsidRPr="00227423">
        <w:rPr>
          <w:rFonts w:asciiTheme="majorBidi" w:hAnsiTheme="majorBidi" w:cstheme="majorBidi"/>
          <w:sz w:val="24"/>
          <w:szCs w:val="24"/>
        </w:rPr>
        <w:t xml:space="preserve">GPR had </w:t>
      </w:r>
      <w:r w:rsidR="00937C9A" w:rsidRPr="0072698B">
        <w:rPr>
          <w:rFonts w:asciiTheme="majorBidi" w:hAnsiTheme="majorBidi" w:cstheme="majorBidi"/>
          <w:color w:val="333333"/>
          <w:sz w:val="24"/>
          <w:szCs w:val="24"/>
          <w:shd w:val="clear" w:color="auto" w:fill="FFFFFF"/>
        </w:rPr>
        <w:t>high</w:t>
      </w:r>
      <w:r w:rsidRPr="0072698B">
        <w:rPr>
          <w:rFonts w:asciiTheme="majorBidi" w:hAnsiTheme="majorBidi" w:cstheme="majorBidi"/>
          <w:color w:val="333333"/>
          <w:sz w:val="24"/>
          <w:szCs w:val="24"/>
          <w:shd w:val="clear" w:color="auto" w:fill="FFFFFF"/>
        </w:rPr>
        <w:t xml:space="preserve"> </w:t>
      </w:r>
      <w:r w:rsidR="00937C9A" w:rsidRPr="0072698B">
        <w:rPr>
          <w:rFonts w:asciiTheme="majorBidi" w:hAnsiTheme="majorBidi" w:cstheme="majorBidi"/>
          <w:color w:val="333333"/>
          <w:sz w:val="24"/>
          <w:szCs w:val="24"/>
          <w:shd w:val="clear" w:color="auto" w:fill="FFFFFF"/>
        </w:rPr>
        <w:t>negative predictive values (NPVs)</w:t>
      </w:r>
      <w:r w:rsidR="00937C9A" w:rsidRPr="00937C9A">
        <w:rPr>
          <w:rFonts w:asciiTheme="majorBidi" w:hAnsiTheme="majorBidi" w:cstheme="majorBidi"/>
          <w:sz w:val="24"/>
          <w:szCs w:val="24"/>
        </w:rPr>
        <w:t xml:space="preserve"> </w:t>
      </w:r>
      <w:r w:rsidR="00937C9A" w:rsidRPr="00227423">
        <w:rPr>
          <w:rFonts w:asciiTheme="majorBidi" w:hAnsiTheme="majorBidi" w:cstheme="majorBidi"/>
          <w:sz w:val="24"/>
          <w:szCs w:val="24"/>
        </w:rPr>
        <w:t>for</w:t>
      </w:r>
      <w:r w:rsidRPr="00227423">
        <w:rPr>
          <w:rFonts w:asciiTheme="majorBidi" w:hAnsiTheme="majorBidi" w:cstheme="majorBidi"/>
          <w:sz w:val="24"/>
          <w:szCs w:val="24"/>
        </w:rPr>
        <w:t xml:space="preserve"> </w:t>
      </w:r>
      <w:r w:rsidR="004D6320">
        <w:rPr>
          <w:rFonts w:asciiTheme="majorBidi" w:hAnsiTheme="majorBidi" w:cstheme="majorBidi"/>
          <w:sz w:val="24"/>
          <w:szCs w:val="24"/>
        </w:rPr>
        <w:t>rul</w:t>
      </w:r>
      <w:r w:rsidR="004D6320" w:rsidRPr="00227423">
        <w:rPr>
          <w:rFonts w:asciiTheme="majorBidi" w:hAnsiTheme="majorBidi" w:cstheme="majorBidi"/>
          <w:sz w:val="24"/>
          <w:szCs w:val="24"/>
        </w:rPr>
        <w:t>ing</w:t>
      </w:r>
      <w:r w:rsidR="004D6320">
        <w:rPr>
          <w:rFonts w:asciiTheme="majorBidi" w:hAnsiTheme="majorBidi" w:cstheme="majorBidi"/>
          <w:sz w:val="24"/>
          <w:szCs w:val="24"/>
        </w:rPr>
        <w:t xml:space="preserve"> out</w:t>
      </w:r>
      <w:r w:rsidRPr="00227423">
        <w:rPr>
          <w:rFonts w:asciiTheme="majorBidi" w:hAnsiTheme="majorBidi" w:cstheme="majorBidi"/>
          <w:sz w:val="24"/>
          <w:szCs w:val="24"/>
        </w:rPr>
        <w:t xml:space="preserve"> significant fibrosis (91%), severe fibrosis (98%), and cirrhosis (100%), respectively</w:t>
      </w:r>
      <w:r w:rsidR="00DC3FAB" w:rsidRPr="00227423">
        <w:rPr>
          <w:rFonts w:asciiTheme="majorBidi" w:hAnsiTheme="majorBidi" w:cstheme="majorBidi"/>
          <w:sz w:val="24"/>
          <w:szCs w:val="24"/>
        </w:rPr>
        <w:t>,</w:t>
      </w:r>
      <w:r w:rsidRPr="00227423">
        <w:rPr>
          <w:rFonts w:asciiTheme="majorBidi" w:hAnsiTheme="majorBidi" w:cstheme="majorBidi"/>
          <w:sz w:val="24"/>
          <w:szCs w:val="24"/>
        </w:rPr>
        <w:t xml:space="preserve"> but </w:t>
      </w:r>
      <w:r w:rsidRPr="0072698B">
        <w:rPr>
          <w:rFonts w:asciiTheme="majorBidi" w:hAnsiTheme="majorBidi" w:cstheme="majorBidi"/>
          <w:color w:val="333333"/>
          <w:sz w:val="24"/>
          <w:szCs w:val="24"/>
          <w:shd w:val="clear" w:color="auto" w:fill="FFFFFF"/>
        </w:rPr>
        <w:t xml:space="preserve">low </w:t>
      </w:r>
      <w:r w:rsidR="00937C9A" w:rsidRPr="0072698B">
        <w:rPr>
          <w:rFonts w:asciiTheme="majorBidi" w:hAnsiTheme="majorBidi" w:cstheme="majorBidi"/>
          <w:color w:val="333333"/>
          <w:sz w:val="24"/>
          <w:szCs w:val="24"/>
          <w:shd w:val="clear" w:color="auto" w:fill="FFFFFF"/>
        </w:rPr>
        <w:t>positive predictive values (</w:t>
      </w:r>
      <w:r w:rsidR="00557711" w:rsidRPr="0072698B">
        <w:rPr>
          <w:rFonts w:asciiTheme="majorBidi" w:hAnsiTheme="majorBidi" w:cstheme="majorBidi"/>
          <w:color w:val="333333"/>
          <w:sz w:val="24"/>
          <w:szCs w:val="24"/>
          <w:shd w:val="clear" w:color="auto" w:fill="FFFFFF"/>
        </w:rPr>
        <w:t>PPVs) for</w:t>
      </w:r>
      <w:r w:rsidRPr="0072698B">
        <w:rPr>
          <w:rFonts w:asciiTheme="majorBidi" w:hAnsiTheme="majorBidi" w:cstheme="majorBidi"/>
          <w:color w:val="333333"/>
          <w:sz w:val="24"/>
          <w:szCs w:val="24"/>
          <w:shd w:val="clear" w:color="auto" w:fill="FFFFFF"/>
        </w:rPr>
        <w:t xml:space="preserve"> diagnosing </w:t>
      </w:r>
      <w:r w:rsidR="00CE145F" w:rsidRPr="0072698B">
        <w:rPr>
          <w:rFonts w:asciiTheme="majorBidi" w:hAnsiTheme="majorBidi" w:cstheme="majorBidi"/>
          <w:color w:val="333333"/>
          <w:sz w:val="24"/>
          <w:szCs w:val="24"/>
          <w:shd w:val="clear" w:color="auto" w:fill="FFFFFF"/>
        </w:rPr>
        <w:t>substantial</w:t>
      </w:r>
      <w:r w:rsidRPr="0072698B">
        <w:rPr>
          <w:rFonts w:asciiTheme="majorBidi" w:hAnsiTheme="majorBidi" w:cstheme="majorBidi"/>
          <w:color w:val="333333"/>
          <w:sz w:val="24"/>
          <w:szCs w:val="24"/>
          <w:shd w:val="clear" w:color="auto" w:fill="FFFFFF"/>
        </w:rPr>
        <w:t xml:space="preserve"> fibrosis (65%), severe fibrosis (39%), </w:t>
      </w:r>
      <w:r w:rsidR="001C7E96" w:rsidRPr="0072698B">
        <w:rPr>
          <w:rFonts w:asciiTheme="majorBidi" w:hAnsiTheme="majorBidi" w:cstheme="majorBidi"/>
          <w:color w:val="333333"/>
          <w:sz w:val="24"/>
          <w:szCs w:val="24"/>
          <w:shd w:val="clear" w:color="auto" w:fill="FFFFFF"/>
        </w:rPr>
        <w:t>and cirrhosis</w:t>
      </w:r>
      <w:r w:rsidRPr="0072698B">
        <w:rPr>
          <w:rFonts w:asciiTheme="majorBidi" w:hAnsiTheme="majorBidi" w:cstheme="majorBidi"/>
          <w:color w:val="333333"/>
          <w:sz w:val="24"/>
          <w:szCs w:val="24"/>
          <w:shd w:val="clear" w:color="auto" w:fill="FFFFFF"/>
        </w:rPr>
        <w:t xml:space="preserve"> (30%), respectively</w:t>
      </w:r>
      <w:r w:rsidR="00BE31CA" w:rsidRPr="0072698B">
        <w:rPr>
          <w:rFonts w:asciiTheme="majorBidi" w:hAnsiTheme="majorBidi" w:cstheme="majorBidi"/>
          <w:color w:val="333333"/>
          <w:sz w:val="24"/>
          <w:szCs w:val="24"/>
          <w:shd w:val="clear" w:color="auto" w:fill="FFFFFF"/>
        </w:rPr>
        <w:t xml:space="preserve"> </w:t>
      </w:r>
      <w:r w:rsidR="001C7E96" w:rsidRPr="0072698B">
        <w:rPr>
          <w:rFonts w:asciiTheme="majorBidi" w:hAnsiTheme="majorBidi" w:cstheme="majorBidi"/>
          <w:color w:val="333333"/>
          <w:sz w:val="24"/>
          <w:szCs w:val="24"/>
          <w:shd w:val="clear" w:color="auto" w:fill="FFFFFF"/>
        </w:rPr>
        <w:t>[</w:t>
      </w:r>
      <w:r w:rsidR="00055A60" w:rsidRPr="0072698B">
        <w:rPr>
          <w:rFonts w:asciiTheme="majorBidi" w:hAnsiTheme="majorBidi" w:cstheme="majorBidi"/>
          <w:color w:val="333333"/>
          <w:sz w:val="24"/>
          <w:szCs w:val="24"/>
          <w:shd w:val="clear" w:color="auto" w:fill="FFFFFF"/>
        </w:rPr>
        <w:t>23</w:t>
      </w:r>
      <w:r w:rsidR="001C7E96" w:rsidRPr="0072698B">
        <w:rPr>
          <w:rFonts w:asciiTheme="majorBidi" w:hAnsiTheme="majorBidi" w:cstheme="majorBidi"/>
          <w:color w:val="333333"/>
          <w:sz w:val="24"/>
          <w:szCs w:val="24"/>
          <w:shd w:val="clear" w:color="auto" w:fill="FFFFFF"/>
        </w:rPr>
        <w:t>]</w:t>
      </w:r>
      <w:r w:rsidR="00DC3FAB" w:rsidRPr="0072698B">
        <w:rPr>
          <w:rFonts w:asciiTheme="majorBidi" w:hAnsiTheme="majorBidi" w:cstheme="majorBidi"/>
          <w:color w:val="333333"/>
          <w:sz w:val="24"/>
          <w:szCs w:val="24"/>
          <w:shd w:val="clear" w:color="auto" w:fill="FFFFFF"/>
        </w:rPr>
        <w:t>.</w:t>
      </w:r>
    </w:p>
    <w:p w14:paraId="5DCF6E2C" w14:textId="137BD8CF" w:rsidR="005B528A" w:rsidRPr="00227423" w:rsidRDefault="005B528A" w:rsidP="004B03EC">
      <w:pPr>
        <w:spacing w:after="0" w:line="240" w:lineRule="auto"/>
        <w:jc w:val="both"/>
        <w:rPr>
          <w:rFonts w:asciiTheme="majorBidi" w:hAnsiTheme="majorBidi" w:cstheme="majorBidi"/>
          <w:sz w:val="24"/>
          <w:szCs w:val="24"/>
        </w:rPr>
      </w:pPr>
      <w:r w:rsidRPr="00227423">
        <w:rPr>
          <w:rFonts w:asciiTheme="majorBidi" w:hAnsiTheme="majorBidi" w:cstheme="majorBidi"/>
          <w:sz w:val="24"/>
          <w:szCs w:val="24"/>
        </w:rPr>
        <w:t xml:space="preserve">Also, Li </w:t>
      </w:r>
      <w:r w:rsidR="00DC3FAB" w:rsidRPr="00227423">
        <w:rPr>
          <w:rFonts w:asciiTheme="majorBidi" w:hAnsiTheme="majorBidi" w:cstheme="majorBidi"/>
          <w:sz w:val="24"/>
          <w:szCs w:val="24"/>
        </w:rPr>
        <w:t>et al.</w:t>
      </w:r>
      <w:r w:rsidRPr="00227423">
        <w:rPr>
          <w:rFonts w:asciiTheme="majorBidi" w:hAnsiTheme="majorBidi" w:cstheme="majorBidi"/>
          <w:sz w:val="24"/>
          <w:szCs w:val="24"/>
        </w:rPr>
        <w:t xml:space="preserve"> found that</w:t>
      </w:r>
      <w:r w:rsidR="00990E85" w:rsidRPr="00227423">
        <w:rPr>
          <w:rFonts w:asciiTheme="majorBidi" w:hAnsiTheme="majorBidi" w:cstheme="majorBidi"/>
          <w:sz w:val="24"/>
          <w:szCs w:val="24"/>
        </w:rPr>
        <w:t xml:space="preserve"> the area under the receiver operating characteristic curve (AUROC) of GAR was significantly higher than that of APRI and FIB-4 to predict ≥F2 (0.82, 0.70, and 0.68, respectively), ≥F3 (0.86, 0.76, and 0.75, respectively), and F4 (0.88, 0.75, and 0.73, respectively), </w:t>
      </w:r>
      <w:r w:rsidR="00FF5513" w:rsidRPr="00227423">
        <w:rPr>
          <w:rFonts w:asciiTheme="majorBidi" w:hAnsiTheme="majorBidi" w:cstheme="majorBidi"/>
          <w:sz w:val="24"/>
          <w:szCs w:val="24"/>
        </w:rPr>
        <w:t>respectively. [</w:t>
      </w:r>
      <w:r w:rsidRPr="00227423">
        <w:rPr>
          <w:rFonts w:asciiTheme="majorBidi" w:hAnsiTheme="majorBidi" w:cstheme="majorBidi"/>
          <w:sz w:val="24"/>
          <w:szCs w:val="24"/>
        </w:rPr>
        <w:t>1</w:t>
      </w:r>
      <w:r w:rsidR="00055A60" w:rsidRPr="00227423">
        <w:rPr>
          <w:rFonts w:asciiTheme="majorBidi" w:hAnsiTheme="majorBidi" w:cstheme="majorBidi"/>
          <w:sz w:val="24"/>
          <w:szCs w:val="24"/>
        </w:rPr>
        <w:t>6</w:t>
      </w:r>
      <w:r w:rsidRPr="00227423">
        <w:rPr>
          <w:rFonts w:asciiTheme="majorBidi" w:hAnsiTheme="majorBidi" w:cstheme="majorBidi"/>
          <w:sz w:val="24"/>
          <w:szCs w:val="24"/>
        </w:rPr>
        <w:t>]</w:t>
      </w:r>
    </w:p>
    <w:p w14:paraId="79C27D53" w14:textId="37DE6142" w:rsidR="00990E85" w:rsidRPr="00227423" w:rsidRDefault="005B528A" w:rsidP="004B03EC">
      <w:pPr>
        <w:spacing w:after="0" w:line="240" w:lineRule="auto"/>
        <w:jc w:val="both"/>
        <w:rPr>
          <w:rFonts w:asciiTheme="majorBidi" w:hAnsiTheme="majorBidi" w:cstheme="majorBidi"/>
          <w:sz w:val="24"/>
          <w:szCs w:val="24"/>
        </w:rPr>
      </w:pPr>
      <w:r w:rsidRPr="00227423">
        <w:rPr>
          <w:rFonts w:asciiTheme="majorBidi" w:hAnsiTheme="majorBidi" w:cstheme="majorBidi"/>
          <w:sz w:val="24"/>
          <w:szCs w:val="24"/>
        </w:rPr>
        <w:t>In conclusion</w:t>
      </w:r>
      <w:r w:rsidR="00DC3FAB" w:rsidRPr="00227423">
        <w:rPr>
          <w:rFonts w:asciiTheme="majorBidi" w:hAnsiTheme="majorBidi" w:cstheme="majorBidi"/>
          <w:sz w:val="24"/>
          <w:szCs w:val="24"/>
        </w:rPr>
        <w:t>,</w:t>
      </w:r>
      <w:r w:rsidRPr="00227423">
        <w:rPr>
          <w:rFonts w:asciiTheme="majorBidi" w:hAnsiTheme="majorBidi" w:cstheme="majorBidi"/>
          <w:sz w:val="24"/>
          <w:szCs w:val="24"/>
        </w:rPr>
        <w:t xml:space="preserve"> </w:t>
      </w:r>
      <w:r w:rsidR="00DC3FAB" w:rsidRPr="00227423">
        <w:rPr>
          <w:rFonts w:asciiTheme="majorBidi" w:hAnsiTheme="majorBidi" w:cstheme="majorBidi"/>
          <w:sz w:val="24"/>
          <w:szCs w:val="24"/>
        </w:rPr>
        <w:t>our</w:t>
      </w:r>
      <w:r w:rsidRPr="00227423">
        <w:rPr>
          <w:rFonts w:asciiTheme="majorBidi" w:hAnsiTheme="majorBidi" w:cstheme="majorBidi"/>
          <w:sz w:val="24"/>
          <w:szCs w:val="24"/>
        </w:rPr>
        <w:t xml:space="preserve"> study found that GPR </w:t>
      </w:r>
      <w:r w:rsidR="00607100">
        <w:rPr>
          <w:rFonts w:asciiTheme="majorBidi" w:hAnsiTheme="majorBidi" w:cstheme="majorBidi"/>
          <w:sz w:val="24"/>
          <w:szCs w:val="24"/>
        </w:rPr>
        <w:t xml:space="preserve">and </w:t>
      </w:r>
      <w:r w:rsidR="00FF5513" w:rsidRPr="00227423">
        <w:rPr>
          <w:rFonts w:asciiTheme="majorBidi" w:hAnsiTheme="majorBidi" w:cstheme="majorBidi"/>
          <w:sz w:val="24"/>
          <w:szCs w:val="24"/>
        </w:rPr>
        <w:t>GAR were</w:t>
      </w:r>
      <w:r w:rsidRPr="00227423">
        <w:rPr>
          <w:rFonts w:asciiTheme="majorBidi" w:hAnsiTheme="majorBidi" w:cstheme="majorBidi"/>
          <w:sz w:val="24"/>
          <w:szCs w:val="24"/>
        </w:rPr>
        <w:t xml:space="preserve"> positively correlated with hepatic fibrosis and may be novel, simple, accurate</w:t>
      </w:r>
      <w:r w:rsidR="00DC3FAB" w:rsidRPr="00227423">
        <w:rPr>
          <w:rFonts w:asciiTheme="majorBidi" w:hAnsiTheme="majorBidi" w:cstheme="majorBidi"/>
          <w:sz w:val="24"/>
          <w:szCs w:val="24"/>
        </w:rPr>
        <w:t>,</w:t>
      </w:r>
      <w:r w:rsidRPr="00227423">
        <w:rPr>
          <w:rFonts w:asciiTheme="majorBidi" w:hAnsiTheme="majorBidi" w:cstheme="majorBidi"/>
          <w:sz w:val="24"/>
          <w:szCs w:val="24"/>
        </w:rPr>
        <w:t xml:space="preserve"> and </w:t>
      </w:r>
      <w:r w:rsidR="00DC3FAB" w:rsidRPr="00227423">
        <w:rPr>
          <w:rFonts w:asciiTheme="majorBidi" w:hAnsiTheme="majorBidi" w:cstheme="majorBidi"/>
          <w:sz w:val="24"/>
          <w:szCs w:val="24"/>
        </w:rPr>
        <w:t>low-cost</w:t>
      </w:r>
      <w:r w:rsidRPr="00227423">
        <w:rPr>
          <w:rFonts w:asciiTheme="majorBidi" w:hAnsiTheme="majorBidi" w:cstheme="majorBidi"/>
          <w:sz w:val="24"/>
          <w:szCs w:val="24"/>
        </w:rPr>
        <w:t xml:space="preserve"> parameters for </w:t>
      </w:r>
      <w:r w:rsidR="00DC3FAB" w:rsidRPr="00227423">
        <w:rPr>
          <w:rFonts w:asciiTheme="majorBidi" w:hAnsiTheme="majorBidi" w:cstheme="majorBidi"/>
          <w:sz w:val="24"/>
          <w:szCs w:val="24"/>
        </w:rPr>
        <w:t>diagnosing</w:t>
      </w:r>
      <w:r w:rsidRPr="00227423">
        <w:rPr>
          <w:rFonts w:asciiTheme="majorBidi" w:hAnsiTheme="majorBidi" w:cstheme="majorBidi"/>
          <w:sz w:val="24"/>
          <w:szCs w:val="24"/>
        </w:rPr>
        <w:t xml:space="preserve"> </w:t>
      </w:r>
      <w:r w:rsidR="00FF5513" w:rsidRPr="00227423">
        <w:rPr>
          <w:rFonts w:asciiTheme="majorBidi" w:hAnsiTheme="majorBidi" w:cstheme="majorBidi"/>
          <w:sz w:val="24"/>
          <w:szCs w:val="24"/>
        </w:rPr>
        <w:t>hepatic fibrosis</w:t>
      </w:r>
      <w:r w:rsidRPr="00227423">
        <w:rPr>
          <w:rFonts w:asciiTheme="majorBidi" w:hAnsiTheme="majorBidi" w:cstheme="majorBidi"/>
          <w:sz w:val="24"/>
          <w:szCs w:val="24"/>
        </w:rPr>
        <w:t xml:space="preserve"> in NAFLD patients</w:t>
      </w:r>
      <w:r w:rsidR="00DC3FAB" w:rsidRPr="00227423">
        <w:rPr>
          <w:rFonts w:asciiTheme="majorBidi" w:hAnsiTheme="majorBidi" w:cstheme="majorBidi"/>
          <w:sz w:val="24"/>
          <w:szCs w:val="24"/>
        </w:rPr>
        <w:t>.</w:t>
      </w:r>
    </w:p>
    <w:p w14:paraId="354ED635" w14:textId="09FFA859" w:rsidR="00822191" w:rsidRPr="00227423" w:rsidRDefault="00822191" w:rsidP="004B03EC">
      <w:pPr>
        <w:autoSpaceDE w:val="0"/>
        <w:autoSpaceDN w:val="0"/>
        <w:adjustRightInd w:val="0"/>
        <w:spacing w:before="120" w:after="120" w:line="240" w:lineRule="auto"/>
        <w:ind w:firstLine="720"/>
        <w:jc w:val="both"/>
        <w:rPr>
          <w:rFonts w:ascii="Times New Roman" w:hAnsi="Times New Roman" w:cs="Times New Roman"/>
          <w:sz w:val="24"/>
          <w:szCs w:val="24"/>
        </w:rPr>
      </w:pPr>
      <w:r w:rsidRPr="00227423">
        <w:rPr>
          <w:rFonts w:ascii="Times New Roman" w:hAnsi="Times New Roman" w:cs="Times New Roman"/>
          <w:sz w:val="24"/>
          <w:szCs w:val="24"/>
        </w:rPr>
        <w:t xml:space="preserve">The limitations of the study are the small sample size. So, </w:t>
      </w:r>
      <w:r w:rsidR="00DC3FAB" w:rsidRPr="00227423">
        <w:rPr>
          <w:rFonts w:ascii="Times New Roman" w:hAnsi="Times New Roman" w:cs="Times New Roman"/>
          <w:sz w:val="24"/>
          <w:szCs w:val="24"/>
        </w:rPr>
        <w:t>extensive</w:t>
      </w:r>
      <w:r w:rsidRPr="00227423">
        <w:rPr>
          <w:rFonts w:ascii="Times New Roman" w:hAnsi="Times New Roman" w:cs="Times New Roman"/>
          <w:sz w:val="24"/>
          <w:szCs w:val="24"/>
        </w:rPr>
        <w:t xml:space="preserve"> studies are needed. Also, our study relied on imaging and Fibroscan assessment for NAFLD and not on liver biopsy</w:t>
      </w:r>
      <w:r w:rsidR="00DC3FAB" w:rsidRPr="00227423">
        <w:rPr>
          <w:rFonts w:ascii="Times New Roman" w:hAnsi="Times New Roman" w:cs="Times New Roman"/>
          <w:sz w:val="24"/>
          <w:szCs w:val="24"/>
        </w:rPr>
        <w:t>,</w:t>
      </w:r>
      <w:r w:rsidRPr="00227423">
        <w:rPr>
          <w:rFonts w:ascii="Times New Roman" w:hAnsi="Times New Roman" w:cs="Times New Roman"/>
          <w:sz w:val="24"/>
          <w:szCs w:val="24"/>
        </w:rPr>
        <w:t xml:space="preserve"> which is the gold standard for diagnosis</w:t>
      </w:r>
      <w:r w:rsidR="00DC3FAB" w:rsidRPr="00227423">
        <w:rPr>
          <w:rFonts w:ascii="Times New Roman" w:hAnsi="Times New Roman" w:cs="Times New Roman"/>
          <w:sz w:val="24"/>
          <w:szCs w:val="24"/>
        </w:rPr>
        <w:t>.</w:t>
      </w:r>
    </w:p>
    <w:p w14:paraId="1E035055" w14:textId="4691E4FB" w:rsidR="00D8032B" w:rsidRDefault="00D8032B" w:rsidP="00D8032B">
      <w:pPr>
        <w:autoSpaceDE w:val="0"/>
        <w:autoSpaceDN w:val="0"/>
        <w:adjustRightInd w:val="0"/>
        <w:spacing w:after="20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Footnotes.</w:t>
      </w:r>
    </w:p>
    <w:p w14:paraId="5C79C11F" w14:textId="02B558D8" w:rsidR="00D8032B" w:rsidRPr="00D8032B" w:rsidRDefault="00D8032B" w:rsidP="00D8032B">
      <w:pPr>
        <w:autoSpaceDE w:val="0"/>
        <w:autoSpaceDN w:val="0"/>
        <w:adjustRightInd w:val="0"/>
        <w:spacing w:after="200" w:line="240" w:lineRule="auto"/>
        <w:jc w:val="both"/>
        <w:rPr>
          <w:rFonts w:ascii="Times New Roman" w:eastAsia="Times New Roman" w:hAnsi="Times New Roman" w:cs="Times New Roman"/>
          <w:sz w:val="24"/>
          <w:szCs w:val="24"/>
        </w:rPr>
      </w:pPr>
      <w:r w:rsidRPr="00D8032B">
        <w:rPr>
          <w:rFonts w:ascii="Times New Roman" w:eastAsia="Times New Roman" w:hAnsi="Times New Roman" w:cs="Times New Roman"/>
          <w:b/>
          <w:bCs/>
          <w:sz w:val="24"/>
          <w:szCs w:val="24"/>
        </w:rPr>
        <w:t>Peer-Reviewers:</w:t>
      </w:r>
      <w:r w:rsidRPr="00D8032B">
        <w:rPr>
          <w:rFonts w:ascii="Times New Roman" w:eastAsia="Times New Roman" w:hAnsi="Times New Roman" w:cs="Times New Roman"/>
          <w:sz w:val="24"/>
          <w:szCs w:val="24"/>
        </w:rPr>
        <w:t xml:space="preserve"> </w:t>
      </w:r>
      <w:r w:rsidR="00E871C3">
        <w:rPr>
          <w:rFonts w:ascii="Times New Roman" w:eastAsia="Times New Roman" w:hAnsi="Times New Roman" w:cs="Times New Roman"/>
          <w:sz w:val="24"/>
          <w:szCs w:val="24"/>
        </w:rPr>
        <w:t>Nevin Ibrahim Fouad</w:t>
      </w:r>
      <w:r w:rsidRPr="00D8032B">
        <w:rPr>
          <w:rFonts w:ascii="Times New Roman" w:eastAsia="Times New Roman" w:hAnsi="Times New Roman" w:cs="Times New Roman"/>
          <w:sz w:val="24"/>
          <w:szCs w:val="24"/>
        </w:rPr>
        <w:t xml:space="preserve"> (</w:t>
      </w:r>
      <w:r w:rsidR="00E871C3">
        <w:rPr>
          <w:rFonts w:ascii="Times New Roman" w:eastAsia="Times New Roman" w:hAnsi="Times New Roman" w:cs="Times New Roman"/>
          <w:sz w:val="24"/>
          <w:szCs w:val="24"/>
        </w:rPr>
        <w:t>prof</w:t>
      </w:r>
      <w:r w:rsidRPr="00D8032B">
        <w:rPr>
          <w:rFonts w:ascii="Times New Roman" w:eastAsia="Times New Roman" w:hAnsi="Times New Roman" w:cs="Times New Roman"/>
          <w:sz w:val="24"/>
          <w:szCs w:val="24"/>
        </w:rPr>
        <w:t xml:space="preserve"> of </w:t>
      </w:r>
      <w:r w:rsidR="00E871C3">
        <w:rPr>
          <w:rFonts w:ascii="Times New Roman" w:eastAsia="Times New Roman" w:hAnsi="Times New Roman" w:cs="Times New Roman"/>
          <w:sz w:val="24"/>
          <w:szCs w:val="24"/>
        </w:rPr>
        <w:t>internal medicine</w:t>
      </w:r>
      <w:r w:rsidRPr="00D8032B">
        <w:rPr>
          <w:rFonts w:ascii="Times New Roman" w:eastAsia="Times New Roman" w:hAnsi="Times New Roman" w:cs="Times New Roman"/>
          <w:sz w:val="24"/>
          <w:szCs w:val="24"/>
        </w:rPr>
        <w:t xml:space="preserve">), </w:t>
      </w:r>
      <w:r w:rsidR="00E871C3">
        <w:rPr>
          <w:rFonts w:ascii="Times New Roman" w:eastAsia="Times New Roman" w:hAnsi="Times New Roman" w:cs="Times New Roman"/>
          <w:sz w:val="24"/>
          <w:szCs w:val="24"/>
        </w:rPr>
        <w:t xml:space="preserve">Lobna </w:t>
      </w:r>
      <w:proofErr w:type="spellStart"/>
      <w:r w:rsidR="00E871C3">
        <w:rPr>
          <w:rFonts w:ascii="Times New Roman" w:eastAsia="Times New Roman" w:hAnsi="Times New Roman" w:cs="Times New Roman"/>
          <w:sz w:val="24"/>
          <w:szCs w:val="24"/>
        </w:rPr>
        <w:t>Abo</w:t>
      </w:r>
      <w:proofErr w:type="spellEnd"/>
      <w:r w:rsidR="00E871C3">
        <w:rPr>
          <w:rFonts w:ascii="Times New Roman" w:eastAsia="Times New Roman" w:hAnsi="Times New Roman" w:cs="Times New Roman"/>
          <w:sz w:val="24"/>
          <w:szCs w:val="24"/>
        </w:rPr>
        <w:t xml:space="preserve"> Ali</w:t>
      </w:r>
      <w:r w:rsidRPr="00D8032B">
        <w:rPr>
          <w:rFonts w:ascii="Times New Roman" w:eastAsia="Times New Roman" w:hAnsi="Times New Roman" w:cs="Times New Roman"/>
          <w:sz w:val="24"/>
          <w:szCs w:val="24"/>
        </w:rPr>
        <w:t xml:space="preserve"> (professor of </w:t>
      </w:r>
      <w:r w:rsidR="00E871C3">
        <w:rPr>
          <w:rFonts w:ascii="Times New Roman" w:eastAsia="Times New Roman" w:hAnsi="Times New Roman" w:cs="Times New Roman"/>
          <w:sz w:val="24"/>
          <w:szCs w:val="24"/>
        </w:rPr>
        <w:t>tropical medicine</w:t>
      </w:r>
      <w:r w:rsidRPr="00D8032B">
        <w:rPr>
          <w:rFonts w:ascii="Times New Roman" w:eastAsia="Times New Roman" w:hAnsi="Times New Roman" w:cs="Times New Roman"/>
          <w:sz w:val="24"/>
          <w:szCs w:val="24"/>
        </w:rPr>
        <w:t xml:space="preserve">), </w:t>
      </w:r>
      <w:r w:rsidR="00E871C3">
        <w:rPr>
          <w:rFonts w:ascii="Times New Roman" w:eastAsia="Times New Roman" w:hAnsi="Times New Roman" w:cs="Times New Roman"/>
          <w:sz w:val="24"/>
          <w:szCs w:val="24"/>
        </w:rPr>
        <w:t>Mohamed Emara</w:t>
      </w:r>
      <w:r w:rsidRPr="00D8032B">
        <w:rPr>
          <w:rFonts w:ascii="Times New Roman" w:eastAsia="Times New Roman" w:hAnsi="Times New Roman" w:cs="Times New Roman"/>
          <w:sz w:val="24"/>
          <w:szCs w:val="24"/>
        </w:rPr>
        <w:t xml:space="preserve"> </w:t>
      </w:r>
      <w:r w:rsidR="009D2F99" w:rsidRPr="00D8032B">
        <w:rPr>
          <w:rFonts w:ascii="Times New Roman" w:eastAsia="Times New Roman" w:hAnsi="Times New Roman" w:cs="Times New Roman"/>
          <w:sz w:val="24"/>
          <w:szCs w:val="24"/>
        </w:rPr>
        <w:t>(professor</w:t>
      </w:r>
      <w:r w:rsidRPr="00D8032B">
        <w:rPr>
          <w:rFonts w:ascii="Times New Roman" w:eastAsia="Times New Roman" w:hAnsi="Times New Roman" w:cs="Times New Roman"/>
          <w:sz w:val="24"/>
          <w:szCs w:val="24"/>
        </w:rPr>
        <w:t xml:space="preserve"> of </w:t>
      </w:r>
      <w:r w:rsidR="00E871C3">
        <w:rPr>
          <w:rFonts w:ascii="Times New Roman" w:eastAsia="Times New Roman" w:hAnsi="Times New Roman" w:cs="Times New Roman"/>
          <w:sz w:val="24"/>
          <w:szCs w:val="24"/>
        </w:rPr>
        <w:t>gastroenterology, hepatology, and infectious diseases</w:t>
      </w:r>
      <w:r w:rsidRPr="00D8032B">
        <w:rPr>
          <w:rFonts w:ascii="Times New Roman" w:eastAsia="Times New Roman" w:hAnsi="Times New Roman" w:cs="Times New Roman"/>
          <w:sz w:val="24"/>
          <w:szCs w:val="24"/>
        </w:rPr>
        <w:t xml:space="preserve">), and </w:t>
      </w:r>
      <w:r w:rsidR="00E871C3">
        <w:rPr>
          <w:rFonts w:ascii="Times New Roman" w:eastAsia="Times New Roman" w:hAnsi="Times New Roman" w:cs="Times New Roman"/>
          <w:sz w:val="24"/>
          <w:szCs w:val="24"/>
        </w:rPr>
        <w:t>Ahmed Fathy</w:t>
      </w:r>
      <w:r w:rsidRPr="00D8032B">
        <w:rPr>
          <w:rFonts w:ascii="Times New Roman" w:eastAsia="Times New Roman" w:hAnsi="Times New Roman" w:cs="Times New Roman"/>
          <w:sz w:val="24"/>
          <w:szCs w:val="24"/>
        </w:rPr>
        <w:t xml:space="preserve"> (professor of </w:t>
      </w:r>
      <w:r w:rsidR="00E871C3">
        <w:rPr>
          <w:rFonts w:ascii="Times New Roman" w:eastAsia="Times New Roman" w:hAnsi="Times New Roman" w:cs="Times New Roman"/>
          <w:sz w:val="24"/>
          <w:szCs w:val="24"/>
        </w:rPr>
        <w:t>internal medicine</w:t>
      </w:r>
      <w:r w:rsidRPr="00D8032B">
        <w:rPr>
          <w:rFonts w:ascii="Times New Roman" w:eastAsia="Times New Roman" w:hAnsi="Times New Roman" w:cs="Times New Roman"/>
          <w:sz w:val="24"/>
          <w:szCs w:val="24"/>
        </w:rPr>
        <w:t>).</w:t>
      </w:r>
    </w:p>
    <w:p w14:paraId="45F2A5D7" w14:textId="77777777" w:rsidR="00D8032B" w:rsidRPr="00D8032B" w:rsidRDefault="00D8032B" w:rsidP="00D8032B">
      <w:pPr>
        <w:autoSpaceDE w:val="0"/>
        <w:autoSpaceDN w:val="0"/>
        <w:adjustRightInd w:val="0"/>
        <w:spacing w:after="200" w:line="240" w:lineRule="auto"/>
        <w:jc w:val="both"/>
        <w:rPr>
          <w:rFonts w:ascii="Times New Roman" w:eastAsia="Times New Roman" w:hAnsi="Times New Roman" w:cs="Times New Roman"/>
          <w:sz w:val="24"/>
          <w:szCs w:val="24"/>
        </w:rPr>
      </w:pPr>
      <w:r w:rsidRPr="00D8032B">
        <w:rPr>
          <w:rFonts w:ascii="Times New Roman" w:eastAsia="Times New Roman" w:hAnsi="Times New Roman" w:cs="Times New Roman"/>
          <w:b/>
          <w:bCs/>
          <w:sz w:val="24"/>
          <w:szCs w:val="24"/>
        </w:rPr>
        <w:t>E- Editor:</w:t>
      </w:r>
      <w:r w:rsidRPr="00D8032B">
        <w:rPr>
          <w:rFonts w:ascii="Times New Roman" w:eastAsia="Times New Roman" w:hAnsi="Times New Roman" w:cs="Times New Roman"/>
          <w:sz w:val="24"/>
          <w:szCs w:val="24"/>
        </w:rPr>
        <w:t xml:space="preserve"> Salem Youssef Mohamed, Osama Ahmed Khalil.</w:t>
      </w:r>
    </w:p>
    <w:p w14:paraId="08D1124F" w14:textId="77777777" w:rsidR="00D8032B" w:rsidRPr="00D8032B" w:rsidRDefault="00D8032B" w:rsidP="00D8032B">
      <w:pPr>
        <w:autoSpaceDE w:val="0"/>
        <w:autoSpaceDN w:val="0"/>
        <w:adjustRightInd w:val="0"/>
        <w:spacing w:after="200" w:line="240" w:lineRule="auto"/>
        <w:jc w:val="both"/>
        <w:rPr>
          <w:rFonts w:ascii="Times New Roman" w:eastAsia="Times New Roman" w:hAnsi="Times New Roman" w:cs="Times New Roman"/>
          <w:sz w:val="24"/>
          <w:szCs w:val="24"/>
        </w:rPr>
      </w:pPr>
      <w:r w:rsidRPr="00D8032B">
        <w:rPr>
          <w:rFonts w:ascii="Times New Roman" w:eastAsia="Times New Roman" w:hAnsi="Times New Roman" w:cs="Times New Roman"/>
          <w:b/>
          <w:bCs/>
          <w:sz w:val="24"/>
          <w:szCs w:val="24"/>
        </w:rPr>
        <w:t>Copyright ©.</w:t>
      </w:r>
      <w:r w:rsidRPr="00D8032B">
        <w:rPr>
          <w:rFonts w:ascii="Times New Roman" w:eastAsia="Times New Roman" w:hAnsi="Times New Roman" w:cs="Times New Roman"/>
          <w:sz w:val="24"/>
          <w:szCs w:val="24"/>
        </w:rPr>
        <w:t xml:space="preserve"> This open-access article is distributed under the Creative Commons Attribution License (CC BY). The use, distribution, or reproduction in other forums is permitted, provided the original author(s) and the copyright owner(s) are credited. The original publication in this journal is cited by accepted academic practice. No use, distribution, or reproduction is permitted, complying with these terms.</w:t>
      </w:r>
    </w:p>
    <w:p w14:paraId="57B81513" w14:textId="77777777" w:rsidR="00D8032B" w:rsidRPr="00D8032B" w:rsidRDefault="00D8032B" w:rsidP="00D8032B">
      <w:pPr>
        <w:autoSpaceDE w:val="0"/>
        <w:autoSpaceDN w:val="0"/>
        <w:adjustRightInd w:val="0"/>
        <w:spacing w:after="200" w:line="240" w:lineRule="auto"/>
        <w:jc w:val="both"/>
        <w:rPr>
          <w:rFonts w:ascii="Times New Roman" w:eastAsia="Times New Roman" w:hAnsi="Times New Roman" w:cs="Times New Roman"/>
          <w:sz w:val="24"/>
          <w:szCs w:val="24"/>
        </w:rPr>
      </w:pPr>
      <w:r w:rsidRPr="00D8032B">
        <w:rPr>
          <w:rFonts w:ascii="Times New Roman" w:eastAsia="Times New Roman" w:hAnsi="Times New Roman" w:cs="Times New Roman"/>
          <w:b/>
          <w:bCs/>
          <w:sz w:val="24"/>
          <w:szCs w:val="24"/>
        </w:rPr>
        <w:t>Disclaimer:</w:t>
      </w:r>
      <w:r w:rsidRPr="00D8032B">
        <w:rPr>
          <w:rFonts w:ascii="Times New Roman" w:eastAsia="Times New Roman" w:hAnsi="Times New Roman" w:cs="Times New Roman"/>
          <w:sz w:val="24"/>
          <w:szCs w:val="24"/>
        </w:rPr>
        <w:t xml:space="preserve"> All claims expressed in this article are solely those of the authors and do not necessarily represent their affiliated organizations or those of the publisher, the editors, and the reviewers. Any product evaluated in this article or its manufacturer's claim is not guaranteed or endorsed by the publisher.</w:t>
      </w:r>
    </w:p>
    <w:p w14:paraId="4C0D5278" w14:textId="311308C0" w:rsidR="00D8032B" w:rsidRPr="00D8032B" w:rsidRDefault="00D8032B" w:rsidP="00F057C5">
      <w:pPr>
        <w:autoSpaceDE w:val="0"/>
        <w:autoSpaceDN w:val="0"/>
        <w:adjustRightInd w:val="0"/>
        <w:spacing w:after="200" w:line="240" w:lineRule="auto"/>
        <w:rPr>
          <w:rFonts w:ascii="Times New Roman" w:eastAsia="Times New Roman" w:hAnsi="Times New Roman" w:cs="Times New Roman"/>
          <w:sz w:val="24"/>
          <w:szCs w:val="24"/>
        </w:rPr>
      </w:pPr>
      <w:r w:rsidRPr="00D8032B">
        <w:rPr>
          <w:rFonts w:ascii="Times New Roman" w:eastAsia="Times New Roman" w:hAnsi="Times New Roman" w:cs="Times New Roman"/>
          <w:b/>
          <w:bCs/>
          <w:sz w:val="24"/>
          <w:szCs w:val="24"/>
        </w:rPr>
        <w:t>Ethics Approval and Consent to Participate</w:t>
      </w:r>
      <w:r w:rsidRPr="00D8032B">
        <w:rPr>
          <w:rFonts w:ascii="Times New Roman" w:eastAsia="Times New Roman" w:hAnsi="Times New Roman" w:cs="Times New Roman"/>
          <w:sz w:val="24"/>
          <w:szCs w:val="24"/>
        </w:rPr>
        <w:t>: All procedures followed were by the ethical standards of the responsible committee on human experimentation (Institutional Review Board (IRB)” (</w:t>
      </w:r>
      <w:r w:rsidR="00F057C5" w:rsidRPr="00F057C5">
        <w:rPr>
          <w:rFonts w:ascii="Times New Roman" w:eastAsia="Times New Roman" w:hAnsi="Times New Roman" w:cs="Times New Roman"/>
          <w:sz w:val="24"/>
          <w:szCs w:val="24"/>
        </w:rPr>
        <w:t>35175/1/22</w:t>
      </w:r>
      <w:r w:rsidRPr="00D8032B">
        <w:rPr>
          <w:rFonts w:ascii="Times New Roman" w:eastAsia="Times New Roman" w:hAnsi="Times New Roman" w:cs="Times New Roman"/>
          <w:sz w:val="24"/>
          <w:szCs w:val="24"/>
        </w:rPr>
        <w:t xml:space="preserve">) of </w:t>
      </w:r>
      <w:r w:rsidR="00F057C5">
        <w:rPr>
          <w:rFonts w:ascii="Times New Roman" w:eastAsia="Times New Roman" w:hAnsi="Times New Roman" w:cs="Times New Roman"/>
          <w:sz w:val="24"/>
          <w:szCs w:val="24"/>
        </w:rPr>
        <w:t xml:space="preserve">Tanta </w:t>
      </w:r>
      <w:r w:rsidRPr="00D8032B">
        <w:rPr>
          <w:rFonts w:ascii="Times New Roman" w:eastAsia="Times New Roman" w:hAnsi="Times New Roman" w:cs="Times New Roman"/>
          <w:sz w:val="24"/>
          <w:szCs w:val="24"/>
        </w:rPr>
        <w:t>University and with the Helsinki Declaration of 1964 and later version</w:t>
      </w:r>
      <w:r w:rsidR="00A53A0C">
        <w:rPr>
          <w:rFonts w:ascii="Times New Roman" w:eastAsia="Times New Roman" w:hAnsi="Times New Roman" w:cs="Times New Roman"/>
          <w:sz w:val="24"/>
          <w:szCs w:val="24"/>
        </w:rPr>
        <w:t>s</w:t>
      </w:r>
      <w:r w:rsidRPr="00D8032B">
        <w:rPr>
          <w:rFonts w:ascii="Times New Roman" w:eastAsia="Times New Roman" w:hAnsi="Times New Roman" w:cs="Times New Roman"/>
          <w:sz w:val="24"/>
          <w:szCs w:val="24"/>
        </w:rPr>
        <w:t xml:space="preserve">. </w:t>
      </w:r>
    </w:p>
    <w:p w14:paraId="362193E5" w14:textId="77777777" w:rsidR="00D8032B" w:rsidRPr="00D8032B" w:rsidRDefault="00D8032B" w:rsidP="00D8032B">
      <w:pPr>
        <w:autoSpaceDE w:val="0"/>
        <w:autoSpaceDN w:val="0"/>
        <w:adjustRightInd w:val="0"/>
        <w:spacing w:after="200" w:line="240" w:lineRule="auto"/>
        <w:jc w:val="both"/>
        <w:rPr>
          <w:rFonts w:ascii="Times New Roman" w:eastAsia="Times New Roman" w:hAnsi="Times New Roman" w:cs="Times New Roman"/>
          <w:sz w:val="24"/>
          <w:szCs w:val="24"/>
        </w:rPr>
      </w:pPr>
      <w:r w:rsidRPr="00D8032B">
        <w:rPr>
          <w:rFonts w:ascii="Times New Roman" w:eastAsia="Times New Roman" w:hAnsi="Times New Roman" w:cs="Times New Roman"/>
          <w:b/>
          <w:bCs/>
          <w:sz w:val="24"/>
          <w:szCs w:val="24"/>
        </w:rPr>
        <w:t>Consent for publication</w:t>
      </w:r>
      <w:r w:rsidRPr="00D8032B">
        <w:rPr>
          <w:rFonts w:ascii="Times New Roman" w:eastAsia="Times New Roman" w:hAnsi="Times New Roman" w:cs="Times New Roman"/>
          <w:sz w:val="24"/>
          <w:szCs w:val="24"/>
        </w:rPr>
        <w:t xml:space="preserve">: All patients included in this research gave written informed permission to publish the data contained within this study. </w:t>
      </w:r>
    </w:p>
    <w:p w14:paraId="41338AEA" w14:textId="77777777" w:rsidR="00D8032B" w:rsidRPr="00D8032B" w:rsidRDefault="00D8032B" w:rsidP="00D8032B">
      <w:pPr>
        <w:autoSpaceDE w:val="0"/>
        <w:autoSpaceDN w:val="0"/>
        <w:adjustRightInd w:val="0"/>
        <w:spacing w:after="200" w:line="240" w:lineRule="auto"/>
        <w:jc w:val="both"/>
        <w:rPr>
          <w:rFonts w:ascii="Times New Roman" w:eastAsia="Times New Roman" w:hAnsi="Times New Roman" w:cs="Times New Roman"/>
          <w:sz w:val="24"/>
          <w:szCs w:val="24"/>
        </w:rPr>
      </w:pPr>
      <w:r w:rsidRPr="00D8032B">
        <w:rPr>
          <w:rFonts w:ascii="Times New Roman" w:eastAsia="Times New Roman" w:hAnsi="Times New Roman" w:cs="Times New Roman"/>
          <w:b/>
          <w:bCs/>
          <w:sz w:val="24"/>
          <w:szCs w:val="24"/>
        </w:rPr>
        <w:t>Availability of data and materials:</w:t>
      </w:r>
      <w:r w:rsidRPr="00D8032B">
        <w:rPr>
          <w:rFonts w:ascii="Times New Roman" w:eastAsia="Times New Roman" w:hAnsi="Times New Roman" w:cs="Times New Roman"/>
          <w:sz w:val="24"/>
          <w:szCs w:val="24"/>
        </w:rPr>
        <w:t xml:space="preserve"> The datasets used or analyzed during the current study are available from the corresponding author upon reasonable request.</w:t>
      </w:r>
    </w:p>
    <w:p w14:paraId="7164FADD" w14:textId="77777777" w:rsidR="00D8032B" w:rsidRPr="00D8032B" w:rsidRDefault="00D8032B" w:rsidP="00D8032B">
      <w:pPr>
        <w:autoSpaceDE w:val="0"/>
        <w:autoSpaceDN w:val="0"/>
        <w:adjustRightInd w:val="0"/>
        <w:spacing w:after="200" w:line="240" w:lineRule="auto"/>
        <w:jc w:val="both"/>
        <w:rPr>
          <w:rFonts w:ascii="Times New Roman" w:eastAsia="Times New Roman" w:hAnsi="Times New Roman" w:cs="Times New Roman"/>
          <w:sz w:val="24"/>
          <w:szCs w:val="24"/>
        </w:rPr>
      </w:pPr>
      <w:r w:rsidRPr="00D8032B">
        <w:rPr>
          <w:rFonts w:ascii="Times New Roman" w:eastAsia="Times New Roman" w:hAnsi="Times New Roman" w:cs="Times New Roman"/>
          <w:b/>
          <w:bCs/>
          <w:sz w:val="24"/>
          <w:szCs w:val="24"/>
        </w:rPr>
        <w:t>Competing interests</w:t>
      </w:r>
      <w:r w:rsidRPr="00D8032B">
        <w:rPr>
          <w:rFonts w:ascii="Times New Roman" w:eastAsia="Times New Roman" w:hAnsi="Times New Roman" w:cs="Times New Roman"/>
          <w:sz w:val="24"/>
          <w:szCs w:val="24"/>
        </w:rPr>
        <w:t>: The authors declare that they have no competing interests.</w:t>
      </w:r>
    </w:p>
    <w:p w14:paraId="49F8D18B" w14:textId="77777777" w:rsidR="00D8032B" w:rsidRPr="00D8032B" w:rsidRDefault="00D8032B" w:rsidP="00D8032B">
      <w:pPr>
        <w:autoSpaceDE w:val="0"/>
        <w:autoSpaceDN w:val="0"/>
        <w:adjustRightInd w:val="0"/>
        <w:spacing w:after="200" w:line="240" w:lineRule="auto"/>
        <w:jc w:val="both"/>
        <w:rPr>
          <w:rFonts w:ascii="Times New Roman" w:eastAsia="Times New Roman" w:hAnsi="Times New Roman" w:cs="Times New Roman"/>
          <w:sz w:val="24"/>
          <w:szCs w:val="24"/>
        </w:rPr>
      </w:pPr>
      <w:r w:rsidRPr="00D8032B">
        <w:rPr>
          <w:rFonts w:ascii="Times New Roman" w:eastAsia="Times New Roman" w:hAnsi="Times New Roman" w:cs="Times New Roman"/>
          <w:b/>
          <w:bCs/>
          <w:sz w:val="24"/>
          <w:szCs w:val="24"/>
        </w:rPr>
        <w:t>Funding</w:t>
      </w:r>
      <w:r w:rsidRPr="00D8032B">
        <w:rPr>
          <w:rFonts w:ascii="Times New Roman" w:eastAsia="Times New Roman" w:hAnsi="Times New Roman" w:cs="Times New Roman"/>
          <w:sz w:val="24"/>
          <w:szCs w:val="24"/>
        </w:rPr>
        <w:t>: This study had no funding from any resource.</w:t>
      </w:r>
    </w:p>
    <w:p w14:paraId="698B92A4" w14:textId="1958F1E6" w:rsidR="00D8032B" w:rsidRPr="00D8032B" w:rsidRDefault="00D8032B" w:rsidP="00D8032B">
      <w:pPr>
        <w:autoSpaceDE w:val="0"/>
        <w:autoSpaceDN w:val="0"/>
        <w:adjustRightInd w:val="0"/>
        <w:spacing w:after="200" w:line="240" w:lineRule="auto"/>
        <w:jc w:val="both"/>
        <w:rPr>
          <w:rFonts w:ascii="Times New Roman" w:eastAsia="Times New Roman" w:hAnsi="Times New Roman" w:cs="Times New Roman"/>
          <w:sz w:val="24"/>
          <w:szCs w:val="24"/>
        </w:rPr>
      </w:pPr>
      <w:r w:rsidRPr="00D8032B">
        <w:rPr>
          <w:rFonts w:ascii="Times New Roman" w:eastAsia="Times New Roman" w:hAnsi="Times New Roman" w:cs="Times New Roman"/>
          <w:b/>
          <w:bCs/>
          <w:sz w:val="24"/>
          <w:szCs w:val="24"/>
        </w:rPr>
        <w:t>Authors’ contributions</w:t>
      </w:r>
      <w:r w:rsidRPr="00D8032B">
        <w:rPr>
          <w:rFonts w:ascii="Times New Roman" w:eastAsia="Times New Roman" w:hAnsi="Times New Roman" w:cs="Times New Roman"/>
          <w:sz w:val="24"/>
          <w:szCs w:val="24"/>
        </w:rPr>
        <w:t xml:space="preserve">: </w:t>
      </w:r>
      <w:r w:rsidR="00F46371">
        <w:rPr>
          <w:rFonts w:ascii="Times New Roman" w:eastAsia="Times New Roman" w:hAnsi="Times New Roman" w:cs="Times New Roman"/>
          <w:b/>
          <w:bCs/>
          <w:sz w:val="24"/>
          <w:szCs w:val="24"/>
        </w:rPr>
        <w:t>SS</w:t>
      </w:r>
      <w:r w:rsidRPr="00D8032B">
        <w:rPr>
          <w:rFonts w:ascii="Times New Roman" w:eastAsia="Times New Roman" w:hAnsi="Times New Roman" w:cs="Times New Roman"/>
          <w:b/>
          <w:bCs/>
          <w:sz w:val="24"/>
          <w:szCs w:val="24"/>
        </w:rPr>
        <w:t>,</w:t>
      </w:r>
      <w:r w:rsidRPr="00D8032B">
        <w:rPr>
          <w:rFonts w:ascii="Times New Roman" w:eastAsia="Times New Roman" w:hAnsi="Times New Roman" w:cs="Times New Roman"/>
          <w:sz w:val="24"/>
          <w:szCs w:val="24"/>
        </w:rPr>
        <w:t xml:space="preserve"> writing the research, selecting research cases, preparing the figures for case demonstration, and reviewing the study. </w:t>
      </w:r>
      <w:r w:rsidR="00F46371">
        <w:rPr>
          <w:rFonts w:ascii="Times New Roman" w:eastAsia="Times New Roman" w:hAnsi="Times New Roman" w:cs="Times New Roman"/>
          <w:b/>
          <w:bCs/>
          <w:sz w:val="24"/>
          <w:szCs w:val="24"/>
        </w:rPr>
        <w:t>RB</w:t>
      </w:r>
      <w:r w:rsidRPr="00D8032B">
        <w:rPr>
          <w:rFonts w:ascii="Times New Roman" w:eastAsia="Times New Roman" w:hAnsi="Times New Roman" w:cs="Times New Roman"/>
          <w:b/>
          <w:bCs/>
          <w:sz w:val="24"/>
          <w:szCs w:val="24"/>
        </w:rPr>
        <w:t xml:space="preserve"> </w:t>
      </w:r>
      <w:r w:rsidR="00607100">
        <w:rPr>
          <w:rFonts w:ascii="Times New Roman" w:eastAsia="Times New Roman" w:hAnsi="Times New Roman" w:cs="Times New Roman"/>
          <w:sz w:val="24"/>
          <w:szCs w:val="24"/>
        </w:rPr>
        <w:t>assessed</w:t>
      </w:r>
      <w:r w:rsidRPr="00D8032B">
        <w:rPr>
          <w:rFonts w:ascii="Times New Roman" w:eastAsia="Times New Roman" w:hAnsi="Times New Roman" w:cs="Times New Roman"/>
          <w:sz w:val="24"/>
          <w:szCs w:val="24"/>
        </w:rPr>
        <w:t xml:space="preserve"> patients for initial diagnosis</w:t>
      </w:r>
      <w:r w:rsidRPr="00D8032B">
        <w:rPr>
          <w:rFonts w:ascii="Times New Roman" w:eastAsia="Times New Roman" w:hAnsi="Times New Roman" w:cs="Times New Roman"/>
          <w:b/>
          <w:bCs/>
          <w:sz w:val="24"/>
          <w:szCs w:val="24"/>
        </w:rPr>
        <w:t xml:space="preserve">. </w:t>
      </w:r>
      <w:r w:rsidR="00F46371">
        <w:rPr>
          <w:rFonts w:ascii="Times New Roman" w:eastAsia="Times New Roman" w:hAnsi="Times New Roman" w:cs="Times New Roman"/>
          <w:b/>
          <w:bCs/>
          <w:sz w:val="24"/>
          <w:szCs w:val="24"/>
        </w:rPr>
        <w:t>SS</w:t>
      </w:r>
      <w:r w:rsidRPr="00D8032B">
        <w:rPr>
          <w:rFonts w:ascii="Times New Roman" w:eastAsia="Times New Roman" w:hAnsi="Times New Roman" w:cs="Times New Roman"/>
          <w:sz w:val="24"/>
          <w:szCs w:val="24"/>
        </w:rPr>
        <w:t xml:space="preserve"> and </w:t>
      </w:r>
      <w:r w:rsidR="00F46371">
        <w:rPr>
          <w:rFonts w:ascii="Times New Roman" w:eastAsia="Times New Roman" w:hAnsi="Times New Roman" w:cs="Times New Roman"/>
          <w:b/>
          <w:bCs/>
          <w:sz w:val="24"/>
          <w:szCs w:val="24"/>
        </w:rPr>
        <w:t>WE</w:t>
      </w:r>
      <w:r w:rsidRPr="00D8032B">
        <w:rPr>
          <w:rFonts w:ascii="Times New Roman" w:eastAsia="Times New Roman" w:hAnsi="Times New Roman" w:cs="Times New Roman"/>
          <w:b/>
          <w:bCs/>
          <w:sz w:val="24"/>
          <w:szCs w:val="24"/>
        </w:rPr>
        <w:t xml:space="preserve"> were </w:t>
      </w:r>
      <w:r w:rsidRPr="00D8032B">
        <w:rPr>
          <w:rFonts w:ascii="Times New Roman" w:eastAsia="Times New Roman" w:hAnsi="Times New Roman" w:cs="Times New Roman"/>
          <w:sz w:val="24"/>
          <w:szCs w:val="24"/>
        </w:rPr>
        <w:t>considered in case</w:t>
      </w:r>
      <w:r w:rsidRPr="00D8032B">
        <w:rPr>
          <w:rFonts w:ascii="Times New Roman" w:eastAsia="Times New Roman" w:hAnsi="Times New Roman" w:cs="Times New Roman"/>
          <w:sz w:val="26"/>
          <w:szCs w:val="26"/>
        </w:rPr>
        <w:t xml:space="preserve"> </w:t>
      </w:r>
      <w:r w:rsidRPr="00D8032B">
        <w:rPr>
          <w:rFonts w:ascii="Times New Roman" w:eastAsia="Times New Roman" w:hAnsi="Times New Roman" w:cs="Times New Roman"/>
          <w:sz w:val="24"/>
          <w:szCs w:val="24"/>
        </w:rPr>
        <w:t>selection and carried out cases on workstations. “All authors read and approved the final manuscript.”</w:t>
      </w:r>
    </w:p>
    <w:p w14:paraId="2A8592EB" w14:textId="77777777" w:rsidR="00D8032B" w:rsidRPr="00D8032B" w:rsidRDefault="00D8032B" w:rsidP="00D8032B">
      <w:pPr>
        <w:tabs>
          <w:tab w:val="left" w:pos="2291"/>
          <w:tab w:val="center" w:pos="4153"/>
        </w:tabs>
        <w:spacing w:before="120" w:after="200" w:line="360" w:lineRule="auto"/>
        <w:jc w:val="both"/>
        <w:rPr>
          <w:rFonts w:ascii="Times New Roman" w:eastAsia="Times New Roman" w:hAnsi="Times New Roman" w:cs="Times New Roman"/>
          <w:b/>
          <w:bCs/>
          <w:sz w:val="30"/>
          <w:szCs w:val="30"/>
          <w:shd w:val="clear" w:color="auto" w:fill="FFFFFF"/>
          <w:lang w:bidi="en-US"/>
        </w:rPr>
      </w:pPr>
      <w:r w:rsidRPr="00D8032B">
        <w:rPr>
          <w:rFonts w:ascii="Times New Roman" w:eastAsia="Times New Roman" w:hAnsi="Times New Roman" w:cs="Times New Roman"/>
          <w:b/>
          <w:sz w:val="26"/>
          <w:szCs w:val="26"/>
        </w:rPr>
        <w:t>Acknowledgments:</w:t>
      </w:r>
      <w:r w:rsidRPr="00D8032B">
        <w:rPr>
          <w:rFonts w:ascii="Times New Roman" w:eastAsia="Times New Roman" w:hAnsi="Times New Roman" w:cs="Times New Roman"/>
          <w:sz w:val="26"/>
          <w:szCs w:val="26"/>
        </w:rPr>
        <w:t xml:space="preserve"> Not Applicable.</w:t>
      </w:r>
    </w:p>
    <w:p w14:paraId="0D2DF4D3" w14:textId="77777777" w:rsidR="00DC3FAB" w:rsidRPr="004B03EC" w:rsidRDefault="00DC3FAB" w:rsidP="00DC3FAB">
      <w:pPr>
        <w:spacing w:line="240" w:lineRule="auto"/>
        <w:jc w:val="both"/>
        <w:rPr>
          <w:rFonts w:asciiTheme="majorBidi" w:hAnsiTheme="majorBidi" w:cstheme="majorBidi"/>
          <w:b/>
          <w:bCs/>
          <w:sz w:val="20"/>
          <w:szCs w:val="20"/>
        </w:rPr>
      </w:pPr>
      <w:r w:rsidRPr="004B03EC">
        <w:rPr>
          <w:rFonts w:asciiTheme="majorBidi" w:hAnsiTheme="majorBidi" w:cstheme="majorBidi"/>
          <w:b/>
          <w:bCs/>
          <w:sz w:val="20"/>
          <w:szCs w:val="20"/>
        </w:rPr>
        <w:t xml:space="preserve">References </w:t>
      </w:r>
    </w:p>
    <w:p w14:paraId="3715F00F" w14:textId="23670BF9" w:rsidR="00DC3FAB" w:rsidRPr="004B03EC" w:rsidRDefault="00DC3FAB" w:rsidP="00DC3FAB">
      <w:pPr>
        <w:numPr>
          <w:ilvl w:val="0"/>
          <w:numId w:val="2"/>
        </w:num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 xml:space="preserve"> </w:t>
      </w:r>
      <w:proofErr w:type="spellStart"/>
      <w:r w:rsidRPr="004B03EC">
        <w:rPr>
          <w:rFonts w:asciiTheme="majorBidi" w:hAnsiTheme="majorBidi" w:cstheme="majorBidi"/>
          <w:color w:val="000000"/>
          <w:sz w:val="20"/>
          <w:szCs w:val="20"/>
        </w:rPr>
        <w:t>Younossi</w:t>
      </w:r>
      <w:proofErr w:type="spellEnd"/>
      <w:r w:rsidRPr="004B03EC">
        <w:rPr>
          <w:rFonts w:asciiTheme="majorBidi" w:hAnsiTheme="majorBidi" w:cstheme="majorBidi"/>
          <w:color w:val="000000"/>
          <w:sz w:val="20"/>
          <w:szCs w:val="20"/>
        </w:rPr>
        <w:t xml:space="preserve"> Z.M., Koenig A.B., </w:t>
      </w:r>
      <w:proofErr w:type="spellStart"/>
      <w:r w:rsidRPr="004B03EC">
        <w:rPr>
          <w:rFonts w:asciiTheme="majorBidi" w:hAnsiTheme="majorBidi" w:cstheme="majorBidi"/>
          <w:color w:val="000000"/>
          <w:sz w:val="20"/>
          <w:szCs w:val="20"/>
        </w:rPr>
        <w:t>Abdelatif</w:t>
      </w:r>
      <w:proofErr w:type="spellEnd"/>
      <w:r w:rsidRPr="004B03EC">
        <w:rPr>
          <w:rFonts w:asciiTheme="majorBidi" w:hAnsiTheme="majorBidi" w:cstheme="majorBidi"/>
          <w:color w:val="000000"/>
          <w:sz w:val="20"/>
          <w:szCs w:val="20"/>
        </w:rPr>
        <w:t xml:space="preserve"> D., Fazel Y., Henry L., Wymer M. Global epidemiology of nonalcoholic fatty liver disease-meta-analytic assessment of prevalence, incidence, and outcomes. Hepatology. 2016; 64: 73-84</w:t>
      </w:r>
    </w:p>
    <w:p w14:paraId="5FA74C22" w14:textId="2F493F36" w:rsidR="00DC3FAB" w:rsidRPr="004B03EC" w:rsidRDefault="00DC3FAB" w:rsidP="00DC3FAB">
      <w:pPr>
        <w:numPr>
          <w:ilvl w:val="0"/>
          <w:numId w:val="2"/>
        </w:num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 xml:space="preserve">Anstee QM, </w:t>
      </w:r>
      <w:proofErr w:type="spellStart"/>
      <w:r w:rsidRPr="004B03EC">
        <w:rPr>
          <w:rFonts w:asciiTheme="majorBidi" w:hAnsiTheme="majorBidi" w:cstheme="majorBidi"/>
          <w:color w:val="000000"/>
          <w:sz w:val="20"/>
          <w:szCs w:val="20"/>
        </w:rPr>
        <w:t>Targher</w:t>
      </w:r>
      <w:proofErr w:type="spellEnd"/>
      <w:r w:rsidRPr="004B03EC">
        <w:rPr>
          <w:rFonts w:asciiTheme="majorBidi" w:hAnsiTheme="majorBidi" w:cstheme="majorBidi"/>
          <w:color w:val="000000"/>
          <w:sz w:val="20"/>
          <w:szCs w:val="20"/>
        </w:rPr>
        <w:t xml:space="preserve"> G, Day CP. Progression of NAFLD to diabetes mellitus, cardiovascular disease</w:t>
      </w:r>
      <w:r w:rsidR="00CE145F">
        <w:rPr>
          <w:rFonts w:asciiTheme="majorBidi" w:hAnsiTheme="majorBidi" w:cstheme="majorBidi"/>
          <w:color w:val="000000"/>
          <w:sz w:val="20"/>
          <w:szCs w:val="20"/>
        </w:rPr>
        <w:t>,</w:t>
      </w:r>
      <w:r w:rsidRPr="004B03EC">
        <w:rPr>
          <w:rFonts w:asciiTheme="majorBidi" w:hAnsiTheme="majorBidi" w:cstheme="majorBidi"/>
          <w:color w:val="000000"/>
          <w:sz w:val="20"/>
          <w:szCs w:val="20"/>
        </w:rPr>
        <w:t xml:space="preserve"> or cirrhosis. Nat Rev Gastroenterol Hepatol. 2013; 10:330–344.</w:t>
      </w:r>
    </w:p>
    <w:p w14:paraId="3020A8A4" w14:textId="29A3E1BC" w:rsidR="00DC3FAB" w:rsidRPr="004B03EC" w:rsidRDefault="00DC3FAB" w:rsidP="00DC3FAB">
      <w:pPr>
        <w:pStyle w:val="ListParagraph"/>
        <w:numPr>
          <w:ilvl w:val="0"/>
          <w:numId w:val="2"/>
        </w:numPr>
        <w:spacing w:after="0"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 xml:space="preserve">Eslam M, George J. Genetic contributions to NAFLD: Leveraging shared genetics to uncover systems biology. Nat Rev Gastro </w:t>
      </w:r>
      <w:proofErr w:type="spellStart"/>
      <w:r w:rsidRPr="004B03EC">
        <w:rPr>
          <w:rFonts w:asciiTheme="majorBidi" w:eastAsia="Times New Roman" w:hAnsiTheme="majorBidi" w:cstheme="majorBidi"/>
          <w:sz w:val="20"/>
          <w:szCs w:val="20"/>
        </w:rPr>
        <w:t>Hepat</w:t>
      </w:r>
      <w:proofErr w:type="spellEnd"/>
      <w:r w:rsidRPr="004B03EC">
        <w:rPr>
          <w:rFonts w:asciiTheme="majorBidi" w:eastAsia="Times New Roman" w:hAnsiTheme="majorBidi" w:cstheme="majorBidi"/>
          <w:sz w:val="20"/>
          <w:szCs w:val="20"/>
        </w:rPr>
        <w:t xml:space="preserve"> </w:t>
      </w:r>
      <w:r w:rsidR="00BD24D6" w:rsidRPr="004B03EC">
        <w:rPr>
          <w:rFonts w:asciiTheme="majorBidi" w:eastAsia="Times New Roman" w:hAnsiTheme="majorBidi" w:cstheme="majorBidi"/>
          <w:sz w:val="20"/>
          <w:szCs w:val="20"/>
        </w:rPr>
        <w:t>2020; 17:40</w:t>
      </w:r>
      <w:r w:rsidRPr="004B03EC">
        <w:rPr>
          <w:rFonts w:ascii="Times New Roman" w:eastAsia="Times New Roman" w:hAnsi="Times New Roman" w:cs="Times New Roman"/>
          <w:sz w:val="20"/>
          <w:szCs w:val="20"/>
        </w:rPr>
        <w:t>-</w:t>
      </w:r>
      <w:r w:rsidRPr="004B03EC">
        <w:rPr>
          <w:rFonts w:asciiTheme="majorBidi" w:eastAsia="Times New Roman" w:hAnsiTheme="majorBidi" w:cstheme="majorBidi"/>
          <w:sz w:val="20"/>
          <w:szCs w:val="20"/>
        </w:rPr>
        <w:t>52.</w:t>
      </w:r>
    </w:p>
    <w:p w14:paraId="6FF271D1" w14:textId="299F8BFE" w:rsidR="00DC3FAB" w:rsidRPr="004B03EC" w:rsidRDefault="00DC3FAB" w:rsidP="00DC3FAB">
      <w:pPr>
        <w:pStyle w:val="ListParagraph"/>
        <w:numPr>
          <w:ilvl w:val="0"/>
          <w:numId w:val="2"/>
        </w:numPr>
        <w:spacing w:after="0"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 xml:space="preserve"> Eslam M, Valenti L, Romeo S. Genetics and epigenetics of NAFLD and NASH: Clinical impact. J Hepatol </w:t>
      </w:r>
      <w:r w:rsidR="00BD24D6" w:rsidRPr="004B03EC">
        <w:rPr>
          <w:rFonts w:asciiTheme="majorBidi" w:eastAsia="Times New Roman" w:hAnsiTheme="majorBidi" w:cstheme="majorBidi"/>
          <w:sz w:val="20"/>
          <w:szCs w:val="20"/>
        </w:rPr>
        <w:t>2018; 68:268</w:t>
      </w:r>
      <w:r w:rsidRPr="004B03EC">
        <w:rPr>
          <w:rFonts w:ascii="Times New Roman" w:eastAsia="Times New Roman" w:hAnsi="Times New Roman" w:cs="Times New Roman"/>
          <w:sz w:val="20"/>
          <w:szCs w:val="20"/>
        </w:rPr>
        <w:t>‑</w:t>
      </w:r>
      <w:r w:rsidRPr="004B03EC">
        <w:rPr>
          <w:rFonts w:asciiTheme="majorBidi" w:eastAsia="Times New Roman" w:hAnsiTheme="majorBidi" w:cstheme="majorBidi"/>
          <w:sz w:val="20"/>
          <w:szCs w:val="20"/>
        </w:rPr>
        <w:t>79.</w:t>
      </w:r>
    </w:p>
    <w:p w14:paraId="430561C0" w14:textId="22081E6D" w:rsidR="00DC3FAB" w:rsidRPr="004B03EC" w:rsidRDefault="00DC3FAB" w:rsidP="00DC3FAB">
      <w:pPr>
        <w:pStyle w:val="ListParagraph"/>
        <w:numPr>
          <w:ilvl w:val="0"/>
          <w:numId w:val="2"/>
        </w:numPr>
        <w:spacing w:after="0"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 xml:space="preserve">Tomah S, EID EM, </w:t>
      </w:r>
      <w:proofErr w:type="spellStart"/>
      <w:r w:rsidRPr="004B03EC">
        <w:rPr>
          <w:rFonts w:asciiTheme="majorBidi" w:eastAsia="Times New Roman" w:hAnsiTheme="majorBidi" w:cstheme="majorBidi"/>
          <w:sz w:val="20"/>
          <w:szCs w:val="20"/>
        </w:rPr>
        <w:t>Abouelmagd</w:t>
      </w:r>
      <w:proofErr w:type="spellEnd"/>
      <w:r w:rsidRPr="004B03EC">
        <w:rPr>
          <w:rFonts w:asciiTheme="majorBidi" w:eastAsia="Times New Roman" w:hAnsiTheme="majorBidi" w:cstheme="majorBidi"/>
          <w:sz w:val="20"/>
          <w:szCs w:val="20"/>
        </w:rPr>
        <w:t xml:space="preserve"> MM, Hassan AH, Eldib AH, Hamdy O. 214</w:t>
      </w:r>
      <w:r w:rsidRPr="004B03EC">
        <w:rPr>
          <w:rFonts w:ascii="Times New Roman" w:eastAsia="Times New Roman" w:hAnsi="Times New Roman" w:cs="Times New Roman"/>
          <w:sz w:val="20"/>
          <w:szCs w:val="20"/>
        </w:rPr>
        <w:t>-</w:t>
      </w:r>
      <w:r w:rsidRPr="004B03EC">
        <w:rPr>
          <w:rFonts w:asciiTheme="majorBidi" w:eastAsia="Times New Roman" w:hAnsiTheme="majorBidi" w:cstheme="majorBidi"/>
          <w:sz w:val="20"/>
          <w:szCs w:val="20"/>
        </w:rPr>
        <w:t>LB: Vibration</w:t>
      </w:r>
      <w:r w:rsidRPr="004B03EC">
        <w:rPr>
          <w:rFonts w:ascii="Times New Roman" w:eastAsia="Times New Roman" w:hAnsi="Times New Roman" w:cs="Times New Roman"/>
          <w:sz w:val="20"/>
          <w:szCs w:val="20"/>
        </w:rPr>
        <w:t>-</w:t>
      </w:r>
      <w:r w:rsidRPr="004B03EC">
        <w:rPr>
          <w:rFonts w:asciiTheme="majorBidi" w:eastAsia="Times New Roman" w:hAnsiTheme="majorBidi" w:cstheme="majorBidi"/>
          <w:sz w:val="20"/>
          <w:szCs w:val="20"/>
        </w:rPr>
        <w:t xml:space="preserve">controlled transient elastography reveals </w:t>
      </w:r>
      <w:r w:rsidR="00CE145F">
        <w:rPr>
          <w:rFonts w:asciiTheme="majorBidi" w:eastAsia="Times New Roman" w:hAnsiTheme="majorBidi" w:cstheme="majorBidi"/>
          <w:sz w:val="20"/>
          <w:szCs w:val="20"/>
        </w:rPr>
        <w:t xml:space="preserve">the </w:t>
      </w:r>
      <w:r w:rsidRPr="004B03EC">
        <w:rPr>
          <w:rFonts w:asciiTheme="majorBidi" w:eastAsia="Times New Roman" w:hAnsiTheme="majorBidi" w:cstheme="majorBidi"/>
          <w:sz w:val="20"/>
          <w:szCs w:val="20"/>
        </w:rPr>
        <w:t>alarming prevalence of nonalcoholic fatty liver disease and fibrosis among young adults in Egypt. Am Diabetes Assoc 2019;68(</w:t>
      </w:r>
      <w:proofErr w:type="spellStart"/>
      <w:r w:rsidRPr="004B03EC">
        <w:rPr>
          <w:rFonts w:asciiTheme="majorBidi" w:eastAsia="Times New Roman" w:hAnsiTheme="majorBidi" w:cstheme="majorBidi"/>
          <w:sz w:val="20"/>
          <w:szCs w:val="20"/>
        </w:rPr>
        <w:t>Supl</w:t>
      </w:r>
      <w:proofErr w:type="spellEnd"/>
      <w:r w:rsidRPr="004B03EC">
        <w:rPr>
          <w:rFonts w:asciiTheme="majorBidi" w:eastAsia="Times New Roman" w:hAnsiTheme="majorBidi" w:cstheme="majorBidi"/>
          <w:sz w:val="20"/>
          <w:szCs w:val="20"/>
        </w:rPr>
        <w:t xml:space="preserve"> 1). </w:t>
      </w:r>
      <w:r w:rsidR="00CE145F">
        <w:rPr>
          <w:rFonts w:asciiTheme="majorBidi" w:eastAsia="Times New Roman" w:hAnsiTheme="majorBidi" w:cstheme="majorBidi"/>
          <w:sz w:val="20"/>
          <w:szCs w:val="20"/>
        </w:rPr>
        <w:t>Doi</w:t>
      </w:r>
      <w:r w:rsidRPr="004B03EC">
        <w:rPr>
          <w:rFonts w:asciiTheme="majorBidi" w:eastAsia="Times New Roman" w:hAnsiTheme="majorBidi" w:cstheme="majorBidi"/>
          <w:sz w:val="20"/>
          <w:szCs w:val="20"/>
        </w:rPr>
        <w:t>: 10.2337/db19</w:t>
      </w:r>
      <w:r w:rsidRPr="004B03EC">
        <w:rPr>
          <w:rFonts w:ascii="Times New Roman" w:eastAsia="Times New Roman" w:hAnsi="Times New Roman" w:cs="Times New Roman"/>
          <w:sz w:val="20"/>
          <w:szCs w:val="20"/>
        </w:rPr>
        <w:t>-</w:t>
      </w:r>
      <w:r w:rsidRPr="004B03EC">
        <w:rPr>
          <w:rFonts w:asciiTheme="majorBidi" w:eastAsia="Times New Roman" w:hAnsiTheme="majorBidi" w:cstheme="majorBidi"/>
          <w:sz w:val="20"/>
          <w:szCs w:val="20"/>
        </w:rPr>
        <w:t>214</w:t>
      </w:r>
      <w:r w:rsidRPr="004B03EC">
        <w:rPr>
          <w:rFonts w:ascii="Times New Roman" w:eastAsia="Times New Roman" w:hAnsi="Times New Roman" w:cs="Times New Roman"/>
          <w:sz w:val="20"/>
          <w:szCs w:val="20"/>
        </w:rPr>
        <w:t>-</w:t>
      </w:r>
      <w:r w:rsidRPr="004B03EC">
        <w:rPr>
          <w:rFonts w:asciiTheme="majorBidi" w:eastAsia="Times New Roman" w:hAnsiTheme="majorBidi" w:cstheme="majorBidi"/>
          <w:sz w:val="20"/>
          <w:szCs w:val="20"/>
        </w:rPr>
        <w:t>LB.</w:t>
      </w:r>
      <w:r w:rsidRPr="004B03EC">
        <w:rPr>
          <w:rFonts w:asciiTheme="majorBidi" w:eastAsia="Times New Roman" w:hAnsiTheme="majorBidi" w:cstheme="majorBidi"/>
          <w:sz w:val="20"/>
          <w:szCs w:val="20"/>
        </w:rPr>
        <w:cr/>
      </w:r>
    </w:p>
    <w:p w14:paraId="4083E249" w14:textId="77777777" w:rsidR="00DC3FAB" w:rsidRPr="004B03EC" w:rsidRDefault="00DC3FAB" w:rsidP="00DC3FAB">
      <w:pPr>
        <w:pStyle w:val="ListParagraph"/>
        <w:numPr>
          <w:ilvl w:val="0"/>
          <w:numId w:val="2"/>
        </w:numPr>
        <w:spacing w:after="0" w:line="240" w:lineRule="auto"/>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Calzadilla Bertot L, Adams LA. The natural course of non-alcoholic</w:t>
      </w:r>
    </w:p>
    <w:p w14:paraId="1E8CD4B3" w14:textId="77777777" w:rsidR="00DC3FAB" w:rsidRPr="004B03EC" w:rsidRDefault="00DC3FAB" w:rsidP="00DC3FAB">
      <w:pPr>
        <w:pStyle w:val="ListParagraph"/>
        <w:spacing w:after="0" w:line="240" w:lineRule="auto"/>
        <w:ind w:left="570"/>
        <w:jc w:val="both"/>
        <w:rPr>
          <w:rFonts w:asciiTheme="majorBidi" w:eastAsia="Times New Roman" w:hAnsiTheme="majorBidi" w:cstheme="majorBidi"/>
          <w:sz w:val="20"/>
          <w:szCs w:val="20"/>
        </w:rPr>
      </w:pPr>
      <w:r w:rsidRPr="004B03EC">
        <w:rPr>
          <w:rFonts w:asciiTheme="majorBidi" w:eastAsia="Times New Roman" w:hAnsiTheme="majorBidi" w:cstheme="majorBidi"/>
          <w:sz w:val="20"/>
          <w:szCs w:val="20"/>
        </w:rPr>
        <w:t>fatty liver disease. Int. J. Mol. Sci. 2016; 17: 774–85.</w:t>
      </w:r>
    </w:p>
    <w:p w14:paraId="1BC8AA20" w14:textId="47977403" w:rsidR="00DC3FAB" w:rsidRPr="004B03EC" w:rsidRDefault="00DC3FAB" w:rsidP="00DC3FAB">
      <w:pPr>
        <w:numPr>
          <w:ilvl w:val="0"/>
          <w:numId w:val="2"/>
        </w:numPr>
        <w:pBdr>
          <w:top w:val="nil"/>
          <w:left w:val="nil"/>
          <w:bottom w:val="nil"/>
          <w:right w:val="nil"/>
          <w:between w:val="nil"/>
        </w:pBdr>
        <w:spacing w:after="0" w:line="240" w:lineRule="auto"/>
        <w:jc w:val="both"/>
        <w:rPr>
          <w:rFonts w:asciiTheme="majorBidi" w:hAnsiTheme="majorBidi" w:cstheme="majorBidi"/>
          <w:sz w:val="20"/>
          <w:szCs w:val="20"/>
        </w:rPr>
      </w:pPr>
      <w:r w:rsidRPr="004B03EC">
        <w:rPr>
          <w:rFonts w:asciiTheme="majorBidi" w:hAnsiTheme="majorBidi" w:cstheme="majorBidi"/>
          <w:sz w:val="20"/>
          <w:szCs w:val="20"/>
        </w:rPr>
        <w:t xml:space="preserve">Rinella E, Neuschwander-Tetri </w:t>
      </w:r>
      <w:r w:rsidR="00BD24D6" w:rsidRPr="004B03EC">
        <w:rPr>
          <w:rFonts w:asciiTheme="majorBidi" w:hAnsiTheme="majorBidi" w:cstheme="majorBidi"/>
          <w:sz w:val="20"/>
          <w:szCs w:val="20"/>
        </w:rPr>
        <w:t>A, Siddiqui</w:t>
      </w:r>
      <w:r w:rsidRPr="004B03EC">
        <w:rPr>
          <w:rFonts w:asciiTheme="majorBidi" w:hAnsiTheme="majorBidi" w:cstheme="majorBidi"/>
          <w:sz w:val="20"/>
          <w:szCs w:val="20"/>
        </w:rPr>
        <w:t xml:space="preserve"> S, Abdelmalek F.  Caldwell, Stephen; Barb, Diana; Kleiner, David E.; Loomba, Rohit. AASLD Practice Guidance on the clinical assessment and management of nonalcoholic fatty liver disease. Hepatology 77(5</w:t>
      </w:r>
      <w:proofErr w:type="gramStart"/>
      <w:r w:rsidRPr="004B03EC">
        <w:rPr>
          <w:rFonts w:asciiTheme="majorBidi" w:hAnsiTheme="majorBidi" w:cstheme="majorBidi"/>
          <w:sz w:val="20"/>
          <w:szCs w:val="20"/>
        </w:rPr>
        <w:t>):p</w:t>
      </w:r>
      <w:proofErr w:type="gramEnd"/>
      <w:r w:rsidRPr="004B03EC">
        <w:rPr>
          <w:rFonts w:asciiTheme="majorBidi" w:hAnsiTheme="majorBidi" w:cstheme="majorBidi"/>
          <w:sz w:val="20"/>
          <w:szCs w:val="20"/>
        </w:rPr>
        <w:t xml:space="preserve"> 1797-1835, May 2023. | DOI: 10.1097/HEP.0000000000000323</w:t>
      </w:r>
    </w:p>
    <w:p w14:paraId="7C3351F5" w14:textId="77777777" w:rsidR="00DC3FAB" w:rsidRPr="004B03EC" w:rsidRDefault="00DC3FAB" w:rsidP="00DC3FAB">
      <w:pPr>
        <w:numPr>
          <w:ilvl w:val="0"/>
          <w:numId w:val="2"/>
        </w:numPr>
        <w:pBdr>
          <w:top w:val="nil"/>
          <w:left w:val="nil"/>
          <w:bottom w:val="nil"/>
          <w:right w:val="nil"/>
          <w:between w:val="nil"/>
        </w:pBdr>
        <w:spacing w:after="0" w:line="240" w:lineRule="auto"/>
        <w:jc w:val="both"/>
        <w:rPr>
          <w:rFonts w:asciiTheme="majorBidi" w:hAnsiTheme="majorBidi" w:cstheme="majorBidi"/>
          <w:sz w:val="20"/>
          <w:szCs w:val="20"/>
        </w:rPr>
      </w:pPr>
      <w:r w:rsidRPr="004B03EC">
        <w:rPr>
          <w:rFonts w:asciiTheme="majorBidi" w:hAnsiTheme="majorBidi" w:cstheme="majorBidi"/>
          <w:sz w:val="20"/>
          <w:szCs w:val="20"/>
        </w:rPr>
        <w:t>Loria P, Lonardo A, Carulli N. Should nonalcoholic fatty liver disease be renamed? Dig Dis 2005;23(1):72-82.</w:t>
      </w:r>
    </w:p>
    <w:p w14:paraId="57DC1705" w14:textId="77777777" w:rsidR="00DC3FAB" w:rsidRPr="004B03EC" w:rsidRDefault="00DC3FAB" w:rsidP="00DC3FAB">
      <w:pPr>
        <w:numPr>
          <w:ilvl w:val="0"/>
          <w:numId w:val="2"/>
        </w:numPr>
        <w:pBdr>
          <w:top w:val="nil"/>
          <w:left w:val="nil"/>
          <w:bottom w:val="nil"/>
          <w:right w:val="nil"/>
          <w:between w:val="nil"/>
        </w:pBdr>
        <w:spacing w:after="0" w:line="240" w:lineRule="auto"/>
        <w:jc w:val="both"/>
        <w:rPr>
          <w:rFonts w:asciiTheme="majorBidi" w:hAnsiTheme="majorBidi" w:cstheme="majorBidi"/>
          <w:sz w:val="20"/>
          <w:szCs w:val="20"/>
        </w:rPr>
      </w:pPr>
      <w:r w:rsidRPr="004B03EC">
        <w:rPr>
          <w:rFonts w:asciiTheme="majorBidi" w:hAnsiTheme="majorBidi" w:cstheme="majorBidi"/>
          <w:sz w:val="20"/>
          <w:szCs w:val="20"/>
        </w:rPr>
        <w:t xml:space="preserve"> Dufour JF. Time to Abandon NASH? Hepatology 2016;63(1):9-10.5.</w:t>
      </w:r>
    </w:p>
    <w:p w14:paraId="316BEDC3" w14:textId="76920833" w:rsidR="00DC3FAB" w:rsidRPr="004B03EC" w:rsidRDefault="00DC3FAB" w:rsidP="00DC3FAB">
      <w:pPr>
        <w:numPr>
          <w:ilvl w:val="0"/>
          <w:numId w:val="2"/>
        </w:numPr>
        <w:pBdr>
          <w:top w:val="nil"/>
          <w:left w:val="nil"/>
          <w:bottom w:val="nil"/>
          <w:right w:val="nil"/>
          <w:between w:val="nil"/>
        </w:pBdr>
        <w:spacing w:after="0" w:line="240" w:lineRule="auto"/>
        <w:jc w:val="both"/>
        <w:rPr>
          <w:rFonts w:asciiTheme="majorBidi" w:hAnsiTheme="majorBidi" w:cstheme="majorBidi"/>
          <w:sz w:val="20"/>
          <w:szCs w:val="20"/>
        </w:rPr>
      </w:pPr>
      <w:r w:rsidRPr="004B03EC">
        <w:rPr>
          <w:rFonts w:asciiTheme="majorBidi" w:hAnsiTheme="majorBidi" w:cstheme="majorBidi"/>
          <w:sz w:val="20"/>
          <w:szCs w:val="20"/>
        </w:rPr>
        <w:t xml:space="preserve"> </w:t>
      </w:r>
      <w:proofErr w:type="spellStart"/>
      <w:r w:rsidRPr="004B03EC">
        <w:rPr>
          <w:rFonts w:asciiTheme="majorBidi" w:hAnsiTheme="majorBidi" w:cstheme="majorBidi"/>
          <w:sz w:val="20"/>
          <w:szCs w:val="20"/>
        </w:rPr>
        <w:t>Bellentani</w:t>
      </w:r>
      <w:proofErr w:type="spellEnd"/>
      <w:r w:rsidRPr="004B03EC">
        <w:rPr>
          <w:rFonts w:asciiTheme="majorBidi" w:hAnsiTheme="majorBidi" w:cstheme="majorBidi"/>
          <w:sz w:val="20"/>
          <w:szCs w:val="20"/>
        </w:rPr>
        <w:t xml:space="preserve"> S, </w:t>
      </w:r>
      <w:proofErr w:type="spellStart"/>
      <w:r w:rsidRPr="004B03EC">
        <w:rPr>
          <w:rFonts w:asciiTheme="majorBidi" w:hAnsiTheme="majorBidi" w:cstheme="majorBidi"/>
          <w:sz w:val="20"/>
          <w:szCs w:val="20"/>
        </w:rPr>
        <w:t>Tiribelli</w:t>
      </w:r>
      <w:proofErr w:type="spellEnd"/>
      <w:r w:rsidRPr="004B03EC">
        <w:rPr>
          <w:rFonts w:asciiTheme="majorBidi" w:hAnsiTheme="majorBidi" w:cstheme="majorBidi"/>
          <w:sz w:val="20"/>
          <w:szCs w:val="20"/>
        </w:rPr>
        <w:t xml:space="preserve"> C. Is it time to change NAFLD and NASH </w:t>
      </w:r>
      <w:r w:rsidR="00BD24D6">
        <w:rPr>
          <w:rFonts w:asciiTheme="majorBidi" w:hAnsiTheme="majorBidi" w:cstheme="majorBidi"/>
          <w:sz w:val="20"/>
          <w:szCs w:val="20"/>
        </w:rPr>
        <w:t>nomenclature</w:t>
      </w:r>
      <w:r w:rsidRPr="004B03EC">
        <w:rPr>
          <w:rFonts w:asciiTheme="majorBidi" w:hAnsiTheme="majorBidi" w:cstheme="majorBidi"/>
          <w:sz w:val="20"/>
          <w:szCs w:val="20"/>
        </w:rPr>
        <w:t>? Lancet Gastroenterol Hepatol 2017;2(8):547-548.</w:t>
      </w:r>
    </w:p>
    <w:p w14:paraId="148D2E9B" w14:textId="77777777" w:rsidR="00DC3FAB" w:rsidRPr="004B03EC" w:rsidRDefault="00DC3FAB" w:rsidP="00DC3FAB">
      <w:pPr>
        <w:numPr>
          <w:ilvl w:val="0"/>
          <w:numId w:val="2"/>
        </w:numPr>
        <w:pBdr>
          <w:top w:val="nil"/>
          <w:left w:val="nil"/>
          <w:bottom w:val="nil"/>
          <w:right w:val="nil"/>
          <w:between w:val="nil"/>
        </w:pBdr>
        <w:spacing w:after="0" w:line="240" w:lineRule="auto"/>
        <w:jc w:val="both"/>
        <w:rPr>
          <w:rFonts w:asciiTheme="majorBidi" w:hAnsiTheme="majorBidi" w:cstheme="majorBidi"/>
          <w:sz w:val="20"/>
          <w:szCs w:val="20"/>
        </w:rPr>
      </w:pPr>
      <w:r w:rsidRPr="004B03EC">
        <w:rPr>
          <w:rFonts w:asciiTheme="majorBidi" w:hAnsiTheme="majorBidi" w:cstheme="majorBidi"/>
          <w:sz w:val="20"/>
          <w:szCs w:val="20"/>
        </w:rPr>
        <w:t>Eslam M, Sanyal AJ, George J. Toward More Accurate Nomenclature for Fatty Liver Diseases. Gastroenterology 2019;157(3):590-593</w:t>
      </w:r>
    </w:p>
    <w:p w14:paraId="07419ED8" w14:textId="3A79E699" w:rsidR="00DC3FAB" w:rsidRPr="004B03EC" w:rsidRDefault="00DC3FAB" w:rsidP="00DC3FAB">
      <w:pPr>
        <w:pStyle w:val="ListParagraph"/>
        <w:numPr>
          <w:ilvl w:val="0"/>
          <w:numId w:val="2"/>
        </w:numPr>
        <w:spacing w:after="0" w:line="240" w:lineRule="auto"/>
        <w:jc w:val="both"/>
        <w:rPr>
          <w:rFonts w:asciiTheme="majorBidi" w:hAnsiTheme="majorBidi" w:cstheme="majorBidi"/>
          <w:b/>
          <w:sz w:val="20"/>
          <w:szCs w:val="20"/>
        </w:rPr>
      </w:pPr>
      <w:r w:rsidRPr="004B03EC">
        <w:rPr>
          <w:rFonts w:asciiTheme="majorBidi" w:hAnsiTheme="majorBidi" w:cstheme="majorBidi"/>
          <w:bCs/>
          <w:sz w:val="20"/>
          <w:szCs w:val="20"/>
        </w:rPr>
        <w:t xml:space="preserve">Park CC, Nguyen P, Hernandez C, Bettencourt R, Ramirez K, Fortney L, et </w:t>
      </w:r>
      <w:proofErr w:type="gramStart"/>
      <w:r w:rsidRPr="004B03EC">
        <w:rPr>
          <w:rFonts w:asciiTheme="majorBidi" w:hAnsiTheme="majorBidi" w:cstheme="majorBidi"/>
          <w:bCs/>
          <w:sz w:val="20"/>
          <w:szCs w:val="20"/>
        </w:rPr>
        <w:t>al .</w:t>
      </w:r>
      <w:proofErr w:type="gramEnd"/>
      <w:r w:rsidRPr="004B03EC">
        <w:rPr>
          <w:rFonts w:asciiTheme="majorBidi" w:hAnsiTheme="majorBidi" w:cstheme="majorBidi"/>
          <w:bCs/>
          <w:sz w:val="20"/>
          <w:szCs w:val="20"/>
        </w:rPr>
        <w:t xml:space="preserve"> Magnetic Resonance Elastography vs</w:t>
      </w:r>
      <w:r w:rsidR="00BD24D6">
        <w:rPr>
          <w:rFonts w:asciiTheme="majorBidi" w:hAnsiTheme="majorBidi" w:cstheme="majorBidi"/>
          <w:bCs/>
          <w:sz w:val="20"/>
          <w:szCs w:val="20"/>
        </w:rPr>
        <w:t>.</w:t>
      </w:r>
      <w:r w:rsidRPr="004B03EC">
        <w:rPr>
          <w:rFonts w:asciiTheme="majorBidi" w:hAnsiTheme="majorBidi" w:cstheme="majorBidi"/>
          <w:bCs/>
          <w:sz w:val="20"/>
          <w:szCs w:val="20"/>
        </w:rPr>
        <w:t xml:space="preserve"> Transient Elastography in Detection of Fibrosis and Noninvasive Measurement of Steatosis in Patients </w:t>
      </w:r>
      <w:r w:rsidR="00BD24D6" w:rsidRPr="004B03EC">
        <w:rPr>
          <w:rFonts w:asciiTheme="majorBidi" w:hAnsiTheme="majorBidi" w:cstheme="majorBidi"/>
          <w:bCs/>
          <w:sz w:val="20"/>
          <w:szCs w:val="20"/>
        </w:rPr>
        <w:t>with</w:t>
      </w:r>
      <w:r w:rsidRPr="004B03EC">
        <w:rPr>
          <w:rFonts w:asciiTheme="majorBidi" w:hAnsiTheme="majorBidi" w:cstheme="majorBidi"/>
          <w:bCs/>
          <w:sz w:val="20"/>
          <w:szCs w:val="20"/>
        </w:rPr>
        <w:t xml:space="preserve"> Biopsy-Proven Nonalcoholic Fatty Liver Disease. Gastroenterology. 2017 Feb;152(3):598-607.e2. </w:t>
      </w:r>
      <w:proofErr w:type="spellStart"/>
      <w:r w:rsidRPr="004B03EC">
        <w:rPr>
          <w:rFonts w:asciiTheme="majorBidi" w:hAnsiTheme="majorBidi" w:cstheme="majorBidi"/>
          <w:bCs/>
          <w:sz w:val="20"/>
          <w:szCs w:val="20"/>
        </w:rPr>
        <w:t>doi</w:t>
      </w:r>
      <w:proofErr w:type="spellEnd"/>
      <w:r w:rsidRPr="004B03EC">
        <w:rPr>
          <w:rFonts w:asciiTheme="majorBidi" w:hAnsiTheme="majorBidi" w:cstheme="majorBidi"/>
          <w:bCs/>
          <w:sz w:val="20"/>
          <w:szCs w:val="20"/>
        </w:rPr>
        <w:t xml:space="preserve">: 10.1053/j.gastro.2016.10.026. </w:t>
      </w:r>
    </w:p>
    <w:p w14:paraId="7B777039" w14:textId="5A7D3E5E" w:rsidR="00DC3FAB" w:rsidRPr="004B03EC" w:rsidRDefault="00DC3FAB" w:rsidP="00DC3FAB">
      <w:pPr>
        <w:pStyle w:val="ListParagraph"/>
        <w:numPr>
          <w:ilvl w:val="0"/>
          <w:numId w:val="2"/>
        </w:numPr>
        <w:spacing w:after="0" w:line="240" w:lineRule="auto"/>
        <w:jc w:val="both"/>
        <w:rPr>
          <w:rFonts w:asciiTheme="majorBidi" w:hAnsiTheme="majorBidi" w:cstheme="majorBidi"/>
          <w:bCs/>
          <w:sz w:val="20"/>
          <w:szCs w:val="20"/>
        </w:rPr>
      </w:pPr>
      <w:r w:rsidRPr="004B03EC">
        <w:rPr>
          <w:rFonts w:asciiTheme="majorBidi" w:hAnsiTheme="majorBidi" w:cstheme="majorBidi"/>
          <w:bCs/>
          <w:sz w:val="20"/>
          <w:szCs w:val="20"/>
        </w:rPr>
        <w:t xml:space="preserve">Boursier J, </w:t>
      </w:r>
      <w:proofErr w:type="spellStart"/>
      <w:r w:rsidRPr="004B03EC">
        <w:rPr>
          <w:rFonts w:asciiTheme="majorBidi" w:hAnsiTheme="majorBidi" w:cstheme="majorBidi"/>
          <w:bCs/>
          <w:sz w:val="20"/>
          <w:szCs w:val="20"/>
        </w:rPr>
        <w:t>Vergniol</w:t>
      </w:r>
      <w:proofErr w:type="spellEnd"/>
      <w:r w:rsidRPr="004B03EC">
        <w:rPr>
          <w:rFonts w:asciiTheme="majorBidi" w:hAnsiTheme="majorBidi" w:cstheme="majorBidi"/>
          <w:bCs/>
          <w:sz w:val="20"/>
          <w:szCs w:val="20"/>
        </w:rPr>
        <w:t xml:space="preserve"> J, Guillet A, </w:t>
      </w:r>
      <w:proofErr w:type="spellStart"/>
      <w:r w:rsidRPr="004B03EC">
        <w:rPr>
          <w:rFonts w:asciiTheme="majorBidi" w:hAnsiTheme="majorBidi" w:cstheme="majorBidi"/>
          <w:bCs/>
          <w:sz w:val="20"/>
          <w:szCs w:val="20"/>
        </w:rPr>
        <w:t>Hiriart</w:t>
      </w:r>
      <w:proofErr w:type="spellEnd"/>
      <w:r w:rsidRPr="004B03EC">
        <w:rPr>
          <w:rFonts w:asciiTheme="majorBidi" w:hAnsiTheme="majorBidi" w:cstheme="majorBidi"/>
          <w:bCs/>
          <w:sz w:val="20"/>
          <w:szCs w:val="20"/>
        </w:rPr>
        <w:t xml:space="preserve"> JB, Lannes A, Le Bail B, </w:t>
      </w:r>
      <w:r w:rsidR="00BD24D6" w:rsidRPr="004B03EC">
        <w:rPr>
          <w:rFonts w:asciiTheme="majorBidi" w:hAnsiTheme="majorBidi" w:cstheme="majorBidi"/>
          <w:bCs/>
          <w:sz w:val="20"/>
          <w:szCs w:val="20"/>
        </w:rPr>
        <w:t>et al.</w:t>
      </w:r>
      <w:r w:rsidRPr="004B03EC">
        <w:rPr>
          <w:rFonts w:asciiTheme="majorBidi" w:hAnsiTheme="majorBidi" w:cstheme="majorBidi"/>
          <w:bCs/>
          <w:sz w:val="20"/>
          <w:szCs w:val="20"/>
        </w:rPr>
        <w:t xml:space="preserve"> Diagnostic accuracy and prognostic significance of blood fibrosis tests and liver stiffness measurement by </w:t>
      </w:r>
      <w:proofErr w:type="spellStart"/>
      <w:r w:rsidRPr="004B03EC">
        <w:rPr>
          <w:rFonts w:asciiTheme="majorBidi" w:hAnsiTheme="majorBidi" w:cstheme="majorBidi"/>
          <w:bCs/>
          <w:sz w:val="20"/>
          <w:szCs w:val="20"/>
        </w:rPr>
        <w:t>FibroScan</w:t>
      </w:r>
      <w:proofErr w:type="spellEnd"/>
      <w:r w:rsidRPr="004B03EC">
        <w:rPr>
          <w:rFonts w:asciiTheme="majorBidi" w:hAnsiTheme="majorBidi" w:cstheme="majorBidi"/>
          <w:bCs/>
          <w:sz w:val="20"/>
          <w:szCs w:val="20"/>
        </w:rPr>
        <w:t xml:space="preserve"> in non-alcoholic fatty liver disease. J Hepatol. 2016 Sep;65(3):570-8. </w:t>
      </w:r>
      <w:proofErr w:type="spellStart"/>
      <w:r w:rsidRPr="004B03EC">
        <w:rPr>
          <w:rFonts w:asciiTheme="majorBidi" w:hAnsiTheme="majorBidi" w:cstheme="majorBidi"/>
          <w:bCs/>
          <w:sz w:val="20"/>
          <w:szCs w:val="20"/>
        </w:rPr>
        <w:t>doi</w:t>
      </w:r>
      <w:proofErr w:type="spellEnd"/>
      <w:r w:rsidRPr="004B03EC">
        <w:rPr>
          <w:rFonts w:asciiTheme="majorBidi" w:hAnsiTheme="majorBidi" w:cstheme="majorBidi"/>
          <w:bCs/>
          <w:sz w:val="20"/>
          <w:szCs w:val="20"/>
        </w:rPr>
        <w:t xml:space="preserve">: 10.1016/j.jhep.2016.04.023. </w:t>
      </w:r>
    </w:p>
    <w:p w14:paraId="30193DE8" w14:textId="77777777" w:rsidR="00DC3FAB" w:rsidRPr="004B03EC" w:rsidRDefault="00DC3FAB" w:rsidP="00DC3FAB">
      <w:pPr>
        <w:pStyle w:val="ListParagraph"/>
        <w:numPr>
          <w:ilvl w:val="0"/>
          <w:numId w:val="2"/>
        </w:numPr>
        <w:spacing w:after="0" w:line="240" w:lineRule="auto"/>
        <w:jc w:val="both"/>
        <w:rPr>
          <w:rFonts w:asciiTheme="majorBidi" w:hAnsiTheme="majorBidi" w:cstheme="majorBidi"/>
          <w:bCs/>
          <w:sz w:val="20"/>
          <w:szCs w:val="20"/>
        </w:rPr>
      </w:pPr>
      <w:r w:rsidRPr="004B03EC">
        <w:rPr>
          <w:rFonts w:asciiTheme="majorBidi" w:hAnsiTheme="majorBidi" w:cstheme="majorBidi"/>
          <w:bCs/>
          <w:color w:val="000000"/>
          <w:sz w:val="20"/>
          <w:szCs w:val="20"/>
        </w:rPr>
        <w:t xml:space="preserve">Lemoine M, </w:t>
      </w:r>
      <w:proofErr w:type="spellStart"/>
      <w:r w:rsidRPr="004B03EC">
        <w:rPr>
          <w:rFonts w:asciiTheme="majorBidi" w:hAnsiTheme="majorBidi" w:cstheme="majorBidi"/>
          <w:bCs/>
          <w:color w:val="000000"/>
          <w:sz w:val="20"/>
          <w:szCs w:val="20"/>
        </w:rPr>
        <w:t>Shimakawa</w:t>
      </w:r>
      <w:proofErr w:type="spellEnd"/>
      <w:r w:rsidRPr="004B03EC">
        <w:rPr>
          <w:rFonts w:asciiTheme="majorBidi" w:hAnsiTheme="majorBidi" w:cstheme="majorBidi"/>
          <w:bCs/>
          <w:color w:val="000000"/>
          <w:sz w:val="20"/>
          <w:szCs w:val="20"/>
        </w:rPr>
        <w:t xml:space="preserve"> Y, </w:t>
      </w:r>
      <w:proofErr w:type="spellStart"/>
      <w:r w:rsidRPr="004B03EC">
        <w:rPr>
          <w:rFonts w:asciiTheme="majorBidi" w:hAnsiTheme="majorBidi" w:cstheme="majorBidi"/>
          <w:bCs/>
          <w:color w:val="000000"/>
          <w:sz w:val="20"/>
          <w:szCs w:val="20"/>
        </w:rPr>
        <w:t>Nayagam</w:t>
      </w:r>
      <w:proofErr w:type="spellEnd"/>
      <w:r w:rsidRPr="004B03EC">
        <w:rPr>
          <w:rFonts w:asciiTheme="majorBidi" w:hAnsiTheme="majorBidi" w:cstheme="majorBidi"/>
          <w:bCs/>
          <w:color w:val="000000"/>
          <w:sz w:val="20"/>
          <w:szCs w:val="20"/>
        </w:rPr>
        <w:t xml:space="preserve"> S, Khalil M, Suso P, Lloyd J, et al.  The gamma-glutamyl transpeptidase to platelet ratio (GPR) predicts significant liver fibrosis and cirrhosis in patients with chronic HBV infection in West Africa. Gut. 2016 Aug;65(8):1369-76. </w:t>
      </w:r>
      <w:proofErr w:type="spellStart"/>
      <w:r w:rsidRPr="004B03EC">
        <w:rPr>
          <w:rFonts w:asciiTheme="majorBidi" w:hAnsiTheme="majorBidi" w:cstheme="majorBidi"/>
          <w:bCs/>
          <w:color w:val="000000"/>
          <w:sz w:val="20"/>
          <w:szCs w:val="20"/>
        </w:rPr>
        <w:t>doi</w:t>
      </w:r>
      <w:proofErr w:type="spellEnd"/>
      <w:r w:rsidRPr="004B03EC">
        <w:rPr>
          <w:rFonts w:asciiTheme="majorBidi" w:hAnsiTheme="majorBidi" w:cstheme="majorBidi"/>
          <w:bCs/>
          <w:color w:val="000000"/>
          <w:sz w:val="20"/>
          <w:szCs w:val="20"/>
        </w:rPr>
        <w:t xml:space="preserve">: 10.1136/gutjnl-2015-309260. </w:t>
      </w:r>
    </w:p>
    <w:p w14:paraId="5368C938" w14:textId="77777777" w:rsidR="00DC3FAB" w:rsidRPr="004B03EC" w:rsidRDefault="00DC3FAB" w:rsidP="00DC3FAB">
      <w:pPr>
        <w:pStyle w:val="ListParagraph"/>
        <w:numPr>
          <w:ilvl w:val="0"/>
          <w:numId w:val="2"/>
        </w:num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4B03EC">
        <w:rPr>
          <w:rFonts w:asciiTheme="majorBidi" w:hAnsiTheme="majorBidi" w:cstheme="majorBidi"/>
          <w:sz w:val="20"/>
          <w:szCs w:val="20"/>
        </w:rPr>
        <w:t>He F, Gao YF, Wang X, Zhang Z. Value of gamma-glutamyl transpeptidase/albumin ratio in the noninvasive diagnosis of liver fibrosis in patients with chronic hepatitis B virus infection[J]. J Clin Hepatol, 2021, 37(6): 1309-1313. DOI: 10.3969/j.issn.1001-5256.2021.06.019</w:t>
      </w:r>
    </w:p>
    <w:p w14:paraId="75FC3E4F" w14:textId="3B222229" w:rsidR="00DC3FAB" w:rsidRPr="004B03EC" w:rsidRDefault="00DC3FAB" w:rsidP="00DC3FAB">
      <w:pPr>
        <w:pStyle w:val="ListParagraph"/>
        <w:numPr>
          <w:ilvl w:val="0"/>
          <w:numId w:val="2"/>
        </w:num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 xml:space="preserve"> Li Q, Lu C, Li W, </w:t>
      </w:r>
      <w:proofErr w:type="spellStart"/>
      <w:r w:rsidRPr="004B03EC">
        <w:rPr>
          <w:rFonts w:asciiTheme="majorBidi" w:hAnsiTheme="majorBidi" w:cstheme="majorBidi"/>
          <w:color w:val="000000"/>
          <w:sz w:val="20"/>
          <w:szCs w:val="20"/>
        </w:rPr>
        <w:t>HuangY</w:t>
      </w:r>
      <w:proofErr w:type="spellEnd"/>
      <w:r w:rsidRPr="004B03EC">
        <w:rPr>
          <w:rFonts w:asciiTheme="majorBidi" w:hAnsiTheme="majorBidi" w:cstheme="majorBidi"/>
          <w:color w:val="000000"/>
          <w:sz w:val="20"/>
          <w:szCs w:val="20"/>
        </w:rPr>
        <w:t xml:space="preserve">, Chen L. The gamma-glutamyl transpeptidase to albumin ratio predicts significant fibrosis and cirrhosis in chronic hepatitis B patients.   J Viral </w:t>
      </w:r>
      <w:proofErr w:type="spellStart"/>
      <w:r w:rsidRPr="004B03EC">
        <w:rPr>
          <w:rFonts w:asciiTheme="majorBidi" w:hAnsiTheme="majorBidi" w:cstheme="majorBidi"/>
          <w:color w:val="000000"/>
          <w:sz w:val="20"/>
          <w:szCs w:val="20"/>
        </w:rPr>
        <w:t>Hepat</w:t>
      </w:r>
      <w:proofErr w:type="spellEnd"/>
      <w:r w:rsidRPr="004B03EC">
        <w:rPr>
          <w:rFonts w:asciiTheme="majorBidi" w:hAnsiTheme="majorBidi" w:cstheme="majorBidi"/>
          <w:color w:val="000000"/>
          <w:sz w:val="20"/>
          <w:szCs w:val="20"/>
        </w:rPr>
        <w:t xml:space="preserve"> 2017; 24(12): 1143-50.</w:t>
      </w:r>
    </w:p>
    <w:p w14:paraId="68EF5C26" w14:textId="77777777" w:rsidR="00DC3FAB" w:rsidRPr="004B03EC" w:rsidRDefault="00DC3FAB" w:rsidP="00DC3FAB">
      <w:pPr>
        <w:pStyle w:val="ListParagraph"/>
        <w:numPr>
          <w:ilvl w:val="0"/>
          <w:numId w:val="2"/>
        </w:num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 xml:space="preserve">Sandrin L, Tanter M, </w:t>
      </w:r>
      <w:proofErr w:type="spellStart"/>
      <w:r w:rsidRPr="004B03EC">
        <w:rPr>
          <w:rFonts w:asciiTheme="majorBidi" w:hAnsiTheme="majorBidi" w:cstheme="majorBidi"/>
          <w:color w:val="000000"/>
          <w:sz w:val="20"/>
          <w:szCs w:val="20"/>
        </w:rPr>
        <w:t>Gennisson</w:t>
      </w:r>
      <w:proofErr w:type="spellEnd"/>
      <w:r w:rsidRPr="004B03EC">
        <w:rPr>
          <w:rFonts w:asciiTheme="majorBidi" w:hAnsiTheme="majorBidi" w:cstheme="majorBidi"/>
          <w:color w:val="000000"/>
          <w:sz w:val="20"/>
          <w:szCs w:val="20"/>
        </w:rPr>
        <w:t xml:space="preserve"> JL, Catheline S, Fink M. Shear elasticity probe for soft tissues with 1-D transient elastography. IEEE Trans </w:t>
      </w:r>
      <w:proofErr w:type="spellStart"/>
      <w:r w:rsidRPr="004B03EC">
        <w:rPr>
          <w:rFonts w:asciiTheme="majorBidi" w:hAnsiTheme="majorBidi" w:cstheme="majorBidi"/>
          <w:color w:val="000000"/>
          <w:sz w:val="20"/>
          <w:szCs w:val="20"/>
        </w:rPr>
        <w:t>Ultrason</w:t>
      </w:r>
      <w:proofErr w:type="spellEnd"/>
      <w:r w:rsidRPr="004B03EC">
        <w:rPr>
          <w:rFonts w:asciiTheme="majorBidi" w:hAnsiTheme="majorBidi" w:cstheme="majorBidi"/>
          <w:color w:val="000000"/>
          <w:sz w:val="20"/>
          <w:szCs w:val="20"/>
        </w:rPr>
        <w:t xml:space="preserve"> </w:t>
      </w:r>
      <w:proofErr w:type="spellStart"/>
      <w:r w:rsidRPr="004B03EC">
        <w:rPr>
          <w:rFonts w:asciiTheme="majorBidi" w:hAnsiTheme="majorBidi" w:cstheme="majorBidi"/>
          <w:color w:val="000000"/>
          <w:sz w:val="20"/>
          <w:szCs w:val="20"/>
        </w:rPr>
        <w:t>Ferroelectr</w:t>
      </w:r>
      <w:proofErr w:type="spellEnd"/>
      <w:r w:rsidRPr="004B03EC">
        <w:rPr>
          <w:rFonts w:asciiTheme="majorBidi" w:hAnsiTheme="majorBidi" w:cstheme="majorBidi"/>
          <w:color w:val="000000"/>
          <w:sz w:val="20"/>
          <w:szCs w:val="20"/>
        </w:rPr>
        <w:t xml:space="preserve"> Freq Control 2002; 49(4): 436-46.</w:t>
      </w:r>
    </w:p>
    <w:p w14:paraId="41AF1CF5" w14:textId="77777777" w:rsidR="00DC3FAB" w:rsidRPr="004B03EC" w:rsidRDefault="00DC3FAB" w:rsidP="00DC3FAB">
      <w:pPr>
        <w:pStyle w:val="ListParagraph"/>
        <w:spacing w:line="240" w:lineRule="auto"/>
        <w:jc w:val="both"/>
        <w:rPr>
          <w:rFonts w:asciiTheme="majorBidi" w:hAnsiTheme="majorBidi" w:cstheme="majorBidi"/>
          <w:color w:val="000000"/>
          <w:sz w:val="20"/>
          <w:szCs w:val="20"/>
        </w:rPr>
      </w:pPr>
    </w:p>
    <w:p w14:paraId="75F6C635" w14:textId="169E72F1" w:rsidR="00DC3FAB" w:rsidRPr="004B03EC" w:rsidRDefault="00DC3FAB" w:rsidP="00DC3FAB">
      <w:pPr>
        <w:pStyle w:val="ListParagraph"/>
        <w:numPr>
          <w:ilvl w:val="0"/>
          <w:numId w:val="2"/>
        </w:num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 xml:space="preserve">Fouad Y, Esmat G, </w:t>
      </w:r>
      <w:proofErr w:type="spellStart"/>
      <w:r w:rsidRPr="004B03EC">
        <w:rPr>
          <w:rFonts w:asciiTheme="majorBidi" w:hAnsiTheme="majorBidi" w:cstheme="majorBidi"/>
          <w:color w:val="000000"/>
          <w:sz w:val="20"/>
          <w:szCs w:val="20"/>
        </w:rPr>
        <w:t>Elwakil</w:t>
      </w:r>
      <w:proofErr w:type="spellEnd"/>
      <w:r w:rsidRPr="004B03EC">
        <w:rPr>
          <w:rFonts w:asciiTheme="majorBidi" w:hAnsiTheme="majorBidi" w:cstheme="majorBidi"/>
          <w:color w:val="000000"/>
          <w:sz w:val="20"/>
          <w:szCs w:val="20"/>
        </w:rPr>
        <w:t xml:space="preserve"> R, Zakaria S, </w:t>
      </w:r>
      <w:proofErr w:type="spellStart"/>
      <w:r w:rsidRPr="004B03EC">
        <w:rPr>
          <w:rFonts w:asciiTheme="majorBidi" w:hAnsiTheme="majorBidi" w:cstheme="majorBidi"/>
          <w:color w:val="000000"/>
          <w:sz w:val="20"/>
          <w:szCs w:val="20"/>
        </w:rPr>
        <w:t>Yosry</w:t>
      </w:r>
      <w:proofErr w:type="spellEnd"/>
      <w:r w:rsidRPr="004B03EC">
        <w:rPr>
          <w:rFonts w:asciiTheme="majorBidi" w:hAnsiTheme="majorBidi" w:cstheme="majorBidi"/>
          <w:color w:val="000000"/>
          <w:sz w:val="20"/>
          <w:szCs w:val="20"/>
        </w:rPr>
        <w:t xml:space="preserve"> A, Waked I, et al. The Egyptian clinical practice guidelines for the diagnosis and management of metabolic associated fatty liver disease. Saudi J Gastroenterol </w:t>
      </w:r>
      <w:r w:rsidR="00BD24D6" w:rsidRPr="004B03EC">
        <w:rPr>
          <w:rFonts w:asciiTheme="majorBidi" w:hAnsiTheme="majorBidi" w:cstheme="majorBidi"/>
          <w:color w:val="000000"/>
          <w:sz w:val="20"/>
          <w:szCs w:val="20"/>
        </w:rPr>
        <w:t>2022; 28:3</w:t>
      </w:r>
      <w:r w:rsidRPr="004B03EC">
        <w:rPr>
          <w:rFonts w:asciiTheme="majorBidi" w:hAnsiTheme="majorBidi" w:cstheme="majorBidi"/>
          <w:color w:val="000000"/>
          <w:sz w:val="20"/>
          <w:szCs w:val="20"/>
        </w:rPr>
        <w:t>-20.</w:t>
      </w:r>
      <w:r w:rsidRPr="004B03EC">
        <w:rPr>
          <w:rFonts w:asciiTheme="majorBidi" w:hAnsiTheme="majorBidi" w:cstheme="majorBidi"/>
          <w:color w:val="000000"/>
          <w:sz w:val="20"/>
          <w:szCs w:val="20"/>
        </w:rPr>
        <w:cr/>
      </w:r>
    </w:p>
    <w:p w14:paraId="171ECBFA" w14:textId="77777777" w:rsidR="00DC3FAB" w:rsidRPr="004B03EC" w:rsidRDefault="00DC3FAB" w:rsidP="00DC3FAB">
      <w:pPr>
        <w:pStyle w:val="ListParagraph"/>
        <w:spacing w:line="240" w:lineRule="auto"/>
        <w:jc w:val="both"/>
        <w:rPr>
          <w:rFonts w:asciiTheme="majorBidi" w:hAnsiTheme="majorBidi" w:cstheme="majorBidi"/>
          <w:color w:val="000000"/>
          <w:sz w:val="20"/>
          <w:szCs w:val="20"/>
        </w:rPr>
      </w:pPr>
    </w:p>
    <w:p w14:paraId="1383FEE1" w14:textId="77777777" w:rsidR="00DC3FAB" w:rsidRPr="004B03EC" w:rsidRDefault="00DC3FAB" w:rsidP="00DC3FAB">
      <w:pPr>
        <w:pStyle w:val="ListParagraph"/>
        <w:numPr>
          <w:ilvl w:val="0"/>
          <w:numId w:val="2"/>
        </w:num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Chen LW, Huang MS, Shyu YC, Chien RN. Gamma-glutamyl transpeptidase elevation is associated with metabolic syndrome, hepatic steatosis, and fibrosis in patients with nonalcoholic fatty liver disease: A community-based cross-sectional study Kaohsiung J Med Sci. 2021;37:819–827.</w:t>
      </w:r>
    </w:p>
    <w:p w14:paraId="49D5B509" w14:textId="77777777" w:rsidR="00DC3FAB" w:rsidRPr="004B03EC" w:rsidRDefault="00DC3FAB" w:rsidP="00DC3FAB">
      <w:pPr>
        <w:pStyle w:val="ListParagraph"/>
        <w:spacing w:line="240" w:lineRule="auto"/>
        <w:jc w:val="both"/>
        <w:rPr>
          <w:rFonts w:asciiTheme="majorBidi" w:hAnsiTheme="majorBidi" w:cstheme="majorBidi"/>
          <w:color w:val="000000"/>
          <w:sz w:val="20"/>
          <w:szCs w:val="20"/>
        </w:rPr>
      </w:pPr>
    </w:p>
    <w:p w14:paraId="268EF60F" w14:textId="05DFC787" w:rsidR="00DC3FAB" w:rsidRPr="004B03EC" w:rsidRDefault="00DC3FAB" w:rsidP="00DC3FAB">
      <w:pPr>
        <w:pStyle w:val="ListParagraph"/>
        <w:numPr>
          <w:ilvl w:val="0"/>
          <w:numId w:val="2"/>
        </w:num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Zain SM, Tan HL, Mohamed Z, Chan WK, Mahadeva S, Basu RC</w:t>
      </w:r>
      <w:r w:rsidR="00BD24D6">
        <w:rPr>
          <w:rFonts w:asciiTheme="majorBidi" w:hAnsiTheme="majorBidi" w:cstheme="majorBidi"/>
          <w:color w:val="000000"/>
          <w:sz w:val="20"/>
          <w:szCs w:val="20"/>
        </w:rPr>
        <w:t>,</w:t>
      </w:r>
      <w:r w:rsidRPr="004B03EC">
        <w:rPr>
          <w:rFonts w:asciiTheme="majorBidi" w:hAnsiTheme="majorBidi" w:cstheme="majorBidi"/>
          <w:color w:val="000000"/>
          <w:sz w:val="20"/>
          <w:szCs w:val="20"/>
        </w:rPr>
        <w:t xml:space="preserve"> </w:t>
      </w:r>
      <w:r w:rsidR="00BD24D6" w:rsidRPr="004B03EC">
        <w:rPr>
          <w:rFonts w:asciiTheme="majorBidi" w:hAnsiTheme="majorBidi" w:cstheme="majorBidi"/>
          <w:color w:val="000000"/>
          <w:sz w:val="20"/>
          <w:szCs w:val="20"/>
        </w:rPr>
        <w:t>et al.</w:t>
      </w:r>
      <w:r w:rsidRPr="004B03EC">
        <w:rPr>
          <w:rFonts w:asciiTheme="majorBidi" w:hAnsiTheme="majorBidi" w:cstheme="majorBidi"/>
          <w:color w:val="000000"/>
          <w:sz w:val="20"/>
          <w:szCs w:val="20"/>
        </w:rPr>
        <w:t xml:space="preserve"> Use of simple scoring systems for a public health approach in the management of non-alcoholic fatty liver disease patients. JGH Open: An open access journal of gastroenterology and hepatology 4 (2020) 1155–1161</w:t>
      </w:r>
    </w:p>
    <w:p w14:paraId="5582647B" w14:textId="77777777" w:rsidR="00DC3FAB" w:rsidRPr="004B03EC" w:rsidRDefault="00DC3FAB" w:rsidP="00DC3FAB">
      <w:pPr>
        <w:pStyle w:val="ListParagraph"/>
        <w:spacing w:line="240" w:lineRule="auto"/>
        <w:jc w:val="both"/>
        <w:rPr>
          <w:rFonts w:asciiTheme="majorBidi" w:hAnsiTheme="majorBidi" w:cstheme="majorBidi"/>
          <w:color w:val="000000"/>
          <w:sz w:val="20"/>
          <w:szCs w:val="20"/>
        </w:rPr>
      </w:pPr>
    </w:p>
    <w:p w14:paraId="0655A405" w14:textId="77777777" w:rsidR="00DC3FAB" w:rsidRPr="004B03EC" w:rsidRDefault="00DC3FAB" w:rsidP="00DC3FAB">
      <w:pPr>
        <w:pStyle w:val="ListParagraph"/>
        <w:numPr>
          <w:ilvl w:val="0"/>
          <w:numId w:val="2"/>
        </w:numPr>
        <w:spacing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Yu Y, Fan Y, Yang Z, Lu Y, Xu Q, Chen X. Elevated serum gamma-</w:t>
      </w:r>
      <w:proofErr w:type="spellStart"/>
      <w:r w:rsidRPr="004B03EC">
        <w:rPr>
          <w:rFonts w:asciiTheme="majorBidi" w:hAnsiTheme="majorBidi" w:cstheme="majorBidi"/>
          <w:color w:val="000000"/>
          <w:sz w:val="20"/>
          <w:szCs w:val="20"/>
        </w:rPr>
        <w:t>glutamyltransferase</w:t>
      </w:r>
      <w:proofErr w:type="spellEnd"/>
      <w:r w:rsidRPr="004B03EC">
        <w:rPr>
          <w:rFonts w:asciiTheme="majorBidi" w:hAnsiTheme="majorBidi" w:cstheme="majorBidi"/>
          <w:color w:val="000000"/>
          <w:sz w:val="20"/>
          <w:szCs w:val="20"/>
        </w:rPr>
        <w:t xml:space="preserve"> predicts advanced histological liver damage in chronic hepatitis B. </w:t>
      </w:r>
      <w:proofErr w:type="spellStart"/>
      <w:r w:rsidRPr="004B03EC">
        <w:rPr>
          <w:rFonts w:asciiTheme="majorBidi" w:hAnsiTheme="majorBidi" w:cstheme="majorBidi"/>
          <w:color w:val="000000"/>
          <w:sz w:val="20"/>
          <w:szCs w:val="20"/>
        </w:rPr>
        <w:t>Discov</w:t>
      </w:r>
      <w:proofErr w:type="spellEnd"/>
      <w:r w:rsidRPr="004B03EC">
        <w:rPr>
          <w:rFonts w:asciiTheme="majorBidi" w:hAnsiTheme="majorBidi" w:cstheme="majorBidi"/>
          <w:color w:val="000000"/>
          <w:sz w:val="20"/>
          <w:szCs w:val="20"/>
        </w:rPr>
        <w:t xml:space="preserve"> Med. 2016; 21: 7- 14.</w:t>
      </w:r>
    </w:p>
    <w:p w14:paraId="7D16BD26" w14:textId="77777777" w:rsidR="00DC3FAB" w:rsidRPr="004B03EC" w:rsidRDefault="00DC3FAB" w:rsidP="00DC3FAB">
      <w:pPr>
        <w:pStyle w:val="ListParagraph"/>
        <w:spacing w:line="240" w:lineRule="auto"/>
        <w:jc w:val="both"/>
        <w:rPr>
          <w:rFonts w:asciiTheme="majorBidi" w:hAnsiTheme="majorBidi" w:cstheme="majorBidi"/>
          <w:color w:val="000000"/>
          <w:sz w:val="20"/>
          <w:szCs w:val="20"/>
        </w:rPr>
      </w:pPr>
    </w:p>
    <w:p w14:paraId="6C634E7E" w14:textId="56C75395" w:rsidR="00DC3FAB" w:rsidRPr="004B03EC" w:rsidRDefault="00DC3FAB" w:rsidP="00DC3FAB">
      <w:pPr>
        <w:pStyle w:val="ListParagraph"/>
        <w:numPr>
          <w:ilvl w:val="0"/>
          <w:numId w:val="2"/>
        </w:num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 xml:space="preserve">Luo J, Du Z, Liang D, Li M, Yin Y, Chen M, et al. </w:t>
      </w:r>
      <w:r w:rsidR="00607100">
        <w:rPr>
          <w:rFonts w:asciiTheme="majorBidi" w:hAnsiTheme="majorBidi" w:cstheme="majorBidi"/>
          <w:color w:val="000000"/>
          <w:sz w:val="20"/>
          <w:szCs w:val="20"/>
        </w:rPr>
        <w:t>Gamma-glutamyl transpeptidase-to-platelet</w:t>
      </w:r>
      <w:r w:rsidRPr="004B03EC">
        <w:rPr>
          <w:rFonts w:asciiTheme="majorBidi" w:hAnsiTheme="majorBidi" w:cstheme="majorBidi"/>
          <w:color w:val="000000"/>
          <w:sz w:val="20"/>
          <w:szCs w:val="20"/>
        </w:rPr>
        <w:t xml:space="preserve"> ratio predicts liver fibrosis in patients with concomitant chronic hepatitis B and nonalcoholic fatty liver disease.</w:t>
      </w:r>
      <w:r w:rsidRPr="004B03EC">
        <w:rPr>
          <w:sz w:val="20"/>
          <w:szCs w:val="20"/>
        </w:rPr>
        <w:t xml:space="preserve"> J</w:t>
      </w:r>
      <w:r w:rsidRPr="004B03EC">
        <w:rPr>
          <w:rFonts w:asciiTheme="majorBidi" w:hAnsiTheme="majorBidi" w:cstheme="majorBidi"/>
          <w:color w:val="000000"/>
          <w:sz w:val="20"/>
          <w:szCs w:val="20"/>
        </w:rPr>
        <w:t xml:space="preserve"> Clin Lab Anal. 2022;</w:t>
      </w:r>
      <w:r w:rsidR="00BD24D6" w:rsidRPr="004B03EC">
        <w:rPr>
          <w:rFonts w:asciiTheme="majorBidi" w:hAnsiTheme="majorBidi" w:cstheme="majorBidi"/>
          <w:color w:val="000000"/>
          <w:sz w:val="20"/>
          <w:szCs w:val="20"/>
        </w:rPr>
        <w:t>36: e</w:t>
      </w:r>
      <w:r w:rsidRPr="004B03EC">
        <w:rPr>
          <w:rFonts w:asciiTheme="majorBidi" w:hAnsiTheme="majorBidi" w:cstheme="majorBidi"/>
          <w:color w:val="000000"/>
          <w:sz w:val="20"/>
          <w:szCs w:val="20"/>
        </w:rPr>
        <w:t>24596. https://doi.org/10.1002/jcla.24596</w:t>
      </w:r>
      <w:r w:rsidRPr="004B03EC">
        <w:rPr>
          <w:rFonts w:asciiTheme="majorBidi" w:hAnsiTheme="majorBidi" w:cstheme="majorBidi"/>
          <w:color w:val="000000"/>
          <w:sz w:val="20"/>
          <w:szCs w:val="20"/>
        </w:rPr>
        <w:cr/>
      </w:r>
    </w:p>
    <w:p w14:paraId="38C722FF" w14:textId="77777777" w:rsidR="00DC3FAB" w:rsidRPr="004B03EC" w:rsidRDefault="00DC3FAB" w:rsidP="00DC3FAB">
      <w:pPr>
        <w:pStyle w:val="ListParagraph"/>
        <w:spacing w:line="240" w:lineRule="auto"/>
        <w:jc w:val="both"/>
        <w:rPr>
          <w:rFonts w:asciiTheme="majorBidi" w:hAnsiTheme="majorBidi" w:cstheme="majorBidi"/>
          <w:color w:val="000000"/>
          <w:sz w:val="20"/>
          <w:szCs w:val="20"/>
        </w:rPr>
      </w:pPr>
    </w:p>
    <w:p w14:paraId="4A9667C7" w14:textId="7997B569" w:rsidR="00DC3FAB" w:rsidRPr="004B03EC" w:rsidRDefault="00DC3FAB" w:rsidP="00DC3FAB">
      <w:pPr>
        <w:pStyle w:val="ListParagraph"/>
        <w:numPr>
          <w:ilvl w:val="0"/>
          <w:numId w:val="2"/>
        </w:num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4B03EC">
        <w:rPr>
          <w:rFonts w:asciiTheme="majorBidi" w:hAnsiTheme="majorBidi" w:cstheme="majorBidi"/>
          <w:color w:val="000000"/>
          <w:sz w:val="20"/>
          <w:szCs w:val="20"/>
        </w:rPr>
        <w:t>Li Q, Lu C, Li W, Huang Y, Chen L. The gamma-glutamyl transpeptidase to platelet ratio for non-invasive assessment of liver fibrosis in</w:t>
      </w:r>
      <w:r w:rsidR="00BD24D6">
        <w:rPr>
          <w:rFonts w:asciiTheme="majorBidi" w:hAnsiTheme="majorBidi" w:cstheme="majorBidi"/>
          <w:color w:val="000000"/>
          <w:sz w:val="20"/>
          <w:szCs w:val="20"/>
        </w:rPr>
        <w:t xml:space="preserve"> </w:t>
      </w:r>
      <w:r w:rsidRPr="004B03EC">
        <w:rPr>
          <w:rFonts w:asciiTheme="majorBidi" w:hAnsiTheme="majorBidi" w:cstheme="majorBidi"/>
          <w:color w:val="000000"/>
          <w:sz w:val="20"/>
          <w:szCs w:val="20"/>
        </w:rPr>
        <w:t xml:space="preserve">patients with chronic hepatitis B and non-alcoholic fatty liver disease. </w:t>
      </w:r>
      <w:proofErr w:type="spellStart"/>
      <w:r w:rsidRPr="004B03EC">
        <w:rPr>
          <w:rFonts w:asciiTheme="majorBidi" w:hAnsiTheme="majorBidi" w:cstheme="majorBidi"/>
          <w:color w:val="000000"/>
          <w:sz w:val="20"/>
          <w:szCs w:val="20"/>
        </w:rPr>
        <w:t>Oncotarget</w:t>
      </w:r>
      <w:proofErr w:type="spellEnd"/>
      <w:r w:rsidRPr="004B03EC">
        <w:rPr>
          <w:rFonts w:asciiTheme="majorBidi" w:hAnsiTheme="majorBidi" w:cstheme="majorBidi"/>
          <w:color w:val="000000"/>
          <w:sz w:val="20"/>
          <w:szCs w:val="20"/>
        </w:rPr>
        <w:t>. 2017;8(17):28641-28649.</w:t>
      </w:r>
    </w:p>
    <w:p w14:paraId="071820A7" w14:textId="77777777" w:rsidR="00DC3FAB" w:rsidRPr="004B03EC" w:rsidRDefault="00DC3FAB" w:rsidP="00DC3FAB">
      <w:pPr>
        <w:pStyle w:val="ListParagraph"/>
        <w:spacing w:line="240" w:lineRule="auto"/>
        <w:jc w:val="both"/>
        <w:rPr>
          <w:rFonts w:asciiTheme="majorBidi" w:hAnsiTheme="majorBidi" w:cstheme="majorBidi"/>
          <w:color w:val="000000"/>
          <w:sz w:val="20"/>
          <w:szCs w:val="20"/>
        </w:rPr>
      </w:pPr>
    </w:p>
    <w:p w14:paraId="521F58AF" w14:textId="1AA76937" w:rsidR="00DC3FAB" w:rsidRPr="00DC3FAB" w:rsidRDefault="00DC3FAB" w:rsidP="00026CFB">
      <w:pPr>
        <w:pStyle w:val="ListParagraph"/>
        <w:numPr>
          <w:ilvl w:val="0"/>
          <w:numId w:val="2"/>
        </w:num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DC3FAB">
        <w:rPr>
          <w:rFonts w:asciiTheme="majorBidi" w:hAnsiTheme="majorBidi" w:cstheme="majorBidi"/>
          <w:color w:val="000000"/>
          <w:sz w:val="20"/>
          <w:szCs w:val="20"/>
        </w:rPr>
        <w:t xml:space="preserve"> Lee J, Kim MY, Kang SH,</w:t>
      </w:r>
      <w:r w:rsidRPr="00DC3FAB">
        <w:rPr>
          <w:sz w:val="20"/>
          <w:szCs w:val="20"/>
        </w:rPr>
        <w:t xml:space="preserve"> </w:t>
      </w:r>
      <w:r w:rsidRPr="00DC3FAB">
        <w:rPr>
          <w:rFonts w:asciiTheme="majorBidi" w:hAnsiTheme="majorBidi" w:cstheme="majorBidi"/>
          <w:color w:val="000000"/>
          <w:sz w:val="20"/>
          <w:szCs w:val="20"/>
        </w:rPr>
        <w:t>Kim J, Uh Y, Yoon KJ et al. The gamma-glutamyl transferase to platelet ratio and the FIB-4 score are noninvasive markers to determine the severity of liver fibrosis in chronic hepatitis B infection. Br J Biomed Sci. 2018;75(3):128-132.</w:t>
      </w:r>
      <w:r w:rsidRPr="00DC3FAB">
        <w:rPr>
          <w:rFonts w:asciiTheme="majorBidi" w:hAnsiTheme="majorBidi" w:cstheme="majorBidi"/>
          <w:color w:val="000000"/>
          <w:sz w:val="20"/>
          <w:szCs w:val="20"/>
        </w:rPr>
        <w:cr/>
      </w:r>
    </w:p>
    <w:p w14:paraId="2AB5FEE9" w14:textId="5FBCD428" w:rsidR="00DC3FAB" w:rsidRPr="004B03EC" w:rsidRDefault="00DC3FAB" w:rsidP="00026CFB">
      <w:pPr>
        <w:pStyle w:val="ListParagraph"/>
        <w:numPr>
          <w:ilvl w:val="0"/>
          <w:numId w:val="2"/>
        </w:numPr>
        <w:pBdr>
          <w:top w:val="nil"/>
          <w:left w:val="nil"/>
          <w:bottom w:val="nil"/>
          <w:right w:val="nil"/>
          <w:between w:val="nil"/>
        </w:pBdr>
        <w:spacing w:after="0" w:line="240" w:lineRule="auto"/>
        <w:jc w:val="both"/>
        <w:rPr>
          <w:rFonts w:asciiTheme="majorBidi" w:hAnsiTheme="majorBidi" w:cstheme="majorBidi"/>
          <w:b/>
          <w:bCs/>
          <w:sz w:val="20"/>
          <w:szCs w:val="20"/>
        </w:rPr>
      </w:pPr>
      <w:r w:rsidRPr="00DC3FAB">
        <w:rPr>
          <w:rFonts w:asciiTheme="majorBidi" w:hAnsiTheme="majorBidi" w:cstheme="majorBidi"/>
          <w:color w:val="000000"/>
          <w:sz w:val="20"/>
          <w:szCs w:val="20"/>
        </w:rPr>
        <w:t xml:space="preserve">Khare S, Arora A, Sharma P, Dhawan S, Bansal N, Singla </w:t>
      </w:r>
      <w:r w:rsidR="00BD24D6" w:rsidRPr="00DC3FAB">
        <w:rPr>
          <w:rFonts w:asciiTheme="majorBidi" w:hAnsiTheme="majorBidi" w:cstheme="majorBidi"/>
          <w:color w:val="000000"/>
          <w:sz w:val="20"/>
          <w:szCs w:val="20"/>
        </w:rPr>
        <w:t>V. et al.</w:t>
      </w:r>
      <w:r w:rsidRPr="00DC3FAB">
        <w:rPr>
          <w:rFonts w:asciiTheme="majorBidi" w:hAnsiTheme="majorBidi" w:cstheme="majorBidi"/>
          <w:color w:val="000000"/>
          <w:sz w:val="20"/>
          <w:szCs w:val="20"/>
        </w:rPr>
        <w:t xml:space="preserve"> Performance of </w:t>
      </w:r>
      <w:r w:rsidR="00BD24D6">
        <w:rPr>
          <w:rFonts w:asciiTheme="majorBidi" w:hAnsiTheme="majorBidi" w:cstheme="majorBidi"/>
          <w:color w:val="000000"/>
          <w:sz w:val="20"/>
          <w:szCs w:val="20"/>
        </w:rPr>
        <w:t>non-invasive</w:t>
      </w:r>
      <w:r w:rsidRPr="00DC3FAB">
        <w:rPr>
          <w:rFonts w:asciiTheme="majorBidi" w:hAnsiTheme="majorBidi" w:cstheme="majorBidi"/>
          <w:color w:val="000000"/>
          <w:sz w:val="20"/>
          <w:szCs w:val="20"/>
        </w:rPr>
        <w:t xml:space="preserve"> blood parameters for ruling out significant liver fibrosis in patients with chronic hepatitis B. J Clin </w:t>
      </w:r>
      <w:proofErr w:type="spellStart"/>
      <w:r w:rsidRPr="00DC3FAB">
        <w:rPr>
          <w:rFonts w:asciiTheme="majorBidi" w:hAnsiTheme="majorBidi" w:cstheme="majorBidi"/>
          <w:color w:val="000000"/>
          <w:sz w:val="20"/>
          <w:szCs w:val="20"/>
        </w:rPr>
        <w:t>Transl</w:t>
      </w:r>
      <w:proofErr w:type="spellEnd"/>
      <w:r w:rsidRPr="00DC3FAB">
        <w:rPr>
          <w:rFonts w:asciiTheme="majorBidi" w:hAnsiTheme="majorBidi" w:cstheme="majorBidi"/>
          <w:color w:val="000000"/>
          <w:sz w:val="20"/>
          <w:szCs w:val="20"/>
        </w:rPr>
        <w:t xml:space="preserve"> Hepatol. 2020;8(2):143-149.</w:t>
      </w:r>
    </w:p>
    <w:sectPr w:rsidR="00DC3FAB" w:rsidRPr="004B03EC" w:rsidSect="001A64CA">
      <w:headerReference w:type="default" r:id="rId10"/>
      <w:footerReference w:type="default" r:id="rId11"/>
      <w:pgSz w:w="11906" w:h="16838"/>
      <w:pgMar w:top="1440" w:right="1800" w:bottom="1440" w:left="1800" w:header="708" w:footer="708" w:gutter="0"/>
      <w:pgNumType w:start="10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596E1" w14:textId="77777777" w:rsidR="00870A75" w:rsidRDefault="00870A75" w:rsidP="00A4691D">
      <w:pPr>
        <w:spacing w:after="0" w:line="240" w:lineRule="auto"/>
      </w:pPr>
      <w:r>
        <w:separator/>
      </w:r>
    </w:p>
  </w:endnote>
  <w:endnote w:type="continuationSeparator" w:id="0">
    <w:p w14:paraId="35768510" w14:textId="77777777" w:rsidR="00870A75" w:rsidRDefault="00870A75" w:rsidP="00A46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6937" w14:textId="64D102C3" w:rsidR="00026CFB" w:rsidRPr="00D8032B" w:rsidRDefault="00026CFB" w:rsidP="00510AC1">
    <w:pPr>
      <w:pBdr>
        <w:top w:val="thinThickSmallGap" w:sz="24" w:space="1" w:color="823B0B"/>
      </w:pBdr>
      <w:tabs>
        <w:tab w:val="right" w:pos="8306"/>
      </w:tabs>
      <w:spacing w:after="240" w:line="256" w:lineRule="auto"/>
      <w:ind w:firstLine="357"/>
      <w:rPr>
        <w:rFonts w:eastAsia="Times New Roman" w:cs="Times New Roman"/>
        <w:noProof/>
        <w:sz w:val="28"/>
        <w:szCs w:val="28"/>
      </w:rPr>
    </w:pPr>
    <w:r w:rsidRPr="00510AC1">
      <w:rPr>
        <w:rFonts w:ascii="Times New Roman" w:eastAsia="Times New Roman" w:hAnsi="Times New Roman" w:cs="Times New Roman"/>
        <w:bCs/>
        <w:sz w:val="24"/>
        <w:szCs w:val="24"/>
        <w:lang w:eastAsia="en-GB"/>
      </w:rPr>
      <w:t>Soliman</w:t>
    </w:r>
    <w:r w:rsidRPr="00510AC1">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S</w:t>
    </w:r>
    <w:r w:rsidRPr="00D8032B">
      <w:rPr>
        <w:rFonts w:ascii="Times New Roman" w:eastAsia="Times New Roman" w:hAnsi="Times New Roman" w:cs="Times New Roman"/>
        <w:sz w:val="24"/>
        <w:szCs w:val="24"/>
        <w:lang w:val="en-GB" w:eastAsia="en-GB"/>
      </w:rPr>
      <w:t xml:space="preserve"> </w:t>
    </w:r>
    <w:r w:rsidRPr="00D8032B">
      <w:rPr>
        <w:rFonts w:cs="Arial"/>
      </w:rPr>
      <w:t>et al.2023</w:t>
    </w:r>
    <w:r w:rsidRPr="00D8032B">
      <w:rPr>
        <w:rFonts w:eastAsia="Times New Roman" w:cs="Arial"/>
      </w:rPr>
      <w:tab/>
    </w:r>
    <w:r w:rsidRPr="00D8032B">
      <w:rPr>
        <w:rFonts w:eastAsia="Times New Roman" w:cs="Arial"/>
      </w:rPr>
      <w:fldChar w:fldCharType="begin"/>
    </w:r>
    <w:r w:rsidRPr="00D8032B">
      <w:rPr>
        <w:rFonts w:cs="Arial"/>
      </w:rPr>
      <w:instrText xml:space="preserve"> PAGE   \* MERGEFORMAT </w:instrText>
    </w:r>
    <w:r w:rsidRPr="00D8032B">
      <w:rPr>
        <w:rFonts w:eastAsia="Times New Roman" w:cs="Arial"/>
      </w:rPr>
      <w:fldChar w:fldCharType="separate"/>
    </w:r>
    <w:r w:rsidR="00F81112" w:rsidRPr="00F81112">
      <w:rPr>
        <w:rFonts w:eastAsia="Times New Roman" w:cs="Arial"/>
        <w:noProof/>
      </w:rPr>
      <w:t>117</w:t>
    </w:r>
    <w:r w:rsidRPr="00D8032B">
      <w:rPr>
        <w:rFonts w:ascii="Calibri Light" w:eastAsia="Times New Roman" w:hAnsi="Calibri Light" w:cs="Times New Roman"/>
        <w:noProof/>
      </w:rPr>
      <w:fldChar w:fldCharType="end"/>
    </w:r>
  </w:p>
  <w:p w14:paraId="265FE2B2" w14:textId="77777777" w:rsidR="00026CFB" w:rsidRDefault="00026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31F7C" w14:textId="77777777" w:rsidR="00870A75" w:rsidRDefault="00870A75" w:rsidP="00A4691D">
      <w:pPr>
        <w:spacing w:after="0" w:line="240" w:lineRule="auto"/>
      </w:pPr>
      <w:r>
        <w:separator/>
      </w:r>
    </w:p>
  </w:footnote>
  <w:footnote w:type="continuationSeparator" w:id="0">
    <w:p w14:paraId="43609FA1" w14:textId="77777777" w:rsidR="00870A75" w:rsidRDefault="00870A75" w:rsidP="00A46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6C57" w14:textId="56A90A0C" w:rsidR="00026CFB" w:rsidRPr="00A4691D" w:rsidRDefault="00026CFB" w:rsidP="00A4691D">
    <w:pPr>
      <w:pBdr>
        <w:bottom w:val="thickThinSmallGap" w:sz="24" w:space="21" w:color="622423"/>
      </w:pBdr>
      <w:tabs>
        <w:tab w:val="right" w:pos="8640"/>
      </w:tabs>
      <w:spacing w:after="0" w:line="240" w:lineRule="auto"/>
      <w:rPr>
        <w:rFonts w:ascii="Cambria" w:eastAsia="Times New Roman" w:hAnsi="Cambria" w:cs="Times New Roman"/>
        <w:sz w:val="18"/>
        <w:szCs w:val="18"/>
      </w:rPr>
    </w:pPr>
    <w:r w:rsidRPr="00A4691D">
      <w:rPr>
        <w:rFonts w:eastAsia="Times New Roman" w:cs="Arial"/>
        <w:noProof/>
      </w:rPr>
      <mc:AlternateContent>
        <mc:Choice Requires="wps">
          <w:drawing>
            <wp:anchor distT="0" distB="0" distL="114300" distR="114300" simplePos="0" relativeHeight="251659264" behindDoc="0" locked="0" layoutInCell="1" allowOverlap="1" wp14:anchorId="41C4AF89" wp14:editId="1C53D1EC">
              <wp:simplePos x="0" y="0"/>
              <wp:positionH relativeFrom="margin">
                <wp:align>left</wp:align>
              </wp:positionH>
              <wp:positionV relativeFrom="page">
                <wp:posOffset>991870</wp:posOffset>
              </wp:positionV>
              <wp:extent cx="1277620" cy="276860"/>
              <wp:effectExtent l="0" t="0" r="17780" b="27940"/>
              <wp:wrapNone/>
              <wp:docPr id="929200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7620" cy="276860"/>
                      </a:xfrm>
                      <a:prstGeom prst="rect">
                        <a:avLst/>
                      </a:prstGeom>
                      <a:solidFill>
                        <a:srgbClr val="00B0F0"/>
                      </a:solidFill>
                      <a:ln w="6350">
                        <a:solidFill>
                          <a:prstClr val="black"/>
                        </a:solidFill>
                      </a:ln>
                    </wps:spPr>
                    <wps:txbx>
                      <w:txbxContent>
                        <w:p w14:paraId="530EA492" w14:textId="77777777" w:rsidR="00026CFB" w:rsidRDefault="00026CFB" w:rsidP="00A4691D">
                          <w:pPr>
                            <w:rPr>
                              <w:sz w:val="24"/>
                              <w:szCs w:val="24"/>
                            </w:rPr>
                          </w:pPr>
                          <w:r>
                            <w:rPr>
                              <w:sz w:val="24"/>
                              <w:szCs w:val="24"/>
                            </w:rPr>
                            <w:t>Original research</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C4AF89" id="_x0000_t202" coordsize="21600,21600" o:spt="202" path="m,l,21600r21600,l21600,xe">
              <v:stroke joinstyle="miter"/>
              <v:path gradientshapeok="t" o:connecttype="rect"/>
            </v:shapetype>
            <v:shape id="Text Box 2" o:spid="_x0000_s1026" type="#_x0000_t202" style="position:absolute;margin-left:0;margin-top:78.1pt;width:100.6pt;height:21.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" fillcolor="#00b0f0" strokeweight=".5pt">
              <v:path arrowok="t"/>
              <v:textbox>
                <w:txbxContent>
                  <w:p w14:paraId="530EA492" w14:textId="77777777" w:rsidR="00026CFB" w:rsidRDefault="00026CFB" w:rsidP="00A4691D">
                    <w:pPr>
                      <w:rPr>
                        <w:sz w:val="24"/>
                        <w:szCs w:val="24"/>
                      </w:rPr>
                    </w:pPr>
                    <w:r>
                      <w:rPr>
                        <w:sz w:val="24"/>
                        <w:szCs w:val="24"/>
                      </w:rPr>
                      <w:t>Original research</w:t>
                    </w:r>
                  </w:p>
                </w:txbxContent>
              </v:textbox>
              <w10:wrap anchorx="margin" anchory="page"/>
            </v:shape>
          </w:pict>
        </mc:Fallback>
      </mc:AlternateContent>
    </w:r>
    <w:r w:rsidRPr="00A4691D">
      <w:rPr>
        <w:rFonts w:ascii="Cambria" w:eastAsia="Times New Roman" w:hAnsi="Cambria" w:cs="Times New Roman"/>
        <w:sz w:val="18"/>
        <w:szCs w:val="18"/>
      </w:rPr>
      <w:t>African Journal of Gastroenterology and Hepatology</w:t>
    </w:r>
    <w:r w:rsidRPr="00A4691D">
      <w:rPr>
        <w:rFonts w:ascii="Cambria" w:eastAsia="Times New Roman" w:hAnsi="Cambria" w:cs="Times New Roman"/>
        <w:sz w:val="18"/>
        <w:szCs w:val="18"/>
      </w:rPr>
      <w:tab/>
    </w:r>
    <w:r w:rsidRPr="00A4691D">
      <w:rPr>
        <w:rFonts w:ascii="Calibri Light" w:eastAsia="Times New Roman" w:hAnsi="Calibri Light" w:cs="Times New Roman"/>
        <w:noProof/>
        <w:sz w:val="32"/>
        <w:szCs w:val="32"/>
      </w:rPr>
      <w:drawing>
        <wp:inline distT="0" distB="0" distL="0" distR="0" wp14:anchorId="318EEC5E" wp14:editId="1984D53D">
          <wp:extent cx="1447800" cy="209550"/>
          <wp:effectExtent l="0" t="0" r="0" b="0"/>
          <wp:docPr id="775846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09550"/>
                  </a:xfrm>
                  <a:prstGeom prst="rect">
                    <a:avLst/>
                  </a:prstGeom>
                  <a:noFill/>
                  <a:ln>
                    <a:noFill/>
                  </a:ln>
                </pic:spPr>
              </pic:pic>
            </a:graphicData>
          </a:graphic>
        </wp:inline>
      </w:drawing>
    </w:r>
  </w:p>
  <w:p w14:paraId="42D83B9E" w14:textId="77777777" w:rsidR="00026CFB" w:rsidRPr="00A4691D" w:rsidRDefault="00026CFB" w:rsidP="00A4691D">
    <w:pPr>
      <w:tabs>
        <w:tab w:val="center" w:pos="4153"/>
        <w:tab w:val="right" w:pos="8306"/>
      </w:tabs>
      <w:spacing w:after="0" w:line="240" w:lineRule="auto"/>
      <w:jc w:val="both"/>
      <w:rPr>
        <w:sz w:val="28"/>
        <w:szCs w:val="28"/>
      </w:rPr>
    </w:pPr>
  </w:p>
  <w:p w14:paraId="6266374D" w14:textId="77777777" w:rsidR="00026CFB" w:rsidRDefault="00026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354A4"/>
    <w:multiLevelType w:val="multilevel"/>
    <w:tmpl w:val="0CBE375A"/>
    <w:lvl w:ilvl="0">
      <w:start w:val="1"/>
      <w:numFmt w:val="decimal"/>
      <w:lvlText w:val="%1-"/>
      <w:lvlJc w:val="left"/>
      <w:pPr>
        <w:ind w:left="570" w:hanging="360"/>
      </w:pPr>
    </w:lvl>
    <w:lvl w:ilvl="1">
      <w:start w:val="1"/>
      <w:numFmt w:val="lowerLetter"/>
      <w:lvlText w:val="%2."/>
      <w:lvlJc w:val="left"/>
      <w:pPr>
        <w:ind w:left="1290" w:hanging="360"/>
      </w:pPr>
    </w:lvl>
    <w:lvl w:ilvl="2">
      <w:start w:val="1"/>
      <w:numFmt w:val="lowerRoman"/>
      <w:lvlText w:val="%3."/>
      <w:lvlJc w:val="right"/>
      <w:pPr>
        <w:ind w:left="2010" w:hanging="180"/>
      </w:pPr>
    </w:lvl>
    <w:lvl w:ilvl="3">
      <w:start w:val="1"/>
      <w:numFmt w:val="decimal"/>
      <w:lvlText w:val="%4."/>
      <w:lvlJc w:val="left"/>
      <w:pPr>
        <w:ind w:left="2730" w:hanging="360"/>
      </w:pPr>
    </w:lvl>
    <w:lvl w:ilvl="4">
      <w:start w:val="1"/>
      <w:numFmt w:val="lowerLetter"/>
      <w:lvlText w:val="%5."/>
      <w:lvlJc w:val="left"/>
      <w:pPr>
        <w:ind w:left="3450" w:hanging="360"/>
      </w:pPr>
    </w:lvl>
    <w:lvl w:ilvl="5">
      <w:start w:val="1"/>
      <w:numFmt w:val="lowerRoman"/>
      <w:lvlText w:val="%6."/>
      <w:lvlJc w:val="right"/>
      <w:pPr>
        <w:ind w:left="4170" w:hanging="180"/>
      </w:pPr>
    </w:lvl>
    <w:lvl w:ilvl="6">
      <w:start w:val="1"/>
      <w:numFmt w:val="decimal"/>
      <w:lvlText w:val="%7."/>
      <w:lvlJc w:val="left"/>
      <w:pPr>
        <w:ind w:left="4890" w:hanging="360"/>
      </w:pPr>
    </w:lvl>
    <w:lvl w:ilvl="7">
      <w:start w:val="1"/>
      <w:numFmt w:val="lowerLetter"/>
      <w:lvlText w:val="%8."/>
      <w:lvlJc w:val="left"/>
      <w:pPr>
        <w:ind w:left="5610" w:hanging="360"/>
      </w:pPr>
    </w:lvl>
    <w:lvl w:ilvl="8">
      <w:start w:val="1"/>
      <w:numFmt w:val="lowerRoman"/>
      <w:lvlText w:val="%9."/>
      <w:lvlJc w:val="right"/>
      <w:pPr>
        <w:ind w:left="6330" w:hanging="180"/>
      </w:pPr>
    </w:lvl>
  </w:abstractNum>
  <w:abstractNum w:abstractNumId="1" w15:restartNumberingAfterBreak="0">
    <w:nsid w:val="0D2D38A6"/>
    <w:multiLevelType w:val="multilevel"/>
    <w:tmpl w:val="D30E597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331272F9"/>
    <w:multiLevelType w:val="multilevel"/>
    <w:tmpl w:val="F870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EC1ADB"/>
    <w:multiLevelType w:val="multilevel"/>
    <w:tmpl w:val="0CBE375A"/>
    <w:lvl w:ilvl="0">
      <w:start w:val="1"/>
      <w:numFmt w:val="decimal"/>
      <w:lvlText w:val="%1-"/>
      <w:lvlJc w:val="left"/>
      <w:pPr>
        <w:ind w:left="570" w:hanging="360"/>
      </w:pPr>
    </w:lvl>
    <w:lvl w:ilvl="1">
      <w:start w:val="1"/>
      <w:numFmt w:val="lowerLetter"/>
      <w:lvlText w:val="%2."/>
      <w:lvlJc w:val="left"/>
      <w:pPr>
        <w:ind w:left="1290" w:hanging="360"/>
      </w:pPr>
    </w:lvl>
    <w:lvl w:ilvl="2">
      <w:start w:val="1"/>
      <w:numFmt w:val="lowerRoman"/>
      <w:lvlText w:val="%3."/>
      <w:lvlJc w:val="right"/>
      <w:pPr>
        <w:ind w:left="2010" w:hanging="180"/>
      </w:pPr>
    </w:lvl>
    <w:lvl w:ilvl="3">
      <w:start w:val="1"/>
      <w:numFmt w:val="decimal"/>
      <w:lvlText w:val="%4."/>
      <w:lvlJc w:val="left"/>
      <w:pPr>
        <w:ind w:left="2730" w:hanging="360"/>
      </w:pPr>
    </w:lvl>
    <w:lvl w:ilvl="4">
      <w:start w:val="1"/>
      <w:numFmt w:val="lowerLetter"/>
      <w:lvlText w:val="%5."/>
      <w:lvlJc w:val="left"/>
      <w:pPr>
        <w:ind w:left="3450" w:hanging="360"/>
      </w:pPr>
    </w:lvl>
    <w:lvl w:ilvl="5">
      <w:start w:val="1"/>
      <w:numFmt w:val="lowerRoman"/>
      <w:lvlText w:val="%6."/>
      <w:lvlJc w:val="right"/>
      <w:pPr>
        <w:ind w:left="4170" w:hanging="180"/>
      </w:pPr>
    </w:lvl>
    <w:lvl w:ilvl="6">
      <w:start w:val="1"/>
      <w:numFmt w:val="decimal"/>
      <w:lvlText w:val="%7."/>
      <w:lvlJc w:val="left"/>
      <w:pPr>
        <w:ind w:left="4890" w:hanging="360"/>
      </w:pPr>
    </w:lvl>
    <w:lvl w:ilvl="7">
      <w:start w:val="1"/>
      <w:numFmt w:val="lowerLetter"/>
      <w:lvlText w:val="%8."/>
      <w:lvlJc w:val="left"/>
      <w:pPr>
        <w:ind w:left="5610" w:hanging="360"/>
      </w:pPr>
    </w:lvl>
    <w:lvl w:ilvl="8">
      <w:start w:val="1"/>
      <w:numFmt w:val="lowerRoman"/>
      <w:lvlText w:val="%9."/>
      <w:lvlJc w:val="right"/>
      <w:pPr>
        <w:ind w:left="6330" w:hanging="180"/>
      </w:pPr>
    </w:lvl>
  </w:abstractNum>
  <w:abstractNum w:abstractNumId="4" w15:restartNumberingAfterBreak="0">
    <w:nsid w:val="59AA0862"/>
    <w:multiLevelType w:val="multilevel"/>
    <w:tmpl w:val="77AA17B2"/>
    <w:lvl w:ilvl="0">
      <w:start w:val="2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CB37F36"/>
    <w:multiLevelType w:val="multilevel"/>
    <w:tmpl w:val="34E6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C867DF"/>
    <w:multiLevelType w:val="multilevel"/>
    <w:tmpl w:val="35FAFFC4"/>
    <w:lvl w:ilvl="0">
      <w:start w:val="18"/>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47082978">
    <w:abstractNumId w:val="1"/>
  </w:num>
  <w:num w:numId="2" w16cid:durableId="2103991886">
    <w:abstractNumId w:val="3"/>
  </w:num>
  <w:num w:numId="3" w16cid:durableId="947198761">
    <w:abstractNumId w:val="6"/>
  </w:num>
  <w:num w:numId="4" w16cid:durableId="1504392074">
    <w:abstractNumId w:val="4"/>
  </w:num>
  <w:num w:numId="5" w16cid:durableId="1201821514">
    <w:abstractNumId w:val="5"/>
  </w:num>
  <w:num w:numId="6" w16cid:durableId="202601122">
    <w:abstractNumId w:val="2"/>
  </w:num>
  <w:num w:numId="7" w16cid:durableId="827984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E62"/>
    <w:rsid w:val="00020796"/>
    <w:rsid w:val="00026229"/>
    <w:rsid w:val="00026CFB"/>
    <w:rsid w:val="00055A60"/>
    <w:rsid w:val="000576BC"/>
    <w:rsid w:val="00073E34"/>
    <w:rsid w:val="00076E62"/>
    <w:rsid w:val="000775D6"/>
    <w:rsid w:val="00081F55"/>
    <w:rsid w:val="00087E88"/>
    <w:rsid w:val="00093BE9"/>
    <w:rsid w:val="000B59D4"/>
    <w:rsid w:val="000C2B7F"/>
    <w:rsid w:val="000E34DF"/>
    <w:rsid w:val="000F14F6"/>
    <w:rsid w:val="000F4A30"/>
    <w:rsid w:val="0010470D"/>
    <w:rsid w:val="00106613"/>
    <w:rsid w:val="0013288B"/>
    <w:rsid w:val="00162B42"/>
    <w:rsid w:val="00164245"/>
    <w:rsid w:val="001766D4"/>
    <w:rsid w:val="00187A4E"/>
    <w:rsid w:val="00190CBE"/>
    <w:rsid w:val="001A3D59"/>
    <w:rsid w:val="001A64CA"/>
    <w:rsid w:val="001C7E96"/>
    <w:rsid w:val="001F6E74"/>
    <w:rsid w:val="00204F82"/>
    <w:rsid w:val="00206A67"/>
    <w:rsid w:val="00211B80"/>
    <w:rsid w:val="00227423"/>
    <w:rsid w:val="00230E43"/>
    <w:rsid w:val="002A5B1F"/>
    <w:rsid w:val="002A5D1B"/>
    <w:rsid w:val="002B6ED9"/>
    <w:rsid w:val="002D5D24"/>
    <w:rsid w:val="002E2D94"/>
    <w:rsid w:val="002F339C"/>
    <w:rsid w:val="00321155"/>
    <w:rsid w:val="00324FEE"/>
    <w:rsid w:val="00325EE8"/>
    <w:rsid w:val="00330F80"/>
    <w:rsid w:val="00392E4B"/>
    <w:rsid w:val="00393A50"/>
    <w:rsid w:val="00394AE8"/>
    <w:rsid w:val="0039534F"/>
    <w:rsid w:val="003A0130"/>
    <w:rsid w:val="003B0EB2"/>
    <w:rsid w:val="003B7B2B"/>
    <w:rsid w:val="003D1716"/>
    <w:rsid w:val="004139D2"/>
    <w:rsid w:val="00447F81"/>
    <w:rsid w:val="00453ADA"/>
    <w:rsid w:val="0045681E"/>
    <w:rsid w:val="004657B6"/>
    <w:rsid w:val="004B03EC"/>
    <w:rsid w:val="004B53D9"/>
    <w:rsid w:val="004D2787"/>
    <w:rsid w:val="004D6320"/>
    <w:rsid w:val="004F2DF0"/>
    <w:rsid w:val="00510AC1"/>
    <w:rsid w:val="00511722"/>
    <w:rsid w:val="00515401"/>
    <w:rsid w:val="00524F04"/>
    <w:rsid w:val="00532D5E"/>
    <w:rsid w:val="00540542"/>
    <w:rsid w:val="00542B12"/>
    <w:rsid w:val="00554306"/>
    <w:rsid w:val="00557711"/>
    <w:rsid w:val="005727D2"/>
    <w:rsid w:val="00583AA4"/>
    <w:rsid w:val="00592430"/>
    <w:rsid w:val="005B18EC"/>
    <w:rsid w:val="005B4CA8"/>
    <w:rsid w:val="005B528A"/>
    <w:rsid w:val="005C6C9A"/>
    <w:rsid w:val="005C6CBF"/>
    <w:rsid w:val="00603EAE"/>
    <w:rsid w:val="00607100"/>
    <w:rsid w:val="00624CD2"/>
    <w:rsid w:val="00631208"/>
    <w:rsid w:val="006712CB"/>
    <w:rsid w:val="00696A8F"/>
    <w:rsid w:val="006C59F4"/>
    <w:rsid w:val="006F7056"/>
    <w:rsid w:val="00723243"/>
    <w:rsid w:val="0072698B"/>
    <w:rsid w:val="00736644"/>
    <w:rsid w:val="0074137C"/>
    <w:rsid w:val="00760173"/>
    <w:rsid w:val="00764B89"/>
    <w:rsid w:val="00784845"/>
    <w:rsid w:val="00785DA3"/>
    <w:rsid w:val="00787375"/>
    <w:rsid w:val="007879AA"/>
    <w:rsid w:val="007B2E7A"/>
    <w:rsid w:val="007C4701"/>
    <w:rsid w:val="007C5188"/>
    <w:rsid w:val="007F156F"/>
    <w:rsid w:val="007F34AD"/>
    <w:rsid w:val="007F4B91"/>
    <w:rsid w:val="008003DA"/>
    <w:rsid w:val="00816308"/>
    <w:rsid w:val="00821221"/>
    <w:rsid w:val="00822191"/>
    <w:rsid w:val="00822A71"/>
    <w:rsid w:val="00834F9F"/>
    <w:rsid w:val="0084401C"/>
    <w:rsid w:val="008476B3"/>
    <w:rsid w:val="00866E39"/>
    <w:rsid w:val="00870A75"/>
    <w:rsid w:val="00890F18"/>
    <w:rsid w:val="008A0C5D"/>
    <w:rsid w:val="008A442C"/>
    <w:rsid w:val="008C09CD"/>
    <w:rsid w:val="008C677B"/>
    <w:rsid w:val="008D07AD"/>
    <w:rsid w:val="008F28EB"/>
    <w:rsid w:val="009003C1"/>
    <w:rsid w:val="00901705"/>
    <w:rsid w:val="00937C9A"/>
    <w:rsid w:val="00941283"/>
    <w:rsid w:val="00943802"/>
    <w:rsid w:val="00990E85"/>
    <w:rsid w:val="009B2B08"/>
    <w:rsid w:val="009D1AF5"/>
    <w:rsid w:val="009D2F99"/>
    <w:rsid w:val="009D3DE9"/>
    <w:rsid w:val="00A013D6"/>
    <w:rsid w:val="00A06418"/>
    <w:rsid w:val="00A1317A"/>
    <w:rsid w:val="00A14FC8"/>
    <w:rsid w:val="00A24A9F"/>
    <w:rsid w:val="00A268EF"/>
    <w:rsid w:val="00A30D3E"/>
    <w:rsid w:val="00A457EE"/>
    <w:rsid w:val="00A458A0"/>
    <w:rsid w:val="00A4691D"/>
    <w:rsid w:val="00A53A0C"/>
    <w:rsid w:val="00A55376"/>
    <w:rsid w:val="00A60619"/>
    <w:rsid w:val="00A613E8"/>
    <w:rsid w:val="00A6197C"/>
    <w:rsid w:val="00A769BE"/>
    <w:rsid w:val="00AA500F"/>
    <w:rsid w:val="00AB13D0"/>
    <w:rsid w:val="00AB560D"/>
    <w:rsid w:val="00AC028E"/>
    <w:rsid w:val="00AC0A3E"/>
    <w:rsid w:val="00AC5668"/>
    <w:rsid w:val="00AD2D08"/>
    <w:rsid w:val="00AD3A9C"/>
    <w:rsid w:val="00AD5B5E"/>
    <w:rsid w:val="00AD7575"/>
    <w:rsid w:val="00AF1802"/>
    <w:rsid w:val="00AF39E0"/>
    <w:rsid w:val="00B11A2E"/>
    <w:rsid w:val="00B121D6"/>
    <w:rsid w:val="00B268DA"/>
    <w:rsid w:val="00B35BCC"/>
    <w:rsid w:val="00B44148"/>
    <w:rsid w:val="00B60ECD"/>
    <w:rsid w:val="00B620F4"/>
    <w:rsid w:val="00B73082"/>
    <w:rsid w:val="00B91BC9"/>
    <w:rsid w:val="00BA2418"/>
    <w:rsid w:val="00BA740C"/>
    <w:rsid w:val="00BB344E"/>
    <w:rsid w:val="00BB642F"/>
    <w:rsid w:val="00BB6DB8"/>
    <w:rsid w:val="00BB720E"/>
    <w:rsid w:val="00BC218A"/>
    <w:rsid w:val="00BC2CDE"/>
    <w:rsid w:val="00BC5AA5"/>
    <w:rsid w:val="00BD1B47"/>
    <w:rsid w:val="00BD24D6"/>
    <w:rsid w:val="00BE31CA"/>
    <w:rsid w:val="00BF1251"/>
    <w:rsid w:val="00BF6860"/>
    <w:rsid w:val="00C3078E"/>
    <w:rsid w:val="00C6047B"/>
    <w:rsid w:val="00C6244A"/>
    <w:rsid w:val="00C646A4"/>
    <w:rsid w:val="00C7504E"/>
    <w:rsid w:val="00C8344D"/>
    <w:rsid w:val="00CA1769"/>
    <w:rsid w:val="00CB22C9"/>
    <w:rsid w:val="00CE02DB"/>
    <w:rsid w:val="00CE145F"/>
    <w:rsid w:val="00CF714E"/>
    <w:rsid w:val="00D717BD"/>
    <w:rsid w:val="00D8032B"/>
    <w:rsid w:val="00D92064"/>
    <w:rsid w:val="00D97435"/>
    <w:rsid w:val="00DB04A7"/>
    <w:rsid w:val="00DC3FAB"/>
    <w:rsid w:val="00DD3FB9"/>
    <w:rsid w:val="00DF7999"/>
    <w:rsid w:val="00E03652"/>
    <w:rsid w:val="00E355A1"/>
    <w:rsid w:val="00E359B2"/>
    <w:rsid w:val="00E41BB8"/>
    <w:rsid w:val="00E8024C"/>
    <w:rsid w:val="00E871C3"/>
    <w:rsid w:val="00EC53BC"/>
    <w:rsid w:val="00EC7268"/>
    <w:rsid w:val="00EE716E"/>
    <w:rsid w:val="00F057C5"/>
    <w:rsid w:val="00F07C60"/>
    <w:rsid w:val="00F24934"/>
    <w:rsid w:val="00F43EC9"/>
    <w:rsid w:val="00F44BBA"/>
    <w:rsid w:val="00F46371"/>
    <w:rsid w:val="00F81112"/>
    <w:rsid w:val="00FA5DCD"/>
    <w:rsid w:val="00FB17E8"/>
    <w:rsid w:val="00FF04CB"/>
    <w:rsid w:val="00FF55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AC671"/>
  <w15:docId w15:val="{FEEF6010-075C-4329-96E5-69E7F21F2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pPr>
        <w:spacing w:before="0" w:after="0" w:line="240" w:lineRule="auto"/>
      </w:pPr>
      <w:rPr>
        <w:rFonts w:ascii="Calibri" w:eastAsia="Calibri" w:hAnsi="Calibri" w:cs="Calibri"/>
        <w:b/>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w:eastAsia="Calibri" w:hAnsi="Calibri" w:cs="Calibri"/>
        <w:b/>
      </w:rPr>
      <w:tblPr/>
      <w:tcPr>
        <w:tcBorders>
          <w:top w:val="sing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a0">
    <w:basedOn w:val="TableNormal"/>
    <w:pPr>
      <w:spacing w:after="0" w:line="240" w:lineRule="auto"/>
    </w:pPr>
    <w:tblPr>
      <w:tblStyleRowBandSize w:val="1"/>
      <w:tblStyleColBandSize w:val="1"/>
    </w:tblPr>
    <w:tblStylePr w:type="firstRow">
      <w:pPr>
        <w:spacing w:before="0" w:after="0" w:line="240" w:lineRule="auto"/>
      </w:pPr>
      <w:rPr>
        <w:rFonts w:ascii="Calibri" w:eastAsia="Calibri" w:hAnsi="Calibri" w:cs="Calibri"/>
        <w:b/>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w:eastAsia="Calibri" w:hAnsi="Calibri" w:cs="Calibri"/>
        <w:b/>
      </w:rPr>
      <w:tblPr/>
      <w:tcPr>
        <w:tcBorders>
          <w:top w:val="sing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a1">
    <w:basedOn w:val="TableNormal"/>
    <w:pPr>
      <w:spacing w:after="0" w:line="240" w:lineRule="auto"/>
    </w:pPr>
    <w:tblPr>
      <w:tblStyleRowBandSize w:val="1"/>
      <w:tblStyleColBandSize w:val="1"/>
    </w:tblPr>
    <w:tblStylePr w:type="firstRow">
      <w:pPr>
        <w:spacing w:before="0" w:after="0" w:line="240" w:lineRule="auto"/>
      </w:pPr>
      <w:rPr>
        <w:rFonts w:ascii="Calibri" w:eastAsia="Calibri" w:hAnsi="Calibri" w:cs="Calibri"/>
        <w:b/>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w:eastAsia="Calibri" w:hAnsi="Calibri" w:cs="Calibri"/>
        <w:b/>
      </w:rPr>
      <w:tblPr/>
      <w:tcPr>
        <w:tcBorders>
          <w:top w:val="sing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a2">
    <w:basedOn w:val="TableNormal"/>
    <w:pPr>
      <w:spacing w:after="0" w:line="240" w:lineRule="auto"/>
    </w:pPr>
    <w:tblPr>
      <w:tblStyleRowBandSize w:val="1"/>
      <w:tblStyleColBandSize w:val="1"/>
    </w:tblPr>
    <w:tblStylePr w:type="firstRow">
      <w:pPr>
        <w:spacing w:before="0" w:after="0" w:line="240" w:lineRule="auto"/>
      </w:pPr>
      <w:rPr>
        <w:b/>
        <w:color w:val="FFFFFF"/>
      </w:rPr>
      <w:tblPr/>
      <w:tcPr>
        <w:shd w:val="clear" w:color="auto" w:fill="5B9BD5"/>
      </w:tcPr>
    </w:tblStylePr>
    <w:tblStylePr w:type="lastRow">
      <w:pPr>
        <w:spacing w:before="0" w:after="0" w:line="240" w:lineRule="auto"/>
      </w:pPr>
      <w:rPr>
        <w:b/>
      </w:rPr>
      <w:tblPr/>
      <w:tcPr>
        <w:tcBorders>
          <w:top w:val="single" w:sz="6" w:space="0" w:color="5B9BD5"/>
          <w:left w:val="single" w:sz="8" w:space="0" w:color="5B9BD5"/>
          <w:bottom w:val="single" w:sz="8" w:space="0" w:color="5B9BD5"/>
          <w:right w:val="single" w:sz="8" w:space="0" w:color="5B9BD5"/>
        </w:tcBorders>
      </w:tcPr>
    </w:tblStylePr>
    <w:tblStylePr w:type="firstCol">
      <w:rPr>
        <w:b/>
      </w:rPr>
    </w:tblStylePr>
    <w:tblStylePr w:type="lastCol">
      <w:rPr>
        <w:b/>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a3">
    <w:basedOn w:val="TableNormal"/>
    <w:tblPr>
      <w:tblStyleRowBandSize w:val="1"/>
      <w:tblStyleColBandSize w:val="1"/>
      <w:tblCellMar>
        <w:top w:w="15" w:type="dxa"/>
        <w:left w:w="15" w:type="dxa"/>
        <w:bottom w:w="15" w:type="dxa"/>
        <w:right w:w="15" w:type="dxa"/>
      </w:tblCellMar>
    </w:tblPr>
  </w:style>
  <w:style w:type="character" w:customStyle="1" w:styleId="xref">
    <w:name w:val="xref"/>
    <w:basedOn w:val="DefaultParagraphFont"/>
    <w:rsid w:val="00AD3A9C"/>
  </w:style>
  <w:style w:type="character" w:styleId="Hyperlink">
    <w:name w:val="Hyperlink"/>
    <w:basedOn w:val="DefaultParagraphFont"/>
    <w:uiPriority w:val="99"/>
    <w:unhideWhenUsed/>
    <w:rsid w:val="00AD3A9C"/>
    <w:rPr>
      <w:color w:val="0000FF"/>
      <w:u w:val="single"/>
    </w:rPr>
  </w:style>
  <w:style w:type="character" w:styleId="Emphasis">
    <w:name w:val="Emphasis"/>
    <w:basedOn w:val="DefaultParagraphFont"/>
    <w:uiPriority w:val="20"/>
    <w:qFormat/>
    <w:rsid w:val="000F4A30"/>
    <w:rPr>
      <w:i/>
      <w:iCs/>
    </w:rPr>
  </w:style>
  <w:style w:type="paragraph" w:styleId="ListParagraph">
    <w:name w:val="List Paragraph"/>
    <w:basedOn w:val="Normal"/>
    <w:uiPriority w:val="34"/>
    <w:qFormat/>
    <w:rsid w:val="00204F82"/>
    <w:pPr>
      <w:ind w:left="720"/>
      <w:contextualSpacing/>
    </w:pPr>
  </w:style>
  <w:style w:type="character" w:customStyle="1" w:styleId="author">
    <w:name w:val="author"/>
    <w:basedOn w:val="DefaultParagraphFont"/>
    <w:rsid w:val="007879AA"/>
  </w:style>
  <w:style w:type="character" w:customStyle="1" w:styleId="articletitle">
    <w:name w:val="articletitle"/>
    <w:basedOn w:val="DefaultParagraphFont"/>
    <w:rsid w:val="007879AA"/>
  </w:style>
  <w:style w:type="character" w:customStyle="1" w:styleId="pubyear">
    <w:name w:val="pubyear"/>
    <w:basedOn w:val="DefaultParagraphFont"/>
    <w:rsid w:val="007879AA"/>
  </w:style>
  <w:style w:type="character" w:customStyle="1" w:styleId="vol">
    <w:name w:val="vol"/>
    <w:basedOn w:val="DefaultParagraphFont"/>
    <w:rsid w:val="007879AA"/>
  </w:style>
  <w:style w:type="character" w:customStyle="1" w:styleId="pagefirst">
    <w:name w:val="pagefirst"/>
    <w:basedOn w:val="DefaultParagraphFont"/>
    <w:rsid w:val="007879AA"/>
  </w:style>
  <w:style w:type="character" w:customStyle="1" w:styleId="pagelast">
    <w:name w:val="pagelast"/>
    <w:basedOn w:val="DefaultParagraphFont"/>
    <w:rsid w:val="007879AA"/>
  </w:style>
  <w:style w:type="character" w:styleId="Strong">
    <w:name w:val="Strong"/>
    <w:basedOn w:val="DefaultParagraphFont"/>
    <w:uiPriority w:val="22"/>
    <w:qFormat/>
    <w:rsid w:val="00392E4B"/>
    <w:rPr>
      <w:b/>
      <w:bCs/>
    </w:rPr>
  </w:style>
  <w:style w:type="paragraph" w:styleId="Header">
    <w:name w:val="header"/>
    <w:basedOn w:val="Normal"/>
    <w:link w:val="HeaderChar"/>
    <w:uiPriority w:val="99"/>
    <w:unhideWhenUsed/>
    <w:rsid w:val="00A46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91D"/>
  </w:style>
  <w:style w:type="paragraph" w:styleId="Footer">
    <w:name w:val="footer"/>
    <w:basedOn w:val="Normal"/>
    <w:link w:val="FooterChar"/>
    <w:uiPriority w:val="99"/>
    <w:unhideWhenUsed/>
    <w:rsid w:val="00A46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91D"/>
  </w:style>
  <w:style w:type="paragraph" w:styleId="Caption">
    <w:name w:val="caption"/>
    <w:basedOn w:val="Normal"/>
    <w:next w:val="Normal"/>
    <w:uiPriority w:val="35"/>
    <w:unhideWhenUsed/>
    <w:qFormat/>
    <w:rsid w:val="00AF1802"/>
    <w:pPr>
      <w:spacing w:after="200" w:line="240" w:lineRule="auto"/>
    </w:pPr>
    <w:rPr>
      <w:i/>
      <w:iCs/>
      <w:color w:val="1F497D" w:themeColor="text2"/>
      <w:sz w:val="18"/>
      <w:szCs w:val="18"/>
    </w:rPr>
  </w:style>
  <w:style w:type="character" w:customStyle="1" w:styleId="UnresolvedMention1">
    <w:name w:val="Unresolved Mention1"/>
    <w:basedOn w:val="DefaultParagraphFont"/>
    <w:uiPriority w:val="99"/>
    <w:semiHidden/>
    <w:unhideWhenUsed/>
    <w:rsid w:val="00DF7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02869">
      <w:bodyDiv w:val="1"/>
      <w:marLeft w:val="0"/>
      <w:marRight w:val="0"/>
      <w:marTop w:val="0"/>
      <w:marBottom w:val="0"/>
      <w:divBdr>
        <w:top w:val="none" w:sz="0" w:space="0" w:color="auto"/>
        <w:left w:val="none" w:sz="0" w:space="0" w:color="auto"/>
        <w:bottom w:val="none" w:sz="0" w:space="0" w:color="auto"/>
        <w:right w:val="none" w:sz="0" w:space="0" w:color="auto"/>
      </w:divBdr>
    </w:div>
    <w:div w:id="491215244">
      <w:bodyDiv w:val="1"/>
      <w:marLeft w:val="0"/>
      <w:marRight w:val="0"/>
      <w:marTop w:val="0"/>
      <w:marBottom w:val="0"/>
      <w:divBdr>
        <w:top w:val="none" w:sz="0" w:space="0" w:color="auto"/>
        <w:left w:val="none" w:sz="0" w:space="0" w:color="auto"/>
        <w:bottom w:val="none" w:sz="0" w:space="0" w:color="auto"/>
        <w:right w:val="none" w:sz="0" w:space="0" w:color="auto"/>
      </w:divBdr>
    </w:div>
    <w:div w:id="676691214">
      <w:bodyDiv w:val="1"/>
      <w:marLeft w:val="0"/>
      <w:marRight w:val="0"/>
      <w:marTop w:val="0"/>
      <w:marBottom w:val="0"/>
      <w:divBdr>
        <w:top w:val="none" w:sz="0" w:space="0" w:color="auto"/>
        <w:left w:val="none" w:sz="0" w:space="0" w:color="auto"/>
        <w:bottom w:val="none" w:sz="0" w:space="0" w:color="auto"/>
        <w:right w:val="none" w:sz="0" w:space="0" w:color="auto"/>
      </w:divBdr>
    </w:div>
    <w:div w:id="949556758">
      <w:bodyDiv w:val="1"/>
      <w:marLeft w:val="0"/>
      <w:marRight w:val="0"/>
      <w:marTop w:val="0"/>
      <w:marBottom w:val="0"/>
      <w:divBdr>
        <w:top w:val="none" w:sz="0" w:space="0" w:color="auto"/>
        <w:left w:val="none" w:sz="0" w:space="0" w:color="auto"/>
        <w:bottom w:val="none" w:sz="0" w:space="0" w:color="auto"/>
        <w:right w:val="none" w:sz="0" w:space="0" w:color="auto"/>
      </w:divBdr>
    </w:div>
    <w:div w:id="1477839683">
      <w:bodyDiv w:val="1"/>
      <w:marLeft w:val="0"/>
      <w:marRight w:val="0"/>
      <w:marTop w:val="0"/>
      <w:marBottom w:val="0"/>
      <w:divBdr>
        <w:top w:val="none" w:sz="0" w:space="0" w:color="auto"/>
        <w:left w:val="none" w:sz="0" w:space="0" w:color="auto"/>
        <w:bottom w:val="none" w:sz="0" w:space="0" w:color="auto"/>
        <w:right w:val="none" w:sz="0" w:space="0" w:color="auto"/>
      </w:divBdr>
    </w:div>
    <w:div w:id="1725829550">
      <w:bodyDiv w:val="1"/>
      <w:marLeft w:val="0"/>
      <w:marRight w:val="0"/>
      <w:marTop w:val="0"/>
      <w:marBottom w:val="0"/>
      <w:divBdr>
        <w:top w:val="none" w:sz="0" w:space="0" w:color="auto"/>
        <w:left w:val="none" w:sz="0" w:space="0" w:color="auto"/>
        <w:bottom w:val="none" w:sz="0" w:space="0" w:color="auto"/>
        <w:right w:val="none" w:sz="0" w:space="0" w:color="auto"/>
      </w:divBdr>
    </w:div>
    <w:div w:id="1927306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jgh.journals.ekb.e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122E-8AA9-4733-A4B5-2512B2B22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4230</Words>
  <Characters>24114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The gamma-glutamyl transpeptidase to platelet ratio (GPR) and the gamma-glutamyl transpeptidase to albumin (GAR) versus fibroscan as indicators of hepatic fibrosis in Non-Alcoholic Fatty Liver Disease Patients .new1</vt:lpstr>
    </vt:vector>
  </TitlesOfParts>
  <Company/>
  <LinksUpToDate>false</LinksUpToDate>
  <CharactersWithSpaces>28288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gamma-glutamyl transpeptidase to platelet ratio (GPR) and the gamma-glutamyl transpeptidase to albumin (GAR) versus fibroscan as indicators of hepatic fibrosis in Non-Alcoholic Fatty Liver Disease Patients .new1</dc:title>
  <dc:creator>Metro Computer</dc:creator>
  <cp:lastModifiedBy>salem yousef</cp:lastModifiedBy>
  <cp:revision>4</cp:revision>
  <cp:lastPrinted>2023-08-23T12:15:00Z</cp:lastPrinted>
  <dcterms:created xsi:type="dcterms:W3CDTF">2023-08-23T12:14:00Z</dcterms:created>
  <dcterms:modified xsi:type="dcterms:W3CDTF">2023-08-23T12:23:00Z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d71bb7ba301f9855e193ae4e49a81961cadf355f9a49d17d12a8a866b4206011</vt:lpwstr>
  </property>
</Properties>
</file>