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A6780" w14:textId="77777777" w:rsidR="00CC0313" w:rsidRPr="00CC0313" w:rsidRDefault="00CC0313" w:rsidP="00CC0313">
      <w:pPr>
        <w:spacing w:line="360" w:lineRule="auto"/>
        <w:ind w:right="-761"/>
        <w:jc w:val="center"/>
        <w:rPr>
          <w:b/>
          <w:color w:val="000000"/>
          <w:sz w:val="32"/>
          <w:szCs w:val="32"/>
          <w:highlight w:val="white"/>
          <w:u w:val="single"/>
        </w:rPr>
      </w:pPr>
      <w:r w:rsidRPr="00CC0313">
        <w:rPr>
          <w:b/>
          <w:color w:val="000000"/>
          <w:sz w:val="32"/>
          <w:szCs w:val="32"/>
        </w:rPr>
        <w:t xml:space="preserve">Early Detection and prediction of survival of patients with Hepatocellular Carcinoma Using Transient Elastography </w:t>
      </w:r>
    </w:p>
    <w:p w14:paraId="68D5BF89" w14:textId="55D4B536" w:rsidR="00CC0313" w:rsidRDefault="00CC0313" w:rsidP="00CC0313">
      <w:pPr>
        <w:spacing w:line="480" w:lineRule="auto"/>
        <w:jc w:val="both"/>
        <w:rPr>
          <w:sz w:val="28"/>
          <w:szCs w:val="28"/>
          <w:vertAlign w:val="superscript"/>
        </w:rPr>
      </w:pPr>
      <w:r>
        <w:rPr>
          <w:sz w:val="28"/>
          <w:szCs w:val="28"/>
        </w:rPr>
        <w:t xml:space="preserve">Mohamed B. </w:t>
      </w:r>
      <w:bookmarkStart w:id="0" w:name="_Hlk151846298"/>
      <w:r>
        <w:rPr>
          <w:sz w:val="28"/>
          <w:szCs w:val="28"/>
        </w:rPr>
        <w:t>Hash</w:t>
      </w:r>
      <w:r w:rsidR="00B35F10">
        <w:rPr>
          <w:sz w:val="28"/>
          <w:szCs w:val="28"/>
        </w:rPr>
        <w:t>e</w:t>
      </w:r>
      <w:r>
        <w:rPr>
          <w:sz w:val="28"/>
          <w:szCs w:val="28"/>
        </w:rPr>
        <w:t>m</w:t>
      </w:r>
      <w:bookmarkEnd w:id="0"/>
      <w:r>
        <w:rPr>
          <w:sz w:val="28"/>
          <w:szCs w:val="28"/>
          <w:vertAlign w:val="superscript"/>
        </w:rPr>
        <w:t>1</w:t>
      </w:r>
      <w:r>
        <w:rPr>
          <w:sz w:val="28"/>
          <w:szCs w:val="28"/>
        </w:rPr>
        <w:t>, Hend I. Shousha</w:t>
      </w:r>
      <w:r w:rsidR="000E4330">
        <w:rPr>
          <w:sz w:val="28"/>
          <w:szCs w:val="28"/>
          <w:vertAlign w:val="superscript"/>
        </w:rPr>
        <w:t>1,</w:t>
      </w:r>
      <w:r>
        <w:rPr>
          <w:sz w:val="28"/>
          <w:szCs w:val="28"/>
        </w:rPr>
        <w:t xml:space="preserve"> Mohammed N. Abou </w:t>
      </w:r>
      <w:proofErr w:type="spellStart"/>
      <w:r>
        <w:rPr>
          <w:sz w:val="28"/>
          <w:szCs w:val="28"/>
        </w:rPr>
        <w:t>Hia</w:t>
      </w:r>
      <w:proofErr w:type="spellEnd"/>
      <w:r>
        <w:rPr>
          <w:sz w:val="28"/>
          <w:szCs w:val="28"/>
        </w:rPr>
        <w:t xml:space="preserve"> Allah</w:t>
      </w:r>
      <w:r>
        <w:rPr>
          <w:sz w:val="28"/>
          <w:szCs w:val="28"/>
          <w:vertAlign w:val="superscript"/>
        </w:rPr>
        <w:t>2</w:t>
      </w:r>
      <w:r>
        <w:rPr>
          <w:sz w:val="28"/>
          <w:szCs w:val="28"/>
        </w:rPr>
        <w:t>, Ashraf O. Abdelaziz</w:t>
      </w:r>
      <w:r>
        <w:rPr>
          <w:sz w:val="28"/>
          <w:szCs w:val="28"/>
          <w:vertAlign w:val="superscript"/>
        </w:rPr>
        <w:t>1</w:t>
      </w:r>
      <w:r>
        <w:rPr>
          <w:sz w:val="28"/>
          <w:szCs w:val="28"/>
        </w:rPr>
        <w:t>, Mohammed H. Al-Nadry</w:t>
      </w:r>
      <w:r>
        <w:rPr>
          <w:sz w:val="28"/>
          <w:szCs w:val="28"/>
          <w:vertAlign w:val="superscript"/>
        </w:rPr>
        <w:t>2</w:t>
      </w:r>
      <w:r>
        <w:rPr>
          <w:sz w:val="28"/>
          <w:szCs w:val="28"/>
        </w:rPr>
        <w:t>, Walid M. Gomaa</w:t>
      </w:r>
      <w:r>
        <w:rPr>
          <w:sz w:val="28"/>
          <w:szCs w:val="28"/>
          <w:vertAlign w:val="superscript"/>
        </w:rPr>
        <w:t>2</w:t>
      </w:r>
      <w:r>
        <w:rPr>
          <w:sz w:val="28"/>
          <w:szCs w:val="28"/>
        </w:rPr>
        <w:t>, Mohamed M. Abdel-Halim</w:t>
      </w:r>
      <w:r>
        <w:rPr>
          <w:sz w:val="28"/>
          <w:szCs w:val="28"/>
          <w:vertAlign w:val="superscript"/>
        </w:rPr>
        <w:t>2</w:t>
      </w:r>
      <w:r>
        <w:rPr>
          <w:sz w:val="28"/>
          <w:szCs w:val="28"/>
        </w:rPr>
        <w:t>, Mohamed M. Nabeel</w:t>
      </w:r>
      <w:r>
        <w:rPr>
          <w:sz w:val="28"/>
          <w:szCs w:val="28"/>
          <w:vertAlign w:val="superscript"/>
        </w:rPr>
        <w:t>1</w:t>
      </w:r>
      <w:r>
        <w:rPr>
          <w:sz w:val="28"/>
          <w:szCs w:val="28"/>
        </w:rPr>
        <w:t>, Tamer M. elbaz</w:t>
      </w:r>
      <w:r>
        <w:rPr>
          <w:sz w:val="28"/>
          <w:szCs w:val="28"/>
          <w:vertAlign w:val="superscript"/>
        </w:rPr>
        <w:t>1</w:t>
      </w:r>
      <w:r>
        <w:rPr>
          <w:sz w:val="28"/>
          <w:szCs w:val="28"/>
        </w:rPr>
        <w:t>, Ahmed Hosni Abdelmaksoud</w:t>
      </w:r>
      <w:r>
        <w:rPr>
          <w:sz w:val="28"/>
          <w:szCs w:val="28"/>
          <w:vertAlign w:val="superscript"/>
        </w:rPr>
        <w:t>3</w:t>
      </w:r>
      <w:r>
        <w:rPr>
          <w:sz w:val="28"/>
          <w:szCs w:val="28"/>
        </w:rPr>
        <w:t>, Hedy A. Badary</w:t>
      </w:r>
      <w:r>
        <w:rPr>
          <w:sz w:val="28"/>
          <w:szCs w:val="28"/>
          <w:vertAlign w:val="superscript"/>
        </w:rPr>
        <w:t>1</w:t>
      </w:r>
    </w:p>
    <w:p w14:paraId="6B21C6DB" w14:textId="77777777" w:rsidR="00CC0313" w:rsidRDefault="00CC0313" w:rsidP="00CC0313">
      <w:pPr>
        <w:spacing w:line="240" w:lineRule="auto"/>
        <w:jc w:val="both"/>
        <w:rPr>
          <w:sz w:val="24"/>
          <w:szCs w:val="24"/>
        </w:rPr>
      </w:pPr>
      <w:r>
        <w:rPr>
          <w:sz w:val="24"/>
          <w:szCs w:val="24"/>
          <w:vertAlign w:val="superscript"/>
        </w:rPr>
        <w:t>1</w:t>
      </w:r>
      <w:r>
        <w:rPr>
          <w:sz w:val="24"/>
          <w:szCs w:val="24"/>
        </w:rPr>
        <w:t xml:space="preserve"> Endemic medicine and Hepatogastroenterology department, Faculty of Medicine, Cairo University</w:t>
      </w:r>
    </w:p>
    <w:p w14:paraId="09D6A278" w14:textId="16DBD536" w:rsidR="00CC0313" w:rsidRDefault="00CC0313" w:rsidP="00CC0313">
      <w:pPr>
        <w:spacing w:line="240" w:lineRule="auto"/>
        <w:jc w:val="both"/>
        <w:rPr>
          <w:sz w:val="24"/>
          <w:szCs w:val="24"/>
        </w:rPr>
      </w:pPr>
      <w:r>
        <w:rPr>
          <w:sz w:val="24"/>
          <w:szCs w:val="24"/>
          <w:vertAlign w:val="superscript"/>
        </w:rPr>
        <w:t>2</w:t>
      </w:r>
      <w:r>
        <w:rPr>
          <w:sz w:val="24"/>
          <w:szCs w:val="24"/>
        </w:rPr>
        <w:t xml:space="preserve"> Hepatogastroenterology and Infectious Diseases Department, Faculty of Medicine, Al-Azhar University</w:t>
      </w:r>
    </w:p>
    <w:p w14:paraId="0A238015" w14:textId="33B4EE35" w:rsidR="00CC0313" w:rsidRDefault="00CC0313" w:rsidP="00CC0313">
      <w:pPr>
        <w:spacing w:line="240" w:lineRule="auto"/>
        <w:jc w:val="both"/>
        <w:rPr>
          <w:b/>
          <w:color w:val="000000"/>
          <w:sz w:val="28"/>
          <w:szCs w:val="28"/>
          <w:highlight w:val="white"/>
          <w:u w:val="single"/>
        </w:rPr>
      </w:pPr>
      <w:r>
        <w:rPr>
          <w:sz w:val="24"/>
          <w:szCs w:val="24"/>
          <w:vertAlign w:val="superscript"/>
        </w:rPr>
        <w:t xml:space="preserve">3 </w:t>
      </w:r>
      <w:r>
        <w:rPr>
          <w:sz w:val="24"/>
          <w:szCs w:val="24"/>
        </w:rPr>
        <w:t>Diagnostic and Interventional Radiology Department, Faculty of Medicine, Cairo University</w:t>
      </w:r>
    </w:p>
    <w:p w14:paraId="7559D320" w14:textId="10FA145B" w:rsidR="00CC0313" w:rsidRDefault="00CC0313" w:rsidP="00A43DA0">
      <w:pPr>
        <w:spacing w:line="480" w:lineRule="auto"/>
        <w:jc w:val="both"/>
        <w:rPr>
          <w:b/>
          <w:sz w:val="24"/>
          <w:szCs w:val="24"/>
        </w:rPr>
      </w:pPr>
      <w:r>
        <w:rPr>
          <w:b/>
          <w:color w:val="000000"/>
          <w:sz w:val="28"/>
          <w:szCs w:val="28"/>
        </w:rPr>
        <w:t>Corresponding author:</w:t>
      </w:r>
      <w:r>
        <w:rPr>
          <w:sz w:val="24"/>
          <w:szCs w:val="24"/>
          <w:u w:val="single"/>
        </w:rPr>
        <w:t xml:space="preserve"> Mohamed Bassam Hashem</w:t>
      </w:r>
    </w:p>
    <w:p w14:paraId="1205609F" w14:textId="45F26DFC" w:rsidR="00CC0313" w:rsidRDefault="00CC0313" w:rsidP="00CC0313">
      <w:pPr>
        <w:spacing w:line="480" w:lineRule="auto"/>
        <w:rPr>
          <w:sz w:val="24"/>
          <w:szCs w:val="24"/>
        </w:rPr>
      </w:pPr>
      <w:r>
        <w:rPr>
          <w:sz w:val="24"/>
          <w:szCs w:val="24"/>
          <w:u w:val="single"/>
        </w:rPr>
        <w:t xml:space="preserve">Work Address: </w:t>
      </w:r>
      <w:r>
        <w:rPr>
          <w:sz w:val="24"/>
          <w:szCs w:val="24"/>
        </w:rPr>
        <w:t>Endemic Medicine Department, Faculty of Medicine, Cairo University, Egypt.</w:t>
      </w:r>
    </w:p>
    <w:p w14:paraId="2537B5E6" w14:textId="7ADACC0D" w:rsidR="00CC0313" w:rsidRDefault="00CC0313" w:rsidP="00A43DA0">
      <w:pPr>
        <w:spacing w:after="0" w:line="480" w:lineRule="auto"/>
        <w:rPr>
          <w:sz w:val="24"/>
          <w:szCs w:val="24"/>
          <w:u w:val="single"/>
        </w:rPr>
      </w:pPr>
      <w:r>
        <w:rPr>
          <w:sz w:val="24"/>
          <w:szCs w:val="24"/>
          <w:u w:val="single"/>
        </w:rPr>
        <w:t>Postal code:</w:t>
      </w:r>
      <w:r>
        <w:rPr>
          <w:sz w:val="24"/>
          <w:szCs w:val="24"/>
        </w:rPr>
        <w:t xml:space="preserve"> 11562</w:t>
      </w:r>
      <w:r w:rsidR="00A43DA0">
        <w:rPr>
          <w:sz w:val="24"/>
          <w:szCs w:val="24"/>
        </w:rPr>
        <w:t xml:space="preserve">, </w:t>
      </w:r>
      <w:r>
        <w:rPr>
          <w:sz w:val="24"/>
          <w:szCs w:val="24"/>
          <w:u w:val="single"/>
        </w:rPr>
        <w:t>Facsimile</w:t>
      </w:r>
      <w:r>
        <w:rPr>
          <w:sz w:val="24"/>
          <w:szCs w:val="24"/>
        </w:rPr>
        <w:t>: 0225326543</w:t>
      </w:r>
    </w:p>
    <w:p w14:paraId="61D3AAD9" w14:textId="74AEDD6D" w:rsidR="00CC0313" w:rsidRDefault="00CC0313" w:rsidP="00A43DA0">
      <w:pPr>
        <w:spacing w:after="0" w:line="480" w:lineRule="auto"/>
        <w:rPr>
          <w:rFonts w:ascii="Times New Roman" w:eastAsia="Times New Roman" w:hAnsi="Times New Roman" w:cs="Times New Roman"/>
          <w:sz w:val="24"/>
          <w:szCs w:val="24"/>
        </w:rPr>
      </w:pPr>
      <w:r>
        <w:rPr>
          <w:sz w:val="24"/>
          <w:szCs w:val="24"/>
          <w:u w:val="single"/>
        </w:rPr>
        <w:t>E-mail:</w:t>
      </w:r>
      <w:r>
        <w:rPr>
          <w:color w:val="0000FF"/>
          <w:sz w:val="24"/>
          <w:szCs w:val="24"/>
          <w:u w:val="single"/>
        </w:rPr>
        <w:t xml:space="preserve"> </w:t>
      </w:r>
      <w:hyperlink r:id="rId7" w:history="1">
        <w:r w:rsidR="00A43DA0" w:rsidRPr="009A49BA">
          <w:rPr>
            <w:rStyle w:val="Hyperlink"/>
            <w:sz w:val="24"/>
            <w:szCs w:val="24"/>
          </w:rPr>
          <w:t>Mohamed.bassam@kasralainy.edu.eg</w:t>
        </w:r>
      </w:hyperlink>
      <w:r w:rsidR="00A43DA0">
        <w:rPr>
          <w:color w:val="0000FF"/>
          <w:sz w:val="24"/>
          <w:szCs w:val="24"/>
          <w:u w:val="single"/>
        </w:rPr>
        <w:t xml:space="preserve">, </w:t>
      </w:r>
      <w:r>
        <w:rPr>
          <w:color w:val="0000FF"/>
          <w:sz w:val="24"/>
          <w:szCs w:val="24"/>
          <w:u w:val="single"/>
        </w:rPr>
        <w:t>ORCID ID: 0000-0001-7392-3525</w:t>
      </w:r>
    </w:p>
    <w:p w14:paraId="7CC6A73C" w14:textId="119C4B7C" w:rsidR="00A43DA0" w:rsidRPr="00A43DA0" w:rsidRDefault="00A43DA0" w:rsidP="00A43DA0">
      <w:pPr>
        <w:spacing w:line="240" w:lineRule="auto"/>
        <w:rPr>
          <w:rFonts w:cs="Arial"/>
          <w:color w:val="000000"/>
        </w:rPr>
      </w:pPr>
      <w:r w:rsidRPr="00A43DA0">
        <w:rPr>
          <w:rFonts w:cs="Arial"/>
          <w:color w:val="000000"/>
        </w:rPr>
        <w:t xml:space="preserve">DOI: </w:t>
      </w:r>
      <w:hyperlink r:id="rId8" w:history="1">
        <w:r w:rsidR="00233E94" w:rsidRPr="00233E94">
          <w:rPr>
            <w:rStyle w:val="Hyperlink"/>
            <w:rFonts w:cs="Arial"/>
          </w:rPr>
          <w:t>10.21608/AJGH.2023.245244.1039</w:t>
        </w:r>
      </w:hyperlink>
      <w:r w:rsidRPr="00A43DA0">
        <w:rPr>
          <w:rFonts w:cs="Arial"/>
          <w:b/>
          <w:bCs/>
          <w:color w:val="000000"/>
        </w:rPr>
        <w:t>.</w:t>
      </w:r>
    </w:p>
    <w:p w14:paraId="6C0AA6D4" w14:textId="3E2FB615" w:rsidR="00A43DA0" w:rsidRPr="00A43DA0" w:rsidRDefault="00A43DA0" w:rsidP="00A43DA0">
      <w:pPr>
        <w:spacing w:line="240" w:lineRule="auto"/>
        <w:rPr>
          <w:rFonts w:cs="Arial"/>
          <w:color w:val="000000"/>
        </w:rPr>
      </w:pPr>
      <w:r w:rsidRPr="00A43DA0">
        <w:rPr>
          <w:rFonts w:cs="Arial"/>
          <w:color w:val="000000"/>
        </w:rPr>
        <w:t>Submission date:2</w:t>
      </w:r>
      <w:r w:rsidR="0006026A">
        <w:rPr>
          <w:rFonts w:cs="Arial"/>
          <w:color w:val="000000"/>
        </w:rPr>
        <w:t>8</w:t>
      </w:r>
      <w:r w:rsidRPr="00A43DA0">
        <w:rPr>
          <w:rFonts w:cs="Arial"/>
          <w:color w:val="000000"/>
        </w:rPr>
        <w:t xml:space="preserve"> </w:t>
      </w:r>
      <w:r w:rsidR="00B35F10">
        <w:rPr>
          <w:rFonts w:cs="Arial"/>
          <w:color w:val="000000"/>
        </w:rPr>
        <w:t>October</w:t>
      </w:r>
      <w:r w:rsidRPr="00A43DA0">
        <w:rPr>
          <w:rFonts w:cs="Arial"/>
          <w:color w:val="000000"/>
        </w:rPr>
        <w:t xml:space="preserve"> 2023.</w:t>
      </w:r>
    </w:p>
    <w:p w14:paraId="6FAEF17F" w14:textId="1B371F0E" w:rsidR="00A43DA0" w:rsidRPr="00A43DA0" w:rsidRDefault="00A43DA0" w:rsidP="00A43DA0">
      <w:pPr>
        <w:spacing w:line="240" w:lineRule="auto"/>
        <w:rPr>
          <w:rFonts w:cs="Arial"/>
          <w:color w:val="000000"/>
        </w:rPr>
      </w:pPr>
      <w:r w:rsidRPr="00A43DA0">
        <w:rPr>
          <w:rFonts w:cs="Arial"/>
          <w:color w:val="000000"/>
        </w:rPr>
        <w:t xml:space="preserve">Revision date: </w:t>
      </w:r>
      <w:r w:rsidR="00B35F10">
        <w:rPr>
          <w:rFonts w:cs="Arial"/>
          <w:color w:val="000000"/>
        </w:rPr>
        <w:t>16 November</w:t>
      </w:r>
      <w:r w:rsidRPr="00A43DA0">
        <w:rPr>
          <w:rFonts w:cs="Arial"/>
          <w:color w:val="000000"/>
        </w:rPr>
        <w:t xml:space="preserve"> 2023.</w:t>
      </w:r>
    </w:p>
    <w:p w14:paraId="2573974A" w14:textId="219E6D52" w:rsidR="00A43DA0" w:rsidRPr="00A43DA0" w:rsidRDefault="00A43DA0" w:rsidP="00A43DA0">
      <w:pPr>
        <w:spacing w:line="240" w:lineRule="auto"/>
        <w:rPr>
          <w:rFonts w:cs="Arial"/>
          <w:color w:val="000000"/>
        </w:rPr>
      </w:pPr>
      <w:r w:rsidRPr="00A43DA0">
        <w:rPr>
          <w:rFonts w:cs="Arial"/>
          <w:color w:val="000000"/>
        </w:rPr>
        <w:t xml:space="preserve">Acceptance date: </w:t>
      </w:r>
      <w:r w:rsidR="00B35F10">
        <w:rPr>
          <w:rFonts w:cs="Arial"/>
          <w:color w:val="000000"/>
        </w:rPr>
        <w:t>26</w:t>
      </w:r>
      <w:r w:rsidRPr="00A43DA0">
        <w:rPr>
          <w:rFonts w:cs="Arial"/>
          <w:color w:val="000000"/>
        </w:rPr>
        <w:t xml:space="preserve"> November 2023.</w:t>
      </w:r>
    </w:p>
    <w:p w14:paraId="5E7FB8FD" w14:textId="4412F91B" w:rsidR="00A43DA0" w:rsidRPr="00A43DA0" w:rsidRDefault="00A43DA0" w:rsidP="00A43DA0">
      <w:pPr>
        <w:spacing w:line="240" w:lineRule="auto"/>
        <w:rPr>
          <w:rFonts w:cs="Arial"/>
          <w:color w:val="000000"/>
        </w:rPr>
      </w:pPr>
      <w:r w:rsidRPr="00A43DA0">
        <w:rPr>
          <w:rFonts w:cs="Arial"/>
          <w:color w:val="000000"/>
        </w:rPr>
        <w:t xml:space="preserve">Published </w:t>
      </w:r>
      <w:r w:rsidR="00233E94">
        <w:rPr>
          <w:rFonts w:cs="Arial"/>
          <w:color w:val="000000"/>
        </w:rPr>
        <w:t>online</w:t>
      </w:r>
      <w:r w:rsidRPr="00A43DA0">
        <w:rPr>
          <w:rFonts w:cs="Arial"/>
          <w:color w:val="000000"/>
        </w:rPr>
        <w:t xml:space="preserve"> </w:t>
      </w:r>
      <w:r w:rsidR="00233E94">
        <w:rPr>
          <w:rFonts w:cs="Arial"/>
          <w:color w:val="000000"/>
        </w:rPr>
        <w:t>December</w:t>
      </w:r>
      <w:r w:rsidRPr="00A43DA0">
        <w:rPr>
          <w:rFonts w:cs="Arial"/>
          <w:color w:val="000000"/>
        </w:rPr>
        <w:t xml:space="preserve"> 2023.</w:t>
      </w:r>
    </w:p>
    <w:p w14:paraId="018B3FCB" w14:textId="77777777" w:rsidR="00CC0313" w:rsidRDefault="00CC0313">
      <w:pPr>
        <w:spacing w:line="360" w:lineRule="auto"/>
        <w:ind w:right="-761"/>
        <w:rPr>
          <w:b/>
          <w:color w:val="000000"/>
          <w:sz w:val="36"/>
          <w:szCs w:val="36"/>
          <w:highlight w:val="white"/>
          <w:u w:val="single"/>
        </w:rPr>
      </w:pPr>
    </w:p>
    <w:p w14:paraId="7F40341C" w14:textId="25351C4B" w:rsidR="006B4636" w:rsidRPr="00B35F10" w:rsidRDefault="00000000">
      <w:pPr>
        <w:spacing w:line="360" w:lineRule="auto"/>
        <w:ind w:right="-761"/>
        <w:rPr>
          <w:b/>
          <w:color w:val="000000"/>
          <w:sz w:val="28"/>
          <w:szCs w:val="28"/>
          <w:highlight w:val="white"/>
          <w:u w:val="single"/>
        </w:rPr>
      </w:pPr>
      <w:r w:rsidRPr="00B35F10">
        <w:rPr>
          <w:b/>
          <w:color w:val="000000"/>
          <w:sz w:val="28"/>
          <w:szCs w:val="28"/>
          <w:highlight w:val="white"/>
          <w:u w:val="single"/>
        </w:rPr>
        <w:lastRenderedPageBreak/>
        <w:t>Abstract</w:t>
      </w:r>
    </w:p>
    <w:p w14:paraId="04A7F9BC" w14:textId="376275D0" w:rsidR="00160088" w:rsidRPr="00CC40E8" w:rsidRDefault="00CC40E8" w:rsidP="00160088">
      <w:pPr>
        <w:spacing w:line="480" w:lineRule="auto"/>
        <w:ind w:right="-761"/>
        <w:jc w:val="both"/>
        <w:rPr>
          <w:b/>
          <w:color w:val="000000"/>
          <w:sz w:val="24"/>
          <w:szCs w:val="24"/>
        </w:rPr>
      </w:pPr>
      <w:r w:rsidRPr="00CC40E8">
        <w:rPr>
          <w:b/>
          <w:color w:val="000000"/>
          <w:sz w:val="24"/>
          <w:szCs w:val="24"/>
        </w:rPr>
        <w:t>B</w:t>
      </w:r>
      <w:r w:rsidR="00231D02" w:rsidRPr="00CC40E8">
        <w:rPr>
          <w:b/>
          <w:color w:val="000000"/>
          <w:sz w:val="24"/>
          <w:szCs w:val="24"/>
        </w:rPr>
        <w:t>ackground</w:t>
      </w:r>
      <w:r w:rsidR="00160088" w:rsidRPr="00CC40E8">
        <w:rPr>
          <w:b/>
          <w:color w:val="000000"/>
          <w:sz w:val="24"/>
          <w:szCs w:val="24"/>
        </w:rPr>
        <w:t>:</w:t>
      </w:r>
    </w:p>
    <w:p w14:paraId="3B244DCE" w14:textId="639274BC" w:rsidR="00160088" w:rsidRPr="00973FA4" w:rsidRDefault="00160088" w:rsidP="00160088">
      <w:pPr>
        <w:spacing w:line="480" w:lineRule="auto"/>
        <w:ind w:right="-761"/>
        <w:jc w:val="both"/>
        <w:rPr>
          <w:bCs/>
          <w:color w:val="000000"/>
          <w:sz w:val="24"/>
          <w:szCs w:val="24"/>
        </w:rPr>
      </w:pPr>
      <w:r w:rsidRPr="00973FA4">
        <w:rPr>
          <w:bCs/>
          <w:color w:val="000000"/>
          <w:sz w:val="24"/>
          <w:szCs w:val="24"/>
        </w:rPr>
        <w:t xml:space="preserve">Detection of early cases of HCC allows for offering curative interventions </w:t>
      </w:r>
      <w:r w:rsidR="00A06319">
        <w:rPr>
          <w:bCs/>
          <w:color w:val="000000"/>
          <w:sz w:val="24"/>
          <w:szCs w:val="24"/>
        </w:rPr>
        <w:t>that</w:t>
      </w:r>
      <w:r w:rsidRPr="00973FA4">
        <w:rPr>
          <w:bCs/>
          <w:color w:val="000000"/>
          <w:sz w:val="24"/>
          <w:szCs w:val="24"/>
        </w:rPr>
        <w:t xml:space="preserve"> may </w:t>
      </w:r>
      <w:r w:rsidR="00A06319">
        <w:rPr>
          <w:bCs/>
          <w:color w:val="000000"/>
          <w:sz w:val="24"/>
          <w:szCs w:val="24"/>
        </w:rPr>
        <w:t>positively impact</w:t>
      </w:r>
      <w:r w:rsidRPr="00973FA4">
        <w:rPr>
          <w:bCs/>
          <w:color w:val="000000"/>
          <w:sz w:val="24"/>
          <w:szCs w:val="24"/>
        </w:rPr>
        <w:t xml:space="preserve"> the survival of patients. Screening depends on the use of ultrasound with or without </w:t>
      </w:r>
      <w:r w:rsidR="00A06319">
        <w:rPr>
          <w:bCs/>
          <w:color w:val="000000"/>
          <w:sz w:val="24"/>
          <w:szCs w:val="24"/>
        </w:rPr>
        <w:t>alpha-fetoprotein</w:t>
      </w:r>
      <w:r w:rsidRPr="00973FA4">
        <w:rPr>
          <w:bCs/>
          <w:color w:val="000000"/>
          <w:sz w:val="24"/>
          <w:szCs w:val="24"/>
        </w:rPr>
        <w:t xml:space="preserve">. However, some cases might </w:t>
      </w:r>
      <w:r w:rsidR="000E4330">
        <w:rPr>
          <w:bCs/>
          <w:color w:val="000000"/>
          <w:sz w:val="24"/>
          <w:szCs w:val="24"/>
        </w:rPr>
        <w:t>need to be noticed,</w:t>
      </w:r>
      <w:r w:rsidRPr="00973FA4">
        <w:rPr>
          <w:bCs/>
          <w:color w:val="000000"/>
          <w:sz w:val="24"/>
          <w:szCs w:val="24"/>
        </w:rPr>
        <w:t xml:space="preserve"> so alternatives are needed. Transient elastography can be studied as an effective alternative</w:t>
      </w:r>
      <w:r w:rsidR="00A61BC1">
        <w:rPr>
          <w:bCs/>
          <w:color w:val="000000"/>
          <w:sz w:val="24"/>
          <w:szCs w:val="24"/>
        </w:rPr>
        <w:t>.</w:t>
      </w:r>
    </w:p>
    <w:p w14:paraId="7AC9ADA0" w14:textId="77777777" w:rsidR="00160088" w:rsidRPr="00CC40E8" w:rsidRDefault="00160088" w:rsidP="00160088">
      <w:pPr>
        <w:spacing w:line="480" w:lineRule="auto"/>
        <w:ind w:right="-761"/>
        <w:jc w:val="both"/>
        <w:rPr>
          <w:b/>
          <w:color w:val="000000"/>
          <w:sz w:val="24"/>
          <w:szCs w:val="24"/>
        </w:rPr>
      </w:pPr>
      <w:r w:rsidRPr="00CC40E8">
        <w:rPr>
          <w:b/>
          <w:color w:val="000000"/>
          <w:sz w:val="24"/>
          <w:szCs w:val="24"/>
        </w:rPr>
        <w:t>Methods:</w:t>
      </w:r>
    </w:p>
    <w:p w14:paraId="2616D281" w14:textId="656CD3CE" w:rsidR="00160088" w:rsidRPr="00973FA4" w:rsidRDefault="00160088" w:rsidP="00160088">
      <w:pPr>
        <w:spacing w:line="480" w:lineRule="auto"/>
        <w:ind w:right="-761"/>
        <w:jc w:val="both"/>
        <w:rPr>
          <w:bCs/>
          <w:color w:val="000000"/>
          <w:sz w:val="24"/>
          <w:szCs w:val="24"/>
        </w:rPr>
      </w:pPr>
      <w:r w:rsidRPr="00973FA4">
        <w:rPr>
          <w:bCs/>
          <w:color w:val="000000"/>
          <w:sz w:val="24"/>
          <w:szCs w:val="24"/>
        </w:rPr>
        <w:t xml:space="preserve">Patients were divided into </w:t>
      </w:r>
      <w:r w:rsidR="00CC0313" w:rsidRPr="00973FA4">
        <w:rPr>
          <w:bCs/>
          <w:color w:val="000000"/>
          <w:sz w:val="24"/>
          <w:szCs w:val="24"/>
        </w:rPr>
        <w:t>groups</w:t>
      </w:r>
      <w:r w:rsidRPr="00973FA4">
        <w:rPr>
          <w:bCs/>
          <w:color w:val="000000"/>
          <w:sz w:val="24"/>
          <w:szCs w:val="24"/>
        </w:rPr>
        <w:t xml:space="preserve"> with liver cirrhosis and HCC and another group without HCC. Demographic criteria and laboratory </w:t>
      </w:r>
      <w:r w:rsidR="00A06319">
        <w:rPr>
          <w:bCs/>
          <w:color w:val="000000"/>
          <w:sz w:val="24"/>
          <w:szCs w:val="24"/>
        </w:rPr>
        <w:t>profiles</w:t>
      </w:r>
      <w:r w:rsidRPr="00973FA4">
        <w:rPr>
          <w:bCs/>
          <w:color w:val="000000"/>
          <w:sz w:val="24"/>
          <w:szCs w:val="24"/>
        </w:rPr>
        <w:t xml:space="preserve"> were compared. Transient elastography was then performed</w:t>
      </w:r>
      <w:r w:rsidR="00A06319">
        <w:rPr>
          <w:bCs/>
          <w:color w:val="000000"/>
          <w:sz w:val="24"/>
          <w:szCs w:val="24"/>
        </w:rPr>
        <w:t>,</w:t>
      </w:r>
      <w:r w:rsidRPr="00973FA4">
        <w:rPr>
          <w:bCs/>
          <w:color w:val="000000"/>
          <w:sz w:val="24"/>
          <w:szCs w:val="24"/>
        </w:rPr>
        <w:t xml:space="preserve"> and values of </w:t>
      </w:r>
      <w:r w:rsidR="00A61BC1" w:rsidRPr="00B15F39">
        <w:rPr>
          <w:bCs/>
          <w:color w:val="000000"/>
          <w:sz w:val="24"/>
          <w:szCs w:val="24"/>
        </w:rPr>
        <w:t>Controlled Attenuation Parameters</w:t>
      </w:r>
      <w:r w:rsidR="00A61BC1" w:rsidRPr="00A61BC1">
        <w:rPr>
          <w:bCs/>
          <w:color w:val="FF0000"/>
          <w:sz w:val="24"/>
          <w:szCs w:val="24"/>
        </w:rPr>
        <w:t xml:space="preserve"> </w:t>
      </w:r>
      <w:r w:rsidR="00A61BC1">
        <w:rPr>
          <w:bCs/>
          <w:color w:val="000000"/>
          <w:sz w:val="24"/>
          <w:szCs w:val="24"/>
        </w:rPr>
        <w:t>(</w:t>
      </w:r>
      <w:r w:rsidRPr="00973FA4">
        <w:rPr>
          <w:bCs/>
          <w:color w:val="000000"/>
          <w:sz w:val="24"/>
          <w:szCs w:val="24"/>
        </w:rPr>
        <w:t>CAP</w:t>
      </w:r>
      <w:r w:rsidR="00A61BC1">
        <w:rPr>
          <w:bCs/>
          <w:color w:val="000000"/>
          <w:sz w:val="24"/>
          <w:szCs w:val="24"/>
        </w:rPr>
        <w:t>)</w:t>
      </w:r>
      <w:r w:rsidRPr="00973FA4">
        <w:rPr>
          <w:bCs/>
          <w:color w:val="000000"/>
          <w:sz w:val="24"/>
          <w:szCs w:val="24"/>
        </w:rPr>
        <w:t xml:space="preserve"> and liver stiffness were compared between both groups.</w:t>
      </w:r>
    </w:p>
    <w:p w14:paraId="5496709C" w14:textId="77777777" w:rsidR="00160088" w:rsidRPr="00CC40E8" w:rsidRDefault="00160088" w:rsidP="00160088">
      <w:pPr>
        <w:spacing w:line="480" w:lineRule="auto"/>
        <w:ind w:right="-761"/>
        <w:jc w:val="both"/>
        <w:rPr>
          <w:b/>
          <w:color w:val="000000"/>
          <w:sz w:val="24"/>
          <w:szCs w:val="24"/>
        </w:rPr>
      </w:pPr>
      <w:r w:rsidRPr="00CC40E8">
        <w:rPr>
          <w:b/>
          <w:color w:val="000000"/>
          <w:sz w:val="24"/>
          <w:szCs w:val="24"/>
        </w:rPr>
        <w:t>Results:</w:t>
      </w:r>
    </w:p>
    <w:p w14:paraId="2A6AF108" w14:textId="1A318845" w:rsidR="00160088" w:rsidRPr="00973FA4" w:rsidRDefault="00A06319" w:rsidP="00160088">
      <w:pPr>
        <w:spacing w:line="480" w:lineRule="auto"/>
        <w:ind w:right="-761"/>
        <w:jc w:val="both"/>
        <w:rPr>
          <w:bCs/>
          <w:color w:val="000000"/>
          <w:sz w:val="24"/>
          <w:szCs w:val="24"/>
        </w:rPr>
      </w:pPr>
      <w:r>
        <w:rPr>
          <w:bCs/>
          <w:color w:val="000000"/>
          <w:sz w:val="24"/>
          <w:szCs w:val="24"/>
        </w:rPr>
        <w:t>One hundred thirty-three</w:t>
      </w:r>
      <w:r w:rsidR="00160088" w:rsidRPr="00973FA4">
        <w:rPr>
          <w:bCs/>
          <w:color w:val="000000"/>
          <w:sz w:val="24"/>
          <w:szCs w:val="24"/>
        </w:rPr>
        <w:t xml:space="preserve"> patients with liver cirrhosis and HCC and 133 patients without HCC were studied. Our study showed that patients with HCC had significantly lower steatosis as measured by CAP using transient elastography (p-value &lt; 0.001). However, they had </w:t>
      </w:r>
      <w:r>
        <w:rPr>
          <w:bCs/>
          <w:color w:val="000000"/>
          <w:sz w:val="24"/>
          <w:szCs w:val="24"/>
        </w:rPr>
        <w:t>substantially</w:t>
      </w:r>
      <w:r w:rsidR="00160088" w:rsidRPr="00973FA4">
        <w:rPr>
          <w:bCs/>
          <w:color w:val="000000"/>
          <w:sz w:val="24"/>
          <w:szCs w:val="24"/>
        </w:rPr>
        <w:t xml:space="preserve"> higher fibrosis (p-value &lt; 0.001). A cutoff level of &gt;24.3 Kpa showed a 90.5% sensitivity, 85.7% specificity, 86.4% PPV and 90% NPV for </w:t>
      </w:r>
      <w:r>
        <w:rPr>
          <w:bCs/>
          <w:color w:val="000000"/>
          <w:sz w:val="24"/>
          <w:szCs w:val="24"/>
        </w:rPr>
        <w:t>predicting</w:t>
      </w:r>
      <w:r w:rsidR="00160088" w:rsidRPr="00973FA4">
        <w:rPr>
          <w:bCs/>
          <w:color w:val="000000"/>
          <w:sz w:val="24"/>
          <w:szCs w:val="24"/>
        </w:rPr>
        <w:t xml:space="preserve"> the occurrence of HCC. By using univariate analysis, smoking was </w:t>
      </w:r>
      <w:r w:rsidR="00FF5A9B">
        <w:rPr>
          <w:bCs/>
          <w:color w:val="000000"/>
          <w:sz w:val="24"/>
          <w:szCs w:val="24"/>
        </w:rPr>
        <w:t xml:space="preserve">a significant predictor for mortality of HCC patients. In contrast, the multivariate analysis showed that gender was an </w:t>
      </w:r>
      <w:r w:rsidR="00160088" w:rsidRPr="00973FA4">
        <w:rPr>
          <w:bCs/>
          <w:color w:val="000000"/>
          <w:sz w:val="24"/>
          <w:szCs w:val="24"/>
        </w:rPr>
        <w:t>independent predictor for mortality in patients with HCC. Liver stiffness measurement was not shown to predict survival in patients with HCC.</w:t>
      </w:r>
    </w:p>
    <w:p w14:paraId="63AD8A02" w14:textId="77777777" w:rsidR="00160088" w:rsidRPr="00CC40E8" w:rsidRDefault="00160088" w:rsidP="00160088">
      <w:pPr>
        <w:spacing w:line="480" w:lineRule="auto"/>
        <w:ind w:right="-761"/>
        <w:jc w:val="both"/>
        <w:rPr>
          <w:b/>
          <w:color w:val="000000"/>
          <w:sz w:val="24"/>
          <w:szCs w:val="24"/>
        </w:rPr>
      </w:pPr>
      <w:r w:rsidRPr="00CC40E8">
        <w:rPr>
          <w:b/>
          <w:color w:val="000000"/>
          <w:sz w:val="24"/>
          <w:szCs w:val="24"/>
        </w:rPr>
        <w:t>Conclusion:</w:t>
      </w:r>
    </w:p>
    <w:p w14:paraId="13946138" w14:textId="497597D9" w:rsidR="00160088" w:rsidRPr="00973FA4" w:rsidRDefault="00160088" w:rsidP="00160088">
      <w:pPr>
        <w:spacing w:line="480" w:lineRule="auto"/>
        <w:ind w:right="-761"/>
        <w:jc w:val="both"/>
        <w:rPr>
          <w:bCs/>
          <w:color w:val="000000"/>
          <w:sz w:val="24"/>
          <w:szCs w:val="24"/>
        </w:rPr>
      </w:pPr>
      <w:r w:rsidRPr="00973FA4">
        <w:rPr>
          <w:bCs/>
          <w:color w:val="000000"/>
          <w:sz w:val="24"/>
          <w:szCs w:val="24"/>
        </w:rPr>
        <w:t>Detection of early HCC is essential to gain the utmost benefit from the available therapeutic options. Transient elastography may provide a tool for diagnosing patients in the early stages. However, it might not be a good predictor of overall survival.</w:t>
      </w:r>
    </w:p>
    <w:p w14:paraId="0FABA4B5" w14:textId="77777777" w:rsidR="006B4636" w:rsidRDefault="00000000">
      <w:pPr>
        <w:spacing w:line="480" w:lineRule="auto"/>
        <w:ind w:right="-761"/>
        <w:jc w:val="both"/>
        <w:rPr>
          <w:color w:val="000000"/>
          <w:sz w:val="24"/>
          <w:szCs w:val="24"/>
        </w:rPr>
      </w:pPr>
      <w:r>
        <w:rPr>
          <w:b/>
          <w:sz w:val="24"/>
          <w:szCs w:val="24"/>
        </w:rPr>
        <w:t>Keywords:</w:t>
      </w:r>
      <w:r>
        <w:rPr>
          <w:b/>
          <w:color w:val="000000"/>
          <w:sz w:val="24"/>
          <w:szCs w:val="24"/>
          <w:highlight w:val="white"/>
          <w:u w:val="single"/>
        </w:rPr>
        <w:t xml:space="preserve"> </w:t>
      </w:r>
      <w:r>
        <w:rPr>
          <w:color w:val="000000"/>
          <w:sz w:val="24"/>
          <w:szCs w:val="24"/>
        </w:rPr>
        <w:t>Hepatitis C, HCC, Screening, Liver fibrosis, Transient elastography</w:t>
      </w:r>
    </w:p>
    <w:p w14:paraId="3E0C9505" w14:textId="1C189852" w:rsidR="006B4636" w:rsidRDefault="00000000">
      <w:pPr>
        <w:spacing w:line="480" w:lineRule="auto"/>
        <w:ind w:right="-761"/>
        <w:jc w:val="both"/>
        <w:rPr>
          <w:b/>
          <w:color w:val="000000"/>
          <w:sz w:val="28"/>
          <w:szCs w:val="28"/>
          <w:highlight w:val="white"/>
          <w:u w:val="single"/>
        </w:rPr>
      </w:pPr>
      <w:r>
        <w:rPr>
          <w:b/>
          <w:color w:val="000000"/>
          <w:sz w:val="28"/>
          <w:szCs w:val="28"/>
          <w:highlight w:val="white"/>
          <w:u w:val="single"/>
        </w:rPr>
        <w:t>Introduction</w:t>
      </w:r>
    </w:p>
    <w:p w14:paraId="03BDA3CE" w14:textId="1B19207C" w:rsidR="006B4636" w:rsidRDefault="00000000">
      <w:pPr>
        <w:spacing w:before="240" w:after="120" w:line="480" w:lineRule="auto"/>
        <w:ind w:firstLine="720"/>
        <w:jc w:val="both"/>
        <w:rPr>
          <w:color w:val="000000"/>
          <w:sz w:val="24"/>
          <w:szCs w:val="24"/>
        </w:rPr>
      </w:pPr>
      <w:r>
        <w:rPr>
          <w:color w:val="000000"/>
          <w:sz w:val="24"/>
          <w:szCs w:val="24"/>
        </w:rPr>
        <w:t>Hepatocellular carcinoma (HCC) is a leading cause of mortality and morbidity globally</w:t>
      </w:r>
      <w:r w:rsidR="00044C1D">
        <w:rPr>
          <w:color w:val="000000"/>
          <w:sz w:val="24"/>
          <w:szCs w:val="24"/>
        </w:rPr>
        <w:t>,</w:t>
      </w:r>
      <w:r>
        <w:rPr>
          <w:color w:val="000000"/>
          <w:sz w:val="24"/>
          <w:szCs w:val="24"/>
        </w:rPr>
        <w:t xml:space="preserve"> specifically in Egypt</w:t>
      </w:r>
      <w:r w:rsidR="00044C1D">
        <w:rPr>
          <w:color w:val="000000"/>
          <w:sz w:val="24"/>
          <w:szCs w:val="24"/>
        </w:rPr>
        <w:t>,</w:t>
      </w:r>
      <w:r>
        <w:rPr>
          <w:color w:val="000000"/>
          <w:sz w:val="24"/>
          <w:szCs w:val="24"/>
        </w:rPr>
        <w:t xml:space="preserve"> where Hepatitis C Virus </w:t>
      </w:r>
      <w:r w:rsidR="00973FA4">
        <w:rPr>
          <w:color w:val="000000"/>
          <w:sz w:val="24"/>
          <w:szCs w:val="24"/>
        </w:rPr>
        <w:t xml:space="preserve">infection </w:t>
      </w:r>
      <w:r>
        <w:rPr>
          <w:color w:val="000000"/>
          <w:sz w:val="24"/>
          <w:szCs w:val="24"/>
        </w:rPr>
        <w:t xml:space="preserve">was endemic for decades. This remained a global threat even after the successful introduction of the </w:t>
      </w:r>
      <w:r w:rsidR="00044C1D">
        <w:rPr>
          <w:color w:val="000000"/>
          <w:sz w:val="24"/>
          <w:szCs w:val="24"/>
        </w:rPr>
        <w:t>direct-acting antiviral agent for HCV,</w:t>
      </w:r>
      <w:r>
        <w:rPr>
          <w:color w:val="000000"/>
          <w:sz w:val="24"/>
          <w:szCs w:val="24"/>
        </w:rPr>
        <w:t xml:space="preserve"> and the incidence of HCC was </w:t>
      </w:r>
      <w:r w:rsidR="002F46AB">
        <w:rPr>
          <w:color w:val="000000"/>
          <w:sz w:val="24"/>
          <w:szCs w:val="24"/>
        </w:rPr>
        <w:t xml:space="preserve">still shown to be </w:t>
      </w:r>
      <w:r w:rsidR="00973FA4" w:rsidRPr="00B15F39">
        <w:rPr>
          <w:color w:val="000000"/>
          <w:sz w:val="24"/>
          <w:szCs w:val="24"/>
        </w:rPr>
        <w:t>there</w:t>
      </w:r>
      <w:r w:rsidRPr="00973FA4">
        <w:rPr>
          <w:color w:val="FF0000"/>
          <w:sz w:val="24"/>
          <w:szCs w:val="24"/>
        </w:rPr>
        <w:t xml:space="preserve"> </w:t>
      </w:r>
      <w:r>
        <w:rPr>
          <w:color w:val="000000"/>
          <w:sz w:val="24"/>
          <w:szCs w:val="24"/>
        </w:rPr>
        <w:t xml:space="preserve">after achieving sustained virological response (SVR) to HCV treatment </w:t>
      </w:r>
      <w:r>
        <w:rPr>
          <w:b/>
          <w:color w:val="000000"/>
          <w:sz w:val="24"/>
          <w:szCs w:val="24"/>
        </w:rPr>
        <w:t>(1</w:t>
      </w:r>
      <w:r w:rsidR="00973FA4">
        <w:rPr>
          <w:b/>
          <w:iCs/>
          <w:color w:val="000000"/>
          <w:sz w:val="24"/>
          <w:szCs w:val="24"/>
        </w:rPr>
        <w:t>).</w:t>
      </w:r>
    </w:p>
    <w:p w14:paraId="1D41D826" w14:textId="776ABA1F" w:rsidR="006B4636" w:rsidRDefault="00000000">
      <w:pPr>
        <w:spacing w:before="240" w:after="120" w:line="480" w:lineRule="auto"/>
        <w:ind w:firstLine="720"/>
        <w:jc w:val="both"/>
        <w:rPr>
          <w:color w:val="000000"/>
          <w:sz w:val="24"/>
          <w:szCs w:val="24"/>
        </w:rPr>
      </w:pPr>
      <w:r>
        <w:rPr>
          <w:color w:val="000000"/>
          <w:sz w:val="24"/>
          <w:szCs w:val="24"/>
        </w:rPr>
        <w:t xml:space="preserve">Surveillance programs are applied to patients with liver cirrhosis </w:t>
      </w:r>
      <w:r w:rsidR="00044C1D">
        <w:rPr>
          <w:color w:val="000000"/>
          <w:sz w:val="24"/>
          <w:szCs w:val="24"/>
        </w:rPr>
        <w:t>to</w:t>
      </w:r>
      <w:r>
        <w:rPr>
          <w:color w:val="000000"/>
          <w:sz w:val="24"/>
          <w:szCs w:val="24"/>
        </w:rPr>
        <w:t xml:space="preserve"> diagnose the occurrence of HCC in early stages</w:t>
      </w:r>
      <w:r w:rsidR="00044C1D">
        <w:rPr>
          <w:color w:val="000000"/>
          <w:sz w:val="24"/>
          <w:szCs w:val="24"/>
        </w:rPr>
        <w:t>,</w:t>
      </w:r>
      <w:r>
        <w:rPr>
          <w:color w:val="000000"/>
          <w:sz w:val="24"/>
          <w:szCs w:val="24"/>
        </w:rPr>
        <w:t xml:space="preserve"> which enables the possibility of providing a curative treatment. Currently, the screening modalities for screening for HCC include ultrasound (US) with or without </w:t>
      </w:r>
      <w:r w:rsidR="00044C1D">
        <w:rPr>
          <w:color w:val="000000"/>
          <w:sz w:val="24"/>
          <w:szCs w:val="24"/>
        </w:rPr>
        <w:t>alpha-fetoprotein</w:t>
      </w:r>
      <w:r>
        <w:rPr>
          <w:color w:val="000000"/>
          <w:sz w:val="24"/>
          <w:szCs w:val="24"/>
        </w:rPr>
        <w:t xml:space="preserve"> (AFP) every </w:t>
      </w:r>
      <w:r w:rsidR="00044C1D">
        <w:rPr>
          <w:color w:val="000000"/>
          <w:sz w:val="24"/>
          <w:szCs w:val="24"/>
        </w:rPr>
        <w:t>six</w:t>
      </w:r>
      <w:r>
        <w:rPr>
          <w:color w:val="000000"/>
          <w:sz w:val="24"/>
          <w:szCs w:val="24"/>
        </w:rPr>
        <w:t xml:space="preserve"> months. However, limitations </w:t>
      </w:r>
      <w:r w:rsidR="00FF5A9B">
        <w:rPr>
          <w:color w:val="000000"/>
          <w:sz w:val="24"/>
          <w:szCs w:val="24"/>
        </w:rPr>
        <w:t>exist, and false negative results may be obtained, allowing</w:t>
      </w:r>
      <w:r w:rsidR="00044C1D">
        <w:rPr>
          <w:color w:val="000000"/>
          <w:sz w:val="24"/>
          <w:szCs w:val="24"/>
        </w:rPr>
        <w:t xml:space="preserve"> for missing some cases with HCC,</w:t>
      </w:r>
      <w:r>
        <w:rPr>
          <w:color w:val="000000"/>
          <w:sz w:val="24"/>
          <w:szCs w:val="24"/>
        </w:rPr>
        <w:t xml:space="preserve"> especially those with small lesions. Therefore, other screening modalities are required to aid in catching those with early HCC. </w:t>
      </w:r>
    </w:p>
    <w:p w14:paraId="020DFA22" w14:textId="3B7D7B58" w:rsidR="006B4636" w:rsidRDefault="00C242BF">
      <w:pPr>
        <w:spacing w:before="240" w:after="120" w:line="480" w:lineRule="auto"/>
        <w:ind w:firstLine="720"/>
        <w:jc w:val="both"/>
        <w:rPr>
          <w:color w:val="000000"/>
          <w:sz w:val="24"/>
          <w:szCs w:val="24"/>
        </w:rPr>
      </w:pPr>
      <w:r>
        <w:rPr>
          <w:color w:val="000000"/>
          <w:sz w:val="24"/>
          <w:szCs w:val="24"/>
        </w:rPr>
        <w:t xml:space="preserve">Multiple risk factors exist </w:t>
      </w:r>
      <w:r w:rsidR="00044C1D">
        <w:rPr>
          <w:color w:val="000000"/>
          <w:sz w:val="24"/>
          <w:szCs w:val="24"/>
        </w:rPr>
        <w:t>that</w:t>
      </w:r>
      <w:r>
        <w:rPr>
          <w:color w:val="000000"/>
          <w:sz w:val="24"/>
          <w:szCs w:val="24"/>
        </w:rPr>
        <w:t xml:space="preserve"> can affect the development of HCC</w:t>
      </w:r>
      <w:r w:rsidR="00044C1D">
        <w:rPr>
          <w:color w:val="000000"/>
          <w:sz w:val="24"/>
          <w:szCs w:val="24"/>
        </w:rPr>
        <w:t>. However</w:t>
      </w:r>
      <w:r>
        <w:rPr>
          <w:color w:val="000000"/>
          <w:sz w:val="24"/>
          <w:szCs w:val="24"/>
        </w:rPr>
        <w:t xml:space="preserve">, the presence of advanced liver fibrosis is the most important and common risk factor in chronic liver disease patients </w:t>
      </w:r>
      <w:r w:rsidRPr="00A61BC1">
        <w:rPr>
          <w:b/>
          <w:iCs/>
          <w:color w:val="000000"/>
          <w:sz w:val="24"/>
          <w:szCs w:val="24"/>
        </w:rPr>
        <w:t>(2).</w:t>
      </w:r>
    </w:p>
    <w:p w14:paraId="6D419309" w14:textId="2DFFE766" w:rsidR="006B4636" w:rsidRDefault="00000000">
      <w:pPr>
        <w:spacing w:before="240" w:after="120" w:line="480" w:lineRule="auto"/>
        <w:jc w:val="both"/>
        <w:rPr>
          <w:color w:val="000000"/>
          <w:sz w:val="24"/>
          <w:szCs w:val="24"/>
        </w:rPr>
      </w:pPr>
      <w:r>
        <w:rPr>
          <w:color w:val="000000"/>
          <w:sz w:val="24"/>
          <w:szCs w:val="24"/>
        </w:rPr>
        <w:t xml:space="preserve">Thus, </w:t>
      </w:r>
      <w:r w:rsidR="00044C1D" w:rsidRPr="00FD1EFC">
        <w:rPr>
          <w:color w:val="000000"/>
          <w:sz w:val="24"/>
          <w:szCs w:val="24"/>
        </w:rPr>
        <w:t>assessing liver fibrosis can help detect those with a</w:t>
      </w:r>
      <w:r w:rsidR="00044C1D">
        <w:rPr>
          <w:color w:val="FF0000"/>
          <w:sz w:val="24"/>
          <w:szCs w:val="24"/>
        </w:rPr>
        <w:t xml:space="preserve"> </w:t>
      </w:r>
      <w:r>
        <w:rPr>
          <w:color w:val="000000"/>
          <w:sz w:val="24"/>
          <w:szCs w:val="24"/>
        </w:rPr>
        <w:t>high risk of developing HCC</w:t>
      </w:r>
      <w:r w:rsidR="00C242BF">
        <w:rPr>
          <w:color w:val="000000"/>
          <w:sz w:val="24"/>
          <w:szCs w:val="24"/>
        </w:rPr>
        <w:t xml:space="preserve">. </w:t>
      </w:r>
      <w:r>
        <w:rPr>
          <w:color w:val="000000"/>
          <w:sz w:val="24"/>
          <w:szCs w:val="24"/>
        </w:rPr>
        <w:t>The</w:t>
      </w:r>
      <w:r w:rsidR="00C242BF">
        <w:rPr>
          <w:color w:val="000000"/>
          <w:sz w:val="24"/>
          <w:szCs w:val="24"/>
        </w:rPr>
        <w:t xml:space="preserve"> most accurate assessment for liver fibrosis can be obtained using </w:t>
      </w:r>
      <w:r w:rsidR="00FD1EFC">
        <w:rPr>
          <w:color w:val="000000"/>
          <w:sz w:val="24"/>
          <w:szCs w:val="24"/>
        </w:rPr>
        <w:t xml:space="preserve">a </w:t>
      </w:r>
      <w:r>
        <w:rPr>
          <w:color w:val="000000"/>
          <w:sz w:val="24"/>
          <w:szCs w:val="24"/>
        </w:rPr>
        <w:t xml:space="preserve">liver </w:t>
      </w:r>
      <w:r w:rsidR="00FD1EFC">
        <w:rPr>
          <w:color w:val="000000"/>
          <w:sz w:val="24"/>
          <w:szCs w:val="24"/>
        </w:rPr>
        <w:t>biopsy. However,</w:t>
      </w:r>
      <w:r>
        <w:rPr>
          <w:color w:val="000000"/>
          <w:sz w:val="24"/>
          <w:szCs w:val="24"/>
        </w:rPr>
        <w:t xml:space="preserve"> owing to its drawbacks</w:t>
      </w:r>
      <w:r w:rsidR="002F46AB">
        <w:rPr>
          <w:color w:val="000000"/>
          <w:sz w:val="24"/>
          <w:szCs w:val="24"/>
        </w:rPr>
        <w:t>, such as</w:t>
      </w:r>
      <w:r>
        <w:rPr>
          <w:color w:val="000000"/>
          <w:sz w:val="24"/>
          <w:szCs w:val="24"/>
        </w:rPr>
        <w:t xml:space="preserve"> being an invasive technique with potential complications such as bleeding and infection, other non-invasive methods were established, the most accurate to date being transient elastography.</w:t>
      </w:r>
      <w:r>
        <w:rPr>
          <w:b/>
          <w:i/>
          <w:color w:val="000000"/>
          <w:sz w:val="24"/>
          <w:szCs w:val="24"/>
        </w:rPr>
        <w:t xml:space="preserve"> </w:t>
      </w:r>
    </w:p>
    <w:p w14:paraId="07B2B251" w14:textId="77777777" w:rsidR="006B4636" w:rsidRDefault="00000000">
      <w:pPr>
        <w:spacing w:before="240" w:after="120" w:line="480" w:lineRule="auto"/>
        <w:ind w:firstLine="720"/>
        <w:jc w:val="both"/>
        <w:rPr>
          <w:b/>
          <w:i/>
          <w:color w:val="000000"/>
          <w:sz w:val="24"/>
          <w:szCs w:val="24"/>
        </w:rPr>
      </w:pPr>
      <w:r>
        <w:rPr>
          <w:color w:val="000000"/>
          <w:sz w:val="24"/>
          <w:szCs w:val="24"/>
        </w:rPr>
        <w:t xml:space="preserve">Transient elastography (TE) is a non-invasive diagnostic tool used for evaluating liver fibrosis by measuring the elasticity of the liver parenchyma using ultrasonography (US) </w:t>
      </w:r>
      <w:r>
        <w:rPr>
          <w:b/>
          <w:i/>
          <w:color w:val="000000"/>
          <w:sz w:val="24"/>
          <w:szCs w:val="24"/>
        </w:rPr>
        <w:t>(3).</w:t>
      </w:r>
    </w:p>
    <w:p w14:paraId="6D6F8326" w14:textId="576B751F" w:rsidR="006B4636" w:rsidRDefault="006A3099">
      <w:pPr>
        <w:spacing w:before="240" w:after="120" w:line="480" w:lineRule="auto"/>
        <w:ind w:firstLine="720"/>
        <w:jc w:val="both"/>
        <w:rPr>
          <w:b/>
          <w:i/>
          <w:color w:val="000000"/>
          <w:sz w:val="24"/>
          <w:szCs w:val="24"/>
        </w:rPr>
      </w:pPr>
      <w:r>
        <w:rPr>
          <w:color w:val="000000"/>
          <w:sz w:val="24"/>
          <w:szCs w:val="24"/>
        </w:rPr>
        <w:t xml:space="preserve">Transient elastography </w:t>
      </w:r>
      <w:r w:rsidR="00044C1D">
        <w:rPr>
          <w:color w:val="000000"/>
          <w:sz w:val="24"/>
          <w:szCs w:val="24"/>
        </w:rPr>
        <w:t>helps diagnose</w:t>
      </w:r>
      <w:r>
        <w:rPr>
          <w:color w:val="000000"/>
          <w:sz w:val="24"/>
          <w:szCs w:val="24"/>
        </w:rPr>
        <w:t xml:space="preserve"> early compensated liver cirrhosis. Accordingly, several liver stiffness-based HCC prediction models using TE have been adopted </w:t>
      </w:r>
      <w:r>
        <w:rPr>
          <w:b/>
          <w:i/>
          <w:color w:val="000000"/>
          <w:sz w:val="24"/>
          <w:szCs w:val="24"/>
        </w:rPr>
        <w:t>(4).</w:t>
      </w:r>
    </w:p>
    <w:p w14:paraId="4A261169" w14:textId="474FB1F9" w:rsidR="00917DF7" w:rsidRDefault="00917DF7">
      <w:pPr>
        <w:spacing w:before="240" w:after="120" w:line="480" w:lineRule="auto"/>
        <w:ind w:firstLine="720"/>
        <w:jc w:val="both"/>
        <w:rPr>
          <w:b/>
          <w:i/>
          <w:color w:val="000000"/>
          <w:sz w:val="24"/>
          <w:szCs w:val="24"/>
        </w:rPr>
      </w:pPr>
      <w:r w:rsidRPr="00D0102D">
        <w:rPr>
          <w:color w:val="000000"/>
          <w:sz w:val="24"/>
          <w:szCs w:val="24"/>
        </w:rPr>
        <w:t xml:space="preserve">In addition, </w:t>
      </w:r>
      <w:r w:rsidR="00FD1EFC">
        <w:rPr>
          <w:color w:val="000000"/>
          <w:sz w:val="24"/>
          <w:szCs w:val="24"/>
        </w:rPr>
        <w:t xml:space="preserve">the quantification of liver stiffness was also shown in multiple studies to correlate with the prediction of treatment outcomes and survival in patients with HCC </w:t>
      </w:r>
      <w:r w:rsidR="0042433A">
        <w:rPr>
          <w:b/>
          <w:i/>
          <w:color w:val="000000"/>
          <w:sz w:val="24"/>
          <w:szCs w:val="24"/>
        </w:rPr>
        <w:t>(5).</w:t>
      </w:r>
    </w:p>
    <w:p w14:paraId="3024B5F7" w14:textId="574CB702" w:rsidR="006B4636" w:rsidRDefault="00044C1D">
      <w:pPr>
        <w:spacing w:before="240" w:after="120" w:line="480" w:lineRule="auto"/>
        <w:ind w:firstLine="720"/>
        <w:jc w:val="both"/>
        <w:rPr>
          <w:color w:val="000000"/>
          <w:sz w:val="24"/>
          <w:szCs w:val="24"/>
        </w:rPr>
      </w:pPr>
      <w:r>
        <w:rPr>
          <w:color w:val="000000"/>
          <w:sz w:val="24"/>
          <w:szCs w:val="24"/>
        </w:rPr>
        <w:t>This study aimed</w:t>
      </w:r>
      <w:r w:rsidR="00A61BC1">
        <w:rPr>
          <w:color w:val="000000"/>
          <w:sz w:val="24"/>
          <w:szCs w:val="24"/>
        </w:rPr>
        <w:t xml:space="preserve"> </w:t>
      </w:r>
      <w:r>
        <w:rPr>
          <w:color w:val="000000"/>
          <w:sz w:val="24"/>
          <w:szCs w:val="24"/>
        </w:rPr>
        <w:t xml:space="preserve">to evaluate the role of Transient Elastography (Fibroscan) in </w:t>
      </w:r>
      <w:r w:rsidR="006A3099" w:rsidRPr="00FD1EFC">
        <w:rPr>
          <w:color w:val="000000"/>
          <w:sz w:val="24"/>
          <w:szCs w:val="24"/>
        </w:rPr>
        <w:t xml:space="preserve">triaging </w:t>
      </w:r>
      <w:r w:rsidRPr="00FD1EFC">
        <w:rPr>
          <w:color w:val="000000"/>
          <w:sz w:val="24"/>
          <w:szCs w:val="24"/>
        </w:rPr>
        <w:t>high-risk patients for close follow-up</w:t>
      </w:r>
      <w:r w:rsidR="006A3099" w:rsidRPr="00FD1EFC">
        <w:rPr>
          <w:color w:val="000000"/>
          <w:sz w:val="24"/>
          <w:szCs w:val="24"/>
        </w:rPr>
        <w:t xml:space="preserve"> for early prediction of HCC</w:t>
      </w:r>
      <w:r w:rsidR="006A3099" w:rsidRPr="006A3099">
        <w:rPr>
          <w:color w:val="FF0000"/>
          <w:sz w:val="24"/>
          <w:szCs w:val="24"/>
        </w:rPr>
        <w:t xml:space="preserve"> </w:t>
      </w:r>
      <w:r w:rsidRPr="00917DF7">
        <w:rPr>
          <w:color w:val="000000"/>
          <w:sz w:val="24"/>
          <w:szCs w:val="24"/>
        </w:rPr>
        <w:t xml:space="preserve">and prediction of </w:t>
      </w:r>
      <w:r w:rsidR="006A3099">
        <w:rPr>
          <w:color w:val="000000"/>
          <w:sz w:val="24"/>
          <w:szCs w:val="24"/>
        </w:rPr>
        <w:t xml:space="preserve">their </w:t>
      </w:r>
      <w:r w:rsidRPr="00917DF7">
        <w:rPr>
          <w:color w:val="000000"/>
          <w:sz w:val="24"/>
          <w:szCs w:val="24"/>
        </w:rPr>
        <w:t>survival.</w:t>
      </w:r>
    </w:p>
    <w:p w14:paraId="0B659E33" w14:textId="77777777" w:rsidR="006B4636" w:rsidRDefault="00000000">
      <w:pPr>
        <w:spacing w:line="480" w:lineRule="auto"/>
        <w:ind w:right="-761"/>
        <w:jc w:val="both"/>
        <w:rPr>
          <w:b/>
          <w:color w:val="000000"/>
          <w:sz w:val="28"/>
          <w:szCs w:val="28"/>
          <w:highlight w:val="white"/>
          <w:u w:val="single"/>
        </w:rPr>
      </w:pPr>
      <w:r>
        <w:rPr>
          <w:b/>
          <w:color w:val="000000"/>
          <w:sz w:val="28"/>
          <w:szCs w:val="28"/>
          <w:highlight w:val="white"/>
          <w:u w:val="single"/>
        </w:rPr>
        <w:t>Patients and methods</w:t>
      </w:r>
    </w:p>
    <w:p w14:paraId="5472B95B" w14:textId="77777777" w:rsidR="006B4636" w:rsidRDefault="00000000">
      <w:pPr>
        <w:spacing w:line="480" w:lineRule="auto"/>
        <w:jc w:val="both"/>
        <w:rPr>
          <w:sz w:val="24"/>
          <w:szCs w:val="24"/>
        </w:rPr>
      </w:pPr>
      <w:r>
        <w:rPr>
          <w:b/>
          <w:sz w:val="24"/>
          <w:szCs w:val="24"/>
          <w:u w:val="single"/>
        </w:rPr>
        <w:t>Type of the study:</w:t>
      </w:r>
      <w:r>
        <w:rPr>
          <w:sz w:val="24"/>
          <w:szCs w:val="24"/>
        </w:rPr>
        <w:t xml:space="preserve"> </w:t>
      </w:r>
    </w:p>
    <w:p w14:paraId="1BC8D1B9" w14:textId="4B74FC3C" w:rsidR="00A61BC1" w:rsidRDefault="00000000" w:rsidP="00A61BC1">
      <w:pPr>
        <w:spacing w:line="480" w:lineRule="auto"/>
        <w:jc w:val="both"/>
        <w:rPr>
          <w:sz w:val="24"/>
          <w:szCs w:val="24"/>
        </w:rPr>
      </w:pPr>
      <w:r>
        <w:rPr>
          <w:sz w:val="24"/>
          <w:szCs w:val="24"/>
        </w:rPr>
        <w:t xml:space="preserve">This is an observational study </w:t>
      </w:r>
      <w:r w:rsidR="00A61BC1">
        <w:rPr>
          <w:sz w:val="24"/>
          <w:szCs w:val="24"/>
        </w:rPr>
        <w:t>with a time frame from January 2020 to December 2022</w:t>
      </w:r>
      <w:r w:rsidR="00044C1D">
        <w:rPr>
          <w:sz w:val="24"/>
          <w:szCs w:val="24"/>
        </w:rPr>
        <w:t>,</w:t>
      </w:r>
      <w:r w:rsidR="00A61BC1">
        <w:rPr>
          <w:sz w:val="24"/>
          <w:szCs w:val="24"/>
        </w:rPr>
        <w:t xml:space="preserve"> where patients with HCC were recruited from the multidisciplinary HCC clinic </w:t>
      </w:r>
      <w:r w:rsidR="00044C1D">
        <w:rPr>
          <w:sz w:val="24"/>
          <w:szCs w:val="24"/>
        </w:rPr>
        <w:t xml:space="preserve">at </w:t>
      </w:r>
      <w:proofErr w:type="spellStart"/>
      <w:r w:rsidR="00A61BC1">
        <w:rPr>
          <w:sz w:val="24"/>
          <w:szCs w:val="24"/>
        </w:rPr>
        <w:t>Kasr-Alainy</w:t>
      </w:r>
      <w:proofErr w:type="spellEnd"/>
      <w:r w:rsidR="00A61BC1">
        <w:rPr>
          <w:sz w:val="24"/>
          <w:szCs w:val="24"/>
        </w:rPr>
        <w:t xml:space="preserve"> Hospital, Cairo University, Egypt. In addition, we recruited patients with liver cirrhosis without HCC as a control group from the endemic medicine department </w:t>
      </w:r>
      <w:r w:rsidR="00044C1D">
        <w:rPr>
          <w:sz w:val="24"/>
          <w:szCs w:val="24"/>
        </w:rPr>
        <w:t xml:space="preserve">at </w:t>
      </w:r>
      <w:r w:rsidR="00A61BC1">
        <w:rPr>
          <w:sz w:val="24"/>
          <w:szCs w:val="24"/>
        </w:rPr>
        <w:t xml:space="preserve">Cairo University. </w:t>
      </w:r>
    </w:p>
    <w:p w14:paraId="6CE3D36F" w14:textId="14AA6DEE" w:rsidR="006B4636" w:rsidRDefault="00044C1D">
      <w:pPr>
        <w:spacing w:line="480" w:lineRule="auto"/>
        <w:jc w:val="both"/>
        <w:rPr>
          <w:sz w:val="24"/>
          <w:szCs w:val="24"/>
        </w:rPr>
      </w:pPr>
      <w:r>
        <w:rPr>
          <w:sz w:val="24"/>
          <w:szCs w:val="24"/>
        </w:rPr>
        <w:t>Afterward</w:t>
      </w:r>
      <w:r w:rsidR="00A61BC1">
        <w:rPr>
          <w:sz w:val="24"/>
          <w:szCs w:val="24"/>
        </w:rPr>
        <w:t>, patients with HCC were treated according to international guidelines and followed up to detect survival.</w:t>
      </w:r>
    </w:p>
    <w:p w14:paraId="19BC81AD" w14:textId="08690BE8" w:rsidR="00A61BC1" w:rsidRPr="00FD1EFC" w:rsidRDefault="00A61BC1" w:rsidP="00A61BC1">
      <w:pPr>
        <w:spacing w:line="480" w:lineRule="auto"/>
        <w:ind w:firstLine="720"/>
        <w:jc w:val="both"/>
        <w:rPr>
          <w:sz w:val="24"/>
          <w:szCs w:val="24"/>
        </w:rPr>
      </w:pPr>
      <w:r w:rsidRPr="00FD1EFC">
        <w:rPr>
          <w:sz w:val="24"/>
          <w:szCs w:val="24"/>
        </w:rPr>
        <w:t xml:space="preserve">HCC was diagnosed according to the criteria in the guidelines of the American Association for the </w:t>
      </w:r>
      <w:r w:rsidR="00044C1D" w:rsidRPr="00FD1EFC">
        <w:rPr>
          <w:sz w:val="24"/>
          <w:szCs w:val="24"/>
        </w:rPr>
        <w:t>Study</w:t>
      </w:r>
      <w:r w:rsidRPr="00FD1EFC">
        <w:rPr>
          <w:sz w:val="24"/>
          <w:szCs w:val="24"/>
        </w:rPr>
        <w:t xml:space="preserve"> of Liver Diseases (AASLD), using computerized tomography (CT) or magnetic resonance imaging (MRI) techniques and alpha-fetoprotein (AFP).</w:t>
      </w:r>
    </w:p>
    <w:p w14:paraId="7B334D0B" w14:textId="77777777" w:rsidR="006B4636" w:rsidRDefault="00000000">
      <w:pPr>
        <w:spacing w:line="480" w:lineRule="auto"/>
        <w:jc w:val="both"/>
        <w:rPr>
          <w:b/>
          <w:sz w:val="24"/>
          <w:szCs w:val="24"/>
          <w:u w:val="single"/>
        </w:rPr>
      </w:pPr>
      <w:r>
        <w:rPr>
          <w:b/>
          <w:sz w:val="24"/>
          <w:szCs w:val="24"/>
          <w:u w:val="single"/>
        </w:rPr>
        <w:t>Patients:</w:t>
      </w:r>
    </w:p>
    <w:p w14:paraId="7A1FABC8" w14:textId="77777777" w:rsidR="006B4636" w:rsidRDefault="00000000">
      <w:pPr>
        <w:numPr>
          <w:ilvl w:val="0"/>
          <w:numId w:val="5"/>
        </w:numPr>
        <w:pBdr>
          <w:top w:val="nil"/>
          <w:left w:val="nil"/>
          <w:bottom w:val="nil"/>
          <w:right w:val="nil"/>
          <w:between w:val="nil"/>
        </w:pBdr>
        <w:spacing w:after="0" w:line="480" w:lineRule="auto"/>
        <w:jc w:val="both"/>
        <w:rPr>
          <w:color w:val="000000"/>
          <w:sz w:val="24"/>
          <w:szCs w:val="24"/>
        </w:rPr>
      </w:pPr>
      <w:r>
        <w:rPr>
          <w:color w:val="000000"/>
          <w:sz w:val="24"/>
          <w:szCs w:val="24"/>
        </w:rPr>
        <w:t>control group: patients with liver cirrhosis without HCC (133 patients).</w:t>
      </w:r>
    </w:p>
    <w:p w14:paraId="2C0E238D" w14:textId="77777777" w:rsidR="006B4636" w:rsidRDefault="00000000">
      <w:pPr>
        <w:numPr>
          <w:ilvl w:val="0"/>
          <w:numId w:val="5"/>
        </w:numPr>
        <w:pBdr>
          <w:top w:val="nil"/>
          <w:left w:val="nil"/>
          <w:bottom w:val="nil"/>
          <w:right w:val="nil"/>
          <w:between w:val="nil"/>
        </w:pBdr>
        <w:spacing w:line="480" w:lineRule="auto"/>
        <w:jc w:val="both"/>
        <w:rPr>
          <w:color w:val="000000"/>
          <w:sz w:val="24"/>
          <w:szCs w:val="24"/>
        </w:rPr>
      </w:pPr>
      <w:r>
        <w:rPr>
          <w:color w:val="000000"/>
          <w:sz w:val="24"/>
          <w:szCs w:val="24"/>
        </w:rPr>
        <w:t>HCC group: patients with liver cirrhosis with HCC (133 patients).</w:t>
      </w:r>
    </w:p>
    <w:p w14:paraId="3576907F" w14:textId="77777777" w:rsidR="006B4636" w:rsidRDefault="00000000">
      <w:pPr>
        <w:numPr>
          <w:ilvl w:val="0"/>
          <w:numId w:val="1"/>
        </w:numPr>
        <w:pBdr>
          <w:top w:val="nil"/>
          <w:left w:val="nil"/>
          <w:bottom w:val="nil"/>
          <w:right w:val="nil"/>
          <w:between w:val="nil"/>
        </w:pBdr>
        <w:spacing w:after="0" w:line="480" w:lineRule="auto"/>
        <w:jc w:val="both"/>
        <w:rPr>
          <w:b/>
          <w:color w:val="000000"/>
          <w:sz w:val="24"/>
          <w:szCs w:val="24"/>
          <w:u w:val="single"/>
        </w:rPr>
      </w:pPr>
      <w:r>
        <w:rPr>
          <w:b/>
          <w:color w:val="000000"/>
          <w:sz w:val="24"/>
          <w:szCs w:val="24"/>
        </w:rPr>
        <w:t>Inclusion Criteria:</w:t>
      </w:r>
    </w:p>
    <w:p w14:paraId="20921B6D" w14:textId="64B05661" w:rsidR="006B4636" w:rsidRDefault="00000000">
      <w:pPr>
        <w:numPr>
          <w:ilvl w:val="0"/>
          <w:numId w:val="2"/>
        </w:numPr>
        <w:pBdr>
          <w:top w:val="nil"/>
          <w:left w:val="nil"/>
          <w:bottom w:val="nil"/>
          <w:right w:val="nil"/>
          <w:between w:val="nil"/>
        </w:pBdr>
        <w:spacing w:after="0" w:line="480" w:lineRule="auto"/>
        <w:jc w:val="both"/>
        <w:rPr>
          <w:color w:val="000000"/>
          <w:sz w:val="24"/>
          <w:szCs w:val="24"/>
        </w:rPr>
      </w:pPr>
      <w:r>
        <w:rPr>
          <w:color w:val="000000"/>
          <w:sz w:val="24"/>
          <w:szCs w:val="24"/>
        </w:rPr>
        <w:t xml:space="preserve">Chronic hepatitis C </w:t>
      </w:r>
      <w:r w:rsidR="00044C1D">
        <w:rPr>
          <w:color w:val="000000"/>
          <w:sz w:val="24"/>
          <w:szCs w:val="24"/>
        </w:rPr>
        <w:t>virus-related</w:t>
      </w:r>
      <w:r>
        <w:rPr>
          <w:color w:val="000000"/>
          <w:sz w:val="24"/>
          <w:szCs w:val="24"/>
        </w:rPr>
        <w:t xml:space="preserve"> liver cirrhosis patients with or without HCC.</w:t>
      </w:r>
    </w:p>
    <w:p w14:paraId="2032DC6C" w14:textId="77777777" w:rsidR="006B4636" w:rsidRDefault="00000000">
      <w:pPr>
        <w:numPr>
          <w:ilvl w:val="0"/>
          <w:numId w:val="2"/>
        </w:numPr>
        <w:pBdr>
          <w:top w:val="nil"/>
          <w:left w:val="nil"/>
          <w:bottom w:val="nil"/>
          <w:right w:val="nil"/>
          <w:between w:val="nil"/>
        </w:pBdr>
        <w:spacing w:line="480" w:lineRule="auto"/>
        <w:jc w:val="both"/>
        <w:rPr>
          <w:color w:val="000000"/>
          <w:sz w:val="24"/>
          <w:szCs w:val="24"/>
        </w:rPr>
      </w:pPr>
      <w:r>
        <w:rPr>
          <w:color w:val="000000"/>
          <w:sz w:val="24"/>
          <w:szCs w:val="24"/>
        </w:rPr>
        <w:t>Recently diagnosed HCC patients did not receive any previous treatment for HCC.</w:t>
      </w:r>
    </w:p>
    <w:p w14:paraId="38673873" w14:textId="77777777" w:rsidR="006B4636" w:rsidRDefault="00000000">
      <w:pPr>
        <w:numPr>
          <w:ilvl w:val="0"/>
          <w:numId w:val="1"/>
        </w:numPr>
        <w:pBdr>
          <w:top w:val="nil"/>
          <w:left w:val="nil"/>
          <w:bottom w:val="nil"/>
          <w:right w:val="nil"/>
          <w:between w:val="nil"/>
        </w:pBdr>
        <w:spacing w:after="0" w:line="480" w:lineRule="auto"/>
        <w:jc w:val="both"/>
        <w:rPr>
          <w:b/>
          <w:color w:val="000000"/>
          <w:sz w:val="24"/>
          <w:szCs w:val="24"/>
          <w:u w:val="single"/>
        </w:rPr>
      </w:pPr>
      <w:r>
        <w:rPr>
          <w:b/>
          <w:color w:val="000000"/>
          <w:sz w:val="24"/>
          <w:szCs w:val="24"/>
        </w:rPr>
        <w:t>Exclusion Criteria:</w:t>
      </w:r>
    </w:p>
    <w:p w14:paraId="6AED77BB" w14:textId="7810D78E" w:rsidR="006B4636" w:rsidRDefault="00000000">
      <w:pPr>
        <w:numPr>
          <w:ilvl w:val="0"/>
          <w:numId w:val="4"/>
        </w:numPr>
        <w:pBdr>
          <w:top w:val="nil"/>
          <w:left w:val="nil"/>
          <w:bottom w:val="nil"/>
          <w:right w:val="nil"/>
          <w:between w:val="nil"/>
        </w:pBdr>
        <w:spacing w:after="0" w:line="480" w:lineRule="auto"/>
        <w:jc w:val="both"/>
        <w:rPr>
          <w:color w:val="000000"/>
          <w:sz w:val="24"/>
          <w:szCs w:val="24"/>
        </w:rPr>
      </w:pPr>
      <w:r>
        <w:rPr>
          <w:color w:val="000000"/>
          <w:sz w:val="24"/>
          <w:szCs w:val="24"/>
        </w:rPr>
        <w:t>Patients with other chronic liver diseases than HCV</w:t>
      </w:r>
      <w:r w:rsidR="000E4330">
        <w:rPr>
          <w:color w:val="000000"/>
          <w:sz w:val="24"/>
          <w:szCs w:val="24"/>
        </w:rPr>
        <w:t>, e.g., HBV, alcohol-related, autoimmune liver disease,</w:t>
      </w:r>
      <w:r>
        <w:rPr>
          <w:color w:val="000000"/>
          <w:sz w:val="24"/>
          <w:szCs w:val="24"/>
        </w:rPr>
        <w:t xml:space="preserve"> and patients co-infected with HIV.</w:t>
      </w:r>
    </w:p>
    <w:p w14:paraId="3317269D" w14:textId="77777777" w:rsidR="006B4636" w:rsidRDefault="00000000">
      <w:pPr>
        <w:numPr>
          <w:ilvl w:val="0"/>
          <w:numId w:val="4"/>
        </w:numPr>
        <w:pBdr>
          <w:top w:val="nil"/>
          <w:left w:val="nil"/>
          <w:bottom w:val="nil"/>
          <w:right w:val="nil"/>
          <w:between w:val="nil"/>
        </w:pBdr>
        <w:spacing w:line="480" w:lineRule="auto"/>
        <w:jc w:val="both"/>
        <w:rPr>
          <w:color w:val="000000"/>
          <w:sz w:val="24"/>
          <w:szCs w:val="24"/>
        </w:rPr>
      </w:pPr>
      <w:r>
        <w:rPr>
          <w:color w:val="000000"/>
          <w:sz w:val="24"/>
          <w:szCs w:val="24"/>
        </w:rPr>
        <w:t>HCC patients who received any previous treatment to HCC.</w:t>
      </w:r>
    </w:p>
    <w:p w14:paraId="1A311B3F" w14:textId="77777777" w:rsidR="006B4636" w:rsidRDefault="00000000">
      <w:pPr>
        <w:spacing w:line="480" w:lineRule="auto"/>
        <w:jc w:val="both"/>
        <w:rPr>
          <w:b/>
          <w:sz w:val="24"/>
          <w:szCs w:val="24"/>
          <w:u w:val="single"/>
        </w:rPr>
      </w:pPr>
      <w:r>
        <w:rPr>
          <w:b/>
          <w:sz w:val="24"/>
          <w:szCs w:val="24"/>
          <w:u w:val="single"/>
        </w:rPr>
        <w:t>Methods:</w:t>
      </w:r>
    </w:p>
    <w:p w14:paraId="68EEFAEE" w14:textId="77777777" w:rsidR="006B4636" w:rsidRDefault="00000000">
      <w:pPr>
        <w:spacing w:line="480" w:lineRule="auto"/>
        <w:jc w:val="both"/>
        <w:rPr>
          <w:b/>
          <w:i/>
          <w:sz w:val="24"/>
          <w:szCs w:val="24"/>
        </w:rPr>
      </w:pPr>
      <w:r>
        <w:rPr>
          <w:b/>
          <w:i/>
          <w:sz w:val="24"/>
          <w:szCs w:val="24"/>
        </w:rPr>
        <w:t>All studied patients were subjected to the following:</w:t>
      </w:r>
    </w:p>
    <w:p w14:paraId="331D5B65" w14:textId="3B928380" w:rsidR="006B4636" w:rsidRDefault="00FF5A9B">
      <w:pPr>
        <w:spacing w:line="480" w:lineRule="auto"/>
        <w:jc w:val="both"/>
        <w:rPr>
          <w:sz w:val="24"/>
          <w:szCs w:val="24"/>
        </w:rPr>
      </w:pPr>
      <w:r>
        <w:rPr>
          <w:sz w:val="24"/>
          <w:szCs w:val="24"/>
        </w:rPr>
        <w:t xml:space="preserve">Entire history taking and clinical assessment. Baseline laboratory tests </w:t>
      </w:r>
      <w:r w:rsidR="00B32C42">
        <w:rPr>
          <w:sz w:val="24"/>
          <w:szCs w:val="24"/>
        </w:rPr>
        <w:t>were collected in the form of complete blood count, liver function tests, renal functions, Alpha-fetoprotein (AFP) measurement in addition to tumor characteristics according to the dynamic imaging</w:t>
      </w:r>
      <w:r>
        <w:rPr>
          <w:sz w:val="24"/>
          <w:szCs w:val="24"/>
        </w:rPr>
        <w:t>,</w:t>
      </w:r>
      <w:r w:rsidR="00B32C42">
        <w:rPr>
          <w:sz w:val="24"/>
          <w:szCs w:val="24"/>
        </w:rPr>
        <w:t xml:space="preserve"> whether CT or MRI (focal lesion site, size and number, portal vein,</w:t>
      </w:r>
      <w:r>
        <w:rPr>
          <w:sz w:val="24"/>
          <w:szCs w:val="24"/>
        </w:rPr>
        <w:t xml:space="preserve"> and abdominal lymph node assessment). </w:t>
      </w:r>
    </w:p>
    <w:p w14:paraId="4FBB48E5" w14:textId="77777777" w:rsidR="006B4636" w:rsidRDefault="00000000">
      <w:pPr>
        <w:spacing w:line="480" w:lineRule="auto"/>
        <w:jc w:val="both"/>
        <w:rPr>
          <w:b/>
          <w:sz w:val="24"/>
          <w:szCs w:val="24"/>
        </w:rPr>
      </w:pPr>
      <w:r>
        <w:rPr>
          <w:b/>
          <w:sz w:val="24"/>
          <w:szCs w:val="24"/>
        </w:rPr>
        <w:t>Transient Elastography (Fibroscan):</w:t>
      </w:r>
    </w:p>
    <w:p w14:paraId="5EE860E4" w14:textId="3AF9BDBB" w:rsidR="006B4636" w:rsidRDefault="00000000" w:rsidP="00D335B1">
      <w:pPr>
        <w:spacing w:line="480" w:lineRule="auto"/>
        <w:ind w:firstLine="720"/>
        <w:jc w:val="both"/>
        <w:rPr>
          <w:sz w:val="24"/>
          <w:szCs w:val="24"/>
        </w:rPr>
      </w:pPr>
      <w:r>
        <w:rPr>
          <w:sz w:val="24"/>
          <w:szCs w:val="24"/>
        </w:rPr>
        <w:t xml:space="preserve">The probe was applied on the right hepatic lobe through intercostal spaces on patients lying in the dorsal decubitus position with the right arm in maximal abduction. The tip of the transducer of the probe was placed between the rib bones. The operator, assisted by an ultrasonic time‐motion image, located a liver portion away from HCC and free of large vascular structures. </w:t>
      </w:r>
    </w:p>
    <w:p w14:paraId="13D9F3A8" w14:textId="7ECB8F27" w:rsidR="006B4636" w:rsidRDefault="00000000">
      <w:pPr>
        <w:spacing w:line="480" w:lineRule="auto"/>
        <w:ind w:firstLine="720"/>
        <w:jc w:val="both"/>
        <w:rPr>
          <w:sz w:val="24"/>
          <w:szCs w:val="24"/>
        </w:rPr>
      </w:pPr>
      <w:r>
        <w:rPr>
          <w:sz w:val="24"/>
          <w:szCs w:val="24"/>
        </w:rPr>
        <w:t>An established diagnosis of cirrhosis was obtained by the following criteria: radiological or transient elastography &gt;</w:t>
      </w:r>
      <w:r w:rsidR="00D335B1" w:rsidRPr="00FD1EFC">
        <w:rPr>
          <w:sz w:val="24"/>
          <w:szCs w:val="24"/>
        </w:rPr>
        <w:t>12.5</w:t>
      </w:r>
      <w:r>
        <w:rPr>
          <w:sz w:val="24"/>
          <w:szCs w:val="24"/>
        </w:rPr>
        <w:t xml:space="preserve"> kPa.</w:t>
      </w:r>
    </w:p>
    <w:p w14:paraId="2B652BEE" w14:textId="79E9F52C" w:rsidR="006B4636" w:rsidRDefault="00000000">
      <w:pPr>
        <w:spacing w:line="480" w:lineRule="auto"/>
        <w:ind w:right="60" w:firstLine="720"/>
        <w:jc w:val="both"/>
        <w:rPr>
          <w:sz w:val="24"/>
          <w:szCs w:val="24"/>
        </w:rPr>
      </w:pPr>
      <w:r>
        <w:rPr>
          <w:sz w:val="24"/>
          <w:szCs w:val="24"/>
        </w:rPr>
        <w:t xml:space="preserve">HCC patients were assessed by Eastern Cooperative Oncology Group performance status (PS) </w:t>
      </w:r>
      <w:r>
        <w:rPr>
          <w:b/>
          <w:sz w:val="24"/>
          <w:szCs w:val="24"/>
        </w:rPr>
        <w:t>(</w:t>
      </w:r>
      <w:r w:rsidR="00D0102D">
        <w:rPr>
          <w:b/>
          <w:sz w:val="24"/>
          <w:szCs w:val="24"/>
        </w:rPr>
        <w:t>6</w:t>
      </w:r>
      <w:r>
        <w:rPr>
          <w:b/>
          <w:sz w:val="24"/>
          <w:szCs w:val="24"/>
        </w:rPr>
        <w:t>)</w:t>
      </w:r>
      <w:r>
        <w:rPr>
          <w:sz w:val="24"/>
          <w:szCs w:val="24"/>
        </w:rPr>
        <w:t xml:space="preserve"> and managed according to the Barcelona Clinic Liver Cancer (BCLC) guideline </w:t>
      </w:r>
      <w:r>
        <w:rPr>
          <w:b/>
          <w:sz w:val="24"/>
          <w:szCs w:val="24"/>
        </w:rPr>
        <w:t>(</w:t>
      </w:r>
      <w:r w:rsidR="00D0102D">
        <w:rPr>
          <w:b/>
          <w:sz w:val="24"/>
          <w:szCs w:val="24"/>
        </w:rPr>
        <w:t>7</w:t>
      </w:r>
      <w:r>
        <w:rPr>
          <w:b/>
          <w:sz w:val="24"/>
          <w:szCs w:val="24"/>
        </w:rPr>
        <w:t>)</w:t>
      </w:r>
      <w:r>
        <w:rPr>
          <w:sz w:val="24"/>
          <w:szCs w:val="24"/>
        </w:rPr>
        <w:t xml:space="preserve">. </w:t>
      </w:r>
    </w:p>
    <w:p w14:paraId="63531044" w14:textId="77777777" w:rsidR="006B4636" w:rsidRDefault="00000000">
      <w:pPr>
        <w:spacing w:after="219" w:line="480" w:lineRule="auto"/>
        <w:ind w:left="20"/>
        <w:jc w:val="both"/>
        <w:rPr>
          <w:b/>
          <w:color w:val="000000"/>
          <w:sz w:val="28"/>
          <w:szCs w:val="28"/>
          <w:u w:val="single"/>
        </w:rPr>
      </w:pPr>
      <w:r>
        <w:rPr>
          <w:b/>
          <w:color w:val="000000"/>
          <w:sz w:val="28"/>
          <w:szCs w:val="28"/>
          <w:u w:val="single"/>
        </w:rPr>
        <w:t xml:space="preserve">Statistical analysis </w:t>
      </w:r>
    </w:p>
    <w:p w14:paraId="04A3F37F" w14:textId="0646D7BB" w:rsidR="006B4636" w:rsidRDefault="00000000">
      <w:pPr>
        <w:spacing w:line="480" w:lineRule="auto"/>
        <w:ind w:left="142" w:right="151" w:firstLine="720"/>
        <w:jc w:val="both"/>
        <w:rPr>
          <w:sz w:val="24"/>
          <w:szCs w:val="24"/>
        </w:rPr>
      </w:pPr>
      <w:r>
        <w:rPr>
          <w:sz w:val="24"/>
          <w:szCs w:val="24"/>
        </w:rPr>
        <w:t xml:space="preserve">All statistical analyses were performed using the SPSS program for Windows (version 20 statistical software; Texas </w:t>
      </w:r>
      <w:r w:rsidR="00B32C42">
        <w:rPr>
          <w:sz w:val="24"/>
          <w:szCs w:val="24"/>
        </w:rPr>
        <w:t>Instruments</w:t>
      </w:r>
      <w:r>
        <w:rPr>
          <w:sz w:val="24"/>
          <w:szCs w:val="24"/>
        </w:rPr>
        <w:t xml:space="preserve">, IL, USA). Categorical variables are given as </w:t>
      </w:r>
      <w:r w:rsidR="002F46AB">
        <w:rPr>
          <w:sz w:val="24"/>
          <w:szCs w:val="24"/>
        </w:rPr>
        <w:t>numbers and percentages</w:t>
      </w:r>
      <w:r>
        <w:rPr>
          <w:sz w:val="24"/>
          <w:szCs w:val="24"/>
        </w:rPr>
        <w:t xml:space="preserve">. Continuous data are expressed as the mean and standard deviation or as </w:t>
      </w:r>
      <w:r w:rsidR="00B32C42">
        <w:rPr>
          <w:sz w:val="24"/>
          <w:szCs w:val="24"/>
        </w:rPr>
        <w:t xml:space="preserve">the </w:t>
      </w:r>
      <w:r>
        <w:rPr>
          <w:sz w:val="24"/>
          <w:szCs w:val="24"/>
        </w:rPr>
        <w:t xml:space="preserve">Median with the Interquartile range (25% -75%). Comparison between distributions of categorical variables will be performed using </w:t>
      </w:r>
      <w:r w:rsidR="00B32C42">
        <w:rPr>
          <w:sz w:val="24"/>
          <w:szCs w:val="24"/>
        </w:rPr>
        <w:t>the Chi-square</w:t>
      </w:r>
      <w:r>
        <w:rPr>
          <w:sz w:val="24"/>
          <w:szCs w:val="24"/>
        </w:rPr>
        <w:t xml:space="preserve"> (X</w:t>
      </w:r>
      <w:r>
        <w:rPr>
          <w:sz w:val="24"/>
          <w:szCs w:val="24"/>
          <w:vertAlign w:val="superscript"/>
        </w:rPr>
        <w:t>2</w:t>
      </w:r>
      <w:r>
        <w:rPr>
          <w:sz w:val="24"/>
          <w:szCs w:val="24"/>
        </w:rPr>
        <w:t xml:space="preserve">) test. Besides, variables are described as odds ratio (OR) with </w:t>
      </w:r>
      <w:r w:rsidR="00B32C42">
        <w:rPr>
          <w:sz w:val="24"/>
          <w:szCs w:val="24"/>
        </w:rPr>
        <w:t xml:space="preserve">a </w:t>
      </w:r>
      <w:r>
        <w:rPr>
          <w:sz w:val="24"/>
          <w:szCs w:val="24"/>
        </w:rPr>
        <w:t xml:space="preserve">95% confidence interval (95% CI) where appropriate. The data are considered significant t if </w:t>
      </w:r>
      <w:r>
        <w:rPr>
          <w:i/>
          <w:sz w:val="24"/>
          <w:szCs w:val="24"/>
        </w:rPr>
        <w:t>p</w:t>
      </w:r>
      <w:r>
        <w:rPr>
          <w:sz w:val="24"/>
          <w:szCs w:val="24"/>
        </w:rPr>
        <w:t xml:space="preserve"> values were &lt; 0.05 and highly </w:t>
      </w:r>
      <w:r w:rsidR="00B32C42">
        <w:rPr>
          <w:sz w:val="24"/>
          <w:szCs w:val="24"/>
        </w:rPr>
        <w:t>effective</w:t>
      </w:r>
      <w:r>
        <w:rPr>
          <w:sz w:val="24"/>
          <w:szCs w:val="24"/>
        </w:rPr>
        <w:t xml:space="preserve"> if </w:t>
      </w:r>
      <w:r>
        <w:rPr>
          <w:i/>
          <w:sz w:val="24"/>
          <w:szCs w:val="24"/>
        </w:rPr>
        <w:t>p</w:t>
      </w:r>
      <w:r>
        <w:rPr>
          <w:sz w:val="24"/>
          <w:szCs w:val="24"/>
        </w:rPr>
        <w:t xml:space="preserve"> &lt; 0.01. The associations between the </w:t>
      </w:r>
      <w:r w:rsidR="00B32C42">
        <w:rPr>
          <w:sz w:val="24"/>
          <w:szCs w:val="24"/>
        </w:rPr>
        <w:t>gene</w:t>
      </w:r>
      <w:r>
        <w:rPr>
          <w:sz w:val="24"/>
          <w:szCs w:val="24"/>
        </w:rPr>
        <w:t xml:space="preserve"> polymorphisms and HCC stages will be tested using the crosstabs test. </w:t>
      </w:r>
      <w:r w:rsidR="00FF5A9B">
        <w:rPr>
          <w:sz w:val="24"/>
          <w:szCs w:val="24"/>
        </w:rPr>
        <w:t>The Kaplan</w:t>
      </w:r>
      <w:r>
        <w:rPr>
          <w:sz w:val="24"/>
          <w:szCs w:val="24"/>
        </w:rPr>
        <w:t>-Meier method will be used to calculate the survival rates</w:t>
      </w:r>
      <w:r w:rsidR="00B32C42">
        <w:rPr>
          <w:sz w:val="24"/>
          <w:szCs w:val="24"/>
        </w:rPr>
        <w:t xml:space="preserve">, and the </w:t>
      </w:r>
      <w:proofErr w:type="gramStart"/>
      <w:r w:rsidR="00B32C42">
        <w:rPr>
          <w:sz w:val="24"/>
          <w:szCs w:val="24"/>
        </w:rPr>
        <w:t>log</w:t>
      </w:r>
      <w:proofErr w:type="gramEnd"/>
      <w:r w:rsidR="00B32C42">
        <w:rPr>
          <w:sz w:val="24"/>
          <w:szCs w:val="24"/>
        </w:rPr>
        <w:t>-rank test will be used to test the significance of</w:t>
      </w:r>
      <w:r>
        <w:rPr>
          <w:sz w:val="24"/>
          <w:szCs w:val="24"/>
        </w:rPr>
        <w:t xml:space="preserve"> the difference in the </w:t>
      </w:r>
      <w:r w:rsidR="00B32C42">
        <w:rPr>
          <w:sz w:val="24"/>
          <w:szCs w:val="24"/>
        </w:rPr>
        <w:t>patient’s</w:t>
      </w:r>
      <w:r>
        <w:rPr>
          <w:sz w:val="24"/>
          <w:szCs w:val="24"/>
        </w:rPr>
        <w:t xml:space="preserve"> survival.</w:t>
      </w:r>
    </w:p>
    <w:p w14:paraId="2920809A" w14:textId="77777777" w:rsidR="006B4636" w:rsidRDefault="00000000">
      <w:pPr>
        <w:tabs>
          <w:tab w:val="left" w:pos="4537"/>
        </w:tabs>
        <w:spacing w:after="0" w:line="480" w:lineRule="auto"/>
        <w:ind w:firstLine="720"/>
        <w:jc w:val="both"/>
        <w:rPr>
          <w:b/>
          <w:color w:val="000000"/>
          <w:sz w:val="28"/>
          <w:szCs w:val="28"/>
          <w:highlight w:val="white"/>
          <w:u w:val="single"/>
        </w:rPr>
      </w:pPr>
      <w:r>
        <w:rPr>
          <w:b/>
          <w:color w:val="000000"/>
          <w:sz w:val="28"/>
          <w:szCs w:val="28"/>
          <w:highlight w:val="white"/>
          <w:u w:val="single"/>
        </w:rPr>
        <w:t>Results</w:t>
      </w:r>
    </w:p>
    <w:p w14:paraId="5EF26BD6" w14:textId="62A8CF8F" w:rsidR="006B4636" w:rsidRDefault="00000000">
      <w:pPr>
        <w:spacing w:after="0" w:line="480" w:lineRule="auto"/>
        <w:jc w:val="both"/>
        <w:rPr>
          <w:sz w:val="24"/>
          <w:szCs w:val="24"/>
        </w:rPr>
      </w:pPr>
      <w:r>
        <w:rPr>
          <w:sz w:val="24"/>
          <w:szCs w:val="24"/>
        </w:rPr>
        <w:t>Patients with HCC were significantly older and with male predominance (p-value &lt; 0.001)</w:t>
      </w:r>
      <w:r>
        <w:rPr>
          <w:b/>
          <w:sz w:val="24"/>
          <w:szCs w:val="24"/>
        </w:rPr>
        <w:t xml:space="preserve">. </w:t>
      </w:r>
      <w:r>
        <w:rPr>
          <w:sz w:val="24"/>
          <w:szCs w:val="24"/>
        </w:rPr>
        <w:t xml:space="preserve">There was no difference between the studied groups regarding their BMI. Cigarette smoking was significantly more common in patients with HCC (p-value 0.003). </w:t>
      </w:r>
      <w:r w:rsidR="006F012C">
        <w:rPr>
          <w:sz w:val="24"/>
          <w:szCs w:val="24"/>
        </w:rPr>
        <w:t>We</w:t>
      </w:r>
      <w:r>
        <w:rPr>
          <w:sz w:val="24"/>
          <w:szCs w:val="24"/>
        </w:rPr>
        <w:t xml:space="preserve"> found no significant difference among the studied groups regarding the presence of diabetes mellitus (p-value &gt; 0.05) </w:t>
      </w:r>
      <w:r>
        <w:rPr>
          <w:b/>
          <w:sz w:val="24"/>
          <w:szCs w:val="24"/>
        </w:rPr>
        <w:t>(Tab 1)</w:t>
      </w:r>
    </w:p>
    <w:p w14:paraId="57D0896A" w14:textId="6DAE1043" w:rsidR="00FD1EFC" w:rsidRPr="00FD1EFC" w:rsidRDefault="00FD1EFC" w:rsidP="00FD1EFC">
      <w:pPr>
        <w:pStyle w:val="Caption"/>
        <w:keepNext/>
        <w:rPr>
          <w:b/>
        </w:rPr>
      </w:pPr>
      <w:r w:rsidRPr="00FD1EFC">
        <w:rPr>
          <w:b/>
        </w:rPr>
        <w:t>Tab 1</w:t>
      </w:r>
      <w:r w:rsidR="00B35F10">
        <w:rPr>
          <w:b/>
        </w:rPr>
        <w:t>.</w:t>
      </w:r>
      <w:r w:rsidRPr="00FD1EFC">
        <w:rPr>
          <w:b/>
        </w:rPr>
        <w:t xml:space="preserve"> Demographic features of the studied groups</w:t>
      </w:r>
      <w:r>
        <w:rPr>
          <w:b/>
        </w:rPr>
        <w:t>.</w:t>
      </w:r>
    </w:p>
    <w:tbl>
      <w:tblPr>
        <w:tblStyle w:val="a"/>
        <w:tblW w:w="8989" w:type="dxa"/>
        <w:jc w:val="center"/>
        <w:tblLayout w:type="fixed"/>
        <w:tblLook w:val="0400" w:firstRow="0" w:lastRow="0" w:firstColumn="0" w:lastColumn="0" w:noHBand="0" w:noVBand="1"/>
        <w:tblCaption w:val="Tab (1): Demographic features of the studied groups."/>
        <w:tblDescription w:val="p≤0.05 is considered statistically significant, p≤0.01 is considered high statistically substantial (HS), X2: Chi-square test, ZMWU: Mann-Whitney U Test. "/>
      </w:tblPr>
      <w:tblGrid>
        <w:gridCol w:w="1677"/>
        <w:gridCol w:w="1880"/>
        <w:gridCol w:w="696"/>
        <w:gridCol w:w="1382"/>
        <w:gridCol w:w="851"/>
        <w:gridCol w:w="1370"/>
        <w:gridCol w:w="1133"/>
      </w:tblGrid>
      <w:tr w:rsidR="006B4636" w14:paraId="6E62E9C6" w14:textId="77777777" w:rsidTr="00FD1EFC">
        <w:trPr>
          <w:trHeight w:val="532"/>
          <w:jc w:val="center"/>
        </w:trPr>
        <w:tc>
          <w:tcPr>
            <w:tcW w:w="3557" w:type="dxa"/>
            <w:gridSpan w:val="2"/>
            <w:tcBorders>
              <w:top w:val="single" w:sz="4" w:space="0" w:color="auto"/>
              <w:bottom w:val="single" w:sz="4" w:space="0" w:color="auto"/>
            </w:tcBorders>
          </w:tcPr>
          <w:p w14:paraId="000A638A" w14:textId="77777777" w:rsidR="006B4636" w:rsidRDefault="006B4636">
            <w:pPr>
              <w:widowControl w:val="0"/>
              <w:spacing w:line="360" w:lineRule="auto"/>
              <w:jc w:val="both"/>
            </w:pPr>
          </w:p>
        </w:tc>
        <w:tc>
          <w:tcPr>
            <w:tcW w:w="2078" w:type="dxa"/>
            <w:gridSpan w:val="2"/>
            <w:tcBorders>
              <w:top w:val="single" w:sz="4" w:space="0" w:color="auto"/>
              <w:bottom w:val="single" w:sz="4" w:space="0" w:color="auto"/>
            </w:tcBorders>
          </w:tcPr>
          <w:p w14:paraId="29994341" w14:textId="77777777" w:rsidR="006B4636" w:rsidRDefault="00000000">
            <w:pPr>
              <w:widowControl w:val="0"/>
              <w:spacing w:line="360" w:lineRule="auto"/>
              <w:jc w:val="both"/>
              <w:rPr>
                <w:b/>
              </w:rPr>
            </w:pPr>
            <w:r>
              <w:rPr>
                <w:b/>
                <w:sz w:val="24"/>
                <w:szCs w:val="24"/>
              </w:rPr>
              <w:t>Liver cirrhosis group</w:t>
            </w:r>
          </w:p>
          <w:p w14:paraId="77B5EF33" w14:textId="77777777" w:rsidR="006B4636" w:rsidRDefault="00000000">
            <w:pPr>
              <w:widowControl w:val="0"/>
              <w:spacing w:line="360" w:lineRule="auto"/>
              <w:jc w:val="both"/>
              <w:rPr>
                <w:b/>
              </w:rPr>
            </w:pPr>
            <w:r>
              <w:rPr>
                <w:b/>
                <w:sz w:val="24"/>
                <w:szCs w:val="24"/>
              </w:rPr>
              <w:t>(n = 133)</w:t>
            </w:r>
          </w:p>
        </w:tc>
        <w:tc>
          <w:tcPr>
            <w:tcW w:w="2221" w:type="dxa"/>
            <w:gridSpan w:val="2"/>
            <w:tcBorders>
              <w:top w:val="single" w:sz="4" w:space="0" w:color="auto"/>
              <w:bottom w:val="single" w:sz="4" w:space="0" w:color="auto"/>
            </w:tcBorders>
          </w:tcPr>
          <w:p w14:paraId="19A67629" w14:textId="77777777" w:rsidR="006B4636" w:rsidRDefault="00000000">
            <w:pPr>
              <w:widowControl w:val="0"/>
              <w:spacing w:line="360" w:lineRule="auto"/>
              <w:jc w:val="both"/>
              <w:rPr>
                <w:b/>
              </w:rPr>
            </w:pPr>
            <w:r>
              <w:rPr>
                <w:b/>
                <w:sz w:val="24"/>
                <w:szCs w:val="24"/>
              </w:rPr>
              <w:t>HCC group</w:t>
            </w:r>
          </w:p>
          <w:p w14:paraId="220FB579" w14:textId="77777777" w:rsidR="006B4636" w:rsidRDefault="00000000">
            <w:pPr>
              <w:widowControl w:val="0"/>
              <w:spacing w:line="360" w:lineRule="auto"/>
              <w:jc w:val="both"/>
              <w:rPr>
                <w:b/>
              </w:rPr>
            </w:pPr>
            <w:r>
              <w:rPr>
                <w:b/>
                <w:sz w:val="24"/>
                <w:szCs w:val="24"/>
              </w:rPr>
              <w:t>(n = 133)</w:t>
            </w:r>
          </w:p>
        </w:tc>
        <w:tc>
          <w:tcPr>
            <w:tcW w:w="1133" w:type="dxa"/>
            <w:tcBorders>
              <w:top w:val="single" w:sz="4" w:space="0" w:color="auto"/>
              <w:bottom w:val="single" w:sz="4" w:space="0" w:color="auto"/>
            </w:tcBorders>
          </w:tcPr>
          <w:p w14:paraId="4FB1ADBC" w14:textId="77777777" w:rsidR="006B4636" w:rsidRDefault="00000000">
            <w:pPr>
              <w:widowControl w:val="0"/>
              <w:spacing w:line="360" w:lineRule="auto"/>
              <w:jc w:val="both"/>
              <w:rPr>
                <w:b/>
              </w:rPr>
            </w:pPr>
            <w:r>
              <w:rPr>
                <w:b/>
                <w:sz w:val="24"/>
                <w:szCs w:val="24"/>
              </w:rPr>
              <w:t>P-value</w:t>
            </w:r>
          </w:p>
        </w:tc>
      </w:tr>
      <w:tr w:rsidR="006B4636" w14:paraId="1A3118BB" w14:textId="77777777" w:rsidTr="00FD1EFC">
        <w:trPr>
          <w:trHeight w:val="448"/>
          <w:jc w:val="center"/>
        </w:trPr>
        <w:tc>
          <w:tcPr>
            <w:tcW w:w="1677" w:type="dxa"/>
            <w:vMerge w:val="restart"/>
            <w:tcBorders>
              <w:top w:val="single" w:sz="4" w:space="0" w:color="auto"/>
            </w:tcBorders>
          </w:tcPr>
          <w:p w14:paraId="63AF4105" w14:textId="77777777" w:rsidR="006B4636" w:rsidRDefault="00000000">
            <w:pPr>
              <w:spacing w:line="360" w:lineRule="auto"/>
              <w:jc w:val="center"/>
            </w:pPr>
            <w:r>
              <w:rPr>
                <w:b/>
                <w:sz w:val="24"/>
                <w:szCs w:val="24"/>
              </w:rPr>
              <w:t>Sex</w:t>
            </w:r>
          </w:p>
        </w:tc>
        <w:tc>
          <w:tcPr>
            <w:tcW w:w="1880" w:type="dxa"/>
            <w:tcBorders>
              <w:top w:val="single" w:sz="4" w:space="0" w:color="auto"/>
            </w:tcBorders>
          </w:tcPr>
          <w:p w14:paraId="555E52D4" w14:textId="77777777" w:rsidR="006B4636" w:rsidRDefault="00000000">
            <w:pPr>
              <w:spacing w:line="360" w:lineRule="auto"/>
              <w:jc w:val="center"/>
              <w:rPr>
                <w:b/>
              </w:rPr>
            </w:pPr>
            <w:r>
              <w:rPr>
                <w:b/>
                <w:sz w:val="24"/>
                <w:szCs w:val="24"/>
              </w:rPr>
              <w:t>Male</w:t>
            </w:r>
          </w:p>
        </w:tc>
        <w:tc>
          <w:tcPr>
            <w:tcW w:w="696" w:type="dxa"/>
            <w:tcBorders>
              <w:top w:val="single" w:sz="4" w:space="0" w:color="auto"/>
            </w:tcBorders>
          </w:tcPr>
          <w:p w14:paraId="1E9C6C14" w14:textId="77777777" w:rsidR="006B4636" w:rsidRDefault="00000000">
            <w:pPr>
              <w:spacing w:line="360" w:lineRule="auto"/>
              <w:jc w:val="both"/>
              <w:rPr>
                <w:color w:val="000000"/>
              </w:rPr>
            </w:pPr>
            <w:r>
              <w:rPr>
                <w:color w:val="000000"/>
                <w:sz w:val="24"/>
                <w:szCs w:val="24"/>
              </w:rPr>
              <w:t>49</w:t>
            </w:r>
          </w:p>
        </w:tc>
        <w:tc>
          <w:tcPr>
            <w:tcW w:w="1382" w:type="dxa"/>
            <w:tcBorders>
              <w:top w:val="single" w:sz="4" w:space="0" w:color="auto"/>
            </w:tcBorders>
          </w:tcPr>
          <w:p w14:paraId="71EB05AB" w14:textId="77777777" w:rsidR="006B4636" w:rsidRDefault="00000000">
            <w:pPr>
              <w:spacing w:line="360" w:lineRule="auto"/>
              <w:jc w:val="both"/>
              <w:rPr>
                <w:color w:val="000000"/>
              </w:rPr>
            </w:pPr>
            <w:r>
              <w:rPr>
                <w:color w:val="000000"/>
                <w:sz w:val="24"/>
                <w:szCs w:val="24"/>
              </w:rPr>
              <w:t>36.8%</w:t>
            </w:r>
          </w:p>
        </w:tc>
        <w:tc>
          <w:tcPr>
            <w:tcW w:w="851" w:type="dxa"/>
            <w:tcBorders>
              <w:top w:val="single" w:sz="4" w:space="0" w:color="auto"/>
            </w:tcBorders>
          </w:tcPr>
          <w:p w14:paraId="6045591F" w14:textId="77777777" w:rsidR="006B4636" w:rsidRDefault="00000000">
            <w:pPr>
              <w:spacing w:line="360" w:lineRule="auto"/>
              <w:jc w:val="both"/>
              <w:rPr>
                <w:color w:val="000000"/>
              </w:rPr>
            </w:pPr>
            <w:r>
              <w:rPr>
                <w:color w:val="000000"/>
                <w:sz w:val="24"/>
                <w:szCs w:val="24"/>
              </w:rPr>
              <w:t>105</w:t>
            </w:r>
          </w:p>
        </w:tc>
        <w:tc>
          <w:tcPr>
            <w:tcW w:w="1370" w:type="dxa"/>
            <w:tcBorders>
              <w:top w:val="single" w:sz="4" w:space="0" w:color="auto"/>
            </w:tcBorders>
          </w:tcPr>
          <w:p w14:paraId="5F78D898" w14:textId="77777777" w:rsidR="006B4636" w:rsidRDefault="00000000">
            <w:pPr>
              <w:spacing w:line="360" w:lineRule="auto"/>
              <w:jc w:val="both"/>
              <w:rPr>
                <w:color w:val="000000"/>
              </w:rPr>
            </w:pPr>
            <w:r>
              <w:rPr>
                <w:color w:val="000000"/>
                <w:sz w:val="24"/>
                <w:szCs w:val="24"/>
              </w:rPr>
              <w:t>78.9%</w:t>
            </w:r>
          </w:p>
        </w:tc>
        <w:tc>
          <w:tcPr>
            <w:tcW w:w="1133" w:type="dxa"/>
            <w:vMerge w:val="restart"/>
            <w:tcBorders>
              <w:top w:val="single" w:sz="4" w:space="0" w:color="auto"/>
            </w:tcBorders>
          </w:tcPr>
          <w:p w14:paraId="3A1A335C" w14:textId="77777777" w:rsidR="006B4636" w:rsidRDefault="00000000" w:rsidP="00836A78">
            <w:pPr>
              <w:spacing w:line="360" w:lineRule="auto"/>
              <w:jc w:val="center"/>
              <w:rPr>
                <w:color w:val="000000"/>
              </w:rPr>
            </w:pPr>
            <w:r w:rsidRPr="00836A78">
              <w:rPr>
                <w:color w:val="000000"/>
                <w:sz w:val="24"/>
                <w:szCs w:val="24"/>
              </w:rPr>
              <w:t>&lt; 0.001</w:t>
            </w:r>
            <w:r>
              <w:rPr>
                <w:b/>
                <w:color w:val="000000"/>
                <w:sz w:val="24"/>
                <w:szCs w:val="24"/>
              </w:rPr>
              <w:t xml:space="preserve"> </w:t>
            </w:r>
          </w:p>
        </w:tc>
      </w:tr>
      <w:tr w:rsidR="006B4636" w14:paraId="6BFFD3DE" w14:textId="77777777" w:rsidTr="00FD1EFC">
        <w:trPr>
          <w:trHeight w:val="426"/>
          <w:jc w:val="center"/>
        </w:trPr>
        <w:tc>
          <w:tcPr>
            <w:tcW w:w="1677" w:type="dxa"/>
            <w:vMerge/>
          </w:tcPr>
          <w:p w14:paraId="688E7C46" w14:textId="77777777" w:rsidR="006B4636" w:rsidRDefault="006B4636">
            <w:pPr>
              <w:widowControl w:val="0"/>
              <w:pBdr>
                <w:top w:val="nil"/>
                <w:left w:val="nil"/>
                <w:bottom w:val="nil"/>
                <w:right w:val="nil"/>
                <w:between w:val="nil"/>
              </w:pBdr>
              <w:spacing w:line="276" w:lineRule="auto"/>
              <w:rPr>
                <w:color w:val="000000"/>
              </w:rPr>
            </w:pPr>
          </w:p>
        </w:tc>
        <w:tc>
          <w:tcPr>
            <w:tcW w:w="1880" w:type="dxa"/>
          </w:tcPr>
          <w:p w14:paraId="3D426811" w14:textId="77777777" w:rsidR="006B4636" w:rsidRDefault="00000000">
            <w:pPr>
              <w:spacing w:line="360" w:lineRule="auto"/>
              <w:jc w:val="center"/>
              <w:rPr>
                <w:b/>
              </w:rPr>
            </w:pPr>
            <w:r>
              <w:rPr>
                <w:b/>
                <w:sz w:val="24"/>
                <w:szCs w:val="24"/>
              </w:rPr>
              <w:t>Female</w:t>
            </w:r>
          </w:p>
        </w:tc>
        <w:tc>
          <w:tcPr>
            <w:tcW w:w="696" w:type="dxa"/>
          </w:tcPr>
          <w:p w14:paraId="379F1776" w14:textId="77777777" w:rsidR="006B4636" w:rsidRDefault="00000000">
            <w:pPr>
              <w:spacing w:line="360" w:lineRule="auto"/>
              <w:jc w:val="both"/>
              <w:rPr>
                <w:color w:val="000000"/>
              </w:rPr>
            </w:pPr>
            <w:r>
              <w:rPr>
                <w:color w:val="000000"/>
                <w:sz w:val="24"/>
                <w:szCs w:val="24"/>
              </w:rPr>
              <w:t>84</w:t>
            </w:r>
          </w:p>
        </w:tc>
        <w:tc>
          <w:tcPr>
            <w:tcW w:w="1382" w:type="dxa"/>
          </w:tcPr>
          <w:p w14:paraId="6D53E80D" w14:textId="77777777" w:rsidR="006B4636" w:rsidRDefault="00000000">
            <w:pPr>
              <w:spacing w:line="360" w:lineRule="auto"/>
              <w:jc w:val="both"/>
              <w:rPr>
                <w:color w:val="000000"/>
              </w:rPr>
            </w:pPr>
            <w:r>
              <w:rPr>
                <w:color w:val="000000"/>
                <w:sz w:val="24"/>
                <w:szCs w:val="24"/>
              </w:rPr>
              <w:t>63.2%</w:t>
            </w:r>
          </w:p>
        </w:tc>
        <w:tc>
          <w:tcPr>
            <w:tcW w:w="851" w:type="dxa"/>
          </w:tcPr>
          <w:p w14:paraId="46FA20ED" w14:textId="77777777" w:rsidR="006B4636" w:rsidRDefault="00000000">
            <w:pPr>
              <w:spacing w:line="360" w:lineRule="auto"/>
              <w:jc w:val="both"/>
              <w:rPr>
                <w:color w:val="000000"/>
              </w:rPr>
            </w:pPr>
            <w:r>
              <w:rPr>
                <w:color w:val="000000"/>
                <w:sz w:val="24"/>
                <w:szCs w:val="24"/>
              </w:rPr>
              <w:t>28</w:t>
            </w:r>
          </w:p>
        </w:tc>
        <w:tc>
          <w:tcPr>
            <w:tcW w:w="1370" w:type="dxa"/>
          </w:tcPr>
          <w:p w14:paraId="04CDF4A6" w14:textId="77777777" w:rsidR="006B4636" w:rsidRDefault="00000000">
            <w:pPr>
              <w:spacing w:line="360" w:lineRule="auto"/>
              <w:jc w:val="both"/>
              <w:rPr>
                <w:color w:val="000000"/>
              </w:rPr>
            </w:pPr>
            <w:r>
              <w:rPr>
                <w:color w:val="000000"/>
                <w:sz w:val="24"/>
                <w:szCs w:val="24"/>
              </w:rPr>
              <w:t>21.1%</w:t>
            </w:r>
          </w:p>
        </w:tc>
        <w:tc>
          <w:tcPr>
            <w:tcW w:w="1133" w:type="dxa"/>
            <w:vMerge/>
          </w:tcPr>
          <w:p w14:paraId="6C2F41E5" w14:textId="77777777" w:rsidR="006B4636" w:rsidRDefault="006B4636">
            <w:pPr>
              <w:widowControl w:val="0"/>
              <w:pBdr>
                <w:top w:val="nil"/>
                <w:left w:val="nil"/>
                <w:bottom w:val="nil"/>
                <w:right w:val="nil"/>
                <w:between w:val="nil"/>
              </w:pBdr>
              <w:spacing w:line="276" w:lineRule="auto"/>
              <w:rPr>
                <w:color w:val="000000"/>
              </w:rPr>
            </w:pPr>
          </w:p>
        </w:tc>
      </w:tr>
      <w:tr w:rsidR="006B4636" w:rsidRPr="00836A78" w14:paraId="66887746" w14:textId="77777777" w:rsidTr="00FD1EFC">
        <w:trPr>
          <w:trHeight w:val="560"/>
          <w:jc w:val="center"/>
        </w:trPr>
        <w:tc>
          <w:tcPr>
            <w:tcW w:w="3557" w:type="dxa"/>
            <w:gridSpan w:val="2"/>
          </w:tcPr>
          <w:p w14:paraId="506FD838" w14:textId="77777777" w:rsidR="006B4636" w:rsidRDefault="00000000">
            <w:pPr>
              <w:spacing w:before="120" w:line="360" w:lineRule="auto"/>
              <w:jc w:val="center"/>
              <w:rPr>
                <w:b/>
              </w:rPr>
            </w:pPr>
            <w:r>
              <w:rPr>
                <w:b/>
                <w:sz w:val="24"/>
                <w:szCs w:val="24"/>
              </w:rPr>
              <w:t>Age</w:t>
            </w:r>
            <w:r>
              <w:rPr>
                <w:sz w:val="24"/>
                <w:szCs w:val="24"/>
              </w:rPr>
              <w:t xml:space="preserve"> </w:t>
            </w:r>
            <w:r>
              <w:rPr>
                <w:b/>
                <w:sz w:val="24"/>
                <w:szCs w:val="24"/>
              </w:rPr>
              <w:t>(years) Median (IQR)</w:t>
            </w:r>
          </w:p>
        </w:tc>
        <w:tc>
          <w:tcPr>
            <w:tcW w:w="2078" w:type="dxa"/>
            <w:gridSpan w:val="2"/>
          </w:tcPr>
          <w:p w14:paraId="6DC6BDD3" w14:textId="77777777" w:rsidR="006B4636" w:rsidRDefault="00000000">
            <w:pPr>
              <w:spacing w:line="360" w:lineRule="auto"/>
              <w:jc w:val="both"/>
              <w:rPr>
                <w:color w:val="000000"/>
              </w:rPr>
            </w:pPr>
            <w:r>
              <w:rPr>
                <w:color w:val="000000"/>
                <w:sz w:val="24"/>
                <w:szCs w:val="24"/>
              </w:rPr>
              <w:t>47.0 (37.0- 55.0)</w:t>
            </w:r>
          </w:p>
        </w:tc>
        <w:tc>
          <w:tcPr>
            <w:tcW w:w="2221" w:type="dxa"/>
            <w:gridSpan w:val="2"/>
          </w:tcPr>
          <w:p w14:paraId="7C6D2D8D" w14:textId="77777777" w:rsidR="006B4636" w:rsidRDefault="00000000">
            <w:pPr>
              <w:spacing w:line="360" w:lineRule="auto"/>
              <w:jc w:val="both"/>
              <w:rPr>
                <w:color w:val="000000"/>
              </w:rPr>
            </w:pPr>
            <w:r>
              <w:rPr>
                <w:color w:val="000000"/>
                <w:sz w:val="24"/>
                <w:szCs w:val="24"/>
              </w:rPr>
              <w:t>62.0 (56.0- 65.0)</w:t>
            </w:r>
          </w:p>
        </w:tc>
        <w:tc>
          <w:tcPr>
            <w:tcW w:w="1133" w:type="dxa"/>
          </w:tcPr>
          <w:p w14:paraId="03797BA1" w14:textId="77777777" w:rsidR="006B4636" w:rsidRPr="00836A78" w:rsidRDefault="00000000" w:rsidP="00836A78">
            <w:pPr>
              <w:spacing w:line="360" w:lineRule="auto"/>
              <w:jc w:val="center"/>
              <w:rPr>
                <w:color w:val="000000"/>
                <w:sz w:val="24"/>
                <w:szCs w:val="24"/>
              </w:rPr>
            </w:pPr>
            <w:r w:rsidRPr="00836A78">
              <w:rPr>
                <w:color w:val="000000"/>
                <w:sz w:val="24"/>
                <w:szCs w:val="24"/>
              </w:rPr>
              <w:t xml:space="preserve">&lt; 0.001 </w:t>
            </w:r>
          </w:p>
        </w:tc>
      </w:tr>
      <w:tr w:rsidR="006B4636" w14:paraId="267BD245" w14:textId="77777777" w:rsidTr="00FD1EFC">
        <w:trPr>
          <w:trHeight w:val="560"/>
          <w:jc w:val="center"/>
        </w:trPr>
        <w:tc>
          <w:tcPr>
            <w:tcW w:w="3557" w:type="dxa"/>
            <w:gridSpan w:val="2"/>
            <w:vAlign w:val="center"/>
          </w:tcPr>
          <w:p w14:paraId="1C54A394" w14:textId="77777777" w:rsidR="006B4636" w:rsidRDefault="00000000">
            <w:pPr>
              <w:spacing w:line="360" w:lineRule="auto"/>
              <w:jc w:val="center"/>
              <w:rPr>
                <w:sz w:val="24"/>
                <w:szCs w:val="24"/>
              </w:rPr>
            </w:pPr>
            <w:r>
              <w:rPr>
                <w:b/>
                <w:sz w:val="24"/>
                <w:szCs w:val="24"/>
              </w:rPr>
              <w:t>Diabetes mellitus</w:t>
            </w:r>
          </w:p>
        </w:tc>
        <w:tc>
          <w:tcPr>
            <w:tcW w:w="2078" w:type="dxa"/>
            <w:gridSpan w:val="2"/>
            <w:vAlign w:val="center"/>
          </w:tcPr>
          <w:p w14:paraId="761434DC" w14:textId="77777777" w:rsidR="006B4636" w:rsidRDefault="00000000">
            <w:pPr>
              <w:spacing w:line="360" w:lineRule="auto"/>
              <w:jc w:val="center"/>
              <w:rPr>
                <w:sz w:val="24"/>
                <w:szCs w:val="24"/>
              </w:rPr>
            </w:pPr>
            <w:r>
              <w:rPr>
                <w:sz w:val="24"/>
                <w:szCs w:val="24"/>
              </w:rPr>
              <w:t>3</w:t>
            </w:r>
          </w:p>
        </w:tc>
        <w:tc>
          <w:tcPr>
            <w:tcW w:w="2221" w:type="dxa"/>
            <w:gridSpan w:val="2"/>
            <w:vAlign w:val="center"/>
          </w:tcPr>
          <w:p w14:paraId="003CE2CC" w14:textId="73C9B35D" w:rsidR="006B4636" w:rsidRPr="00FD1EFC" w:rsidRDefault="00000000">
            <w:pPr>
              <w:spacing w:line="360" w:lineRule="auto"/>
              <w:jc w:val="center"/>
              <w:rPr>
                <w:color w:val="000000"/>
                <w:sz w:val="24"/>
                <w:szCs w:val="24"/>
              </w:rPr>
            </w:pPr>
            <w:r w:rsidRPr="00FD1EFC">
              <w:rPr>
                <w:color w:val="000000"/>
                <w:sz w:val="24"/>
                <w:szCs w:val="24"/>
              </w:rPr>
              <w:t>2</w:t>
            </w:r>
          </w:p>
        </w:tc>
        <w:tc>
          <w:tcPr>
            <w:tcW w:w="1133" w:type="dxa"/>
            <w:vAlign w:val="center"/>
          </w:tcPr>
          <w:p w14:paraId="3AD55DCA" w14:textId="52929E50" w:rsidR="006B4636" w:rsidRPr="00FD1EFC" w:rsidRDefault="006A3099">
            <w:pPr>
              <w:spacing w:line="360" w:lineRule="auto"/>
              <w:jc w:val="center"/>
              <w:rPr>
                <w:color w:val="000000"/>
                <w:sz w:val="24"/>
                <w:szCs w:val="24"/>
              </w:rPr>
            </w:pPr>
            <w:r w:rsidRPr="00FD1EFC">
              <w:rPr>
                <w:color w:val="000000"/>
                <w:sz w:val="24"/>
                <w:szCs w:val="24"/>
              </w:rPr>
              <w:t>0.5</w:t>
            </w:r>
          </w:p>
        </w:tc>
      </w:tr>
      <w:tr w:rsidR="006B4636" w14:paraId="67F0C108" w14:textId="77777777" w:rsidTr="00FD1EFC">
        <w:trPr>
          <w:trHeight w:val="560"/>
          <w:jc w:val="center"/>
        </w:trPr>
        <w:tc>
          <w:tcPr>
            <w:tcW w:w="3557" w:type="dxa"/>
            <w:gridSpan w:val="2"/>
            <w:vAlign w:val="center"/>
          </w:tcPr>
          <w:p w14:paraId="773E78A8" w14:textId="77777777" w:rsidR="006B4636" w:rsidRDefault="00000000">
            <w:pPr>
              <w:spacing w:line="360" w:lineRule="auto"/>
              <w:jc w:val="center"/>
              <w:rPr>
                <w:b/>
                <w:sz w:val="24"/>
                <w:szCs w:val="24"/>
              </w:rPr>
            </w:pPr>
            <w:r>
              <w:rPr>
                <w:b/>
                <w:sz w:val="24"/>
                <w:szCs w:val="24"/>
              </w:rPr>
              <w:t>Cigarette Smoking</w:t>
            </w:r>
          </w:p>
        </w:tc>
        <w:tc>
          <w:tcPr>
            <w:tcW w:w="2078" w:type="dxa"/>
            <w:gridSpan w:val="2"/>
            <w:vAlign w:val="center"/>
          </w:tcPr>
          <w:p w14:paraId="32A7ABD6" w14:textId="77777777" w:rsidR="006B4636" w:rsidRDefault="00000000">
            <w:pPr>
              <w:spacing w:line="360" w:lineRule="auto"/>
              <w:jc w:val="center"/>
              <w:rPr>
                <w:sz w:val="24"/>
                <w:szCs w:val="24"/>
              </w:rPr>
            </w:pPr>
            <w:r>
              <w:rPr>
                <w:sz w:val="24"/>
                <w:szCs w:val="24"/>
              </w:rPr>
              <w:t>24</w:t>
            </w:r>
          </w:p>
        </w:tc>
        <w:tc>
          <w:tcPr>
            <w:tcW w:w="2221" w:type="dxa"/>
            <w:gridSpan w:val="2"/>
            <w:vAlign w:val="center"/>
          </w:tcPr>
          <w:p w14:paraId="6577EC4F" w14:textId="55324FDA" w:rsidR="006B4636" w:rsidRPr="00FD1EFC" w:rsidRDefault="005B6491">
            <w:pPr>
              <w:spacing w:line="360" w:lineRule="auto"/>
              <w:jc w:val="center"/>
              <w:rPr>
                <w:color w:val="000000"/>
                <w:sz w:val="24"/>
                <w:szCs w:val="24"/>
              </w:rPr>
            </w:pPr>
            <w:r w:rsidRPr="00FD1EFC">
              <w:rPr>
                <w:color w:val="000000"/>
                <w:sz w:val="24"/>
                <w:szCs w:val="24"/>
              </w:rPr>
              <w:t>39</w:t>
            </w:r>
          </w:p>
        </w:tc>
        <w:tc>
          <w:tcPr>
            <w:tcW w:w="1133" w:type="dxa"/>
            <w:vAlign w:val="center"/>
          </w:tcPr>
          <w:p w14:paraId="44B17C0C" w14:textId="406503FE" w:rsidR="006B4636" w:rsidRPr="00FD1EFC" w:rsidRDefault="005B6491">
            <w:pPr>
              <w:spacing w:line="360" w:lineRule="auto"/>
              <w:jc w:val="center"/>
              <w:rPr>
                <w:color w:val="000000"/>
                <w:sz w:val="24"/>
                <w:szCs w:val="24"/>
              </w:rPr>
            </w:pPr>
            <w:r w:rsidRPr="00FD1EFC">
              <w:rPr>
                <w:color w:val="000000"/>
                <w:sz w:val="24"/>
                <w:szCs w:val="24"/>
              </w:rPr>
              <w:t>0.003</w:t>
            </w:r>
          </w:p>
        </w:tc>
      </w:tr>
      <w:tr w:rsidR="006B4636" w14:paraId="6AD021B1" w14:textId="77777777" w:rsidTr="00FD1EFC">
        <w:trPr>
          <w:trHeight w:val="594"/>
          <w:jc w:val="center"/>
        </w:trPr>
        <w:tc>
          <w:tcPr>
            <w:tcW w:w="3557" w:type="dxa"/>
            <w:gridSpan w:val="2"/>
            <w:tcBorders>
              <w:bottom w:val="single" w:sz="4" w:space="0" w:color="auto"/>
            </w:tcBorders>
          </w:tcPr>
          <w:p w14:paraId="1A2A4698" w14:textId="77777777" w:rsidR="006B4636" w:rsidRDefault="00000000">
            <w:pPr>
              <w:spacing w:line="360" w:lineRule="auto"/>
              <w:jc w:val="center"/>
              <w:rPr>
                <w:b/>
              </w:rPr>
            </w:pPr>
            <w:r>
              <w:rPr>
                <w:b/>
                <w:sz w:val="24"/>
                <w:szCs w:val="24"/>
              </w:rPr>
              <w:t>BMI</w:t>
            </w:r>
            <w:r>
              <w:rPr>
                <w:sz w:val="24"/>
                <w:szCs w:val="24"/>
              </w:rPr>
              <w:t xml:space="preserve"> </w:t>
            </w:r>
            <w:r>
              <w:rPr>
                <w:b/>
                <w:sz w:val="24"/>
                <w:szCs w:val="24"/>
              </w:rPr>
              <w:t>(Kg/m2) Median (IQR)</w:t>
            </w:r>
          </w:p>
        </w:tc>
        <w:tc>
          <w:tcPr>
            <w:tcW w:w="2078" w:type="dxa"/>
            <w:gridSpan w:val="2"/>
            <w:tcBorders>
              <w:bottom w:val="single" w:sz="4" w:space="0" w:color="auto"/>
            </w:tcBorders>
          </w:tcPr>
          <w:p w14:paraId="62E30444" w14:textId="77777777" w:rsidR="006B4636" w:rsidRPr="00836A78" w:rsidRDefault="00000000">
            <w:pPr>
              <w:spacing w:line="360" w:lineRule="auto"/>
              <w:jc w:val="center"/>
              <w:rPr>
                <w:color w:val="000000"/>
              </w:rPr>
            </w:pPr>
            <w:r w:rsidRPr="00836A78">
              <w:rPr>
                <w:color w:val="000000"/>
              </w:rPr>
              <w:t>26.80 (24.74- 28.70)</w:t>
            </w:r>
          </w:p>
        </w:tc>
        <w:tc>
          <w:tcPr>
            <w:tcW w:w="2221" w:type="dxa"/>
            <w:gridSpan w:val="2"/>
            <w:tcBorders>
              <w:bottom w:val="single" w:sz="4" w:space="0" w:color="auto"/>
            </w:tcBorders>
          </w:tcPr>
          <w:p w14:paraId="3A2796BF" w14:textId="77777777" w:rsidR="006B4636" w:rsidRPr="00836A78" w:rsidRDefault="00000000">
            <w:pPr>
              <w:spacing w:line="360" w:lineRule="auto"/>
              <w:jc w:val="center"/>
              <w:rPr>
                <w:color w:val="000000"/>
              </w:rPr>
            </w:pPr>
            <w:r w:rsidRPr="00836A78">
              <w:rPr>
                <w:color w:val="000000"/>
              </w:rPr>
              <w:t>26.40 (24.10- 28.30)</w:t>
            </w:r>
          </w:p>
        </w:tc>
        <w:tc>
          <w:tcPr>
            <w:tcW w:w="1133" w:type="dxa"/>
            <w:tcBorders>
              <w:bottom w:val="single" w:sz="4" w:space="0" w:color="auto"/>
            </w:tcBorders>
          </w:tcPr>
          <w:p w14:paraId="1BCEE266" w14:textId="77777777" w:rsidR="006B4636" w:rsidRPr="00836A78" w:rsidRDefault="00000000" w:rsidP="00FD1EFC">
            <w:pPr>
              <w:keepNext/>
              <w:spacing w:line="360" w:lineRule="auto"/>
              <w:jc w:val="center"/>
              <w:rPr>
                <w:color w:val="000000"/>
              </w:rPr>
            </w:pPr>
            <w:r w:rsidRPr="00836A78">
              <w:rPr>
                <w:color w:val="000000"/>
              </w:rPr>
              <w:t>0.329</w:t>
            </w:r>
          </w:p>
        </w:tc>
      </w:tr>
    </w:tbl>
    <w:p w14:paraId="632BA653" w14:textId="77777777" w:rsidR="00FD1EFC" w:rsidRPr="00FD1EFC" w:rsidRDefault="00FD1EFC" w:rsidP="00FD1EFC">
      <w:pPr>
        <w:pStyle w:val="Caption"/>
      </w:pPr>
      <w:r>
        <w:t xml:space="preserve">p≤0.05 is considered statistically </w:t>
      </w:r>
      <w:r w:rsidRPr="00FD1EFC">
        <w:t xml:space="preserve">significant, p≤0.01 is considered high statistically substantial (HS), X2: Chi-square test, ZMWU: Mann-Whitney U Test. </w:t>
      </w:r>
    </w:p>
    <w:p w14:paraId="5B5D7A57" w14:textId="0B2E1926" w:rsidR="006B4636" w:rsidRDefault="00461B33" w:rsidP="004508B2">
      <w:pPr>
        <w:spacing w:after="0" w:line="360" w:lineRule="auto"/>
        <w:jc w:val="center"/>
        <w:rPr>
          <w:sz w:val="24"/>
          <w:szCs w:val="24"/>
        </w:rPr>
      </w:pPr>
      <w:r>
        <w:rPr>
          <w:sz w:val="24"/>
          <w:szCs w:val="24"/>
        </w:rPr>
        <w:t xml:space="preserve">There was a significant difference between both groups as regards the complete blood </w:t>
      </w:r>
      <w:r w:rsidR="00B1276C">
        <w:rPr>
          <w:sz w:val="24"/>
          <w:szCs w:val="24"/>
        </w:rPr>
        <w:t>count</w:t>
      </w:r>
      <w:r w:rsidR="006F012C">
        <w:rPr>
          <w:sz w:val="24"/>
          <w:szCs w:val="24"/>
        </w:rPr>
        <w:t>,</w:t>
      </w:r>
      <w:r>
        <w:rPr>
          <w:sz w:val="24"/>
          <w:szCs w:val="24"/>
        </w:rPr>
        <w:t xml:space="preserve"> where hemoglobin level and platelet count were significantly lower in patients with HCC</w:t>
      </w:r>
      <w:r w:rsidR="006F012C">
        <w:rPr>
          <w:sz w:val="24"/>
          <w:szCs w:val="24"/>
        </w:rPr>
        <w:t>. In contrast,</w:t>
      </w:r>
      <w:r>
        <w:rPr>
          <w:sz w:val="24"/>
          <w:szCs w:val="24"/>
        </w:rPr>
        <w:t xml:space="preserve"> </w:t>
      </w:r>
      <w:r w:rsidR="006F012C">
        <w:rPr>
          <w:sz w:val="24"/>
          <w:szCs w:val="24"/>
        </w:rPr>
        <w:t xml:space="preserve">the </w:t>
      </w:r>
      <w:r>
        <w:rPr>
          <w:sz w:val="24"/>
          <w:szCs w:val="24"/>
        </w:rPr>
        <w:t xml:space="preserve">white cell count was </w:t>
      </w:r>
      <w:r w:rsidR="006F012C">
        <w:rPr>
          <w:sz w:val="24"/>
          <w:szCs w:val="24"/>
        </w:rPr>
        <w:t>considerably</w:t>
      </w:r>
      <w:r>
        <w:rPr>
          <w:sz w:val="24"/>
          <w:szCs w:val="24"/>
        </w:rPr>
        <w:t xml:space="preserve"> higher. In addition, liver function tests in the form of albumin, bilirubin</w:t>
      </w:r>
      <w:r w:rsidR="006F012C">
        <w:rPr>
          <w:sz w:val="24"/>
          <w:szCs w:val="24"/>
        </w:rPr>
        <w:t>, and INR were significantly different among both groups, where lower albumin and higher INR levels, as well as more elevated bilirubin and aminotransferase levels,</w:t>
      </w:r>
      <w:r>
        <w:rPr>
          <w:sz w:val="24"/>
          <w:szCs w:val="24"/>
        </w:rPr>
        <w:t xml:space="preserve"> were encountered in patients with HCC. </w:t>
      </w:r>
      <w:r w:rsidR="004508B2">
        <w:rPr>
          <w:sz w:val="24"/>
          <w:szCs w:val="24"/>
        </w:rPr>
        <w:t>The alpha-fetoprotein</w:t>
      </w:r>
      <w:r w:rsidR="006F012C">
        <w:rPr>
          <w:sz w:val="24"/>
          <w:szCs w:val="24"/>
        </w:rPr>
        <w:t xml:space="preserve"> level was also significantly higher in HCC patients (p-value</w:t>
      </w:r>
      <w:r>
        <w:rPr>
          <w:sz w:val="24"/>
          <w:szCs w:val="24"/>
        </w:rPr>
        <w:t xml:space="preserve"> &lt;0.001) (</w:t>
      </w:r>
      <w:r>
        <w:rPr>
          <w:b/>
          <w:sz w:val="24"/>
          <w:szCs w:val="24"/>
        </w:rPr>
        <w:t>Tab 2).</w:t>
      </w:r>
    </w:p>
    <w:p w14:paraId="6A96F959" w14:textId="77777777" w:rsidR="00B35F10" w:rsidRDefault="00B35F10" w:rsidP="004508B2">
      <w:pPr>
        <w:pStyle w:val="Caption"/>
        <w:keepNext/>
      </w:pPr>
    </w:p>
    <w:p w14:paraId="33DD3637" w14:textId="49B2C75C" w:rsidR="004508B2" w:rsidRDefault="004508B2" w:rsidP="004508B2">
      <w:pPr>
        <w:pStyle w:val="Caption"/>
        <w:keepNext/>
      </w:pPr>
      <w:r>
        <w:t>Tab 2.</w:t>
      </w:r>
      <w:r w:rsidRPr="004508B2">
        <w:rPr>
          <w:b/>
        </w:rPr>
        <w:t xml:space="preserve"> Laboratory features of the studied groups</w:t>
      </w:r>
      <w:r>
        <w:rPr>
          <w:b/>
        </w:rPr>
        <w:t>.</w:t>
      </w:r>
    </w:p>
    <w:tbl>
      <w:tblPr>
        <w:tblStyle w:val="a0"/>
        <w:tblW w:w="5000" w:type="pct"/>
        <w:jc w:val="center"/>
        <w:tblLook w:val="0400" w:firstRow="0" w:lastRow="0" w:firstColumn="0" w:lastColumn="0" w:noHBand="0" w:noVBand="1"/>
        <w:tblCaption w:val="Table 2. Laboratory features of the studied groups."/>
        <w:tblDescription w:val="p≤0.05 is considered statistically significant, and p≤0.01 is considered highly statistically substantial."/>
      </w:tblPr>
      <w:tblGrid>
        <w:gridCol w:w="3064"/>
        <w:gridCol w:w="2523"/>
        <w:gridCol w:w="2523"/>
        <w:gridCol w:w="1250"/>
      </w:tblGrid>
      <w:tr w:rsidR="006B4636" w14:paraId="0152679B" w14:textId="77777777" w:rsidTr="004508B2">
        <w:trPr>
          <w:trHeight w:val="443"/>
          <w:jc w:val="center"/>
        </w:trPr>
        <w:tc>
          <w:tcPr>
            <w:tcW w:w="1636" w:type="pct"/>
            <w:tcBorders>
              <w:top w:val="single" w:sz="4" w:space="0" w:color="auto"/>
              <w:bottom w:val="single" w:sz="4" w:space="0" w:color="auto"/>
            </w:tcBorders>
          </w:tcPr>
          <w:p w14:paraId="475D3DB1" w14:textId="77777777" w:rsidR="006B4636" w:rsidRDefault="00000000">
            <w:pPr>
              <w:spacing w:line="360" w:lineRule="auto"/>
              <w:jc w:val="center"/>
              <w:rPr>
                <w:b/>
              </w:rPr>
            </w:pPr>
            <w:r>
              <w:rPr>
                <w:b/>
              </w:rPr>
              <w:t>Variable</w:t>
            </w:r>
          </w:p>
          <w:p w14:paraId="5F14876A" w14:textId="77777777" w:rsidR="006B4636" w:rsidRDefault="00000000">
            <w:pPr>
              <w:spacing w:line="360" w:lineRule="auto"/>
              <w:jc w:val="center"/>
              <w:rPr>
                <w:b/>
              </w:rPr>
            </w:pPr>
            <w:r>
              <w:rPr>
                <w:b/>
              </w:rPr>
              <w:t>Median (range)</w:t>
            </w:r>
          </w:p>
        </w:tc>
        <w:tc>
          <w:tcPr>
            <w:tcW w:w="1348" w:type="pct"/>
            <w:tcBorders>
              <w:top w:val="single" w:sz="4" w:space="0" w:color="auto"/>
              <w:bottom w:val="single" w:sz="4" w:space="0" w:color="auto"/>
            </w:tcBorders>
          </w:tcPr>
          <w:p w14:paraId="319BDEBA" w14:textId="77777777" w:rsidR="006B4636" w:rsidRDefault="00000000">
            <w:pPr>
              <w:spacing w:line="360" w:lineRule="auto"/>
              <w:jc w:val="center"/>
              <w:rPr>
                <w:b/>
              </w:rPr>
            </w:pPr>
            <w:r>
              <w:rPr>
                <w:b/>
              </w:rPr>
              <w:t>Liver cirrhosis</w:t>
            </w:r>
          </w:p>
        </w:tc>
        <w:tc>
          <w:tcPr>
            <w:tcW w:w="1348" w:type="pct"/>
            <w:tcBorders>
              <w:top w:val="single" w:sz="4" w:space="0" w:color="auto"/>
              <w:bottom w:val="single" w:sz="4" w:space="0" w:color="auto"/>
            </w:tcBorders>
          </w:tcPr>
          <w:p w14:paraId="43BC4AA8" w14:textId="77777777" w:rsidR="006B4636" w:rsidRDefault="00000000">
            <w:pPr>
              <w:spacing w:line="360" w:lineRule="auto"/>
              <w:jc w:val="center"/>
              <w:rPr>
                <w:b/>
              </w:rPr>
            </w:pPr>
            <w:r>
              <w:rPr>
                <w:b/>
              </w:rPr>
              <w:t>HCC</w:t>
            </w:r>
          </w:p>
        </w:tc>
        <w:tc>
          <w:tcPr>
            <w:tcW w:w="669" w:type="pct"/>
            <w:tcBorders>
              <w:top w:val="single" w:sz="4" w:space="0" w:color="auto"/>
              <w:bottom w:val="single" w:sz="4" w:space="0" w:color="auto"/>
            </w:tcBorders>
          </w:tcPr>
          <w:p w14:paraId="2988D4A4" w14:textId="77777777" w:rsidR="006B4636" w:rsidRDefault="00000000">
            <w:pPr>
              <w:spacing w:line="360" w:lineRule="auto"/>
              <w:jc w:val="center"/>
              <w:rPr>
                <w:b/>
              </w:rPr>
            </w:pPr>
            <w:r>
              <w:rPr>
                <w:b/>
              </w:rPr>
              <w:t>P-value</w:t>
            </w:r>
          </w:p>
        </w:tc>
      </w:tr>
      <w:tr w:rsidR="006B4636" w14:paraId="769BA67B" w14:textId="77777777" w:rsidTr="004508B2">
        <w:trPr>
          <w:jc w:val="center"/>
        </w:trPr>
        <w:tc>
          <w:tcPr>
            <w:tcW w:w="1636" w:type="pct"/>
            <w:tcBorders>
              <w:top w:val="single" w:sz="4" w:space="0" w:color="auto"/>
            </w:tcBorders>
          </w:tcPr>
          <w:p w14:paraId="515D587C" w14:textId="2E080769" w:rsidR="006B4636" w:rsidRDefault="00000000">
            <w:pPr>
              <w:spacing w:line="360" w:lineRule="auto"/>
              <w:jc w:val="center"/>
              <w:rPr>
                <w:b/>
                <w:color w:val="000000"/>
              </w:rPr>
            </w:pPr>
            <w:r>
              <w:rPr>
                <w:b/>
                <w:color w:val="000000"/>
              </w:rPr>
              <w:t>Hemoglobin</w:t>
            </w:r>
            <w:r w:rsidR="00D335B1">
              <w:rPr>
                <w:b/>
                <w:color w:val="000000"/>
              </w:rPr>
              <w:t xml:space="preserve"> </w:t>
            </w:r>
            <w:r w:rsidR="00D335B1" w:rsidRPr="004508B2">
              <w:rPr>
                <w:b/>
                <w:color w:val="000000"/>
              </w:rPr>
              <w:t>(gm/dL)</w:t>
            </w:r>
          </w:p>
        </w:tc>
        <w:tc>
          <w:tcPr>
            <w:tcW w:w="1348" w:type="pct"/>
            <w:tcBorders>
              <w:top w:val="single" w:sz="4" w:space="0" w:color="auto"/>
            </w:tcBorders>
          </w:tcPr>
          <w:p w14:paraId="05186937" w14:textId="77777777" w:rsidR="006B4636" w:rsidRDefault="00000000">
            <w:pPr>
              <w:spacing w:line="360" w:lineRule="auto"/>
              <w:jc w:val="center"/>
            </w:pPr>
            <w:r>
              <w:t>13.0 (8.5-17.7)</w:t>
            </w:r>
          </w:p>
        </w:tc>
        <w:tc>
          <w:tcPr>
            <w:tcW w:w="1348" w:type="pct"/>
            <w:tcBorders>
              <w:top w:val="single" w:sz="4" w:space="0" w:color="auto"/>
            </w:tcBorders>
          </w:tcPr>
          <w:p w14:paraId="14890B98" w14:textId="77777777" w:rsidR="006B4636" w:rsidRDefault="00000000">
            <w:pPr>
              <w:spacing w:line="360" w:lineRule="auto"/>
              <w:jc w:val="center"/>
            </w:pPr>
            <w:r>
              <w:t>12.9 (1.0-18.4)</w:t>
            </w:r>
          </w:p>
        </w:tc>
        <w:tc>
          <w:tcPr>
            <w:tcW w:w="669" w:type="pct"/>
            <w:tcBorders>
              <w:top w:val="single" w:sz="4" w:space="0" w:color="auto"/>
            </w:tcBorders>
          </w:tcPr>
          <w:p w14:paraId="688E8AED" w14:textId="77777777" w:rsidR="006B4636" w:rsidRDefault="00000000">
            <w:pPr>
              <w:spacing w:line="360" w:lineRule="auto"/>
              <w:jc w:val="center"/>
              <w:rPr>
                <w:b/>
                <w:color w:val="000000"/>
              </w:rPr>
            </w:pPr>
            <w:r>
              <w:rPr>
                <w:b/>
                <w:color w:val="000000"/>
              </w:rPr>
              <w:t>0.02</w:t>
            </w:r>
          </w:p>
          <w:p w14:paraId="3F749597" w14:textId="77777777" w:rsidR="006B4636" w:rsidRDefault="006B4636">
            <w:pPr>
              <w:spacing w:line="360" w:lineRule="auto"/>
              <w:jc w:val="center"/>
            </w:pPr>
          </w:p>
        </w:tc>
      </w:tr>
      <w:tr w:rsidR="006B4636" w14:paraId="36DC13BA" w14:textId="77777777" w:rsidTr="004508B2">
        <w:trPr>
          <w:jc w:val="center"/>
        </w:trPr>
        <w:tc>
          <w:tcPr>
            <w:tcW w:w="1636" w:type="pct"/>
          </w:tcPr>
          <w:p w14:paraId="4C4EBAB6" w14:textId="6100878F" w:rsidR="006B4636" w:rsidRPr="00D335B1" w:rsidRDefault="00000000">
            <w:pPr>
              <w:spacing w:line="360" w:lineRule="auto"/>
              <w:jc w:val="center"/>
              <w:rPr>
                <w:b/>
                <w:color w:val="000000"/>
              </w:rPr>
            </w:pPr>
            <w:r>
              <w:rPr>
                <w:b/>
                <w:color w:val="000000"/>
              </w:rPr>
              <w:t>WBC</w:t>
            </w:r>
            <w:r w:rsidR="00D335B1">
              <w:rPr>
                <w:b/>
                <w:color w:val="000000"/>
              </w:rPr>
              <w:t xml:space="preserve"> </w:t>
            </w:r>
            <w:r w:rsidR="00D335B1" w:rsidRPr="004508B2">
              <w:rPr>
                <w:b/>
                <w:color w:val="000000"/>
              </w:rPr>
              <w:t>(cells/mm3*103)</w:t>
            </w:r>
          </w:p>
        </w:tc>
        <w:tc>
          <w:tcPr>
            <w:tcW w:w="1348" w:type="pct"/>
          </w:tcPr>
          <w:p w14:paraId="035DC60B" w14:textId="77777777" w:rsidR="006B4636" w:rsidRDefault="00000000">
            <w:pPr>
              <w:spacing w:line="360" w:lineRule="auto"/>
              <w:jc w:val="center"/>
            </w:pPr>
            <w:r>
              <w:t>5.6 (2.3-12.7)</w:t>
            </w:r>
          </w:p>
        </w:tc>
        <w:tc>
          <w:tcPr>
            <w:tcW w:w="1348" w:type="pct"/>
          </w:tcPr>
          <w:p w14:paraId="3F833304" w14:textId="05F8E555" w:rsidR="006B4636" w:rsidRDefault="00000000">
            <w:pPr>
              <w:spacing w:line="360" w:lineRule="auto"/>
              <w:jc w:val="center"/>
            </w:pPr>
            <w:r>
              <w:t>5.8 (2.2-</w:t>
            </w:r>
            <w:r w:rsidR="00D335B1" w:rsidRPr="004508B2">
              <w:t>1</w:t>
            </w:r>
            <w:r w:rsidRPr="004508B2">
              <w:t>7.0</w:t>
            </w:r>
            <w:r>
              <w:t>)</w:t>
            </w:r>
          </w:p>
        </w:tc>
        <w:tc>
          <w:tcPr>
            <w:tcW w:w="669" w:type="pct"/>
          </w:tcPr>
          <w:p w14:paraId="274901F0" w14:textId="77777777" w:rsidR="006B4636" w:rsidRDefault="00000000">
            <w:pPr>
              <w:spacing w:line="360" w:lineRule="auto"/>
              <w:jc w:val="center"/>
            </w:pPr>
            <w:r>
              <w:rPr>
                <w:b/>
                <w:color w:val="000000"/>
              </w:rPr>
              <w:t>0.498</w:t>
            </w:r>
          </w:p>
        </w:tc>
      </w:tr>
      <w:tr w:rsidR="006B4636" w14:paraId="248BF954" w14:textId="77777777" w:rsidTr="004508B2">
        <w:trPr>
          <w:jc w:val="center"/>
        </w:trPr>
        <w:tc>
          <w:tcPr>
            <w:tcW w:w="1636" w:type="pct"/>
          </w:tcPr>
          <w:p w14:paraId="33EDA19C" w14:textId="5E15EDF2" w:rsidR="006B4636" w:rsidRPr="00D335B1" w:rsidRDefault="00000000">
            <w:pPr>
              <w:spacing w:line="360" w:lineRule="auto"/>
              <w:jc w:val="center"/>
              <w:rPr>
                <w:b/>
                <w:color w:val="000000"/>
              </w:rPr>
            </w:pPr>
            <w:r>
              <w:rPr>
                <w:b/>
                <w:color w:val="000000"/>
              </w:rPr>
              <w:t>Platelets</w:t>
            </w:r>
            <w:r w:rsidR="00D335B1">
              <w:rPr>
                <w:b/>
                <w:color w:val="000000"/>
              </w:rPr>
              <w:t xml:space="preserve"> </w:t>
            </w:r>
            <w:r w:rsidR="00D335B1" w:rsidRPr="004508B2">
              <w:rPr>
                <w:b/>
                <w:color w:val="000000"/>
              </w:rPr>
              <w:t>(/</w:t>
            </w:r>
            <w:proofErr w:type="spellStart"/>
            <w:r w:rsidR="00D335B1" w:rsidRPr="004508B2">
              <w:rPr>
                <w:b/>
                <w:color w:val="000000"/>
              </w:rPr>
              <w:t>mcL</w:t>
            </w:r>
            <w:proofErr w:type="spellEnd"/>
            <w:r w:rsidR="00D335B1" w:rsidRPr="004508B2">
              <w:rPr>
                <w:b/>
                <w:color w:val="000000"/>
              </w:rPr>
              <w:t>*109)</w:t>
            </w:r>
          </w:p>
        </w:tc>
        <w:tc>
          <w:tcPr>
            <w:tcW w:w="1348" w:type="pct"/>
          </w:tcPr>
          <w:p w14:paraId="3E5DABBF" w14:textId="77777777" w:rsidR="006B4636" w:rsidRDefault="00000000">
            <w:pPr>
              <w:spacing w:line="360" w:lineRule="auto"/>
              <w:jc w:val="center"/>
            </w:pPr>
            <w:r>
              <w:t>214.0 (40.0-440.0)</w:t>
            </w:r>
          </w:p>
        </w:tc>
        <w:tc>
          <w:tcPr>
            <w:tcW w:w="1348" w:type="pct"/>
          </w:tcPr>
          <w:p w14:paraId="2A92A291" w14:textId="77777777" w:rsidR="006B4636" w:rsidRDefault="00000000">
            <w:pPr>
              <w:spacing w:line="360" w:lineRule="auto"/>
              <w:jc w:val="center"/>
            </w:pPr>
            <w:r>
              <w:t>119.50 (36.0-336.0)</w:t>
            </w:r>
          </w:p>
        </w:tc>
        <w:tc>
          <w:tcPr>
            <w:tcW w:w="669" w:type="pct"/>
          </w:tcPr>
          <w:p w14:paraId="567368E5" w14:textId="77777777" w:rsidR="006B4636" w:rsidRDefault="00000000">
            <w:pPr>
              <w:spacing w:line="360" w:lineRule="auto"/>
              <w:jc w:val="center"/>
            </w:pPr>
            <w:r>
              <w:rPr>
                <w:b/>
                <w:color w:val="000000"/>
              </w:rPr>
              <w:t>&lt;0.001</w:t>
            </w:r>
          </w:p>
        </w:tc>
      </w:tr>
      <w:tr w:rsidR="006B4636" w14:paraId="7263C78D" w14:textId="77777777" w:rsidTr="004508B2">
        <w:trPr>
          <w:jc w:val="center"/>
        </w:trPr>
        <w:tc>
          <w:tcPr>
            <w:tcW w:w="1636" w:type="pct"/>
          </w:tcPr>
          <w:p w14:paraId="28E8C0B7" w14:textId="0DC42696" w:rsidR="006B4636" w:rsidRDefault="000E4330">
            <w:pPr>
              <w:spacing w:line="360" w:lineRule="auto"/>
              <w:jc w:val="center"/>
              <w:rPr>
                <w:b/>
                <w:color w:val="000000"/>
              </w:rPr>
            </w:pPr>
            <w:r>
              <w:rPr>
                <w:b/>
              </w:rPr>
              <w:t>Total Bilirubin (mg/dl)</w:t>
            </w:r>
          </w:p>
        </w:tc>
        <w:tc>
          <w:tcPr>
            <w:tcW w:w="1348" w:type="pct"/>
          </w:tcPr>
          <w:p w14:paraId="043604FA" w14:textId="77777777" w:rsidR="006B4636" w:rsidRDefault="00000000">
            <w:pPr>
              <w:spacing w:line="360" w:lineRule="auto"/>
              <w:jc w:val="center"/>
            </w:pPr>
            <w:r>
              <w:t>0.69 (0.10-7.00)</w:t>
            </w:r>
          </w:p>
        </w:tc>
        <w:tc>
          <w:tcPr>
            <w:tcW w:w="1348" w:type="pct"/>
          </w:tcPr>
          <w:p w14:paraId="27698BCA" w14:textId="77777777" w:rsidR="006B4636" w:rsidRDefault="00000000">
            <w:pPr>
              <w:spacing w:line="360" w:lineRule="auto"/>
              <w:jc w:val="center"/>
            </w:pPr>
            <w:r>
              <w:t>1.20 (0.10-7.00)</w:t>
            </w:r>
          </w:p>
        </w:tc>
        <w:tc>
          <w:tcPr>
            <w:tcW w:w="669" w:type="pct"/>
          </w:tcPr>
          <w:p w14:paraId="17249B3A" w14:textId="77777777" w:rsidR="006B4636" w:rsidRDefault="00000000">
            <w:pPr>
              <w:spacing w:line="360" w:lineRule="auto"/>
              <w:jc w:val="center"/>
              <w:rPr>
                <w:b/>
                <w:color w:val="000000"/>
              </w:rPr>
            </w:pPr>
            <w:r>
              <w:rPr>
                <w:b/>
                <w:color w:val="000000"/>
              </w:rPr>
              <w:t>&lt;0.001</w:t>
            </w:r>
          </w:p>
        </w:tc>
      </w:tr>
      <w:tr w:rsidR="006B4636" w14:paraId="04E95FAD" w14:textId="77777777" w:rsidTr="004508B2">
        <w:trPr>
          <w:jc w:val="center"/>
        </w:trPr>
        <w:tc>
          <w:tcPr>
            <w:tcW w:w="1636" w:type="pct"/>
          </w:tcPr>
          <w:p w14:paraId="78EB5100" w14:textId="77777777" w:rsidR="006B4636" w:rsidRDefault="00000000">
            <w:pPr>
              <w:spacing w:line="360" w:lineRule="auto"/>
              <w:jc w:val="center"/>
              <w:rPr>
                <w:b/>
                <w:color w:val="000000"/>
              </w:rPr>
            </w:pPr>
            <w:r>
              <w:rPr>
                <w:b/>
              </w:rPr>
              <w:t>AST (U/L)</w:t>
            </w:r>
          </w:p>
        </w:tc>
        <w:tc>
          <w:tcPr>
            <w:tcW w:w="1348" w:type="pct"/>
          </w:tcPr>
          <w:p w14:paraId="768F52AD" w14:textId="77777777" w:rsidR="006B4636" w:rsidRDefault="00000000">
            <w:pPr>
              <w:spacing w:line="360" w:lineRule="auto"/>
              <w:jc w:val="center"/>
            </w:pPr>
            <w:r>
              <w:t>37.00 (7.00-565.00)</w:t>
            </w:r>
          </w:p>
        </w:tc>
        <w:tc>
          <w:tcPr>
            <w:tcW w:w="1348" w:type="pct"/>
          </w:tcPr>
          <w:p w14:paraId="7363A36A" w14:textId="77777777" w:rsidR="006B4636" w:rsidRDefault="00000000">
            <w:pPr>
              <w:spacing w:line="360" w:lineRule="auto"/>
              <w:jc w:val="center"/>
            </w:pPr>
            <w:r>
              <w:t>63.00(7.00-565.00)</w:t>
            </w:r>
          </w:p>
        </w:tc>
        <w:tc>
          <w:tcPr>
            <w:tcW w:w="669" w:type="pct"/>
          </w:tcPr>
          <w:p w14:paraId="5081215A" w14:textId="77777777" w:rsidR="006B4636" w:rsidRDefault="00000000">
            <w:pPr>
              <w:spacing w:line="360" w:lineRule="auto"/>
              <w:jc w:val="center"/>
              <w:rPr>
                <w:b/>
                <w:color w:val="000000"/>
              </w:rPr>
            </w:pPr>
            <w:r>
              <w:rPr>
                <w:b/>
                <w:color w:val="000000"/>
              </w:rPr>
              <w:t>&lt;0.001</w:t>
            </w:r>
          </w:p>
        </w:tc>
      </w:tr>
      <w:tr w:rsidR="006B4636" w14:paraId="238B3DAF" w14:textId="77777777" w:rsidTr="004508B2">
        <w:trPr>
          <w:jc w:val="center"/>
        </w:trPr>
        <w:tc>
          <w:tcPr>
            <w:tcW w:w="1636" w:type="pct"/>
          </w:tcPr>
          <w:p w14:paraId="08082B7F" w14:textId="77777777" w:rsidR="006B4636" w:rsidRDefault="00000000">
            <w:pPr>
              <w:spacing w:line="360" w:lineRule="auto"/>
              <w:jc w:val="center"/>
              <w:rPr>
                <w:b/>
                <w:color w:val="000000"/>
              </w:rPr>
            </w:pPr>
            <w:r>
              <w:rPr>
                <w:b/>
              </w:rPr>
              <w:t>ALT (U/L)</w:t>
            </w:r>
          </w:p>
        </w:tc>
        <w:tc>
          <w:tcPr>
            <w:tcW w:w="1348" w:type="pct"/>
          </w:tcPr>
          <w:p w14:paraId="3C794ABA" w14:textId="77777777" w:rsidR="006B4636" w:rsidRDefault="00000000">
            <w:pPr>
              <w:spacing w:line="360" w:lineRule="auto"/>
              <w:jc w:val="center"/>
            </w:pPr>
            <w:r>
              <w:t>37.00 (4.30-551.00)</w:t>
            </w:r>
          </w:p>
        </w:tc>
        <w:tc>
          <w:tcPr>
            <w:tcW w:w="1348" w:type="pct"/>
          </w:tcPr>
          <w:p w14:paraId="1434A621" w14:textId="77777777" w:rsidR="006B4636" w:rsidRDefault="00000000">
            <w:pPr>
              <w:spacing w:line="360" w:lineRule="auto"/>
              <w:jc w:val="center"/>
            </w:pPr>
            <w:r>
              <w:t>56.00 (4.30-551.0)</w:t>
            </w:r>
          </w:p>
        </w:tc>
        <w:tc>
          <w:tcPr>
            <w:tcW w:w="669" w:type="pct"/>
          </w:tcPr>
          <w:p w14:paraId="42D5EA53" w14:textId="77777777" w:rsidR="006B4636" w:rsidRDefault="00000000">
            <w:pPr>
              <w:spacing w:line="360" w:lineRule="auto"/>
              <w:jc w:val="center"/>
              <w:rPr>
                <w:b/>
                <w:color w:val="000000"/>
              </w:rPr>
            </w:pPr>
            <w:r>
              <w:rPr>
                <w:b/>
                <w:color w:val="000000"/>
              </w:rPr>
              <w:t>&lt;0.001</w:t>
            </w:r>
          </w:p>
        </w:tc>
      </w:tr>
      <w:tr w:rsidR="006B4636" w14:paraId="317ACBF8" w14:textId="77777777" w:rsidTr="004508B2">
        <w:trPr>
          <w:jc w:val="center"/>
        </w:trPr>
        <w:tc>
          <w:tcPr>
            <w:tcW w:w="1636" w:type="pct"/>
          </w:tcPr>
          <w:p w14:paraId="2FCA19A6" w14:textId="77777777" w:rsidR="006B4636" w:rsidRDefault="00000000">
            <w:pPr>
              <w:spacing w:line="360" w:lineRule="auto"/>
              <w:jc w:val="center"/>
              <w:rPr>
                <w:b/>
                <w:color w:val="000000"/>
              </w:rPr>
            </w:pPr>
            <w:r>
              <w:rPr>
                <w:b/>
              </w:rPr>
              <w:t>Albumin (g/dl)</w:t>
            </w:r>
          </w:p>
        </w:tc>
        <w:tc>
          <w:tcPr>
            <w:tcW w:w="1348" w:type="pct"/>
          </w:tcPr>
          <w:p w14:paraId="7746BC2F" w14:textId="77777777" w:rsidR="006B4636" w:rsidRDefault="00000000">
            <w:pPr>
              <w:spacing w:line="360" w:lineRule="auto"/>
              <w:jc w:val="center"/>
            </w:pPr>
            <w:r>
              <w:t>4.11 (2.00-4.60)</w:t>
            </w:r>
          </w:p>
        </w:tc>
        <w:tc>
          <w:tcPr>
            <w:tcW w:w="1348" w:type="pct"/>
          </w:tcPr>
          <w:p w14:paraId="6FAE50D5" w14:textId="77777777" w:rsidR="006B4636" w:rsidRDefault="00000000">
            <w:pPr>
              <w:spacing w:line="360" w:lineRule="auto"/>
              <w:jc w:val="center"/>
            </w:pPr>
            <w:r>
              <w:t>3.30 (2.00-4.60)</w:t>
            </w:r>
          </w:p>
        </w:tc>
        <w:tc>
          <w:tcPr>
            <w:tcW w:w="669" w:type="pct"/>
          </w:tcPr>
          <w:p w14:paraId="0D5FDBAA" w14:textId="77777777" w:rsidR="006B4636" w:rsidRDefault="00000000">
            <w:pPr>
              <w:spacing w:line="360" w:lineRule="auto"/>
              <w:jc w:val="center"/>
              <w:rPr>
                <w:b/>
                <w:color w:val="000000"/>
              </w:rPr>
            </w:pPr>
            <w:r>
              <w:rPr>
                <w:b/>
                <w:color w:val="000000"/>
              </w:rPr>
              <w:t>&lt;0.001</w:t>
            </w:r>
          </w:p>
        </w:tc>
      </w:tr>
      <w:tr w:rsidR="006B4636" w14:paraId="5EE32AE7" w14:textId="77777777" w:rsidTr="004508B2">
        <w:trPr>
          <w:jc w:val="center"/>
        </w:trPr>
        <w:tc>
          <w:tcPr>
            <w:tcW w:w="1636" w:type="pct"/>
          </w:tcPr>
          <w:p w14:paraId="4EEFC04F" w14:textId="77777777" w:rsidR="006B4636" w:rsidRDefault="00000000">
            <w:pPr>
              <w:spacing w:line="360" w:lineRule="auto"/>
              <w:jc w:val="center"/>
              <w:rPr>
                <w:b/>
                <w:color w:val="000000"/>
              </w:rPr>
            </w:pPr>
            <w:r>
              <w:rPr>
                <w:b/>
              </w:rPr>
              <w:t>INR</w:t>
            </w:r>
          </w:p>
        </w:tc>
        <w:tc>
          <w:tcPr>
            <w:tcW w:w="1348" w:type="pct"/>
          </w:tcPr>
          <w:p w14:paraId="5EB18105" w14:textId="77777777" w:rsidR="006B4636" w:rsidRDefault="00000000">
            <w:pPr>
              <w:spacing w:line="360" w:lineRule="auto"/>
              <w:jc w:val="center"/>
            </w:pPr>
            <w:r>
              <w:t>1.00 (0.90-1.67)</w:t>
            </w:r>
          </w:p>
        </w:tc>
        <w:tc>
          <w:tcPr>
            <w:tcW w:w="1348" w:type="pct"/>
          </w:tcPr>
          <w:p w14:paraId="5AAF935A" w14:textId="77777777" w:rsidR="006B4636" w:rsidRDefault="00000000">
            <w:pPr>
              <w:spacing w:line="360" w:lineRule="auto"/>
              <w:jc w:val="center"/>
            </w:pPr>
            <w:r>
              <w:t>1.23 (1.00-2.11)</w:t>
            </w:r>
          </w:p>
        </w:tc>
        <w:tc>
          <w:tcPr>
            <w:tcW w:w="669" w:type="pct"/>
          </w:tcPr>
          <w:p w14:paraId="1CB4CB2C" w14:textId="77777777" w:rsidR="006B4636" w:rsidRDefault="00000000">
            <w:pPr>
              <w:spacing w:line="360" w:lineRule="auto"/>
              <w:jc w:val="center"/>
              <w:rPr>
                <w:b/>
                <w:color w:val="000000"/>
              </w:rPr>
            </w:pPr>
            <w:r>
              <w:rPr>
                <w:b/>
                <w:color w:val="000000"/>
              </w:rPr>
              <w:t>&lt;0.001</w:t>
            </w:r>
          </w:p>
        </w:tc>
      </w:tr>
      <w:tr w:rsidR="006B4636" w14:paraId="786676BC" w14:textId="77777777" w:rsidTr="004508B2">
        <w:trPr>
          <w:jc w:val="center"/>
        </w:trPr>
        <w:tc>
          <w:tcPr>
            <w:tcW w:w="1636" w:type="pct"/>
            <w:tcBorders>
              <w:bottom w:val="single" w:sz="4" w:space="0" w:color="auto"/>
            </w:tcBorders>
          </w:tcPr>
          <w:p w14:paraId="4BF1CA8A" w14:textId="77777777" w:rsidR="006B4636" w:rsidRDefault="00000000">
            <w:pPr>
              <w:spacing w:line="360" w:lineRule="auto"/>
              <w:jc w:val="center"/>
              <w:rPr>
                <w:b/>
                <w:color w:val="000000"/>
              </w:rPr>
            </w:pPr>
            <w:r>
              <w:rPr>
                <w:b/>
              </w:rPr>
              <w:t>AFP (ng/ml)</w:t>
            </w:r>
          </w:p>
        </w:tc>
        <w:tc>
          <w:tcPr>
            <w:tcW w:w="1348" w:type="pct"/>
            <w:tcBorders>
              <w:bottom w:val="single" w:sz="4" w:space="0" w:color="auto"/>
            </w:tcBorders>
          </w:tcPr>
          <w:p w14:paraId="15F3FC2F" w14:textId="77777777" w:rsidR="006B4636" w:rsidRDefault="00000000">
            <w:pPr>
              <w:spacing w:line="360" w:lineRule="auto"/>
              <w:jc w:val="center"/>
            </w:pPr>
            <w:r>
              <w:t>3.35 (0.50-77.28)</w:t>
            </w:r>
          </w:p>
        </w:tc>
        <w:tc>
          <w:tcPr>
            <w:tcW w:w="1348" w:type="pct"/>
            <w:tcBorders>
              <w:bottom w:val="single" w:sz="4" w:space="0" w:color="auto"/>
            </w:tcBorders>
          </w:tcPr>
          <w:p w14:paraId="4C1E47B4" w14:textId="77777777" w:rsidR="006B4636" w:rsidRDefault="00000000">
            <w:pPr>
              <w:spacing w:line="360" w:lineRule="auto"/>
              <w:jc w:val="center"/>
            </w:pPr>
            <w:r>
              <w:t>62.50 (2.3-61344.0)</w:t>
            </w:r>
          </w:p>
        </w:tc>
        <w:tc>
          <w:tcPr>
            <w:tcW w:w="669" w:type="pct"/>
            <w:tcBorders>
              <w:bottom w:val="single" w:sz="4" w:space="0" w:color="auto"/>
            </w:tcBorders>
          </w:tcPr>
          <w:p w14:paraId="40B199CF" w14:textId="77777777" w:rsidR="006B4636" w:rsidRDefault="00000000" w:rsidP="00D34F7C">
            <w:pPr>
              <w:keepNext/>
              <w:spacing w:line="360" w:lineRule="auto"/>
              <w:jc w:val="center"/>
              <w:rPr>
                <w:b/>
                <w:color w:val="000000"/>
              </w:rPr>
            </w:pPr>
            <w:r>
              <w:rPr>
                <w:b/>
                <w:color w:val="000000"/>
              </w:rPr>
              <w:t>&lt;0.001</w:t>
            </w:r>
          </w:p>
        </w:tc>
      </w:tr>
    </w:tbl>
    <w:p w14:paraId="0DE5F0A7" w14:textId="4072ED7B" w:rsidR="006B4636" w:rsidRDefault="00D34F7C" w:rsidP="00D34F7C">
      <w:pPr>
        <w:pStyle w:val="Caption"/>
        <w:rPr>
          <w:i w:val="0"/>
          <w:color w:val="000000"/>
          <w:sz w:val="24"/>
          <w:szCs w:val="24"/>
        </w:rPr>
      </w:pPr>
      <w:r>
        <w:t xml:space="preserve">p≤0.05 is considered </w:t>
      </w:r>
      <w:r w:rsidRPr="00D34F7C">
        <w:t xml:space="preserve">statistically significant, </w:t>
      </w:r>
      <w:r>
        <w:t xml:space="preserve">and </w:t>
      </w:r>
      <w:r w:rsidRPr="00D34F7C">
        <w:t xml:space="preserve">p≤0.01 is considered </w:t>
      </w:r>
      <w:r w:rsidR="00994424">
        <w:t>highly</w:t>
      </w:r>
      <w:r w:rsidRPr="00D34F7C">
        <w:t xml:space="preserve"> statistically </w:t>
      </w:r>
      <w:r>
        <w:t>substantial.</w:t>
      </w:r>
    </w:p>
    <w:p w14:paraId="4DD456D6" w14:textId="7A692D7F" w:rsidR="006B4636" w:rsidRDefault="00B1276C">
      <w:pPr>
        <w:spacing w:after="0" w:line="480" w:lineRule="auto"/>
        <w:ind w:left="360" w:firstLine="360"/>
        <w:jc w:val="both"/>
        <w:rPr>
          <w:b/>
          <w:sz w:val="24"/>
          <w:szCs w:val="24"/>
        </w:rPr>
      </w:pPr>
      <w:r>
        <w:rPr>
          <w:sz w:val="24"/>
          <w:szCs w:val="24"/>
        </w:rPr>
        <w:t xml:space="preserve">Steatosis levels </w:t>
      </w:r>
      <w:r w:rsidR="006F012C">
        <w:rPr>
          <w:sz w:val="24"/>
          <w:szCs w:val="24"/>
        </w:rPr>
        <w:t>were</w:t>
      </w:r>
      <w:r>
        <w:rPr>
          <w:sz w:val="24"/>
          <w:szCs w:val="24"/>
        </w:rPr>
        <w:t xml:space="preserve"> lower in patients with HCC as measured by CAP using transient elastography (p-value &lt; 0.001). </w:t>
      </w:r>
      <w:r w:rsidR="006F012C">
        <w:rPr>
          <w:sz w:val="24"/>
          <w:szCs w:val="24"/>
        </w:rPr>
        <w:t>Most</w:t>
      </w:r>
      <w:r>
        <w:rPr>
          <w:sz w:val="24"/>
          <w:szCs w:val="24"/>
        </w:rPr>
        <w:t xml:space="preserve"> patients with HCC </w:t>
      </w:r>
      <w:r w:rsidRPr="00955654">
        <w:rPr>
          <w:sz w:val="24"/>
          <w:szCs w:val="24"/>
        </w:rPr>
        <w:t>(8</w:t>
      </w:r>
      <w:r w:rsidR="006A3099" w:rsidRPr="00955654">
        <w:rPr>
          <w:sz w:val="24"/>
          <w:szCs w:val="24"/>
        </w:rPr>
        <w:t>5</w:t>
      </w:r>
      <w:r w:rsidRPr="00955654">
        <w:rPr>
          <w:sz w:val="24"/>
          <w:szCs w:val="24"/>
        </w:rPr>
        <w:t xml:space="preserve">.7%) </w:t>
      </w:r>
      <w:r>
        <w:rPr>
          <w:sz w:val="24"/>
          <w:szCs w:val="24"/>
        </w:rPr>
        <w:t>had no or mild steatosis (S0 and S1). On the other hand, liver stiffness measurement was significantly different between both groups</w:t>
      </w:r>
      <w:r w:rsidR="006F012C">
        <w:rPr>
          <w:sz w:val="24"/>
          <w:szCs w:val="24"/>
        </w:rPr>
        <w:t>,</w:t>
      </w:r>
      <w:r>
        <w:rPr>
          <w:sz w:val="24"/>
          <w:szCs w:val="24"/>
        </w:rPr>
        <w:t xml:space="preserve"> showing a higher level in those with HCC (p-value &lt; 0.001) </w:t>
      </w:r>
      <w:r>
        <w:rPr>
          <w:b/>
          <w:sz w:val="24"/>
          <w:szCs w:val="24"/>
        </w:rPr>
        <w:t>(Tab 3).</w:t>
      </w:r>
    </w:p>
    <w:p w14:paraId="61BF4112" w14:textId="675C976F" w:rsidR="00955654" w:rsidRPr="00955654" w:rsidRDefault="00955654" w:rsidP="00955654">
      <w:pPr>
        <w:pStyle w:val="Caption"/>
        <w:keepNext/>
        <w:rPr>
          <w:b/>
        </w:rPr>
      </w:pPr>
      <w:r>
        <w:t>Tab</w:t>
      </w:r>
      <w:r w:rsidR="00D4519E">
        <w:t>3</w:t>
      </w:r>
      <w:r>
        <w:t>.</w:t>
      </w:r>
      <w:r w:rsidRPr="00955654">
        <w:rPr>
          <w:b/>
        </w:rPr>
        <w:t xml:space="preserve"> Comparisons between studied groups </w:t>
      </w:r>
      <w:r>
        <w:rPr>
          <w:b/>
        </w:rPr>
        <w:t>regarding</w:t>
      </w:r>
      <w:r w:rsidRPr="00955654">
        <w:t xml:space="preserve"> </w:t>
      </w:r>
      <w:r w:rsidRPr="00955654">
        <w:rPr>
          <w:b/>
        </w:rPr>
        <w:t>steatosis grade, CAP, and liver stiffness measurements</w:t>
      </w:r>
      <w:r>
        <w:rPr>
          <w:b/>
        </w:rPr>
        <w:t>.</w:t>
      </w:r>
    </w:p>
    <w:tbl>
      <w:tblPr>
        <w:tblStyle w:val="a1"/>
        <w:tblW w:w="8445" w:type="dxa"/>
        <w:jc w:val="center"/>
        <w:tblLayout w:type="fixed"/>
        <w:tblLook w:val="0400" w:firstRow="0" w:lastRow="0" w:firstColumn="0" w:lastColumn="0" w:noHBand="0" w:noVBand="1"/>
        <w:tblCaption w:val="Tab3. Comparisons between studied groups regarding steatosis grade, CAP, and liver stiffness measurements."/>
        <w:tblDescription w:val="p≤0.05 is considered statistically significant, and p≤0.01 is considered highly statistically substantial."/>
      </w:tblPr>
      <w:tblGrid>
        <w:gridCol w:w="1276"/>
        <w:gridCol w:w="1843"/>
        <w:gridCol w:w="733"/>
        <w:gridCol w:w="1607"/>
        <w:gridCol w:w="992"/>
        <w:gridCol w:w="895"/>
        <w:gridCol w:w="1099"/>
      </w:tblGrid>
      <w:tr w:rsidR="006B4636" w14:paraId="3EB0B0C1" w14:textId="77777777" w:rsidTr="00D4519E">
        <w:trPr>
          <w:trHeight w:val="532"/>
          <w:jc w:val="center"/>
        </w:trPr>
        <w:tc>
          <w:tcPr>
            <w:tcW w:w="3119" w:type="dxa"/>
            <w:gridSpan w:val="2"/>
            <w:tcBorders>
              <w:top w:val="single" w:sz="4" w:space="0" w:color="auto"/>
              <w:bottom w:val="single" w:sz="4" w:space="0" w:color="auto"/>
            </w:tcBorders>
          </w:tcPr>
          <w:p w14:paraId="497B3185" w14:textId="77777777" w:rsidR="006B4636" w:rsidRDefault="006B4636">
            <w:pPr>
              <w:widowControl w:val="0"/>
              <w:pBdr>
                <w:top w:val="nil"/>
                <w:left w:val="nil"/>
                <w:bottom w:val="nil"/>
                <w:right w:val="nil"/>
                <w:between w:val="nil"/>
              </w:pBdr>
              <w:spacing w:line="276" w:lineRule="auto"/>
              <w:rPr>
                <w:b/>
              </w:rPr>
            </w:pPr>
          </w:p>
        </w:tc>
        <w:tc>
          <w:tcPr>
            <w:tcW w:w="2340" w:type="dxa"/>
            <w:gridSpan w:val="2"/>
            <w:tcBorders>
              <w:top w:val="single" w:sz="4" w:space="0" w:color="auto"/>
              <w:bottom w:val="single" w:sz="4" w:space="0" w:color="auto"/>
            </w:tcBorders>
          </w:tcPr>
          <w:p w14:paraId="16279F46" w14:textId="77777777" w:rsidR="006B4636" w:rsidRDefault="00000000">
            <w:pPr>
              <w:widowControl w:val="0"/>
              <w:spacing w:line="360" w:lineRule="auto"/>
              <w:jc w:val="center"/>
              <w:rPr>
                <w:b/>
              </w:rPr>
            </w:pPr>
            <w:r>
              <w:rPr>
                <w:b/>
              </w:rPr>
              <w:t xml:space="preserve">Liver cirrhosis </w:t>
            </w:r>
          </w:p>
        </w:tc>
        <w:tc>
          <w:tcPr>
            <w:tcW w:w="1887" w:type="dxa"/>
            <w:gridSpan w:val="2"/>
            <w:tcBorders>
              <w:top w:val="single" w:sz="4" w:space="0" w:color="auto"/>
              <w:bottom w:val="single" w:sz="4" w:space="0" w:color="auto"/>
            </w:tcBorders>
          </w:tcPr>
          <w:p w14:paraId="0915FFBF" w14:textId="77777777" w:rsidR="006B4636" w:rsidRDefault="00000000">
            <w:pPr>
              <w:widowControl w:val="0"/>
              <w:spacing w:line="360" w:lineRule="auto"/>
              <w:jc w:val="center"/>
              <w:rPr>
                <w:b/>
              </w:rPr>
            </w:pPr>
            <w:r>
              <w:rPr>
                <w:b/>
              </w:rPr>
              <w:t xml:space="preserve">HCC </w:t>
            </w:r>
          </w:p>
        </w:tc>
        <w:tc>
          <w:tcPr>
            <w:tcW w:w="1099" w:type="dxa"/>
            <w:tcBorders>
              <w:top w:val="single" w:sz="4" w:space="0" w:color="auto"/>
              <w:bottom w:val="single" w:sz="4" w:space="0" w:color="auto"/>
            </w:tcBorders>
          </w:tcPr>
          <w:p w14:paraId="2C010885" w14:textId="77777777" w:rsidR="006B4636" w:rsidRDefault="00000000">
            <w:pPr>
              <w:widowControl w:val="0"/>
              <w:pBdr>
                <w:top w:val="nil"/>
                <w:left w:val="nil"/>
                <w:bottom w:val="nil"/>
                <w:right w:val="nil"/>
                <w:between w:val="nil"/>
              </w:pBdr>
              <w:spacing w:line="276" w:lineRule="auto"/>
              <w:jc w:val="center"/>
              <w:rPr>
                <w:b/>
              </w:rPr>
            </w:pPr>
            <w:r>
              <w:rPr>
                <w:b/>
              </w:rPr>
              <w:t>P-value</w:t>
            </w:r>
          </w:p>
        </w:tc>
      </w:tr>
      <w:tr w:rsidR="006B4636" w14:paraId="25274FBF" w14:textId="77777777" w:rsidTr="00D4519E">
        <w:trPr>
          <w:trHeight w:val="316"/>
          <w:jc w:val="center"/>
        </w:trPr>
        <w:tc>
          <w:tcPr>
            <w:tcW w:w="1276" w:type="dxa"/>
            <w:vMerge w:val="restart"/>
            <w:tcBorders>
              <w:top w:val="single" w:sz="4" w:space="0" w:color="auto"/>
            </w:tcBorders>
          </w:tcPr>
          <w:p w14:paraId="1B79BF2C" w14:textId="77777777" w:rsidR="006B4636" w:rsidRDefault="00000000">
            <w:pPr>
              <w:spacing w:line="360" w:lineRule="auto"/>
              <w:jc w:val="center"/>
            </w:pPr>
            <w:r>
              <w:rPr>
                <w:b/>
              </w:rPr>
              <w:t>Steatosis grade</w:t>
            </w:r>
          </w:p>
        </w:tc>
        <w:tc>
          <w:tcPr>
            <w:tcW w:w="1843" w:type="dxa"/>
            <w:tcBorders>
              <w:top w:val="single" w:sz="4" w:space="0" w:color="auto"/>
            </w:tcBorders>
          </w:tcPr>
          <w:p w14:paraId="28A7B368" w14:textId="77777777" w:rsidR="006B4636" w:rsidRDefault="00000000">
            <w:pPr>
              <w:spacing w:line="360" w:lineRule="auto"/>
              <w:jc w:val="center"/>
              <w:rPr>
                <w:b/>
              </w:rPr>
            </w:pPr>
            <w:r>
              <w:rPr>
                <w:b/>
              </w:rPr>
              <w:t>S0</w:t>
            </w:r>
          </w:p>
        </w:tc>
        <w:tc>
          <w:tcPr>
            <w:tcW w:w="733" w:type="dxa"/>
            <w:tcBorders>
              <w:top w:val="single" w:sz="4" w:space="0" w:color="auto"/>
            </w:tcBorders>
          </w:tcPr>
          <w:p w14:paraId="449A6E01" w14:textId="77777777" w:rsidR="006B4636" w:rsidRDefault="00000000">
            <w:pPr>
              <w:spacing w:line="360" w:lineRule="auto"/>
              <w:jc w:val="center"/>
            </w:pPr>
            <w:r>
              <w:t>69</w:t>
            </w:r>
          </w:p>
        </w:tc>
        <w:tc>
          <w:tcPr>
            <w:tcW w:w="1607" w:type="dxa"/>
            <w:tcBorders>
              <w:top w:val="single" w:sz="4" w:space="0" w:color="auto"/>
            </w:tcBorders>
          </w:tcPr>
          <w:p w14:paraId="737AF24E" w14:textId="77777777" w:rsidR="006B4636" w:rsidRDefault="00000000">
            <w:pPr>
              <w:spacing w:line="360" w:lineRule="auto"/>
              <w:jc w:val="center"/>
            </w:pPr>
            <w:r>
              <w:t>51.9%</w:t>
            </w:r>
          </w:p>
        </w:tc>
        <w:tc>
          <w:tcPr>
            <w:tcW w:w="992" w:type="dxa"/>
            <w:tcBorders>
              <w:top w:val="single" w:sz="4" w:space="0" w:color="auto"/>
            </w:tcBorders>
          </w:tcPr>
          <w:p w14:paraId="4EAE8149" w14:textId="77777777" w:rsidR="006B4636" w:rsidRDefault="00000000">
            <w:pPr>
              <w:spacing w:line="360" w:lineRule="auto"/>
              <w:jc w:val="center"/>
            </w:pPr>
            <w:r>
              <w:t>92</w:t>
            </w:r>
          </w:p>
        </w:tc>
        <w:tc>
          <w:tcPr>
            <w:tcW w:w="895" w:type="dxa"/>
            <w:tcBorders>
              <w:top w:val="single" w:sz="4" w:space="0" w:color="auto"/>
            </w:tcBorders>
          </w:tcPr>
          <w:p w14:paraId="17A2BD8A" w14:textId="77777777" w:rsidR="006B4636" w:rsidRDefault="00000000">
            <w:pPr>
              <w:spacing w:line="360" w:lineRule="auto"/>
              <w:jc w:val="center"/>
            </w:pPr>
            <w:r>
              <w:t>69.2%</w:t>
            </w:r>
          </w:p>
        </w:tc>
        <w:tc>
          <w:tcPr>
            <w:tcW w:w="1099" w:type="dxa"/>
            <w:vMerge w:val="restart"/>
            <w:tcBorders>
              <w:top w:val="single" w:sz="4" w:space="0" w:color="auto"/>
            </w:tcBorders>
          </w:tcPr>
          <w:p w14:paraId="594E1FD0" w14:textId="77777777" w:rsidR="006B4636" w:rsidRDefault="00000000">
            <w:pPr>
              <w:spacing w:line="360" w:lineRule="auto"/>
              <w:jc w:val="center"/>
              <w:rPr>
                <w:color w:val="000000"/>
              </w:rPr>
            </w:pPr>
            <w:r>
              <w:rPr>
                <w:b/>
                <w:color w:val="000000"/>
              </w:rPr>
              <w:t>0.001</w:t>
            </w:r>
          </w:p>
        </w:tc>
      </w:tr>
      <w:tr w:rsidR="006B4636" w14:paraId="319B704C" w14:textId="77777777" w:rsidTr="00D4519E">
        <w:trPr>
          <w:trHeight w:val="278"/>
          <w:jc w:val="center"/>
        </w:trPr>
        <w:tc>
          <w:tcPr>
            <w:tcW w:w="1276" w:type="dxa"/>
            <w:vMerge/>
          </w:tcPr>
          <w:p w14:paraId="702B1C6A" w14:textId="77777777" w:rsidR="006B4636" w:rsidRDefault="006B4636">
            <w:pPr>
              <w:widowControl w:val="0"/>
              <w:pBdr>
                <w:top w:val="nil"/>
                <w:left w:val="nil"/>
                <w:bottom w:val="nil"/>
                <w:right w:val="nil"/>
                <w:between w:val="nil"/>
              </w:pBdr>
              <w:spacing w:line="276" w:lineRule="auto"/>
              <w:rPr>
                <w:color w:val="000000"/>
              </w:rPr>
            </w:pPr>
          </w:p>
        </w:tc>
        <w:tc>
          <w:tcPr>
            <w:tcW w:w="1843" w:type="dxa"/>
          </w:tcPr>
          <w:p w14:paraId="40EDFA08" w14:textId="77777777" w:rsidR="006B4636" w:rsidRDefault="00000000">
            <w:pPr>
              <w:spacing w:line="360" w:lineRule="auto"/>
              <w:jc w:val="center"/>
              <w:rPr>
                <w:b/>
              </w:rPr>
            </w:pPr>
            <w:r>
              <w:rPr>
                <w:b/>
              </w:rPr>
              <w:t>S1</w:t>
            </w:r>
          </w:p>
        </w:tc>
        <w:tc>
          <w:tcPr>
            <w:tcW w:w="733" w:type="dxa"/>
          </w:tcPr>
          <w:p w14:paraId="049DD190" w14:textId="77777777" w:rsidR="006B4636" w:rsidRDefault="00000000">
            <w:pPr>
              <w:spacing w:line="360" w:lineRule="auto"/>
              <w:jc w:val="center"/>
            </w:pPr>
            <w:r>
              <w:t>19</w:t>
            </w:r>
          </w:p>
        </w:tc>
        <w:tc>
          <w:tcPr>
            <w:tcW w:w="1607" w:type="dxa"/>
          </w:tcPr>
          <w:p w14:paraId="357D2DD2" w14:textId="77777777" w:rsidR="006B4636" w:rsidRDefault="00000000">
            <w:pPr>
              <w:spacing w:line="360" w:lineRule="auto"/>
              <w:jc w:val="center"/>
            </w:pPr>
            <w:r>
              <w:t>14.3%</w:t>
            </w:r>
          </w:p>
        </w:tc>
        <w:tc>
          <w:tcPr>
            <w:tcW w:w="992" w:type="dxa"/>
          </w:tcPr>
          <w:p w14:paraId="1E53A716" w14:textId="77777777" w:rsidR="006B4636" w:rsidRDefault="00000000">
            <w:pPr>
              <w:spacing w:line="360" w:lineRule="auto"/>
              <w:jc w:val="center"/>
            </w:pPr>
            <w:r>
              <w:t>22</w:t>
            </w:r>
          </w:p>
        </w:tc>
        <w:tc>
          <w:tcPr>
            <w:tcW w:w="895" w:type="dxa"/>
          </w:tcPr>
          <w:p w14:paraId="0A3DA9A6" w14:textId="77777777" w:rsidR="006B4636" w:rsidRDefault="00000000">
            <w:pPr>
              <w:spacing w:line="360" w:lineRule="auto"/>
              <w:jc w:val="center"/>
            </w:pPr>
            <w:r>
              <w:t>16.5%</w:t>
            </w:r>
          </w:p>
        </w:tc>
        <w:tc>
          <w:tcPr>
            <w:tcW w:w="1099" w:type="dxa"/>
            <w:vMerge/>
          </w:tcPr>
          <w:p w14:paraId="7AA1F0AF" w14:textId="77777777" w:rsidR="006B4636" w:rsidRDefault="006B4636">
            <w:pPr>
              <w:widowControl w:val="0"/>
              <w:pBdr>
                <w:top w:val="nil"/>
                <w:left w:val="nil"/>
                <w:bottom w:val="nil"/>
                <w:right w:val="nil"/>
                <w:between w:val="nil"/>
              </w:pBdr>
              <w:spacing w:line="276" w:lineRule="auto"/>
            </w:pPr>
          </w:p>
        </w:tc>
      </w:tr>
      <w:tr w:rsidR="006B4636" w14:paraId="7EE8B337" w14:textId="77777777" w:rsidTr="00D4519E">
        <w:trPr>
          <w:trHeight w:val="414"/>
          <w:jc w:val="center"/>
        </w:trPr>
        <w:tc>
          <w:tcPr>
            <w:tcW w:w="1276" w:type="dxa"/>
            <w:vMerge/>
          </w:tcPr>
          <w:p w14:paraId="332FDDDD" w14:textId="77777777" w:rsidR="006B4636" w:rsidRDefault="006B4636">
            <w:pPr>
              <w:widowControl w:val="0"/>
              <w:pBdr>
                <w:top w:val="nil"/>
                <w:left w:val="nil"/>
                <w:bottom w:val="nil"/>
                <w:right w:val="nil"/>
                <w:between w:val="nil"/>
              </w:pBdr>
              <w:spacing w:line="276" w:lineRule="auto"/>
            </w:pPr>
          </w:p>
        </w:tc>
        <w:tc>
          <w:tcPr>
            <w:tcW w:w="1843" w:type="dxa"/>
          </w:tcPr>
          <w:p w14:paraId="4E5F4159" w14:textId="77777777" w:rsidR="006B4636" w:rsidRDefault="00000000">
            <w:pPr>
              <w:spacing w:line="360" w:lineRule="auto"/>
              <w:jc w:val="center"/>
              <w:rPr>
                <w:b/>
              </w:rPr>
            </w:pPr>
            <w:r>
              <w:rPr>
                <w:b/>
              </w:rPr>
              <w:t>S2</w:t>
            </w:r>
          </w:p>
        </w:tc>
        <w:tc>
          <w:tcPr>
            <w:tcW w:w="733" w:type="dxa"/>
          </w:tcPr>
          <w:p w14:paraId="375AD9E9" w14:textId="77777777" w:rsidR="006B4636" w:rsidRDefault="00000000">
            <w:pPr>
              <w:spacing w:line="360" w:lineRule="auto"/>
              <w:jc w:val="center"/>
            </w:pPr>
            <w:r>
              <w:t>27</w:t>
            </w:r>
          </w:p>
        </w:tc>
        <w:tc>
          <w:tcPr>
            <w:tcW w:w="1607" w:type="dxa"/>
          </w:tcPr>
          <w:p w14:paraId="33668CAC" w14:textId="77777777" w:rsidR="006B4636" w:rsidRDefault="00000000">
            <w:pPr>
              <w:spacing w:line="360" w:lineRule="auto"/>
              <w:jc w:val="center"/>
            </w:pPr>
            <w:r>
              <w:t>20.3%</w:t>
            </w:r>
          </w:p>
        </w:tc>
        <w:tc>
          <w:tcPr>
            <w:tcW w:w="992" w:type="dxa"/>
          </w:tcPr>
          <w:p w14:paraId="002F71D6" w14:textId="77777777" w:rsidR="006B4636" w:rsidRDefault="00000000">
            <w:pPr>
              <w:spacing w:line="360" w:lineRule="auto"/>
              <w:jc w:val="center"/>
            </w:pPr>
            <w:r>
              <w:t>8</w:t>
            </w:r>
          </w:p>
        </w:tc>
        <w:tc>
          <w:tcPr>
            <w:tcW w:w="895" w:type="dxa"/>
          </w:tcPr>
          <w:p w14:paraId="372EDFEE" w14:textId="77777777" w:rsidR="006B4636" w:rsidRDefault="00000000">
            <w:pPr>
              <w:spacing w:line="360" w:lineRule="auto"/>
              <w:jc w:val="center"/>
            </w:pPr>
            <w:r>
              <w:t>6.0%</w:t>
            </w:r>
          </w:p>
        </w:tc>
        <w:tc>
          <w:tcPr>
            <w:tcW w:w="1099" w:type="dxa"/>
            <w:vMerge/>
          </w:tcPr>
          <w:p w14:paraId="1C51885A" w14:textId="77777777" w:rsidR="006B4636" w:rsidRDefault="006B4636">
            <w:pPr>
              <w:widowControl w:val="0"/>
              <w:pBdr>
                <w:top w:val="nil"/>
                <w:left w:val="nil"/>
                <w:bottom w:val="nil"/>
                <w:right w:val="nil"/>
                <w:between w:val="nil"/>
              </w:pBdr>
              <w:spacing w:line="276" w:lineRule="auto"/>
            </w:pPr>
          </w:p>
        </w:tc>
      </w:tr>
      <w:tr w:rsidR="006B4636" w14:paraId="10186545" w14:textId="77777777" w:rsidTr="00D4519E">
        <w:trPr>
          <w:trHeight w:val="278"/>
          <w:jc w:val="center"/>
        </w:trPr>
        <w:tc>
          <w:tcPr>
            <w:tcW w:w="1276" w:type="dxa"/>
            <w:vMerge/>
          </w:tcPr>
          <w:p w14:paraId="403052F8" w14:textId="77777777" w:rsidR="006B4636" w:rsidRDefault="006B4636">
            <w:pPr>
              <w:widowControl w:val="0"/>
              <w:pBdr>
                <w:top w:val="nil"/>
                <w:left w:val="nil"/>
                <w:bottom w:val="nil"/>
                <w:right w:val="nil"/>
                <w:between w:val="nil"/>
              </w:pBdr>
              <w:spacing w:line="276" w:lineRule="auto"/>
            </w:pPr>
          </w:p>
        </w:tc>
        <w:tc>
          <w:tcPr>
            <w:tcW w:w="1843" w:type="dxa"/>
          </w:tcPr>
          <w:p w14:paraId="18EBD607" w14:textId="77777777" w:rsidR="006B4636" w:rsidRDefault="00000000">
            <w:pPr>
              <w:spacing w:line="360" w:lineRule="auto"/>
              <w:jc w:val="center"/>
              <w:rPr>
                <w:b/>
              </w:rPr>
            </w:pPr>
            <w:r>
              <w:rPr>
                <w:b/>
              </w:rPr>
              <w:t>S3</w:t>
            </w:r>
          </w:p>
        </w:tc>
        <w:tc>
          <w:tcPr>
            <w:tcW w:w="733" w:type="dxa"/>
          </w:tcPr>
          <w:p w14:paraId="2A7E8D88" w14:textId="77777777" w:rsidR="006B4636" w:rsidRDefault="00000000">
            <w:pPr>
              <w:spacing w:line="360" w:lineRule="auto"/>
              <w:jc w:val="center"/>
            </w:pPr>
            <w:r>
              <w:t>18</w:t>
            </w:r>
          </w:p>
        </w:tc>
        <w:tc>
          <w:tcPr>
            <w:tcW w:w="1607" w:type="dxa"/>
          </w:tcPr>
          <w:p w14:paraId="54085CB8" w14:textId="77777777" w:rsidR="006B4636" w:rsidRDefault="00000000">
            <w:pPr>
              <w:spacing w:line="360" w:lineRule="auto"/>
              <w:jc w:val="center"/>
            </w:pPr>
            <w:r>
              <w:t>13.5%</w:t>
            </w:r>
          </w:p>
        </w:tc>
        <w:tc>
          <w:tcPr>
            <w:tcW w:w="992" w:type="dxa"/>
          </w:tcPr>
          <w:p w14:paraId="5FD9CF2A" w14:textId="77777777" w:rsidR="006B4636" w:rsidRDefault="00000000">
            <w:pPr>
              <w:spacing w:line="360" w:lineRule="auto"/>
              <w:jc w:val="center"/>
            </w:pPr>
            <w:r>
              <w:t>11</w:t>
            </w:r>
          </w:p>
        </w:tc>
        <w:tc>
          <w:tcPr>
            <w:tcW w:w="895" w:type="dxa"/>
          </w:tcPr>
          <w:p w14:paraId="41ED73AC" w14:textId="77777777" w:rsidR="006B4636" w:rsidRDefault="00000000">
            <w:pPr>
              <w:spacing w:line="360" w:lineRule="auto"/>
              <w:jc w:val="center"/>
            </w:pPr>
            <w:r>
              <w:t>8.3%</w:t>
            </w:r>
          </w:p>
        </w:tc>
        <w:tc>
          <w:tcPr>
            <w:tcW w:w="1099" w:type="dxa"/>
            <w:vMerge/>
          </w:tcPr>
          <w:p w14:paraId="4D7B5929" w14:textId="77777777" w:rsidR="006B4636" w:rsidRDefault="006B4636">
            <w:pPr>
              <w:widowControl w:val="0"/>
              <w:pBdr>
                <w:top w:val="nil"/>
                <w:left w:val="nil"/>
                <w:bottom w:val="nil"/>
                <w:right w:val="nil"/>
                <w:between w:val="nil"/>
              </w:pBdr>
              <w:spacing w:line="276" w:lineRule="auto"/>
            </w:pPr>
          </w:p>
        </w:tc>
      </w:tr>
      <w:tr w:rsidR="006B4636" w14:paraId="326089BA" w14:textId="77777777" w:rsidTr="00D4519E">
        <w:trPr>
          <w:trHeight w:val="422"/>
          <w:jc w:val="center"/>
        </w:trPr>
        <w:tc>
          <w:tcPr>
            <w:tcW w:w="3119" w:type="dxa"/>
            <w:gridSpan w:val="2"/>
          </w:tcPr>
          <w:p w14:paraId="12F1C6B6" w14:textId="77777777" w:rsidR="006B4636" w:rsidRDefault="00000000">
            <w:pPr>
              <w:spacing w:line="360" w:lineRule="auto"/>
              <w:jc w:val="center"/>
              <w:rPr>
                <w:b/>
              </w:rPr>
            </w:pPr>
            <w:r>
              <w:rPr>
                <w:b/>
              </w:rPr>
              <w:t>CAP Median (IQR)</w:t>
            </w:r>
          </w:p>
        </w:tc>
        <w:tc>
          <w:tcPr>
            <w:tcW w:w="2340" w:type="dxa"/>
            <w:gridSpan w:val="2"/>
          </w:tcPr>
          <w:p w14:paraId="6060E1E6" w14:textId="77777777" w:rsidR="006B4636" w:rsidRDefault="00000000">
            <w:pPr>
              <w:spacing w:line="360" w:lineRule="auto"/>
              <w:jc w:val="center"/>
              <w:rPr>
                <w:color w:val="000000"/>
              </w:rPr>
            </w:pPr>
            <w:r>
              <w:rPr>
                <w:color w:val="000000"/>
              </w:rPr>
              <w:t>234.0</w:t>
            </w:r>
          </w:p>
          <w:p w14:paraId="7FC70DB7" w14:textId="77777777" w:rsidR="006B4636" w:rsidRDefault="00000000">
            <w:pPr>
              <w:spacing w:line="360" w:lineRule="auto"/>
              <w:jc w:val="center"/>
              <w:rPr>
                <w:color w:val="000000"/>
              </w:rPr>
            </w:pPr>
            <w:r>
              <w:rPr>
                <w:color w:val="000000"/>
              </w:rPr>
              <w:t>(201.0-267.0)</w:t>
            </w:r>
          </w:p>
        </w:tc>
        <w:tc>
          <w:tcPr>
            <w:tcW w:w="1887" w:type="dxa"/>
            <w:gridSpan w:val="2"/>
          </w:tcPr>
          <w:p w14:paraId="12662B88" w14:textId="77777777" w:rsidR="006B4636" w:rsidRDefault="00000000">
            <w:pPr>
              <w:spacing w:line="360" w:lineRule="auto"/>
              <w:jc w:val="center"/>
              <w:rPr>
                <w:color w:val="000000"/>
              </w:rPr>
            </w:pPr>
            <w:r>
              <w:rPr>
                <w:color w:val="000000"/>
              </w:rPr>
              <w:t>211.0</w:t>
            </w:r>
          </w:p>
          <w:p w14:paraId="74A0B23B" w14:textId="77777777" w:rsidR="006B4636" w:rsidRDefault="00000000">
            <w:pPr>
              <w:spacing w:line="360" w:lineRule="auto"/>
              <w:jc w:val="center"/>
              <w:rPr>
                <w:color w:val="000000"/>
              </w:rPr>
            </w:pPr>
            <w:r>
              <w:rPr>
                <w:color w:val="000000"/>
              </w:rPr>
              <w:t>(176.0-243.0)</w:t>
            </w:r>
          </w:p>
        </w:tc>
        <w:tc>
          <w:tcPr>
            <w:tcW w:w="1099" w:type="dxa"/>
          </w:tcPr>
          <w:p w14:paraId="53E2799E" w14:textId="77777777" w:rsidR="006B4636" w:rsidRDefault="00000000">
            <w:pPr>
              <w:spacing w:line="360" w:lineRule="auto"/>
              <w:jc w:val="center"/>
              <w:rPr>
                <w:color w:val="000000"/>
              </w:rPr>
            </w:pPr>
            <w:r>
              <w:rPr>
                <w:b/>
                <w:color w:val="000000"/>
              </w:rPr>
              <w:t>&lt;0.001</w:t>
            </w:r>
          </w:p>
        </w:tc>
      </w:tr>
      <w:tr w:rsidR="006B4636" w14:paraId="3248D0A3" w14:textId="77777777" w:rsidTr="00D4519E">
        <w:trPr>
          <w:trHeight w:val="422"/>
          <w:jc w:val="center"/>
        </w:trPr>
        <w:tc>
          <w:tcPr>
            <w:tcW w:w="3119" w:type="dxa"/>
            <w:gridSpan w:val="2"/>
            <w:tcBorders>
              <w:bottom w:val="single" w:sz="4" w:space="0" w:color="auto"/>
            </w:tcBorders>
          </w:tcPr>
          <w:p w14:paraId="3C906A8E" w14:textId="77777777" w:rsidR="006B4636" w:rsidRDefault="00000000">
            <w:pPr>
              <w:spacing w:line="360" w:lineRule="auto"/>
              <w:jc w:val="center"/>
              <w:rPr>
                <w:b/>
              </w:rPr>
            </w:pPr>
            <w:r>
              <w:rPr>
                <w:b/>
              </w:rPr>
              <w:t>Liver stiffness Median (IQR)</w:t>
            </w:r>
          </w:p>
        </w:tc>
        <w:tc>
          <w:tcPr>
            <w:tcW w:w="2340" w:type="dxa"/>
            <w:gridSpan w:val="2"/>
            <w:tcBorders>
              <w:bottom w:val="single" w:sz="4" w:space="0" w:color="auto"/>
            </w:tcBorders>
          </w:tcPr>
          <w:p w14:paraId="0B549617" w14:textId="77777777" w:rsidR="006B4636" w:rsidRDefault="00000000">
            <w:pPr>
              <w:spacing w:line="360" w:lineRule="auto"/>
              <w:jc w:val="center"/>
              <w:rPr>
                <w:color w:val="000000"/>
              </w:rPr>
            </w:pPr>
            <w:r>
              <w:rPr>
                <w:color w:val="000000"/>
              </w:rPr>
              <w:t>23.50 (18.5-30.0)</w:t>
            </w:r>
          </w:p>
        </w:tc>
        <w:tc>
          <w:tcPr>
            <w:tcW w:w="1887" w:type="dxa"/>
            <w:gridSpan w:val="2"/>
            <w:tcBorders>
              <w:bottom w:val="single" w:sz="4" w:space="0" w:color="auto"/>
            </w:tcBorders>
          </w:tcPr>
          <w:p w14:paraId="470EB54A" w14:textId="77777777" w:rsidR="006B4636" w:rsidRDefault="00000000">
            <w:pPr>
              <w:spacing w:line="360" w:lineRule="auto"/>
              <w:jc w:val="center"/>
              <w:rPr>
                <w:color w:val="000000"/>
              </w:rPr>
            </w:pPr>
            <w:r>
              <w:rPr>
                <w:color w:val="000000"/>
              </w:rPr>
              <w:t>25.0 (20.0-40.0)</w:t>
            </w:r>
          </w:p>
        </w:tc>
        <w:tc>
          <w:tcPr>
            <w:tcW w:w="1099" w:type="dxa"/>
            <w:tcBorders>
              <w:bottom w:val="single" w:sz="4" w:space="0" w:color="auto"/>
            </w:tcBorders>
          </w:tcPr>
          <w:p w14:paraId="1A4DB5EC" w14:textId="77777777" w:rsidR="006B4636" w:rsidRDefault="00000000" w:rsidP="00BC323B">
            <w:pPr>
              <w:keepNext/>
              <w:spacing w:line="360" w:lineRule="auto"/>
              <w:jc w:val="center"/>
              <w:rPr>
                <w:color w:val="000000"/>
              </w:rPr>
            </w:pPr>
            <w:r>
              <w:rPr>
                <w:b/>
                <w:color w:val="000000"/>
              </w:rPr>
              <w:t>&lt;0.001</w:t>
            </w:r>
          </w:p>
        </w:tc>
      </w:tr>
    </w:tbl>
    <w:p w14:paraId="119AF1A1" w14:textId="77777777" w:rsidR="00BC323B" w:rsidRPr="00BC323B" w:rsidRDefault="00BC323B" w:rsidP="00BC323B">
      <w:pPr>
        <w:pStyle w:val="Caption"/>
      </w:pPr>
      <w:r>
        <w:t xml:space="preserve">p≤0.05 is considered </w:t>
      </w:r>
      <w:r w:rsidRPr="00BC323B">
        <w:t>statistically significant, and p≤0.01 is considered highly statistically substantial.</w:t>
      </w:r>
    </w:p>
    <w:p w14:paraId="3B12F266" w14:textId="36F716ED" w:rsidR="006B4636" w:rsidRDefault="000F09C9" w:rsidP="000F09C9">
      <w:pPr>
        <w:spacing w:after="0" w:line="480" w:lineRule="auto"/>
        <w:ind w:firstLine="720"/>
        <w:jc w:val="both"/>
        <w:rPr>
          <w:sz w:val="24"/>
          <w:szCs w:val="24"/>
        </w:rPr>
      </w:pPr>
      <w:r>
        <w:rPr>
          <w:sz w:val="24"/>
          <w:szCs w:val="24"/>
        </w:rPr>
        <w:t>It was shown that liver stiffness measured by transient elastography can be used to discriminate between patients with liver cirrhosis with and without HCC using a cutoff level of &gt;24.3 Kpa with 90.5% sensitivity, 85.7% specificity, 86.4% PPV, and 90% NPV u</w:t>
      </w:r>
      <w:r w:rsidRPr="000F09C9">
        <w:rPr>
          <w:sz w:val="24"/>
          <w:szCs w:val="24"/>
        </w:rPr>
        <w:t>sing the ROC curve</w:t>
      </w:r>
      <w:r>
        <w:rPr>
          <w:sz w:val="24"/>
          <w:szCs w:val="24"/>
        </w:rPr>
        <w:t xml:space="preserve"> </w:t>
      </w:r>
      <w:r>
        <w:rPr>
          <w:b/>
          <w:sz w:val="24"/>
          <w:szCs w:val="24"/>
        </w:rPr>
        <w:t>(AUC = 0.926 &amp; p-value &lt; 0.001) (Fig 1).</w:t>
      </w:r>
    </w:p>
    <w:p w14:paraId="68540B11" w14:textId="77777777" w:rsidR="00B5480B" w:rsidRDefault="00000000" w:rsidP="00B5480B">
      <w:pPr>
        <w:keepNext/>
        <w:spacing w:after="0" w:line="360" w:lineRule="auto"/>
        <w:jc w:val="center"/>
      </w:pPr>
      <w:r>
        <w:rPr>
          <w:b/>
          <w:i/>
          <w:noProof/>
          <w:sz w:val="24"/>
          <w:szCs w:val="24"/>
        </w:rPr>
        <w:drawing>
          <wp:inline distT="0" distB="0" distL="0" distR="0" wp14:anchorId="37C29C0C" wp14:editId="1893781B">
            <wp:extent cx="4214320" cy="3160872"/>
            <wp:effectExtent l="0" t="0" r="0" b="0"/>
            <wp:docPr id="1" name="image1.png" descr="Figure (1): ROC curve of liver stiffness in discrimination of liver cirrhosis and HCC"/>
            <wp:cNvGraphicFramePr/>
            <a:graphic xmlns:a="http://schemas.openxmlformats.org/drawingml/2006/main">
              <a:graphicData uri="http://schemas.openxmlformats.org/drawingml/2006/picture">
                <pic:pic xmlns:pic="http://schemas.openxmlformats.org/drawingml/2006/picture">
                  <pic:nvPicPr>
                    <pic:cNvPr id="1" name="image1.png" descr="Figure (1): ROC curve of liver stiffness in discrimination of liver cirrhosis and HCC"/>
                    <pic:cNvPicPr preferRelativeResize="0"/>
                  </pic:nvPicPr>
                  <pic:blipFill>
                    <a:blip r:embed="rId9"/>
                    <a:srcRect/>
                    <a:stretch>
                      <a:fillRect/>
                    </a:stretch>
                  </pic:blipFill>
                  <pic:spPr>
                    <a:xfrm>
                      <a:off x="0" y="0"/>
                      <a:ext cx="4214320" cy="3160872"/>
                    </a:xfrm>
                    <a:prstGeom prst="rect">
                      <a:avLst/>
                    </a:prstGeom>
                    <a:ln/>
                  </pic:spPr>
                </pic:pic>
              </a:graphicData>
            </a:graphic>
          </wp:inline>
        </w:drawing>
      </w:r>
    </w:p>
    <w:p w14:paraId="60E9FC1C" w14:textId="1FFC7C4A" w:rsidR="006B4636" w:rsidRDefault="00B5480B" w:rsidP="00B5480B">
      <w:pPr>
        <w:pStyle w:val="Caption"/>
        <w:rPr>
          <w:b/>
          <w:i w:val="0"/>
          <w:sz w:val="24"/>
          <w:szCs w:val="24"/>
        </w:rPr>
      </w:pPr>
      <w:r>
        <w:t xml:space="preserve">Fig </w:t>
      </w:r>
      <w:fldSimple w:instr=" SEQ Figure \* ARABIC ">
        <w:r>
          <w:rPr>
            <w:noProof/>
          </w:rPr>
          <w:t>1</w:t>
        </w:r>
      </w:fldSimple>
      <w:r>
        <w:t>.</w:t>
      </w:r>
      <w:r w:rsidRPr="00B5480B">
        <w:rPr>
          <w:b/>
        </w:rPr>
        <w:t xml:space="preserve"> ROC curve of liver stiffness in discrimination of liver cirrhosis and HCC</w:t>
      </w:r>
      <w:r>
        <w:rPr>
          <w:b/>
        </w:rPr>
        <w:t>.</w:t>
      </w:r>
    </w:p>
    <w:p w14:paraId="535C162A" w14:textId="0503911D" w:rsidR="006B4636" w:rsidRDefault="00000000">
      <w:pPr>
        <w:spacing w:line="480" w:lineRule="auto"/>
        <w:ind w:firstLine="720"/>
        <w:jc w:val="both"/>
        <w:rPr>
          <w:color w:val="000000"/>
          <w:sz w:val="24"/>
          <w:szCs w:val="24"/>
        </w:rPr>
      </w:pPr>
      <w:r>
        <w:rPr>
          <w:sz w:val="24"/>
          <w:szCs w:val="24"/>
        </w:rPr>
        <w:t xml:space="preserve">The overall survival for patients with HCC was measured from the day of HCC diagnosis till the death of the patient or till the end of the study. The mean overall survival was 29.81 months. </w:t>
      </w:r>
      <w:r>
        <w:rPr>
          <w:color w:val="000000"/>
          <w:sz w:val="24"/>
          <w:szCs w:val="24"/>
        </w:rPr>
        <w:t xml:space="preserve">Univariate analysis revealed that smoking was a significant predictor </w:t>
      </w:r>
      <w:r w:rsidR="006F012C">
        <w:rPr>
          <w:color w:val="000000"/>
          <w:sz w:val="24"/>
          <w:szCs w:val="24"/>
        </w:rPr>
        <w:t>of</w:t>
      </w:r>
      <w:r>
        <w:rPr>
          <w:color w:val="000000"/>
          <w:sz w:val="24"/>
          <w:szCs w:val="24"/>
        </w:rPr>
        <w:t xml:space="preserve"> mortality of patients with HCC</w:t>
      </w:r>
      <w:r w:rsidR="006F012C">
        <w:rPr>
          <w:color w:val="000000"/>
          <w:sz w:val="24"/>
          <w:szCs w:val="24"/>
        </w:rPr>
        <w:t>. In contrast,</w:t>
      </w:r>
      <w:r>
        <w:rPr>
          <w:color w:val="000000"/>
          <w:sz w:val="24"/>
          <w:szCs w:val="24"/>
        </w:rPr>
        <w:t xml:space="preserve"> the multivariate analysis showed that the independent factor affecting mortality was the gender of the patients with HCC </w:t>
      </w:r>
      <w:r>
        <w:rPr>
          <w:b/>
          <w:color w:val="000000"/>
          <w:sz w:val="24"/>
          <w:szCs w:val="24"/>
        </w:rPr>
        <w:t>(Tab 4).</w:t>
      </w:r>
    </w:p>
    <w:p w14:paraId="0ECB36A8" w14:textId="77777777" w:rsidR="006B4636" w:rsidRDefault="006B4636">
      <w:pPr>
        <w:spacing w:after="0" w:line="480" w:lineRule="auto"/>
        <w:ind w:firstLine="851"/>
        <w:jc w:val="both"/>
        <w:rPr>
          <w:sz w:val="24"/>
          <w:szCs w:val="24"/>
        </w:rPr>
      </w:pPr>
    </w:p>
    <w:p w14:paraId="7F6B185E" w14:textId="77777777" w:rsidR="008D248A" w:rsidRDefault="008D248A">
      <w:pPr>
        <w:spacing w:after="0" w:line="480" w:lineRule="auto"/>
        <w:ind w:firstLine="851"/>
        <w:jc w:val="both"/>
        <w:rPr>
          <w:sz w:val="24"/>
          <w:szCs w:val="24"/>
        </w:rPr>
      </w:pPr>
    </w:p>
    <w:p w14:paraId="77D612FD" w14:textId="3753CB9C" w:rsidR="00D103B0" w:rsidRPr="00D103B0" w:rsidRDefault="00D103B0" w:rsidP="00D103B0">
      <w:pPr>
        <w:pStyle w:val="Caption"/>
        <w:keepNext/>
        <w:rPr>
          <w:b/>
        </w:rPr>
      </w:pPr>
      <w:r>
        <w:t>Tab 4.</w:t>
      </w:r>
      <w:r w:rsidRPr="00D103B0">
        <w:rPr>
          <w:b/>
        </w:rPr>
        <w:t xml:space="preserve"> Univariate and multivariate regression analysis of the risk factors for mortality in patients with HCC</w:t>
      </w:r>
    </w:p>
    <w:tbl>
      <w:tblPr>
        <w:tblStyle w:val="a2"/>
        <w:tblW w:w="8979" w:type="dxa"/>
        <w:jc w:val="center"/>
        <w:tblLayout w:type="fixed"/>
        <w:tblLook w:val="0400" w:firstRow="0" w:lastRow="0" w:firstColumn="0" w:lastColumn="0" w:noHBand="0" w:noVBand="1"/>
        <w:tblCaption w:val="Table 4. Univariate and multivariate regression analysis of the risk factors for mortality in patients with HCC"/>
      </w:tblPr>
      <w:tblGrid>
        <w:gridCol w:w="1546"/>
        <w:gridCol w:w="1200"/>
        <w:gridCol w:w="827"/>
        <w:gridCol w:w="830"/>
        <w:gridCol w:w="970"/>
        <w:gridCol w:w="996"/>
        <w:gridCol w:w="900"/>
        <w:gridCol w:w="990"/>
        <w:gridCol w:w="720"/>
      </w:tblGrid>
      <w:tr w:rsidR="006B4636" w14:paraId="417205BB" w14:textId="77777777" w:rsidTr="00164B04">
        <w:trPr>
          <w:trHeight w:val="333"/>
          <w:jc w:val="center"/>
        </w:trPr>
        <w:tc>
          <w:tcPr>
            <w:tcW w:w="1546" w:type="dxa"/>
            <w:tcBorders>
              <w:top w:val="single" w:sz="4" w:space="0" w:color="auto"/>
              <w:bottom w:val="single" w:sz="4" w:space="0" w:color="auto"/>
            </w:tcBorders>
          </w:tcPr>
          <w:p w14:paraId="06AD85F8" w14:textId="77777777" w:rsidR="006B4636" w:rsidRDefault="006B4636">
            <w:pPr>
              <w:spacing w:before="60" w:after="60" w:line="360" w:lineRule="auto"/>
              <w:jc w:val="both"/>
              <w:rPr>
                <w:b/>
              </w:rPr>
            </w:pPr>
          </w:p>
        </w:tc>
        <w:tc>
          <w:tcPr>
            <w:tcW w:w="3827" w:type="dxa"/>
            <w:gridSpan w:val="4"/>
            <w:tcBorders>
              <w:top w:val="single" w:sz="4" w:space="0" w:color="auto"/>
              <w:bottom w:val="single" w:sz="4" w:space="0" w:color="auto"/>
            </w:tcBorders>
          </w:tcPr>
          <w:p w14:paraId="49F93803" w14:textId="77777777" w:rsidR="006B4636" w:rsidRDefault="00000000">
            <w:pPr>
              <w:spacing w:before="60" w:after="60" w:line="360" w:lineRule="auto"/>
              <w:jc w:val="both"/>
              <w:rPr>
                <w:b/>
              </w:rPr>
            </w:pPr>
            <w:r>
              <w:rPr>
                <w:b/>
              </w:rPr>
              <w:t>Univariate analysis</w:t>
            </w:r>
          </w:p>
        </w:tc>
        <w:tc>
          <w:tcPr>
            <w:tcW w:w="3606" w:type="dxa"/>
            <w:gridSpan w:val="4"/>
            <w:tcBorders>
              <w:top w:val="single" w:sz="4" w:space="0" w:color="auto"/>
            </w:tcBorders>
          </w:tcPr>
          <w:p w14:paraId="78E6986A" w14:textId="77777777" w:rsidR="006B4636" w:rsidRDefault="00000000">
            <w:pPr>
              <w:spacing w:before="60" w:after="60" w:line="360" w:lineRule="auto"/>
              <w:jc w:val="both"/>
              <w:rPr>
                <w:b/>
              </w:rPr>
            </w:pPr>
            <w:r>
              <w:rPr>
                <w:b/>
              </w:rPr>
              <w:t>Multivariate analysis</w:t>
            </w:r>
          </w:p>
        </w:tc>
      </w:tr>
      <w:tr w:rsidR="006B4636" w14:paraId="445AC02D" w14:textId="77777777" w:rsidTr="00164B04">
        <w:trPr>
          <w:trHeight w:val="333"/>
          <w:jc w:val="center"/>
        </w:trPr>
        <w:tc>
          <w:tcPr>
            <w:tcW w:w="1546" w:type="dxa"/>
            <w:vMerge w:val="restart"/>
            <w:tcBorders>
              <w:top w:val="single" w:sz="4" w:space="0" w:color="auto"/>
            </w:tcBorders>
          </w:tcPr>
          <w:p w14:paraId="4E52AE13" w14:textId="77777777" w:rsidR="006B4636" w:rsidRDefault="00000000">
            <w:pPr>
              <w:spacing w:before="60" w:after="60" w:line="360" w:lineRule="auto"/>
              <w:jc w:val="both"/>
              <w:rPr>
                <w:b/>
              </w:rPr>
            </w:pPr>
            <w:r>
              <w:rPr>
                <w:b/>
              </w:rPr>
              <w:t>Parameters</w:t>
            </w:r>
          </w:p>
        </w:tc>
        <w:tc>
          <w:tcPr>
            <w:tcW w:w="1200" w:type="dxa"/>
            <w:vMerge w:val="restart"/>
            <w:tcBorders>
              <w:top w:val="single" w:sz="4" w:space="0" w:color="auto"/>
            </w:tcBorders>
          </w:tcPr>
          <w:p w14:paraId="54ECF242" w14:textId="2E01BAF9" w:rsidR="006B4636" w:rsidRDefault="00000000">
            <w:pPr>
              <w:spacing w:before="60" w:after="60" w:line="360" w:lineRule="auto"/>
              <w:jc w:val="both"/>
              <w:rPr>
                <w:b/>
              </w:rPr>
            </w:pPr>
            <w:r>
              <w:rPr>
                <w:b/>
              </w:rPr>
              <w:t>Odds ratio (OR)</w:t>
            </w:r>
          </w:p>
        </w:tc>
        <w:tc>
          <w:tcPr>
            <w:tcW w:w="1657" w:type="dxa"/>
            <w:gridSpan w:val="2"/>
            <w:tcBorders>
              <w:top w:val="single" w:sz="4" w:space="0" w:color="auto"/>
            </w:tcBorders>
          </w:tcPr>
          <w:p w14:paraId="2116A246" w14:textId="77777777" w:rsidR="006B4636" w:rsidRDefault="00000000">
            <w:pPr>
              <w:spacing w:before="60" w:after="60" w:line="360" w:lineRule="auto"/>
              <w:jc w:val="both"/>
              <w:rPr>
                <w:b/>
              </w:rPr>
            </w:pPr>
            <w:r>
              <w:rPr>
                <w:b/>
              </w:rPr>
              <w:t>95%CI</w:t>
            </w:r>
          </w:p>
        </w:tc>
        <w:tc>
          <w:tcPr>
            <w:tcW w:w="970" w:type="dxa"/>
            <w:vMerge w:val="restart"/>
          </w:tcPr>
          <w:p w14:paraId="7C5C182A" w14:textId="77777777" w:rsidR="006B4636" w:rsidRDefault="00000000">
            <w:pPr>
              <w:spacing w:before="60" w:after="60" w:line="360" w:lineRule="auto"/>
              <w:jc w:val="both"/>
              <w:rPr>
                <w:b/>
              </w:rPr>
            </w:pPr>
            <w:r>
              <w:rPr>
                <w:b/>
              </w:rPr>
              <w:t>P-value</w:t>
            </w:r>
          </w:p>
        </w:tc>
        <w:tc>
          <w:tcPr>
            <w:tcW w:w="996" w:type="dxa"/>
            <w:vMerge w:val="restart"/>
          </w:tcPr>
          <w:p w14:paraId="7418010F" w14:textId="136EB927" w:rsidR="006B4636" w:rsidRDefault="00000000">
            <w:pPr>
              <w:spacing w:before="60" w:after="60" w:line="360" w:lineRule="auto"/>
              <w:jc w:val="both"/>
              <w:rPr>
                <w:b/>
              </w:rPr>
            </w:pPr>
            <w:r>
              <w:rPr>
                <w:b/>
              </w:rPr>
              <w:t>Odds ratio (OR)</w:t>
            </w:r>
          </w:p>
        </w:tc>
        <w:tc>
          <w:tcPr>
            <w:tcW w:w="1890" w:type="dxa"/>
            <w:gridSpan w:val="2"/>
          </w:tcPr>
          <w:p w14:paraId="57ED9BC0" w14:textId="77777777" w:rsidR="006B4636" w:rsidRDefault="00000000">
            <w:pPr>
              <w:spacing w:before="60" w:after="60" w:line="360" w:lineRule="auto"/>
              <w:jc w:val="both"/>
              <w:rPr>
                <w:b/>
              </w:rPr>
            </w:pPr>
            <w:r>
              <w:rPr>
                <w:b/>
              </w:rPr>
              <w:t>95%CI</w:t>
            </w:r>
          </w:p>
        </w:tc>
        <w:tc>
          <w:tcPr>
            <w:tcW w:w="720" w:type="dxa"/>
            <w:vMerge w:val="restart"/>
          </w:tcPr>
          <w:p w14:paraId="517D05F7" w14:textId="77777777" w:rsidR="006B4636" w:rsidRDefault="00000000">
            <w:pPr>
              <w:spacing w:before="60" w:after="60" w:line="360" w:lineRule="auto"/>
              <w:jc w:val="both"/>
              <w:rPr>
                <w:b/>
              </w:rPr>
            </w:pPr>
            <w:r>
              <w:rPr>
                <w:b/>
              </w:rPr>
              <w:t>P-value</w:t>
            </w:r>
          </w:p>
        </w:tc>
      </w:tr>
      <w:tr w:rsidR="006B4636" w14:paraId="7A5C2F29" w14:textId="77777777" w:rsidTr="00164B04">
        <w:trPr>
          <w:trHeight w:val="393"/>
          <w:jc w:val="center"/>
        </w:trPr>
        <w:tc>
          <w:tcPr>
            <w:tcW w:w="1546" w:type="dxa"/>
            <w:vMerge/>
          </w:tcPr>
          <w:p w14:paraId="688B6A51" w14:textId="77777777" w:rsidR="006B4636" w:rsidRDefault="006B4636">
            <w:pPr>
              <w:widowControl w:val="0"/>
              <w:pBdr>
                <w:top w:val="nil"/>
                <w:left w:val="nil"/>
                <w:bottom w:val="nil"/>
                <w:right w:val="nil"/>
                <w:between w:val="nil"/>
              </w:pBdr>
              <w:spacing w:line="276" w:lineRule="auto"/>
              <w:rPr>
                <w:b/>
              </w:rPr>
            </w:pPr>
          </w:p>
        </w:tc>
        <w:tc>
          <w:tcPr>
            <w:tcW w:w="1200" w:type="dxa"/>
            <w:vMerge/>
          </w:tcPr>
          <w:p w14:paraId="477A9BD0" w14:textId="77777777" w:rsidR="006B4636" w:rsidRDefault="006B4636">
            <w:pPr>
              <w:widowControl w:val="0"/>
              <w:pBdr>
                <w:top w:val="nil"/>
                <w:left w:val="nil"/>
                <w:bottom w:val="nil"/>
                <w:right w:val="nil"/>
                <w:between w:val="nil"/>
              </w:pBdr>
              <w:spacing w:line="276" w:lineRule="auto"/>
              <w:rPr>
                <w:b/>
              </w:rPr>
            </w:pPr>
          </w:p>
        </w:tc>
        <w:tc>
          <w:tcPr>
            <w:tcW w:w="827" w:type="dxa"/>
          </w:tcPr>
          <w:p w14:paraId="45B8541A" w14:textId="77777777" w:rsidR="006B4636" w:rsidRDefault="00000000">
            <w:pPr>
              <w:spacing w:line="360" w:lineRule="auto"/>
              <w:jc w:val="both"/>
              <w:rPr>
                <w:b/>
              </w:rPr>
            </w:pPr>
            <w:r>
              <w:rPr>
                <w:b/>
              </w:rPr>
              <w:t>Lower limit</w:t>
            </w:r>
          </w:p>
        </w:tc>
        <w:tc>
          <w:tcPr>
            <w:tcW w:w="830" w:type="dxa"/>
          </w:tcPr>
          <w:p w14:paraId="4B7F459B" w14:textId="77777777" w:rsidR="006B4636" w:rsidRDefault="00000000">
            <w:pPr>
              <w:spacing w:line="360" w:lineRule="auto"/>
              <w:jc w:val="both"/>
              <w:rPr>
                <w:b/>
              </w:rPr>
            </w:pPr>
            <w:r>
              <w:rPr>
                <w:b/>
              </w:rPr>
              <w:t>Upper limit</w:t>
            </w:r>
          </w:p>
        </w:tc>
        <w:tc>
          <w:tcPr>
            <w:tcW w:w="970" w:type="dxa"/>
            <w:vMerge/>
          </w:tcPr>
          <w:p w14:paraId="6C9E352E" w14:textId="77777777" w:rsidR="006B4636" w:rsidRDefault="006B4636">
            <w:pPr>
              <w:widowControl w:val="0"/>
              <w:pBdr>
                <w:top w:val="nil"/>
                <w:left w:val="nil"/>
                <w:bottom w:val="nil"/>
                <w:right w:val="nil"/>
                <w:between w:val="nil"/>
              </w:pBdr>
              <w:spacing w:line="276" w:lineRule="auto"/>
              <w:rPr>
                <w:b/>
              </w:rPr>
            </w:pPr>
          </w:p>
        </w:tc>
        <w:tc>
          <w:tcPr>
            <w:tcW w:w="996" w:type="dxa"/>
            <w:vMerge/>
          </w:tcPr>
          <w:p w14:paraId="0C6B18CE" w14:textId="77777777" w:rsidR="006B4636" w:rsidRDefault="006B4636">
            <w:pPr>
              <w:widowControl w:val="0"/>
              <w:pBdr>
                <w:top w:val="nil"/>
                <w:left w:val="nil"/>
                <w:bottom w:val="nil"/>
                <w:right w:val="nil"/>
                <w:between w:val="nil"/>
              </w:pBdr>
              <w:spacing w:line="276" w:lineRule="auto"/>
              <w:rPr>
                <w:b/>
              </w:rPr>
            </w:pPr>
          </w:p>
        </w:tc>
        <w:tc>
          <w:tcPr>
            <w:tcW w:w="900" w:type="dxa"/>
          </w:tcPr>
          <w:p w14:paraId="03A34A51" w14:textId="77777777" w:rsidR="006B4636" w:rsidRDefault="00000000">
            <w:pPr>
              <w:spacing w:before="60" w:after="60" w:line="360" w:lineRule="auto"/>
              <w:jc w:val="both"/>
              <w:rPr>
                <w:b/>
              </w:rPr>
            </w:pPr>
            <w:r>
              <w:rPr>
                <w:b/>
              </w:rPr>
              <w:t>Lower limit</w:t>
            </w:r>
          </w:p>
        </w:tc>
        <w:tc>
          <w:tcPr>
            <w:tcW w:w="990" w:type="dxa"/>
          </w:tcPr>
          <w:p w14:paraId="2A66B0BC" w14:textId="77777777" w:rsidR="006B4636" w:rsidRDefault="00000000">
            <w:pPr>
              <w:spacing w:before="60" w:after="60" w:line="360" w:lineRule="auto"/>
              <w:jc w:val="both"/>
              <w:rPr>
                <w:b/>
              </w:rPr>
            </w:pPr>
            <w:r>
              <w:rPr>
                <w:b/>
              </w:rPr>
              <w:t>Upper limit</w:t>
            </w:r>
          </w:p>
        </w:tc>
        <w:tc>
          <w:tcPr>
            <w:tcW w:w="720" w:type="dxa"/>
            <w:vMerge/>
          </w:tcPr>
          <w:p w14:paraId="4096F5B0" w14:textId="77777777" w:rsidR="006B4636" w:rsidRDefault="006B4636">
            <w:pPr>
              <w:widowControl w:val="0"/>
              <w:pBdr>
                <w:top w:val="nil"/>
                <w:left w:val="nil"/>
                <w:bottom w:val="nil"/>
                <w:right w:val="nil"/>
                <w:between w:val="nil"/>
              </w:pBdr>
              <w:spacing w:line="276" w:lineRule="auto"/>
              <w:rPr>
                <w:b/>
              </w:rPr>
            </w:pPr>
          </w:p>
        </w:tc>
      </w:tr>
      <w:tr w:rsidR="006B4636" w14:paraId="1F1E5C39" w14:textId="77777777" w:rsidTr="00164B04">
        <w:trPr>
          <w:trHeight w:val="255"/>
          <w:jc w:val="center"/>
        </w:trPr>
        <w:tc>
          <w:tcPr>
            <w:tcW w:w="1546" w:type="dxa"/>
          </w:tcPr>
          <w:p w14:paraId="3D8A2A03" w14:textId="77777777" w:rsidR="006B4636" w:rsidRDefault="00000000">
            <w:pPr>
              <w:spacing w:before="60" w:after="60" w:line="360" w:lineRule="auto"/>
              <w:jc w:val="both"/>
              <w:rPr>
                <w:b/>
              </w:rPr>
            </w:pPr>
            <w:r>
              <w:rPr>
                <w:b/>
              </w:rPr>
              <w:t xml:space="preserve">Age </w:t>
            </w:r>
          </w:p>
        </w:tc>
        <w:tc>
          <w:tcPr>
            <w:tcW w:w="1200" w:type="dxa"/>
          </w:tcPr>
          <w:p w14:paraId="787A8124" w14:textId="77777777" w:rsidR="006B4636" w:rsidRDefault="00000000">
            <w:pPr>
              <w:spacing w:before="60" w:after="60" w:line="360" w:lineRule="auto"/>
              <w:jc w:val="both"/>
            </w:pPr>
            <w:r>
              <w:t>.895</w:t>
            </w:r>
          </w:p>
        </w:tc>
        <w:tc>
          <w:tcPr>
            <w:tcW w:w="827" w:type="dxa"/>
          </w:tcPr>
          <w:p w14:paraId="0EB929EF" w14:textId="77777777" w:rsidR="006B4636" w:rsidRDefault="00000000">
            <w:pPr>
              <w:spacing w:before="60" w:after="60" w:line="360" w:lineRule="auto"/>
              <w:jc w:val="both"/>
            </w:pPr>
            <w:r>
              <w:t>.725</w:t>
            </w:r>
          </w:p>
        </w:tc>
        <w:tc>
          <w:tcPr>
            <w:tcW w:w="830" w:type="dxa"/>
          </w:tcPr>
          <w:p w14:paraId="708A6002" w14:textId="77777777" w:rsidR="006B4636" w:rsidRDefault="00000000">
            <w:pPr>
              <w:spacing w:before="60" w:after="60" w:line="360" w:lineRule="auto"/>
              <w:jc w:val="both"/>
            </w:pPr>
            <w:r>
              <w:t>1.104</w:t>
            </w:r>
          </w:p>
        </w:tc>
        <w:tc>
          <w:tcPr>
            <w:tcW w:w="970" w:type="dxa"/>
          </w:tcPr>
          <w:p w14:paraId="079210AF" w14:textId="77777777" w:rsidR="006B4636" w:rsidRDefault="00000000">
            <w:pPr>
              <w:spacing w:before="60" w:after="60" w:line="360" w:lineRule="auto"/>
              <w:jc w:val="both"/>
            </w:pPr>
            <w:r>
              <w:t>.299</w:t>
            </w:r>
          </w:p>
        </w:tc>
        <w:tc>
          <w:tcPr>
            <w:tcW w:w="996" w:type="dxa"/>
          </w:tcPr>
          <w:p w14:paraId="0996C90B" w14:textId="77777777" w:rsidR="006B4636" w:rsidRDefault="00000000">
            <w:pPr>
              <w:spacing w:before="60" w:after="60" w:line="360" w:lineRule="auto"/>
              <w:jc w:val="both"/>
            </w:pPr>
            <w:r>
              <w:t>1.019</w:t>
            </w:r>
          </w:p>
        </w:tc>
        <w:tc>
          <w:tcPr>
            <w:tcW w:w="900" w:type="dxa"/>
          </w:tcPr>
          <w:p w14:paraId="78AB58B3" w14:textId="77777777" w:rsidR="006B4636" w:rsidRDefault="00000000">
            <w:pPr>
              <w:spacing w:before="60" w:after="60" w:line="360" w:lineRule="auto"/>
              <w:jc w:val="both"/>
            </w:pPr>
            <w:r>
              <w:t>.857</w:t>
            </w:r>
          </w:p>
        </w:tc>
        <w:tc>
          <w:tcPr>
            <w:tcW w:w="990" w:type="dxa"/>
          </w:tcPr>
          <w:p w14:paraId="6076C396" w14:textId="77777777" w:rsidR="006B4636" w:rsidRDefault="00000000">
            <w:pPr>
              <w:spacing w:before="60" w:after="60" w:line="360" w:lineRule="auto"/>
              <w:jc w:val="both"/>
            </w:pPr>
            <w:r>
              <w:t>1.213</w:t>
            </w:r>
          </w:p>
        </w:tc>
        <w:tc>
          <w:tcPr>
            <w:tcW w:w="720" w:type="dxa"/>
          </w:tcPr>
          <w:p w14:paraId="473A355F" w14:textId="77777777" w:rsidR="006B4636" w:rsidRDefault="00000000">
            <w:pPr>
              <w:spacing w:before="60" w:after="60" w:line="360" w:lineRule="auto"/>
              <w:jc w:val="both"/>
            </w:pPr>
            <w:r>
              <w:t>.830</w:t>
            </w:r>
          </w:p>
        </w:tc>
      </w:tr>
      <w:tr w:rsidR="006B4636" w14:paraId="1B19FD85" w14:textId="77777777" w:rsidTr="00164B04">
        <w:trPr>
          <w:trHeight w:val="255"/>
          <w:jc w:val="center"/>
        </w:trPr>
        <w:tc>
          <w:tcPr>
            <w:tcW w:w="1546" w:type="dxa"/>
          </w:tcPr>
          <w:p w14:paraId="6AC4C0F5" w14:textId="77777777" w:rsidR="006B4636" w:rsidRDefault="00000000">
            <w:pPr>
              <w:spacing w:before="60" w:after="60" w:line="360" w:lineRule="auto"/>
              <w:jc w:val="both"/>
              <w:rPr>
                <w:b/>
              </w:rPr>
            </w:pPr>
            <w:r>
              <w:rPr>
                <w:b/>
              </w:rPr>
              <w:t xml:space="preserve">Gender </w:t>
            </w:r>
          </w:p>
        </w:tc>
        <w:tc>
          <w:tcPr>
            <w:tcW w:w="1200" w:type="dxa"/>
          </w:tcPr>
          <w:p w14:paraId="192B776F" w14:textId="77777777" w:rsidR="006B4636" w:rsidRDefault="00000000">
            <w:pPr>
              <w:spacing w:before="60" w:after="60" w:line="360" w:lineRule="auto"/>
              <w:jc w:val="both"/>
            </w:pPr>
            <w:r>
              <w:t>.495</w:t>
            </w:r>
          </w:p>
        </w:tc>
        <w:tc>
          <w:tcPr>
            <w:tcW w:w="827" w:type="dxa"/>
          </w:tcPr>
          <w:p w14:paraId="33919D8A" w14:textId="77777777" w:rsidR="006B4636" w:rsidRDefault="00000000">
            <w:pPr>
              <w:spacing w:before="60" w:after="60" w:line="360" w:lineRule="auto"/>
              <w:jc w:val="both"/>
            </w:pPr>
            <w:r>
              <w:t>.137</w:t>
            </w:r>
          </w:p>
        </w:tc>
        <w:tc>
          <w:tcPr>
            <w:tcW w:w="830" w:type="dxa"/>
          </w:tcPr>
          <w:p w14:paraId="74558428" w14:textId="77777777" w:rsidR="006B4636" w:rsidRDefault="00000000">
            <w:pPr>
              <w:spacing w:before="60" w:after="60" w:line="360" w:lineRule="auto"/>
              <w:jc w:val="both"/>
            </w:pPr>
            <w:r>
              <w:t>1.781</w:t>
            </w:r>
          </w:p>
        </w:tc>
        <w:tc>
          <w:tcPr>
            <w:tcW w:w="970" w:type="dxa"/>
          </w:tcPr>
          <w:p w14:paraId="0FBBE83F" w14:textId="77777777" w:rsidR="006B4636" w:rsidRDefault="00000000">
            <w:pPr>
              <w:spacing w:before="60" w:after="60" w:line="360" w:lineRule="auto"/>
              <w:jc w:val="both"/>
            </w:pPr>
            <w:r>
              <w:t>.282</w:t>
            </w:r>
          </w:p>
        </w:tc>
        <w:tc>
          <w:tcPr>
            <w:tcW w:w="996" w:type="dxa"/>
          </w:tcPr>
          <w:p w14:paraId="36C97A26" w14:textId="77777777" w:rsidR="006B4636" w:rsidRDefault="00000000">
            <w:pPr>
              <w:spacing w:before="60" w:after="60" w:line="360" w:lineRule="auto"/>
              <w:jc w:val="both"/>
            </w:pPr>
            <w:r>
              <w:t>43.513</w:t>
            </w:r>
          </w:p>
        </w:tc>
        <w:tc>
          <w:tcPr>
            <w:tcW w:w="900" w:type="dxa"/>
          </w:tcPr>
          <w:p w14:paraId="6A5FE5A9" w14:textId="77777777" w:rsidR="006B4636" w:rsidRDefault="00000000">
            <w:pPr>
              <w:spacing w:before="60" w:after="60" w:line="360" w:lineRule="auto"/>
              <w:jc w:val="both"/>
            </w:pPr>
            <w:r>
              <w:t>1.098</w:t>
            </w:r>
          </w:p>
        </w:tc>
        <w:tc>
          <w:tcPr>
            <w:tcW w:w="990" w:type="dxa"/>
          </w:tcPr>
          <w:p w14:paraId="7BFA66C6" w14:textId="77777777" w:rsidR="006B4636" w:rsidRDefault="00000000">
            <w:pPr>
              <w:spacing w:before="60" w:after="60" w:line="360" w:lineRule="auto"/>
              <w:jc w:val="both"/>
            </w:pPr>
            <w:r>
              <w:t>1723.9</w:t>
            </w:r>
          </w:p>
        </w:tc>
        <w:tc>
          <w:tcPr>
            <w:tcW w:w="720" w:type="dxa"/>
          </w:tcPr>
          <w:p w14:paraId="5045A6BA" w14:textId="77777777" w:rsidR="006B4636" w:rsidRDefault="00000000">
            <w:pPr>
              <w:spacing w:before="60" w:after="60" w:line="360" w:lineRule="auto"/>
              <w:jc w:val="both"/>
              <w:rPr>
                <w:b/>
              </w:rPr>
            </w:pPr>
            <w:r>
              <w:rPr>
                <w:b/>
              </w:rPr>
              <w:t>.044</w:t>
            </w:r>
          </w:p>
        </w:tc>
      </w:tr>
      <w:tr w:rsidR="006B4636" w14:paraId="71836B4B" w14:textId="77777777" w:rsidTr="00164B04">
        <w:trPr>
          <w:trHeight w:val="255"/>
          <w:jc w:val="center"/>
        </w:trPr>
        <w:tc>
          <w:tcPr>
            <w:tcW w:w="1546" w:type="dxa"/>
          </w:tcPr>
          <w:p w14:paraId="4F1FA9E3" w14:textId="77777777" w:rsidR="006B4636" w:rsidRDefault="00000000">
            <w:pPr>
              <w:spacing w:before="60" w:after="60" w:line="360" w:lineRule="auto"/>
              <w:jc w:val="both"/>
              <w:rPr>
                <w:b/>
              </w:rPr>
            </w:pPr>
            <w:r>
              <w:rPr>
                <w:b/>
              </w:rPr>
              <w:t>Smoking</w:t>
            </w:r>
          </w:p>
        </w:tc>
        <w:tc>
          <w:tcPr>
            <w:tcW w:w="1200" w:type="dxa"/>
          </w:tcPr>
          <w:p w14:paraId="0CC549C0" w14:textId="77777777" w:rsidR="006B4636" w:rsidRDefault="00000000">
            <w:pPr>
              <w:spacing w:before="60" w:after="60" w:line="360" w:lineRule="auto"/>
              <w:jc w:val="both"/>
            </w:pPr>
            <w:r>
              <w:t>5.806</w:t>
            </w:r>
          </w:p>
        </w:tc>
        <w:tc>
          <w:tcPr>
            <w:tcW w:w="827" w:type="dxa"/>
          </w:tcPr>
          <w:p w14:paraId="07AB0DE4" w14:textId="77777777" w:rsidR="006B4636" w:rsidRDefault="00000000">
            <w:pPr>
              <w:spacing w:before="60" w:after="60" w:line="360" w:lineRule="auto"/>
              <w:jc w:val="both"/>
            </w:pPr>
            <w:r>
              <w:t>1.634</w:t>
            </w:r>
          </w:p>
        </w:tc>
        <w:tc>
          <w:tcPr>
            <w:tcW w:w="830" w:type="dxa"/>
          </w:tcPr>
          <w:p w14:paraId="48408DB6" w14:textId="77777777" w:rsidR="006B4636" w:rsidRDefault="00000000">
            <w:pPr>
              <w:spacing w:before="60" w:after="60" w:line="360" w:lineRule="auto"/>
              <w:jc w:val="both"/>
            </w:pPr>
            <w:r>
              <w:t>20.63</w:t>
            </w:r>
          </w:p>
        </w:tc>
        <w:tc>
          <w:tcPr>
            <w:tcW w:w="970" w:type="dxa"/>
          </w:tcPr>
          <w:p w14:paraId="6F896D8F" w14:textId="77777777" w:rsidR="006B4636" w:rsidRDefault="00000000">
            <w:pPr>
              <w:spacing w:before="60" w:after="60" w:line="360" w:lineRule="auto"/>
              <w:jc w:val="both"/>
              <w:rPr>
                <w:b/>
              </w:rPr>
            </w:pPr>
            <w:r>
              <w:rPr>
                <w:b/>
              </w:rPr>
              <w:t>.007</w:t>
            </w:r>
          </w:p>
        </w:tc>
        <w:tc>
          <w:tcPr>
            <w:tcW w:w="996" w:type="dxa"/>
          </w:tcPr>
          <w:p w14:paraId="063CFD1D" w14:textId="77777777" w:rsidR="006B4636" w:rsidRDefault="00000000">
            <w:pPr>
              <w:spacing w:before="60" w:after="60" w:line="360" w:lineRule="auto"/>
              <w:jc w:val="both"/>
            </w:pPr>
            <w:r>
              <w:t>32.161</w:t>
            </w:r>
          </w:p>
        </w:tc>
        <w:tc>
          <w:tcPr>
            <w:tcW w:w="900" w:type="dxa"/>
          </w:tcPr>
          <w:p w14:paraId="6CC7063E" w14:textId="77777777" w:rsidR="006B4636" w:rsidRDefault="00000000">
            <w:pPr>
              <w:spacing w:before="60" w:after="60" w:line="360" w:lineRule="auto"/>
              <w:jc w:val="both"/>
            </w:pPr>
            <w:r>
              <w:t>.860</w:t>
            </w:r>
          </w:p>
        </w:tc>
        <w:tc>
          <w:tcPr>
            <w:tcW w:w="990" w:type="dxa"/>
          </w:tcPr>
          <w:p w14:paraId="2A476805" w14:textId="77777777" w:rsidR="006B4636" w:rsidRDefault="00000000">
            <w:pPr>
              <w:spacing w:before="60" w:after="60" w:line="360" w:lineRule="auto"/>
              <w:jc w:val="both"/>
            </w:pPr>
            <w:r>
              <w:t>1202.7</w:t>
            </w:r>
          </w:p>
        </w:tc>
        <w:tc>
          <w:tcPr>
            <w:tcW w:w="720" w:type="dxa"/>
          </w:tcPr>
          <w:p w14:paraId="106E4616" w14:textId="77777777" w:rsidR="006B4636" w:rsidRDefault="00000000">
            <w:pPr>
              <w:spacing w:before="60" w:after="60" w:line="360" w:lineRule="auto"/>
              <w:jc w:val="both"/>
            </w:pPr>
            <w:r>
              <w:t>.060</w:t>
            </w:r>
          </w:p>
        </w:tc>
      </w:tr>
      <w:tr w:rsidR="006B4636" w14:paraId="1B42C98C" w14:textId="77777777" w:rsidTr="00164B04">
        <w:trPr>
          <w:trHeight w:val="255"/>
          <w:jc w:val="center"/>
        </w:trPr>
        <w:tc>
          <w:tcPr>
            <w:tcW w:w="1546" w:type="dxa"/>
          </w:tcPr>
          <w:p w14:paraId="59B80A04" w14:textId="77777777" w:rsidR="006B4636" w:rsidRDefault="00000000">
            <w:pPr>
              <w:spacing w:before="60" w:after="60" w:line="360" w:lineRule="auto"/>
              <w:jc w:val="both"/>
              <w:rPr>
                <w:b/>
              </w:rPr>
            </w:pPr>
            <w:r>
              <w:rPr>
                <w:b/>
              </w:rPr>
              <w:t>AFP</w:t>
            </w:r>
          </w:p>
        </w:tc>
        <w:tc>
          <w:tcPr>
            <w:tcW w:w="1200" w:type="dxa"/>
          </w:tcPr>
          <w:p w14:paraId="04651958" w14:textId="77777777" w:rsidR="006B4636" w:rsidRDefault="00000000">
            <w:pPr>
              <w:spacing w:before="60" w:after="60" w:line="360" w:lineRule="auto"/>
              <w:jc w:val="both"/>
            </w:pPr>
            <w:r>
              <w:t>1.693</w:t>
            </w:r>
          </w:p>
        </w:tc>
        <w:tc>
          <w:tcPr>
            <w:tcW w:w="827" w:type="dxa"/>
          </w:tcPr>
          <w:p w14:paraId="3589E8EF" w14:textId="77777777" w:rsidR="006B4636" w:rsidRDefault="00000000">
            <w:pPr>
              <w:spacing w:before="60" w:after="60" w:line="360" w:lineRule="auto"/>
              <w:jc w:val="both"/>
            </w:pPr>
            <w:r>
              <w:t>.396</w:t>
            </w:r>
          </w:p>
        </w:tc>
        <w:tc>
          <w:tcPr>
            <w:tcW w:w="830" w:type="dxa"/>
          </w:tcPr>
          <w:p w14:paraId="06B9F9DC" w14:textId="77777777" w:rsidR="006B4636" w:rsidRDefault="00000000">
            <w:pPr>
              <w:spacing w:before="60" w:after="60" w:line="360" w:lineRule="auto"/>
              <w:jc w:val="both"/>
            </w:pPr>
            <w:r>
              <w:t>7.231</w:t>
            </w:r>
          </w:p>
        </w:tc>
        <w:tc>
          <w:tcPr>
            <w:tcW w:w="970" w:type="dxa"/>
          </w:tcPr>
          <w:p w14:paraId="27B32904" w14:textId="77777777" w:rsidR="006B4636" w:rsidRDefault="00000000">
            <w:pPr>
              <w:spacing w:before="60" w:after="60" w:line="360" w:lineRule="auto"/>
              <w:jc w:val="both"/>
            </w:pPr>
            <w:r>
              <w:t>.477</w:t>
            </w:r>
          </w:p>
        </w:tc>
        <w:tc>
          <w:tcPr>
            <w:tcW w:w="996" w:type="dxa"/>
          </w:tcPr>
          <w:p w14:paraId="1F394BDB" w14:textId="77777777" w:rsidR="006B4636" w:rsidRDefault="00000000">
            <w:pPr>
              <w:spacing w:before="60" w:after="60" w:line="360" w:lineRule="auto"/>
              <w:jc w:val="both"/>
            </w:pPr>
            <w:r>
              <w:t>1.000</w:t>
            </w:r>
          </w:p>
        </w:tc>
        <w:tc>
          <w:tcPr>
            <w:tcW w:w="900" w:type="dxa"/>
          </w:tcPr>
          <w:p w14:paraId="741FDC62" w14:textId="77777777" w:rsidR="006B4636" w:rsidRDefault="00000000">
            <w:pPr>
              <w:spacing w:before="60" w:after="60" w:line="360" w:lineRule="auto"/>
              <w:jc w:val="both"/>
            </w:pPr>
            <w:r>
              <w:t>1.000</w:t>
            </w:r>
          </w:p>
        </w:tc>
        <w:tc>
          <w:tcPr>
            <w:tcW w:w="990" w:type="dxa"/>
          </w:tcPr>
          <w:p w14:paraId="055694EA" w14:textId="77777777" w:rsidR="006B4636" w:rsidRDefault="00000000">
            <w:pPr>
              <w:spacing w:before="60" w:after="60" w:line="360" w:lineRule="auto"/>
              <w:jc w:val="both"/>
            </w:pPr>
            <w:r>
              <w:t>1.001</w:t>
            </w:r>
          </w:p>
        </w:tc>
        <w:tc>
          <w:tcPr>
            <w:tcW w:w="720" w:type="dxa"/>
          </w:tcPr>
          <w:p w14:paraId="659B8B7B" w14:textId="77777777" w:rsidR="006B4636" w:rsidRDefault="00000000">
            <w:pPr>
              <w:spacing w:before="60" w:after="60" w:line="360" w:lineRule="auto"/>
              <w:jc w:val="both"/>
            </w:pPr>
            <w:r>
              <w:t>.288</w:t>
            </w:r>
          </w:p>
        </w:tc>
      </w:tr>
      <w:tr w:rsidR="006B4636" w14:paraId="55D82E42" w14:textId="77777777" w:rsidTr="00164B04">
        <w:trPr>
          <w:trHeight w:val="255"/>
          <w:jc w:val="center"/>
        </w:trPr>
        <w:tc>
          <w:tcPr>
            <w:tcW w:w="1546" w:type="dxa"/>
          </w:tcPr>
          <w:p w14:paraId="6C3ACDDB" w14:textId="77777777" w:rsidR="006B4636" w:rsidRDefault="00000000">
            <w:pPr>
              <w:spacing w:before="60" w:after="60" w:line="360" w:lineRule="auto"/>
              <w:jc w:val="both"/>
              <w:rPr>
                <w:b/>
              </w:rPr>
            </w:pPr>
            <w:r>
              <w:rPr>
                <w:b/>
              </w:rPr>
              <w:t>Child score</w:t>
            </w:r>
          </w:p>
        </w:tc>
        <w:tc>
          <w:tcPr>
            <w:tcW w:w="1200" w:type="dxa"/>
          </w:tcPr>
          <w:p w14:paraId="26F84E22" w14:textId="77777777" w:rsidR="006B4636" w:rsidRDefault="00000000">
            <w:pPr>
              <w:spacing w:before="60" w:after="60" w:line="360" w:lineRule="auto"/>
              <w:jc w:val="both"/>
            </w:pPr>
            <w:r>
              <w:t>.389</w:t>
            </w:r>
          </w:p>
        </w:tc>
        <w:tc>
          <w:tcPr>
            <w:tcW w:w="827" w:type="dxa"/>
          </w:tcPr>
          <w:p w14:paraId="1EDA46B2" w14:textId="77777777" w:rsidR="006B4636" w:rsidRDefault="00000000">
            <w:pPr>
              <w:spacing w:before="60" w:after="60" w:line="360" w:lineRule="auto"/>
              <w:jc w:val="both"/>
            </w:pPr>
            <w:r>
              <w:t>.053</w:t>
            </w:r>
          </w:p>
        </w:tc>
        <w:tc>
          <w:tcPr>
            <w:tcW w:w="830" w:type="dxa"/>
          </w:tcPr>
          <w:p w14:paraId="36D6D40F" w14:textId="77777777" w:rsidR="006B4636" w:rsidRDefault="00000000">
            <w:pPr>
              <w:spacing w:before="60" w:after="60" w:line="360" w:lineRule="auto"/>
              <w:jc w:val="both"/>
            </w:pPr>
            <w:r>
              <w:t>2.860</w:t>
            </w:r>
          </w:p>
        </w:tc>
        <w:tc>
          <w:tcPr>
            <w:tcW w:w="970" w:type="dxa"/>
          </w:tcPr>
          <w:p w14:paraId="6A922288" w14:textId="77777777" w:rsidR="006B4636" w:rsidRDefault="00000000">
            <w:pPr>
              <w:spacing w:before="60" w:after="60" w:line="360" w:lineRule="auto"/>
              <w:jc w:val="both"/>
            </w:pPr>
            <w:r>
              <w:t>.354</w:t>
            </w:r>
          </w:p>
        </w:tc>
        <w:tc>
          <w:tcPr>
            <w:tcW w:w="996" w:type="dxa"/>
          </w:tcPr>
          <w:p w14:paraId="0343A882" w14:textId="77777777" w:rsidR="006B4636" w:rsidRDefault="00000000">
            <w:pPr>
              <w:spacing w:before="60" w:after="60" w:line="360" w:lineRule="auto"/>
              <w:jc w:val="both"/>
            </w:pPr>
            <w:r>
              <w:t>1.310</w:t>
            </w:r>
          </w:p>
        </w:tc>
        <w:tc>
          <w:tcPr>
            <w:tcW w:w="900" w:type="dxa"/>
          </w:tcPr>
          <w:p w14:paraId="55A42252" w14:textId="77777777" w:rsidR="006B4636" w:rsidRDefault="00000000">
            <w:pPr>
              <w:spacing w:before="60" w:after="60" w:line="360" w:lineRule="auto"/>
              <w:jc w:val="both"/>
            </w:pPr>
            <w:r>
              <w:t>.272</w:t>
            </w:r>
          </w:p>
        </w:tc>
        <w:tc>
          <w:tcPr>
            <w:tcW w:w="990" w:type="dxa"/>
          </w:tcPr>
          <w:p w14:paraId="14C58C3F" w14:textId="77777777" w:rsidR="006B4636" w:rsidRDefault="00000000">
            <w:pPr>
              <w:spacing w:before="60" w:after="60" w:line="360" w:lineRule="auto"/>
              <w:jc w:val="both"/>
            </w:pPr>
            <w:r>
              <w:t>6.316</w:t>
            </w:r>
          </w:p>
        </w:tc>
        <w:tc>
          <w:tcPr>
            <w:tcW w:w="720" w:type="dxa"/>
          </w:tcPr>
          <w:p w14:paraId="79A1F8F1" w14:textId="77777777" w:rsidR="006B4636" w:rsidRDefault="00000000">
            <w:pPr>
              <w:spacing w:before="60" w:after="60" w:line="360" w:lineRule="auto"/>
              <w:jc w:val="both"/>
            </w:pPr>
            <w:r>
              <w:t>.736</w:t>
            </w:r>
          </w:p>
        </w:tc>
      </w:tr>
      <w:tr w:rsidR="006B4636" w14:paraId="02BC91DD" w14:textId="77777777" w:rsidTr="00164B04">
        <w:trPr>
          <w:trHeight w:val="255"/>
          <w:jc w:val="center"/>
        </w:trPr>
        <w:tc>
          <w:tcPr>
            <w:tcW w:w="1546" w:type="dxa"/>
          </w:tcPr>
          <w:p w14:paraId="61738BCA" w14:textId="77777777" w:rsidR="006B4636" w:rsidRDefault="00000000">
            <w:pPr>
              <w:spacing w:before="60" w:after="60" w:line="360" w:lineRule="auto"/>
              <w:jc w:val="both"/>
              <w:rPr>
                <w:b/>
              </w:rPr>
            </w:pPr>
            <w:r>
              <w:rPr>
                <w:b/>
              </w:rPr>
              <w:t>Treatment response</w:t>
            </w:r>
          </w:p>
        </w:tc>
        <w:tc>
          <w:tcPr>
            <w:tcW w:w="1200" w:type="dxa"/>
          </w:tcPr>
          <w:p w14:paraId="28C6C137" w14:textId="77777777" w:rsidR="006B4636" w:rsidRDefault="00000000">
            <w:pPr>
              <w:spacing w:before="60" w:after="60" w:line="360" w:lineRule="auto"/>
              <w:jc w:val="both"/>
            </w:pPr>
            <w:r>
              <w:t>2.501</w:t>
            </w:r>
          </w:p>
        </w:tc>
        <w:tc>
          <w:tcPr>
            <w:tcW w:w="827" w:type="dxa"/>
          </w:tcPr>
          <w:p w14:paraId="6BEF25FB" w14:textId="77777777" w:rsidR="006B4636" w:rsidRDefault="00000000">
            <w:pPr>
              <w:spacing w:before="60" w:after="60" w:line="360" w:lineRule="auto"/>
              <w:jc w:val="both"/>
            </w:pPr>
            <w:r>
              <w:t>2.501</w:t>
            </w:r>
          </w:p>
        </w:tc>
        <w:tc>
          <w:tcPr>
            <w:tcW w:w="830" w:type="dxa"/>
          </w:tcPr>
          <w:p w14:paraId="50910791" w14:textId="77777777" w:rsidR="006B4636" w:rsidRDefault="00000000">
            <w:pPr>
              <w:spacing w:before="60" w:after="60" w:line="360" w:lineRule="auto"/>
              <w:jc w:val="both"/>
            </w:pPr>
            <w:r>
              <w:t>2.501</w:t>
            </w:r>
          </w:p>
        </w:tc>
        <w:tc>
          <w:tcPr>
            <w:tcW w:w="970" w:type="dxa"/>
          </w:tcPr>
          <w:p w14:paraId="66DC2967" w14:textId="77777777" w:rsidR="006B4636" w:rsidRDefault="00000000">
            <w:pPr>
              <w:spacing w:before="60" w:after="60" w:line="360" w:lineRule="auto"/>
              <w:jc w:val="both"/>
            </w:pPr>
            <w:r>
              <w:t>.264</w:t>
            </w:r>
          </w:p>
        </w:tc>
        <w:tc>
          <w:tcPr>
            <w:tcW w:w="996" w:type="dxa"/>
          </w:tcPr>
          <w:p w14:paraId="272D4B8E" w14:textId="77777777" w:rsidR="006B4636" w:rsidRDefault="00000000">
            <w:pPr>
              <w:spacing w:before="60" w:after="60" w:line="360" w:lineRule="auto"/>
              <w:jc w:val="both"/>
            </w:pPr>
            <w:r>
              <w:t>1.504</w:t>
            </w:r>
          </w:p>
        </w:tc>
        <w:tc>
          <w:tcPr>
            <w:tcW w:w="900" w:type="dxa"/>
          </w:tcPr>
          <w:p w14:paraId="0FB85916" w14:textId="77777777" w:rsidR="006B4636" w:rsidRDefault="00000000">
            <w:pPr>
              <w:spacing w:before="60" w:after="60" w:line="360" w:lineRule="auto"/>
              <w:jc w:val="both"/>
            </w:pPr>
            <w:r>
              <w:t>.086</w:t>
            </w:r>
          </w:p>
        </w:tc>
        <w:tc>
          <w:tcPr>
            <w:tcW w:w="990" w:type="dxa"/>
          </w:tcPr>
          <w:p w14:paraId="2E3E53F2" w14:textId="77777777" w:rsidR="006B4636" w:rsidRDefault="00000000">
            <w:pPr>
              <w:spacing w:before="60" w:after="60" w:line="360" w:lineRule="auto"/>
              <w:jc w:val="both"/>
            </w:pPr>
            <w:r>
              <w:t>26.406</w:t>
            </w:r>
          </w:p>
        </w:tc>
        <w:tc>
          <w:tcPr>
            <w:tcW w:w="720" w:type="dxa"/>
          </w:tcPr>
          <w:p w14:paraId="2827322C" w14:textId="77777777" w:rsidR="006B4636" w:rsidRDefault="00000000">
            <w:pPr>
              <w:spacing w:before="60" w:after="60" w:line="360" w:lineRule="auto"/>
              <w:jc w:val="both"/>
            </w:pPr>
            <w:r>
              <w:t>.780</w:t>
            </w:r>
          </w:p>
        </w:tc>
      </w:tr>
      <w:tr w:rsidR="006B4636" w14:paraId="04527ED4" w14:textId="77777777" w:rsidTr="00164B04">
        <w:trPr>
          <w:trHeight w:val="255"/>
          <w:jc w:val="center"/>
        </w:trPr>
        <w:tc>
          <w:tcPr>
            <w:tcW w:w="1546" w:type="dxa"/>
            <w:tcBorders>
              <w:bottom w:val="single" w:sz="4" w:space="0" w:color="auto"/>
            </w:tcBorders>
          </w:tcPr>
          <w:p w14:paraId="17347087" w14:textId="77777777" w:rsidR="006B4636" w:rsidRDefault="00000000">
            <w:pPr>
              <w:spacing w:before="60" w:after="60" w:line="360" w:lineRule="auto"/>
              <w:jc w:val="both"/>
              <w:rPr>
                <w:b/>
              </w:rPr>
            </w:pPr>
            <w:r>
              <w:rPr>
                <w:b/>
              </w:rPr>
              <w:t>Liver stiffness</w:t>
            </w:r>
          </w:p>
        </w:tc>
        <w:tc>
          <w:tcPr>
            <w:tcW w:w="1200" w:type="dxa"/>
            <w:tcBorders>
              <w:bottom w:val="single" w:sz="4" w:space="0" w:color="auto"/>
            </w:tcBorders>
          </w:tcPr>
          <w:p w14:paraId="51CDA916" w14:textId="77777777" w:rsidR="006B4636" w:rsidRDefault="00000000">
            <w:pPr>
              <w:spacing w:before="60" w:after="60" w:line="360" w:lineRule="auto"/>
              <w:jc w:val="both"/>
            </w:pPr>
            <w:r>
              <w:t>.990</w:t>
            </w:r>
          </w:p>
        </w:tc>
        <w:tc>
          <w:tcPr>
            <w:tcW w:w="827" w:type="dxa"/>
            <w:tcBorders>
              <w:bottom w:val="single" w:sz="4" w:space="0" w:color="auto"/>
            </w:tcBorders>
          </w:tcPr>
          <w:p w14:paraId="59DC8AC1" w14:textId="77777777" w:rsidR="006B4636" w:rsidRDefault="00000000">
            <w:pPr>
              <w:spacing w:before="60" w:after="60" w:line="360" w:lineRule="auto"/>
              <w:jc w:val="both"/>
            </w:pPr>
            <w:r>
              <w:t>.953</w:t>
            </w:r>
          </w:p>
        </w:tc>
        <w:tc>
          <w:tcPr>
            <w:tcW w:w="830" w:type="dxa"/>
            <w:tcBorders>
              <w:bottom w:val="single" w:sz="4" w:space="0" w:color="auto"/>
            </w:tcBorders>
          </w:tcPr>
          <w:p w14:paraId="7CC3FF2D" w14:textId="77777777" w:rsidR="006B4636" w:rsidRDefault="00000000">
            <w:pPr>
              <w:spacing w:before="60" w:after="60" w:line="360" w:lineRule="auto"/>
              <w:jc w:val="both"/>
            </w:pPr>
            <w:r>
              <w:t>1.028</w:t>
            </w:r>
          </w:p>
        </w:tc>
        <w:tc>
          <w:tcPr>
            <w:tcW w:w="970" w:type="dxa"/>
            <w:tcBorders>
              <w:bottom w:val="single" w:sz="4" w:space="0" w:color="auto"/>
            </w:tcBorders>
          </w:tcPr>
          <w:p w14:paraId="0621653A" w14:textId="77777777" w:rsidR="006B4636" w:rsidRDefault="00000000">
            <w:pPr>
              <w:spacing w:before="60" w:after="60" w:line="360" w:lineRule="auto"/>
              <w:jc w:val="both"/>
            </w:pPr>
            <w:r>
              <w:t>.593</w:t>
            </w:r>
          </w:p>
        </w:tc>
        <w:tc>
          <w:tcPr>
            <w:tcW w:w="996" w:type="dxa"/>
            <w:tcBorders>
              <w:bottom w:val="single" w:sz="4" w:space="0" w:color="auto"/>
            </w:tcBorders>
          </w:tcPr>
          <w:p w14:paraId="4A35098F" w14:textId="77777777" w:rsidR="006B4636" w:rsidRDefault="00000000">
            <w:pPr>
              <w:spacing w:before="60" w:after="60" w:line="360" w:lineRule="auto"/>
              <w:jc w:val="both"/>
            </w:pPr>
            <w:r>
              <w:t>.403</w:t>
            </w:r>
          </w:p>
        </w:tc>
        <w:tc>
          <w:tcPr>
            <w:tcW w:w="900" w:type="dxa"/>
            <w:tcBorders>
              <w:bottom w:val="single" w:sz="4" w:space="0" w:color="auto"/>
            </w:tcBorders>
          </w:tcPr>
          <w:p w14:paraId="6FBC8239" w14:textId="77777777" w:rsidR="006B4636" w:rsidRDefault="00000000">
            <w:pPr>
              <w:spacing w:before="60" w:after="60" w:line="360" w:lineRule="auto"/>
              <w:jc w:val="both"/>
            </w:pPr>
            <w:r>
              <w:t>.052</w:t>
            </w:r>
          </w:p>
        </w:tc>
        <w:tc>
          <w:tcPr>
            <w:tcW w:w="990" w:type="dxa"/>
            <w:tcBorders>
              <w:bottom w:val="single" w:sz="4" w:space="0" w:color="auto"/>
            </w:tcBorders>
          </w:tcPr>
          <w:p w14:paraId="2DDCA54B" w14:textId="77777777" w:rsidR="006B4636" w:rsidRDefault="00000000">
            <w:pPr>
              <w:spacing w:before="60" w:after="60" w:line="360" w:lineRule="auto"/>
              <w:jc w:val="both"/>
            </w:pPr>
            <w:r>
              <w:t>3.090</w:t>
            </w:r>
          </w:p>
        </w:tc>
        <w:tc>
          <w:tcPr>
            <w:tcW w:w="720" w:type="dxa"/>
            <w:tcBorders>
              <w:bottom w:val="single" w:sz="4" w:space="0" w:color="auto"/>
            </w:tcBorders>
          </w:tcPr>
          <w:p w14:paraId="04BDE6F9" w14:textId="77777777" w:rsidR="006B4636" w:rsidRDefault="00000000" w:rsidP="00164B04">
            <w:pPr>
              <w:keepNext/>
              <w:spacing w:before="60" w:after="60" w:line="360" w:lineRule="auto"/>
              <w:jc w:val="both"/>
            </w:pPr>
            <w:r>
              <w:t>.382</w:t>
            </w:r>
          </w:p>
        </w:tc>
      </w:tr>
    </w:tbl>
    <w:p w14:paraId="5080C24E" w14:textId="6E33CAE7" w:rsidR="00164B04" w:rsidRPr="00164B04" w:rsidRDefault="00164B04" w:rsidP="00164B04">
      <w:pPr>
        <w:pStyle w:val="Caption"/>
      </w:pPr>
      <w:r w:rsidRPr="00164B04">
        <w:t>B: Regression coefficient; S.E.: Standard error, CI: Confidence interval</w:t>
      </w:r>
      <w:r>
        <w:t>.</w:t>
      </w:r>
    </w:p>
    <w:p w14:paraId="64941A68" w14:textId="77777777" w:rsidR="006B4636" w:rsidRDefault="00000000">
      <w:pPr>
        <w:pBdr>
          <w:top w:val="nil"/>
          <w:left w:val="nil"/>
          <w:bottom w:val="nil"/>
          <w:right w:val="nil"/>
          <w:between w:val="nil"/>
        </w:pBdr>
        <w:shd w:val="clear" w:color="auto" w:fill="FFFFFF"/>
        <w:spacing w:before="280" w:after="280" w:line="360" w:lineRule="auto"/>
        <w:rPr>
          <w:b/>
          <w:color w:val="000000"/>
          <w:sz w:val="28"/>
          <w:szCs w:val="28"/>
          <w:highlight w:val="white"/>
          <w:u w:val="single"/>
        </w:rPr>
      </w:pPr>
      <w:r>
        <w:rPr>
          <w:b/>
          <w:color w:val="000000"/>
          <w:sz w:val="28"/>
          <w:szCs w:val="28"/>
          <w:highlight w:val="white"/>
          <w:u w:val="single"/>
        </w:rPr>
        <w:t>Discussion</w:t>
      </w:r>
    </w:p>
    <w:p w14:paraId="20C5E9B7" w14:textId="38CA0AA0" w:rsidR="006B4636" w:rsidRDefault="00000000">
      <w:pPr>
        <w:pBdr>
          <w:top w:val="nil"/>
          <w:left w:val="nil"/>
          <w:bottom w:val="nil"/>
          <w:right w:val="nil"/>
          <w:between w:val="nil"/>
        </w:pBdr>
        <w:shd w:val="clear" w:color="auto" w:fill="FFFFFF"/>
        <w:spacing w:before="280" w:after="280" w:line="480" w:lineRule="auto"/>
        <w:ind w:firstLine="720"/>
        <w:jc w:val="both"/>
        <w:rPr>
          <w:color w:val="212121"/>
          <w:sz w:val="24"/>
          <w:szCs w:val="24"/>
          <w:highlight w:val="white"/>
        </w:rPr>
      </w:pPr>
      <w:r>
        <w:rPr>
          <w:color w:val="000000"/>
          <w:sz w:val="24"/>
          <w:szCs w:val="24"/>
        </w:rPr>
        <w:t xml:space="preserve">Hepatocellular carcinoma (HCC) is the sixth and fourth </w:t>
      </w:r>
      <w:r w:rsidR="006F012C">
        <w:rPr>
          <w:color w:val="000000"/>
          <w:sz w:val="24"/>
          <w:szCs w:val="24"/>
        </w:rPr>
        <w:t xml:space="preserve">most </w:t>
      </w:r>
      <w:r>
        <w:rPr>
          <w:color w:val="000000"/>
          <w:sz w:val="24"/>
          <w:szCs w:val="24"/>
        </w:rPr>
        <w:t xml:space="preserve">common cancer worldwide and in Egypt, respectively. Early detection of HCC is </w:t>
      </w:r>
      <w:r w:rsidR="006F012C">
        <w:rPr>
          <w:color w:val="000000"/>
          <w:sz w:val="24"/>
          <w:szCs w:val="24"/>
        </w:rPr>
        <w:t>paramount</w:t>
      </w:r>
      <w:r>
        <w:rPr>
          <w:color w:val="000000"/>
          <w:sz w:val="24"/>
          <w:szCs w:val="24"/>
        </w:rPr>
        <w:t xml:space="preserve"> since therapeutic approaches are available only for </w:t>
      </w:r>
      <w:r w:rsidR="006F012C">
        <w:rPr>
          <w:color w:val="000000"/>
          <w:sz w:val="24"/>
          <w:szCs w:val="24"/>
        </w:rPr>
        <w:t xml:space="preserve">the </w:t>
      </w:r>
      <w:r>
        <w:rPr>
          <w:color w:val="000000"/>
          <w:sz w:val="24"/>
          <w:szCs w:val="24"/>
        </w:rPr>
        <w:t xml:space="preserve">early stages of HCC. The European and American </w:t>
      </w:r>
      <w:r w:rsidR="006F012C">
        <w:rPr>
          <w:color w:val="000000"/>
          <w:sz w:val="24"/>
          <w:szCs w:val="24"/>
        </w:rPr>
        <w:t>Associations for the Study of Liver Diseases recommend Ultrasound (US) with or without alpha-fetoprotein (AFP) as a screening modality</w:t>
      </w:r>
      <w:r>
        <w:rPr>
          <w:color w:val="000000"/>
          <w:sz w:val="24"/>
          <w:szCs w:val="24"/>
        </w:rPr>
        <w:t xml:space="preserve"> for HCC. However, </w:t>
      </w:r>
      <w:r w:rsidR="006F012C">
        <w:rPr>
          <w:color w:val="000000"/>
          <w:sz w:val="24"/>
          <w:szCs w:val="24"/>
        </w:rPr>
        <w:t xml:space="preserve">the </w:t>
      </w:r>
      <w:r>
        <w:rPr>
          <w:color w:val="000000"/>
          <w:sz w:val="24"/>
          <w:szCs w:val="24"/>
        </w:rPr>
        <w:t xml:space="preserve">US is less effective </w:t>
      </w:r>
      <w:r w:rsidR="006F012C">
        <w:rPr>
          <w:color w:val="000000"/>
          <w:sz w:val="24"/>
          <w:szCs w:val="24"/>
        </w:rPr>
        <w:t>in</w:t>
      </w:r>
      <w:r>
        <w:rPr>
          <w:color w:val="000000"/>
          <w:sz w:val="24"/>
          <w:szCs w:val="24"/>
        </w:rPr>
        <w:t xml:space="preserve"> detecting early-stage HCC, with a sensitivity of only 63%</w:t>
      </w:r>
      <w:r>
        <w:rPr>
          <w:color w:val="212121"/>
          <w:sz w:val="24"/>
          <w:szCs w:val="24"/>
          <w:highlight w:val="white"/>
        </w:rPr>
        <w:t xml:space="preserve"> </w:t>
      </w:r>
      <w:r>
        <w:rPr>
          <w:b/>
          <w:color w:val="212121"/>
          <w:sz w:val="24"/>
          <w:szCs w:val="24"/>
          <w:highlight w:val="white"/>
        </w:rPr>
        <w:t>(</w:t>
      </w:r>
      <w:r w:rsidR="00D0102D">
        <w:rPr>
          <w:b/>
          <w:color w:val="212121"/>
          <w:sz w:val="24"/>
          <w:szCs w:val="24"/>
          <w:highlight w:val="white"/>
        </w:rPr>
        <w:t>8</w:t>
      </w:r>
      <w:r>
        <w:rPr>
          <w:b/>
          <w:color w:val="212121"/>
          <w:sz w:val="24"/>
          <w:szCs w:val="24"/>
          <w:highlight w:val="white"/>
        </w:rPr>
        <w:t>)</w:t>
      </w:r>
      <w:r>
        <w:rPr>
          <w:color w:val="212121"/>
          <w:sz w:val="24"/>
          <w:szCs w:val="24"/>
          <w:highlight w:val="white"/>
        </w:rPr>
        <w:t>.</w:t>
      </w:r>
    </w:p>
    <w:p w14:paraId="63A3D477" w14:textId="7667BB2A" w:rsidR="006B4636" w:rsidRDefault="00000000">
      <w:pPr>
        <w:pBdr>
          <w:top w:val="nil"/>
          <w:left w:val="nil"/>
          <w:bottom w:val="nil"/>
          <w:right w:val="nil"/>
          <w:between w:val="nil"/>
        </w:pBdr>
        <w:shd w:val="clear" w:color="auto" w:fill="FFFFFF"/>
        <w:spacing w:before="280" w:after="280" w:line="480" w:lineRule="auto"/>
        <w:jc w:val="both"/>
        <w:rPr>
          <w:color w:val="212121"/>
          <w:sz w:val="24"/>
          <w:szCs w:val="24"/>
          <w:highlight w:val="white"/>
        </w:rPr>
      </w:pPr>
      <w:r>
        <w:rPr>
          <w:color w:val="000000"/>
          <w:sz w:val="24"/>
          <w:szCs w:val="24"/>
        </w:rPr>
        <w:t xml:space="preserve">In addition, Multi-detector CT or dynamic MR imaging </w:t>
      </w:r>
      <w:r w:rsidR="006F012C">
        <w:rPr>
          <w:color w:val="000000"/>
          <w:sz w:val="24"/>
          <w:szCs w:val="24"/>
        </w:rPr>
        <w:t>is</w:t>
      </w:r>
      <w:r>
        <w:rPr>
          <w:color w:val="000000"/>
          <w:sz w:val="24"/>
          <w:szCs w:val="24"/>
        </w:rPr>
        <w:t xml:space="preserve"> not cost-effective for surveillance in general because of the considerable rate of false-positive findings and the need to use contrast agents to achieve adequate sensitivity</w:t>
      </w:r>
      <w:r>
        <w:rPr>
          <w:color w:val="212121"/>
          <w:sz w:val="24"/>
          <w:szCs w:val="24"/>
          <w:highlight w:val="white"/>
        </w:rPr>
        <w:t xml:space="preserve"> </w:t>
      </w:r>
      <w:r>
        <w:rPr>
          <w:b/>
          <w:color w:val="212121"/>
          <w:sz w:val="24"/>
          <w:szCs w:val="24"/>
          <w:highlight w:val="white"/>
        </w:rPr>
        <w:t>(</w:t>
      </w:r>
      <w:r w:rsidR="00D0102D">
        <w:rPr>
          <w:b/>
          <w:color w:val="212121"/>
          <w:sz w:val="24"/>
          <w:szCs w:val="24"/>
          <w:highlight w:val="white"/>
        </w:rPr>
        <w:t>9</w:t>
      </w:r>
      <w:r>
        <w:rPr>
          <w:b/>
          <w:color w:val="212121"/>
          <w:sz w:val="24"/>
          <w:szCs w:val="24"/>
          <w:highlight w:val="white"/>
        </w:rPr>
        <w:t>)</w:t>
      </w:r>
      <w:r>
        <w:rPr>
          <w:color w:val="212121"/>
          <w:sz w:val="24"/>
          <w:szCs w:val="24"/>
          <w:highlight w:val="white"/>
        </w:rPr>
        <w:t>.</w:t>
      </w:r>
    </w:p>
    <w:p w14:paraId="1F1AC1E8" w14:textId="04843478" w:rsidR="006B4636" w:rsidRDefault="00000000">
      <w:pPr>
        <w:spacing w:line="480" w:lineRule="auto"/>
        <w:jc w:val="both"/>
        <w:rPr>
          <w:color w:val="000000"/>
          <w:sz w:val="24"/>
          <w:szCs w:val="24"/>
        </w:rPr>
      </w:pPr>
      <w:r>
        <w:rPr>
          <w:color w:val="000000"/>
          <w:sz w:val="24"/>
          <w:szCs w:val="24"/>
        </w:rPr>
        <w:t>Therefore, establishing alternative screening methods for HCC in patients with liver cirrhosis is required</w:t>
      </w:r>
      <w:r w:rsidR="006F012C">
        <w:rPr>
          <w:color w:val="000000"/>
          <w:sz w:val="24"/>
          <w:szCs w:val="24"/>
        </w:rPr>
        <w:t>,</w:t>
      </w:r>
      <w:r>
        <w:rPr>
          <w:color w:val="000000"/>
          <w:sz w:val="24"/>
          <w:szCs w:val="24"/>
        </w:rPr>
        <w:t xml:space="preserve"> especially in early cases. </w:t>
      </w:r>
    </w:p>
    <w:p w14:paraId="608DB19A" w14:textId="25226F90" w:rsidR="006B4636" w:rsidRDefault="00000000">
      <w:pPr>
        <w:spacing w:line="480" w:lineRule="auto"/>
        <w:jc w:val="both"/>
        <w:rPr>
          <w:color w:val="000000"/>
          <w:sz w:val="24"/>
          <w:szCs w:val="24"/>
        </w:rPr>
      </w:pPr>
      <w:r>
        <w:rPr>
          <w:color w:val="000000"/>
          <w:sz w:val="24"/>
          <w:szCs w:val="24"/>
        </w:rPr>
        <w:t xml:space="preserve">Liver fibrosis is a well-established risk factor for </w:t>
      </w:r>
      <w:r w:rsidR="006F012C">
        <w:rPr>
          <w:color w:val="000000"/>
          <w:sz w:val="24"/>
          <w:szCs w:val="24"/>
        </w:rPr>
        <w:t>developing</w:t>
      </w:r>
      <w:r>
        <w:rPr>
          <w:color w:val="000000"/>
          <w:sz w:val="24"/>
          <w:szCs w:val="24"/>
        </w:rPr>
        <w:t xml:space="preserve"> HCC</w:t>
      </w:r>
      <w:r w:rsidR="006F012C">
        <w:rPr>
          <w:color w:val="000000"/>
          <w:sz w:val="24"/>
          <w:szCs w:val="24"/>
        </w:rPr>
        <w:t>,</w:t>
      </w:r>
      <w:r>
        <w:rPr>
          <w:color w:val="000000"/>
          <w:sz w:val="24"/>
          <w:szCs w:val="24"/>
        </w:rPr>
        <w:t xml:space="preserve"> and The HCC incidence rate of cirrhosis is 2–4% per year</w:t>
      </w:r>
      <w:r>
        <w:rPr>
          <w:color w:val="212121"/>
          <w:sz w:val="24"/>
          <w:szCs w:val="24"/>
          <w:highlight w:val="white"/>
        </w:rPr>
        <w:t xml:space="preserve"> </w:t>
      </w:r>
      <w:r>
        <w:rPr>
          <w:b/>
          <w:color w:val="212121"/>
          <w:sz w:val="24"/>
          <w:szCs w:val="24"/>
          <w:highlight w:val="white"/>
        </w:rPr>
        <w:t>(</w:t>
      </w:r>
      <w:r w:rsidR="00D0102D">
        <w:rPr>
          <w:b/>
          <w:color w:val="212121"/>
          <w:sz w:val="24"/>
          <w:szCs w:val="24"/>
          <w:highlight w:val="white"/>
        </w:rPr>
        <w:t>10</w:t>
      </w:r>
      <w:r>
        <w:rPr>
          <w:b/>
          <w:color w:val="212121"/>
          <w:sz w:val="24"/>
          <w:szCs w:val="24"/>
          <w:highlight w:val="white"/>
        </w:rPr>
        <w:t>)</w:t>
      </w:r>
      <w:r>
        <w:rPr>
          <w:color w:val="212121"/>
          <w:sz w:val="24"/>
          <w:szCs w:val="24"/>
          <w:highlight w:val="white"/>
        </w:rPr>
        <w:t xml:space="preserve">. </w:t>
      </w:r>
      <w:r>
        <w:rPr>
          <w:color w:val="000000"/>
          <w:sz w:val="24"/>
          <w:szCs w:val="24"/>
        </w:rPr>
        <w:t xml:space="preserve">Thus, liver fibrosis quantification might be a </w:t>
      </w:r>
      <w:r w:rsidR="006F012C">
        <w:rPr>
          <w:color w:val="000000"/>
          <w:sz w:val="24"/>
          <w:szCs w:val="24"/>
        </w:rPr>
        <w:t>valuable</w:t>
      </w:r>
      <w:r>
        <w:rPr>
          <w:color w:val="000000"/>
          <w:sz w:val="24"/>
          <w:szCs w:val="24"/>
        </w:rPr>
        <w:t xml:space="preserve"> tool for </w:t>
      </w:r>
      <w:r w:rsidR="006F012C">
        <w:rPr>
          <w:color w:val="000000"/>
          <w:sz w:val="24"/>
          <w:szCs w:val="24"/>
        </w:rPr>
        <w:t>predicting</w:t>
      </w:r>
      <w:r>
        <w:rPr>
          <w:color w:val="000000"/>
          <w:sz w:val="24"/>
          <w:szCs w:val="24"/>
        </w:rPr>
        <w:t xml:space="preserve"> HCC in cirrhotic patients. The gold standard diagnostic method for liver fibrosis is liver biopsy</w:t>
      </w:r>
      <w:r w:rsidR="006F012C">
        <w:rPr>
          <w:color w:val="000000"/>
          <w:sz w:val="24"/>
          <w:szCs w:val="24"/>
        </w:rPr>
        <w:t>. However</w:t>
      </w:r>
      <w:r>
        <w:rPr>
          <w:color w:val="000000"/>
          <w:sz w:val="24"/>
          <w:szCs w:val="24"/>
        </w:rPr>
        <w:t xml:space="preserve">, other non-invasive modalities exist </w:t>
      </w:r>
      <w:r w:rsidR="006F012C">
        <w:rPr>
          <w:color w:val="000000"/>
          <w:sz w:val="24"/>
          <w:szCs w:val="24"/>
        </w:rPr>
        <w:t xml:space="preserve">due to the </w:t>
      </w:r>
      <w:r w:rsidR="002F46AB">
        <w:rPr>
          <w:color w:val="000000"/>
          <w:sz w:val="24"/>
          <w:szCs w:val="24"/>
        </w:rPr>
        <w:t>invasive nature of liver biopsy</w:t>
      </w:r>
      <w:r>
        <w:rPr>
          <w:color w:val="000000"/>
          <w:sz w:val="24"/>
          <w:szCs w:val="24"/>
        </w:rPr>
        <w:t>. Transient elastography is an approved imaging technique for liver fibrosis assessment</w:t>
      </w:r>
      <w:r w:rsidR="006F012C">
        <w:rPr>
          <w:color w:val="000000"/>
          <w:sz w:val="24"/>
          <w:szCs w:val="24"/>
        </w:rPr>
        <w:t>,</w:t>
      </w:r>
      <w:r>
        <w:rPr>
          <w:color w:val="000000"/>
          <w:sz w:val="24"/>
          <w:szCs w:val="24"/>
        </w:rPr>
        <w:t xml:space="preserve"> so </w:t>
      </w:r>
      <w:r w:rsidR="006F012C">
        <w:rPr>
          <w:color w:val="000000"/>
          <w:sz w:val="24"/>
          <w:szCs w:val="24"/>
        </w:rPr>
        <w:t>this study aimed</w:t>
      </w:r>
      <w:r>
        <w:rPr>
          <w:color w:val="000000"/>
          <w:sz w:val="24"/>
          <w:szCs w:val="24"/>
        </w:rPr>
        <w:t xml:space="preserve"> to evaluate the role of transient elastography in predicting the risk of HCC in patients with liver cirrhosis.</w:t>
      </w:r>
    </w:p>
    <w:p w14:paraId="36E3565C" w14:textId="351EB577" w:rsidR="006B4636" w:rsidRDefault="00000000">
      <w:pPr>
        <w:spacing w:line="480" w:lineRule="auto"/>
        <w:ind w:firstLine="720"/>
        <w:jc w:val="both"/>
        <w:rPr>
          <w:color w:val="212121"/>
          <w:sz w:val="24"/>
          <w:szCs w:val="24"/>
          <w:highlight w:val="white"/>
        </w:rPr>
      </w:pPr>
      <w:r>
        <w:rPr>
          <w:color w:val="000000"/>
          <w:sz w:val="24"/>
          <w:szCs w:val="24"/>
        </w:rPr>
        <w:t>This study included 133 patients with liver cirrhosis compared to 133 patients with HCC on top of liver cirrhosis. Most patients with HCC were males</w:t>
      </w:r>
      <w:r w:rsidR="006F012C">
        <w:rPr>
          <w:color w:val="000000"/>
          <w:sz w:val="24"/>
          <w:szCs w:val="24"/>
        </w:rPr>
        <w:t>,</w:t>
      </w:r>
      <w:r>
        <w:rPr>
          <w:color w:val="000000"/>
          <w:sz w:val="24"/>
          <w:szCs w:val="24"/>
        </w:rPr>
        <w:t xml:space="preserve"> and they were older</w:t>
      </w:r>
      <w:r w:rsidR="00FF5A9B">
        <w:rPr>
          <w:color w:val="000000"/>
          <w:sz w:val="24"/>
          <w:szCs w:val="24"/>
        </w:rPr>
        <w:t>, which suggests that aging may be related to a higher</w:t>
      </w:r>
      <w:r>
        <w:rPr>
          <w:color w:val="000000"/>
          <w:sz w:val="24"/>
          <w:szCs w:val="24"/>
        </w:rPr>
        <w:t xml:space="preserve"> risk of HCC development. This was stated by Asahina et al., who confirmed that aging and male gender were independent risk factors associated with HCC </w:t>
      </w:r>
      <w:r>
        <w:rPr>
          <w:b/>
          <w:color w:val="212121"/>
          <w:sz w:val="24"/>
          <w:szCs w:val="24"/>
          <w:highlight w:val="white"/>
        </w:rPr>
        <w:t>(1</w:t>
      </w:r>
      <w:r w:rsidR="00D0102D">
        <w:rPr>
          <w:b/>
          <w:color w:val="212121"/>
          <w:sz w:val="24"/>
          <w:szCs w:val="24"/>
          <w:highlight w:val="white"/>
        </w:rPr>
        <w:t>1</w:t>
      </w:r>
      <w:r>
        <w:rPr>
          <w:b/>
          <w:color w:val="212121"/>
          <w:sz w:val="24"/>
          <w:szCs w:val="24"/>
          <w:highlight w:val="white"/>
        </w:rPr>
        <w:t>)</w:t>
      </w:r>
      <w:r>
        <w:rPr>
          <w:color w:val="212121"/>
          <w:sz w:val="24"/>
          <w:szCs w:val="24"/>
          <w:highlight w:val="white"/>
        </w:rPr>
        <w:t xml:space="preserve">. </w:t>
      </w:r>
      <w:r>
        <w:rPr>
          <w:color w:val="000000"/>
          <w:sz w:val="24"/>
          <w:szCs w:val="24"/>
        </w:rPr>
        <w:t>In addition, a study done by Yi et al. showed that, with advancing age, the effects of alcohol use and HCV on the development of HCC become stronger</w:t>
      </w:r>
      <w:r>
        <w:rPr>
          <w:color w:val="212121"/>
          <w:sz w:val="24"/>
          <w:szCs w:val="24"/>
          <w:highlight w:val="white"/>
        </w:rPr>
        <w:t xml:space="preserve"> (</w:t>
      </w:r>
      <w:r>
        <w:rPr>
          <w:b/>
          <w:color w:val="212121"/>
          <w:sz w:val="24"/>
          <w:szCs w:val="24"/>
          <w:highlight w:val="white"/>
        </w:rPr>
        <w:t>1</w:t>
      </w:r>
      <w:r w:rsidR="00D0102D">
        <w:rPr>
          <w:b/>
          <w:color w:val="212121"/>
          <w:sz w:val="24"/>
          <w:szCs w:val="24"/>
          <w:highlight w:val="white"/>
        </w:rPr>
        <w:t>2</w:t>
      </w:r>
      <w:r>
        <w:rPr>
          <w:b/>
          <w:color w:val="212121"/>
          <w:sz w:val="24"/>
          <w:szCs w:val="24"/>
          <w:highlight w:val="white"/>
        </w:rPr>
        <w:t>)</w:t>
      </w:r>
      <w:r>
        <w:rPr>
          <w:color w:val="212121"/>
          <w:sz w:val="24"/>
          <w:szCs w:val="24"/>
          <w:highlight w:val="white"/>
        </w:rPr>
        <w:t>.</w:t>
      </w:r>
    </w:p>
    <w:p w14:paraId="4A74D319" w14:textId="3E9D76E3" w:rsidR="006B4636" w:rsidRDefault="00000000">
      <w:pPr>
        <w:spacing w:line="480" w:lineRule="auto"/>
        <w:jc w:val="both"/>
        <w:rPr>
          <w:color w:val="000000"/>
          <w:sz w:val="24"/>
          <w:szCs w:val="24"/>
        </w:rPr>
      </w:pPr>
      <w:r>
        <w:rPr>
          <w:color w:val="000000"/>
          <w:sz w:val="24"/>
          <w:szCs w:val="24"/>
        </w:rPr>
        <w:t xml:space="preserve">Several observational </w:t>
      </w:r>
      <w:r w:rsidR="00543354">
        <w:rPr>
          <w:color w:val="000000"/>
          <w:sz w:val="24"/>
          <w:szCs w:val="24"/>
        </w:rPr>
        <w:t>case–control</w:t>
      </w:r>
      <w:r>
        <w:rPr>
          <w:color w:val="000000"/>
          <w:sz w:val="24"/>
          <w:szCs w:val="24"/>
        </w:rPr>
        <w:t xml:space="preserve"> and cohort studies have reported an increased incidence of HCC in smoker populations, stratified by the severity of smoking</w:t>
      </w:r>
      <w:r>
        <w:rPr>
          <w:color w:val="212121"/>
          <w:sz w:val="24"/>
          <w:szCs w:val="24"/>
          <w:highlight w:val="white"/>
        </w:rPr>
        <w:t xml:space="preserve"> </w:t>
      </w:r>
      <w:r>
        <w:rPr>
          <w:b/>
          <w:color w:val="212121"/>
          <w:sz w:val="24"/>
          <w:szCs w:val="24"/>
          <w:highlight w:val="white"/>
        </w:rPr>
        <w:t>(1</w:t>
      </w:r>
      <w:r w:rsidR="00D0102D">
        <w:rPr>
          <w:b/>
          <w:color w:val="212121"/>
          <w:sz w:val="24"/>
          <w:szCs w:val="24"/>
          <w:highlight w:val="white"/>
        </w:rPr>
        <w:t>3</w:t>
      </w:r>
      <w:r>
        <w:rPr>
          <w:b/>
          <w:color w:val="212121"/>
          <w:sz w:val="24"/>
          <w:szCs w:val="24"/>
          <w:highlight w:val="white"/>
        </w:rPr>
        <w:t>)</w:t>
      </w:r>
      <w:r>
        <w:rPr>
          <w:color w:val="212121"/>
          <w:sz w:val="24"/>
          <w:szCs w:val="24"/>
          <w:highlight w:val="white"/>
        </w:rPr>
        <w:t xml:space="preserve">. </w:t>
      </w:r>
      <w:r>
        <w:rPr>
          <w:color w:val="000000"/>
          <w:sz w:val="24"/>
          <w:szCs w:val="24"/>
        </w:rPr>
        <w:t>In our study, it was shown that there was a statistically significant difference between patients with HCC and patients without HCC as regards tobacco smoking</w:t>
      </w:r>
      <w:r w:rsidR="006F012C">
        <w:rPr>
          <w:color w:val="000000"/>
          <w:sz w:val="24"/>
          <w:szCs w:val="24"/>
        </w:rPr>
        <w:t>,</w:t>
      </w:r>
      <w:r>
        <w:rPr>
          <w:color w:val="000000"/>
          <w:sz w:val="24"/>
          <w:szCs w:val="24"/>
        </w:rPr>
        <w:t xml:space="preserve"> where those with HCC were more frequent users of Tobacco.</w:t>
      </w:r>
    </w:p>
    <w:p w14:paraId="0BE8B426" w14:textId="41AFB997" w:rsidR="006B4636" w:rsidRDefault="00000000">
      <w:pPr>
        <w:pStyle w:val="Heading1"/>
        <w:shd w:val="clear" w:color="auto" w:fill="FFFFFF"/>
        <w:spacing w:before="280" w:after="140" w:line="480" w:lineRule="auto"/>
        <w:jc w:val="both"/>
        <w:rPr>
          <w:b w:val="0"/>
          <w:color w:val="212121"/>
          <w:sz w:val="24"/>
          <w:szCs w:val="24"/>
          <w:highlight w:val="white"/>
        </w:rPr>
      </w:pPr>
      <w:r>
        <w:rPr>
          <w:b w:val="0"/>
          <w:color w:val="000000"/>
          <w:sz w:val="24"/>
          <w:szCs w:val="24"/>
        </w:rPr>
        <w:t>The risk of HCC increases with the advancement in the degree of liver decompensation</w:t>
      </w:r>
      <w:r w:rsidR="006F012C">
        <w:rPr>
          <w:b w:val="0"/>
          <w:color w:val="000000"/>
          <w:sz w:val="24"/>
          <w:szCs w:val="24"/>
        </w:rPr>
        <w:t>,</w:t>
      </w:r>
      <w:r>
        <w:rPr>
          <w:b w:val="0"/>
          <w:color w:val="000000"/>
          <w:sz w:val="24"/>
          <w:szCs w:val="24"/>
        </w:rPr>
        <w:t xml:space="preserve"> and patients with Child scores B and C are shown to have a higher incidence of developing HCC. That was clear in the current study</w:t>
      </w:r>
      <w:r w:rsidR="006F012C">
        <w:rPr>
          <w:b w:val="0"/>
          <w:color w:val="000000"/>
          <w:sz w:val="24"/>
          <w:szCs w:val="24"/>
        </w:rPr>
        <w:t>, where synthetic functions of patients with HCC in the form of albumin, bilirubin,</w:t>
      </w:r>
      <w:r>
        <w:rPr>
          <w:b w:val="0"/>
          <w:color w:val="000000"/>
          <w:sz w:val="24"/>
          <w:szCs w:val="24"/>
        </w:rPr>
        <w:t xml:space="preserve"> and coagulation profile were worse </w:t>
      </w:r>
      <w:r w:rsidR="006F012C">
        <w:rPr>
          <w:b w:val="0"/>
          <w:color w:val="000000"/>
          <w:sz w:val="24"/>
          <w:szCs w:val="24"/>
        </w:rPr>
        <w:t>than</w:t>
      </w:r>
      <w:r>
        <w:rPr>
          <w:b w:val="0"/>
          <w:color w:val="000000"/>
          <w:sz w:val="24"/>
          <w:szCs w:val="24"/>
        </w:rPr>
        <w:t xml:space="preserve"> those without HCC. </w:t>
      </w:r>
      <w:r w:rsidR="006F012C">
        <w:rPr>
          <w:b w:val="0"/>
          <w:color w:val="000000"/>
          <w:sz w:val="24"/>
          <w:szCs w:val="24"/>
        </w:rPr>
        <w:t>Also, alpha-fetoprotein level, a recognized glycoprotein marker for HCC,</w:t>
      </w:r>
      <w:r>
        <w:rPr>
          <w:b w:val="0"/>
          <w:color w:val="000000"/>
          <w:sz w:val="24"/>
          <w:szCs w:val="24"/>
        </w:rPr>
        <w:t xml:space="preserve"> was higher in patients with HCC</w:t>
      </w:r>
      <w:r w:rsidR="00FF5A9B">
        <w:rPr>
          <w:b w:val="0"/>
          <w:color w:val="000000"/>
          <w:sz w:val="24"/>
          <w:szCs w:val="24"/>
        </w:rPr>
        <w:t>,</w:t>
      </w:r>
      <w:r>
        <w:rPr>
          <w:b w:val="0"/>
          <w:color w:val="000000"/>
          <w:sz w:val="24"/>
          <w:szCs w:val="24"/>
        </w:rPr>
        <w:t xml:space="preserve"> with a median value of 62.5 ng/ml. This </w:t>
      </w:r>
      <w:r w:rsidR="006F012C">
        <w:rPr>
          <w:b w:val="0"/>
          <w:color w:val="000000"/>
          <w:sz w:val="24"/>
          <w:szCs w:val="24"/>
        </w:rPr>
        <w:t>agrees</w:t>
      </w:r>
      <w:r>
        <w:rPr>
          <w:b w:val="0"/>
          <w:color w:val="000000"/>
          <w:sz w:val="24"/>
          <w:szCs w:val="24"/>
        </w:rPr>
        <w:t xml:space="preserve"> with several studies </w:t>
      </w:r>
      <w:r w:rsidR="006F012C">
        <w:rPr>
          <w:b w:val="0"/>
          <w:color w:val="000000"/>
          <w:sz w:val="24"/>
          <w:szCs w:val="24"/>
        </w:rPr>
        <w:t>that</w:t>
      </w:r>
      <w:r>
        <w:rPr>
          <w:b w:val="0"/>
          <w:color w:val="000000"/>
          <w:sz w:val="24"/>
          <w:szCs w:val="24"/>
        </w:rPr>
        <w:t xml:space="preserve"> support the utility of AFP as a diagnostic modality for HCC</w:t>
      </w:r>
      <w:r>
        <w:rPr>
          <w:b w:val="0"/>
          <w:color w:val="212121"/>
          <w:sz w:val="24"/>
          <w:szCs w:val="24"/>
          <w:highlight w:val="white"/>
        </w:rPr>
        <w:t xml:space="preserve"> </w:t>
      </w:r>
      <w:r>
        <w:rPr>
          <w:color w:val="212121"/>
          <w:sz w:val="24"/>
          <w:szCs w:val="24"/>
          <w:highlight w:val="white"/>
        </w:rPr>
        <w:t>(1</w:t>
      </w:r>
      <w:r w:rsidR="005B6491">
        <w:rPr>
          <w:color w:val="212121"/>
          <w:sz w:val="24"/>
          <w:szCs w:val="24"/>
          <w:highlight w:val="white"/>
        </w:rPr>
        <w:t>4</w:t>
      </w:r>
      <w:r>
        <w:rPr>
          <w:color w:val="212121"/>
          <w:sz w:val="24"/>
          <w:szCs w:val="24"/>
          <w:highlight w:val="white"/>
        </w:rPr>
        <w:t>)(1</w:t>
      </w:r>
      <w:r w:rsidR="005B6491">
        <w:rPr>
          <w:color w:val="212121"/>
          <w:sz w:val="24"/>
          <w:szCs w:val="24"/>
          <w:highlight w:val="white"/>
        </w:rPr>
        <w:t>5</w:t>
      </w:r>
      <w:r>
        <w:rPr>
          <w:color w:val="212121"/>
          <w:sz w:val="24"/>
          <w:szCs w:val="24"/>
          <w:highlight w:val="white"/>
        </w:rPr>
        <w:t>)</w:t>
      </w:r>
      <w:r>
        <w:rPr>
          <w:b w:val="0"/>
          <w:color w:val="212121"/>
          <w:sz w:val="24"/>
          <w:szCs w:val="24"/>
          <w:highlight w:val="white"/>
        </w:rPr>
        <w:t xml:space="preserve">. </w:t>
      </w:r>
      <w:r>
        <w:rPr>
          <w:b w:val="0"/>
          <w:color w:val="000000"/>
          <w:sz w:val="24"/>
          <w:szCs w:val="24"/>
        </w:rPr>
        <w:t xml:space="preserve">However, other studies raised the debate </w:t>
      </w:r>
      <w:r w:rsidR="006F012C">
        <w:rPr>
          <w:b w:val="0"/>
          <w:color w:val="000000"/>
          <w:sz w:val="24"/>
          <w:szCs w:val="24"/>
        </w:rPr>
        <w:t>about</w:t>
      </w:r>
      <w:r>
        <w:rPr>
          <w:b w:val="0"/>
          <w:color w:val="000000"/>
          <w:sz w:val="24"/>
          <w:szCs w:val="24"/>
        </w:rPr>
        <w:t xml:space="preserve"> the value of AFP in diagnosing HCC. For example, El Serag et al. mentioned that AFP is not always elevated in HCC and showed that its sensitivity and specificity </w:t>
      </w:r>
      <w:r w:rsidR="006F012C">
        <w:rPr>
          <w:b w:val="0"/>
          <w:color w:val="000000"/>
          <w:sz w:val="24"/>
          <w:szCs w:val="24"/>
        </w:rPr>
        <w:t>are</w:t>
      </w:r>
      <w:r>
        <w:rPr>
          <w:b w:val="0"/>
          <w:color w:val="000000"/>
          <w:sz w:val="24"/>
          <w:szCs w:val="24"/>
        </w:rPr>
        <w:t xml:space="preserve"> 79% and 89%</w:t>
      </w:r>
      <w:r w:rsidR="006F012C">
        <w:rPr>
          <w:b w:val="0"/>
          <w:color w:val="000000"/>
          <w:sz w:val="24"/>
          <w:szCs w:val="24"/>
        </w:rPr>
        <w:t>,</w:t>
      </w:r>
      <w:r>
        <w:rPr>
          <w:b w:val="0"/>
          <w:color w:val="000000"/>
          <w:sz w:val="24"/>
          <w:szCs w:val="24"/>
        </w:rPr>
        <w:t xml:space="preserve"> respectively</w:t>
      </w:r>
      <w:r>
        <w:rPr>
          <w:b w:val="0"/>
          <w:color w:val="212121"/>
          <w:sz w:val="24"/>
          <w:szCs w:val="24"/>
          <w:highlight w:val="white"/>
        </w:rPr>
        <w:t xml:space="preserve"> </w:t>
      </w:r>
      <w:r>
        <w:rPr>
          <w:color w:val="212121"/>
          <w:sz w:val="24"/>
          <w:szCs w:val="24"/>
          <w:highlight w:val="white"/>
        </w:rPr>
        <w:t>(1</w:t>
      </w:r>
      <w:r w:rsidR="005B6491">
        <w:rPr>
          <w:color w:val="212121"/>
          <w:sz w:val="24"/>
          <w:szCs w:val="24"/>
          <w:highlight w:val="white"/>
        </w:rPr>
        <w:t>6</w:t>
      </w:r>
      <w:r>
        <w:rPr>
          <w:color w:val="212121"/>
          <w:sz w:val="24"/>
          <w:szCs w:val="24"/>
          <w:highlight w:val="white"/>
        </w:rPr>
        <w:t>).</w:t>
      </w:r>
      <w:r>
        <w:rPr>
          <w:b w:val="0"/>
          <w:color w:val="212121"/>
          <w:sz w:val="24"/>
          <w:szCs w:val="24"/>
          <w:highlight w:val="white"/>
        </w:rPr>
        <w:t xml:space="preserve"> </w:t>
      </w:r>
      <w:r>
        <w:rPr>
          <w:b w:val="0"/>
          <w:color w:val="000000"/>
          <w:sz w:val="24"/>
          <w:szCs w:val="24"/>
        </w:rPr>
        <w:t xml:space="preserve">Moreover, in small HCC lesions, AFP may show </w:t>
      </w:r>
      <w:r w:rsidR="006F012C">
        <w:rPr>
          <w:b w:val="0"/>
          <w:color w:val="000000"/>
          <w:sz w:val="24"/>
          <w:szCs w:val="24"/>
        </w:rPr>
        <w:t>average</w:t>
      </w:r>
      <w:r>
        <w:rPr>
          <w:b w:val="0"/>
          <w:color w:val="000000"/>
          <w:sz w:val="24"/>
          <w:szCs w:val="24"/>
        </w:rPr>
        <w:t xml:space="preserve"> values</w:t>
      </w:r>
      <w:r>
        <w:rPr>
          <w:b w:val="0"/>
          <w:color w:val="212121"/>
          <w:sz w:val="24"/>
          <w:szCs w:val="24"/>
          <w:highlight w:val="white"/>
        </w:rPr>
        <w:t xml:space="preserve"> </w:t>
      </w:r>
      <w:r>
        <w:rPr>
          <w:color w:val="212121"/>
          <w:sz w:val="24"/>
          <w:szCs w:val="24"/>
          <w:highlight w:val="white"/>
        </w:rPr>
        <w:t>(1</w:t>
      </w:r>
      <w:r w:rsidR="005B6491">
        <w:rPr>
          <w:color w:val="212121"/>
          <w:sz w:val="24"/>
          <w:szCs w:val="24"/>
          <w:highlight w:val="white"/>
        </w:rPr>
        <w:t>7</w:t>
      </w:r>
      <w:r>
        <w:rPr>
          <w:color w:val="212121"/>
          <w:sz w:val="24"/>
          <w:szCs w:val="24"/>
          <w:highlight w:val="white"/>
        </w:rPr>
        <w:t>).</w:t>
      </w:r>
    </w:p>
    <w:p w14:paraId="7953C395" w14:textId="348652EC" w:rsidR="006B4636" w:rsidRDefault="00000000">
      <w:pPr>
        <w:spacing w:line="480" w:lineRule="auto"/>
        <w:jc w:val="both"/>
        <w:rPr>
          <w:color w:val="212121"/>
          <w:sz w:val="24"/>
          <w:szCs w:val="24"/>
          <w:highlight w:val="white"/>
        </w:rPr>
      </w:pPr>
      <w:r>
        <w:rPr>
          <w:color w:val="000000"/>
          <w:sz w:val="24"/>
          <w:szCs w:val="24"/>
        </w:rPr>
        <w:t>Non-alcoholic fatty liver disease (NAFLD) is one of the main etiologies of chronic liver disease and HCC</w:t>
      </w:r>
      <w:r>
        <w:rPr>
          <w:color w:val="212121"/>
          <w:sz w:val="24"/>
          <w:szCs w:val="24"/>
          <w:highlight w:val="white"/>
        </w:rPr>
        <w:t xml:space="preserve"> </w:t>
      </w:r>
      <w:r>
        <w:rPr>
          <w:b/>
          <w:color w:val="212121"/>
          <w:sz w:val="24"/>
          <w:szCs w:val="24"/>
          <w:highlight w:val="white"/>
        </w:rPr>
        <w:t>(</w:t>
      </w:r>
      <w:r w:rsidR="005B6491">
        <w:rPr>
          <w:b/>
          <w:color w:val="212121"/>
          <w:sz w:val="24"/>
          <w:szCs w:val="24"/>
          <w:highlight w:val="white"/>
        </w:rPr>
        <w:t>18</w:t>
      </w:r>
      <w:r>
        <w:rPr>
          <w:b/>
          <w:color w:val="212121"/>
          <w:sz w:val="24"/>
          <w:szCs w:val="24"/>
          <w:highlight w:val="white"/>
        </w:rPr>
        <w:t>)</w:t>
      </w:r>
      <w:r>
        <w:rPr>
          <w:color w:val="212121"/>
          <w:sz w:val="24"/>
          <w:szCs w:val="24"/>
          <w:highlight w:val="white"/>
        </w:rPr>
        <w:t>. </w:t>
      </w:r>
      <w:r w:rsidR="006F012C">
        <w:rPr>
          <w:color w:val="000000"/>
          <w:sz w:val="24"/>
          <w:szCs w:val="24"/>
        </w:rPr>
        <w:t>Substantial</w:t>
      </w:r>
      <w:r>
        <w:rPr>
          <w:color w:val="000000"/>
          <w:sz w:val="24"/>
          <w:szCs w:val="24"/>
        </w:rPr>
        <w:t xml:space="preserve"> evidence is present that steatosis is one of multiple risk factors for HCC in patients with chronic HCV infection, even after viral cure by the novel </w:t>
      </w:r>
      <w:r w:rsidR="006F012C">
        <w:rPr>
          <w:color w:val="000000"/>
          <w:sz w:val="24"/>
          <w:szCs w:val="24"/>
        </w:rPr>
        <w:t>direct-acting</w:t>
      </w:r>
      <w:r>
        <w:rPr>
          <w:color w:val="000000"/>
          <w:sz w:val="24"/>
          <w:szCs w:val="24"/>
        </w:rPr>
        <w:t xml:space="preserve"> antiviral drugs</w:t>
      </w:r>
      <w:r>
        <w:rPr>
          <w:color w:val="212121"/>
          <w:sz w:val="24"/>
          <w:szCs w:val="24"/>
          <w:highlight w:val="white"/>
        </w:rPr>
        <w:t xml:space="preserve"> (</w:t>
      </w:r>
      <w:r w:rsidR="005B6491">
        <w:rPr>
          <w:b/>
          <w:color w:val="212121"/>
          <w:sz w:val="24"/>
          <w:szCs w:val="24"/>
          <w:highlight w:val="white"/>
        </w:rPr>
        <w:t>19</w:t>
      </w:r>
      <w:r>
        <w:rPr>
          <w:b/>
          <w:color w:val="212121"/>
          <w:sz w:val="24"/>
          <w:szCs w:val="24"/>
          <w:highlight w:val="white"/>
        </w:rPr>
        <w:t>)</w:t>
      </w:r>
      <w:r>
        <w:rPr>
          <w:color w:val="212121"/>
          <w:sz w:val="24"/>
          <w:szCs w:val="24"/>
          <w:highlight w:val="white"/>
        </w:rPr>
        <w:t xml:space="preserve">. </w:t>
      </w:r>
      <w:r>
        <w:rPr>
          <w:color w:val="000000"/>
          <w:sz w:val="24"/>
          <w:szCs w:val="24"/>
        </w:rPr>
        <w:t xml:space="preserve">There is ongoing debate about the pathogenic relationship between steatosis and HCC and the potential carcinogenic mechanisms </w:t>
      </w:r>
      <w:r w:rsidR="006F012C">
        <w:rPr>
          <w:color w:val="000000"/>
          <w:sz w:val="24"/>
          <w:szCs w:val="24"/>
        </w:rPr>
        <w:t>related explicitly</w:t>
      </w:r>
      <w:r>
        <w:rPr>
          <w:color w:val="000000"/>
          <w:sz w:val="24"/>
          <w:szCs w:val="24"/>
        </w:rPr>
        <w:t xml:space="preserve"> to steatosis and steatohepatitis</w:t>
      </w:r>
      <w:r>
        <w:rPr>
          <w:color w:val="212121"/>
          <w:sz w:val="24"/>
          <w:szCs w:val="24"/>
          <w:highlight w:val="white"/>
        </w:rPr>
        <w:t xml:space="preserve"> </w:t>
      </w:r>
      <w:r>
        <w:rPr>
          <w:b/>
          <w:color w:val="212121"/>
          <w:sz w:val="24"/>
          <w:szCs w:val="24"/>
          <w:highlight w:val="white"/>
        </w:rPr>
        <w:t>(2</w:t>
      </w:r>
      <w:r w:rsidR="005B6491">
        <w:rPr>
          <w:b/>
          <w:color w:val="212121"/>
          <w:sz w:val="24"/>
          <w:szCs w:val="24"/>
          <w:highlight w:val="white"/>
        </w:rPr>
        <w:t>0</w:t>
      </w:r>
      <w:r>
        <w:rPr>
          <w:b/>
          <w:color w:val="212121"/>
          <w:sz w:val="24"/>
          <w:szCs w:val="24"/>
          <w:highlight w:val="white"/>
        </w:rPr>
        <w:t>).</w:t>
      </w:r>
      <w:r>
        <w:rPr>
          <w:color w:val="212121"/>
          <w:sz w:val="24"/>
          <w:szCs w:val="24"/>
          <w:highlight w:val="white"/>
        </w:rPr>
        <w:t xml:space="preserve"> </w:t>
      </w:r>
      <w:r>
        <w:rPr>
          <w:color w:val="000000"/>
          <w:sz w:val="24"/>
          <w:szCs w:val="24"/>
        </w:rPr>
        <w:t xml:space="preserve">In a study done in 2003, </w:t>
      </w:r>
      <w:r w:rsidR="006F012C">
        <w:rPr>
          <w:color w:val="000000"/>
          <w:sz w:val="24"/>
          <w:szCs w:val="24"/>
        </w:rPr>
        <w:t>the</w:t>
      </w:r>
      <w:r>
        <w:rPr>
          <w:color w:val="000000"/>
          <w:sz w:val="24"/>
          <w:szCs w:val="24"/>
        </w:rPr>
        <w:t xml:space="preserve"> degree of hepatic steatosis and HCC development were directly proportional </w:t>
      </w:r>
      <w:r>
        <w:rPr>
          <w:b/>
          <w:color w:val="212121"/>
          <w:sz w:val="24"/>
          <w:szCs w:val="24"/>
          <w:highlight w:val="white"/>
        </w:rPr>
        <w:t>(2</w:t>
      </w:r>
      <w:r w:rsidR="005B6491">
        <w:rPr>
          <w:b/>
          <w:color w:val="212121"/>
          <w:sz w:val="24"/>
          <w:szCs w:val="24"/>
          <w:highlight w:val="white"/>
        </w:rPr>
        <w:t>1</w:t>
      </w:r>
      <w:r>
        <w:rPr>
          <w:b/>
          <w:color w:val="212121"/>
          <w:sz w:val="24"/>
          <w:szCs w:val="24"/>
          <w:highlight w:val="white"/>
        </w:rPr>
        <w:t>).</w:t>
      </w:r>
      <w:r>
        <w:rPr>
          <w:color w:val="212121"/>
          <w:sz w:val="24"/>
          <w:szCs w:val="24"/>
          <w:highlight w:val="white"/>
        </w:rPr>
        <w:t> </w:t>
      </w:r>
      <w:r>
        <w:rPr>
          <w:color w:val="000000"/>
          <w:sz w:val="24"/>
          <w:szCs w:val="24"/>
        </w:rPr>
        <w:t xml:space="preserve">In addition, it was shown that patients with steatosis had an increased risk </w:t>
      </w:r>
      <w:r w:rsidR="002F46AB">
        <w:rPr>
          <w:color w:val="000000"/>
          <w:sz w:val="24"/>
          <w:szCs w:val="24"/>
        </w:rPr>
        <w:t xml:space="preserve">of developing HCC by 2.81 times </w:t>
      </w:r>
      <w:r>
        <w:rPr>
          <w:color w:val="000000"/>
          <w:sz w:val="24"/>
          <w:szCs w:val="24"/>
        </w:rPr>
        <w:t>compared to patients who did not have steatosis</w:t>
      </w:r>
      <w:r>
        <w:rPr>
          <w:color w:val="212121"/>
          <w:sz w:val="24"/>
          <w:szCs w:val="24"/>
          <w:highlight w:val="white"/>
        </w:rPr>
        <w:t xml:space="preserve"> </w:t>
      </w:r>
      <w:r>
        <w:rPr>
          <w:b/>
          <w:color w:val="212121"/>
          <w:sz w:val="24"/>
          <w:szCs w:val="24"/>
          <w:highlight w:val="white"/>
        </w:rPr>
        <w:t>(2</w:t>
      </w:r>
      <w:r w:rsidR="005B6491">
        <w:rPr>
          <w:b/>
          <w:color w:val="212121"/>
          <w:sz w:val="24"/>
          <w:szCs w:val="24"/>
          <w:highlight w:val="white"/>
        </w:rPr>
        <w:t>2</w:t>
      </w:r>
      <w:r>
        <w:rPr>
          <w:b/>
          <w:color w:val="212121"/>
          <w:sz w:val="24"/>
          <w:szCs w:val="24"/>
          <w:highlight w:val="white"/>
        </w:rPr>
        <w:t>)</w:t>
      </w:r>
      <w:r>
        <w:rPr>
          <w:color w:val="212121"/>
          <w:sz w:val="24"/>
          <w:szCs w:val="24"/>
          <w:highlight w:val="white"/>
        </w:rPr>
        <w:t>. </w:t>
      </w:r>
      <w:r>
        <w:rPr>
          <w:color w:val="000000"/>
          <w:sz w:val="24"/>
          <w:szCs w:val="24"/>
        </w:rPr>
        <w:t>Obesity</w:t>
      </w:r>
      <w:r w:rsidR="006F012C">
        <w:rPr>
          <w:color w:val="000000"/>
          <w:sz w:val="24"/>
          <w:szCs w:val="24"/>
        </w:rPr>
        <w:t>, which is also related to the increased prevalence of hepatic steatosis,</w:t>
      </w:r>
      <w:r>
        <w:rPr>
          <w:color w:val="000000"/>
          <w:sz w:val="24"/>
          <w:szCs w:val="24"/>
        </w:rPr>
        <w:t xml:space="preserve"> is also shown to be an independent risk factor for HCC development in patients with chronic HCV</w:t>
      </w:r>
      <w:r>
        <w:rPr>
          <w:color w:val="212121"/>
          <w:sz w:val="24"/>
          <w:szCs w:val="24"/>
          <w:highlight w:val="white"/>
        </w:rPr>
        <w:t xml:space="preserve"> </w:t>
      </w:r>
      <w:r>
        <w:rPr>
          <w:b/>
          <w:color w:val="212121"/>
          <w:sz w:val="24"/>
          <w:szCs w:val="24"/>
          <w:highlight w:val="white"/>
        </w:rPr>
        <w:t>(</w:t>
      </w:r>
      <w:r w:rsidR="00541FB3">
        <w:rPr>
          <w:b/>
          <w:color w:val="212121"/>
          <w:sz w:val="24"/>
          <w:szCs w:val="24"/>
          <w:highlight w:val="white"/>
        </w:rPr>
        <w:t>19</w:t>
      </w:r>
      <w:r>
        <w:rPr>
          <w:b/>
          <w:color w:val="212121"/>
          <w:sz w:val="24"/>
          <w:szCs w:val="24"/>
          <w:highlight w:val="white"/>
        </w:rPr>
        <w:t>).</w:t>
      </w:r>
      <w:r>
        <w:rPr>
          <w:color w:val="212121"/>
          <w:sz w:val="24"/>
          <w:szCs w:val="24"/>
          <w:highlight w:val="white"/>
        </w:rPr>
        <w:t xml:space="preserve"> </w:t>
      </w:r>
    </w:p>
    <w:p w14:paraId="1D832AA9" w14:textId="289E78AD" w:rsidR="006B4636" w:rsidRPr="00164B04" w:rsidRDefault="00000000">
      <w:pPr>
        <w:spacing w:line="480" w:lineRule="auto"/>
        <w:jc w:val="both"/>
        <w:rPr>
          <w:color w:val="000000"/>
          <w:sz w:val="24"/>
          <w:szCs w:val="24"/>
        </w:rPr>
      </w:pPr>
      <w:r>
        <w:rPr>
          <w:color w:val="000000"/>
          <w:sz w:val="24"/>
          <w:szCs w:val="24"/>
        </w:rPr>
        <w:t>On the contrary, a study by Mak et al. in 2021 showed that reduced liver steatosis in patients with chronic hepatitis B infection was inversely proportional to the incidence of HCC. A suggested explanation was that in the terminal stage of steatohepatitis</w:t>
      </w:r>
      <w:r w:rsidR="006F012C">
        <w:rPr>
          <w:color w:val="000000"/>
          <w:sz w:val="24"/>
          <w:szCs w:val="24"/>
        </w:rPr>
        <w:t>,</w:t>
      </w:r>
      <w:r>
        <w:rPr>
          <w:color w:val="000000"/>
          <w:sz w:val="24"/>
          <w:szCs w:val="24"/>
        </w:rPr>
        <w:t xml:space="preserve"> i.e.</w:t>
      </w:r>
      <w:r w:rsidR="006F012C">
        <w:rPr>
          <w:color w:val="000000"/>
          <w:sz w:val="24"/>
          <w:szCs w:val="24"/>
        </w:rPr>
        <w:t>,</w:t>
      </w:r>
      <w:r>
        <w:rPr>
          <w:color w:val="000000"/>
          <w:sz w:val="24"/>
          <w:szCs w:val="24"/>
        </w:rPr>
        <w:t xml:space="preserve"> </w:t>
      </w:r>
      <w:r w:rsidR="000E4330">
        <w:rPr>
          <w:color w:val="000000"/>
          <w:sz w:val="24"/>
          <w:szCs w:val="24"/>
        </w:rPr>
        <w:t xml:space="preserve">the </w:t>
      </w:r>
      <w:r w:rsidR="006F012C">
        <w:rPr>
          <w:color w:val="000000"/>
          <w:sz w:val="24"/>
          <w:szCs w:val="24"/>
        </w:rPr>
        <w:t>burnt-out</w:t>
      </w:r>
      <w:r>
        <w:rPr>
          <w:color w:val="000000"/>
          <w:sz w:val="24"/>
          <w:szCs w:val="24"/>
        </w:rPr>
        <w:t xml:space="preserve"> phase, </w:t>
      </w:r>
      <w:r w:rsidR="00A06319">
        <w:rPr>
          <w:color w:val="000000"/>
          <w:sz w:val="24"/>
          <w:szCs w:val="24"/>
        </w:rPr>
        <w:t xml:space="preserve">no more excess fat is </w:t>
      </w:r>
      <w:r>
        <w:rPr>
          <w:color w:val="000000"/>
          <w:sz w:val="24"/>
          <w:szCs w:val="24"/>
        </w:rPr>
        <w:t>deposited in the liver</w:t>
      </w:r>
      <w:r w:rsidR="006F012C">
        <w:rPr>
          <w:color w:val="000000"/>
          <w:sz w:val="24"/>
          <w:szCs w:val="24"/>
        </w:rPr>
        <w:t>,</w:t>
      </w:r>
      <w:r>
        <w:rPr>
          <w:color w:val="000000"/>
          <w:sz w:val="24"/>
          <w:szCs w:val="24"/>
        </w:rPr>
        <w:t xml:space="preserve"> which may reflect the lower values of CAP in this population</w:t>
      </w:r>
      <w:r>
        <w:rPr>
          <w:color w:val="212121"/>
          <w:sz w:val="24"/>
          <w:szCs w:val="24"/>
          <w:highlight w:val="white"/>
        </w:rPr>
        <w:t xml:space="preserve"> </w:t>
      </w:r>
      <w:r>
        <w:rPr>
          <w:b/>
          <w:color w:val="212121"/>
          <w:sz w:val="24"/>
          <w:szCs w:val="24"/>
          <w:highlight w:val="white"/>
        </w:rPr>
        <w:t>(2</w:t>
      </w:r>
      <w:r w:rsidR="005B6491">
        <w:rPr>
          <w:b/>
          <w:color w:val="212121"/>
          <w:sz w:val="24"/>
          <w:szCs w:val="24"/>
          <w:highlight w:val="white"/>
        </w:rPr>
        <w:t>2</w:t>
      </w:r>
      <w:r>
        <w:rPr>
          <w:b/>
          <w:color w:val="212121"/>
          <w:sz w:val="24"/>
          <w:szCs w:val="24"/>
          <w:highlight w:val="white"/>
        </w:rPr>
        <w:t>).</w:t>
      </w:r>
      <w:r>
        <w:rPr>
          <w:color w:val="212121"/>
          <w:sz w:val="24"/>
          <w:szCs w:val="24"/>
          <w:highlight w:val="white"/>
        </w:rPr>
        <w:t xml:space="preserve"> </w:t>
      </w:r>
      <w:r>
        <w:rPr>
          <w:color w:val="000000"/>
          <w:sz w:val="24"/>
          <w:szCs w:val="24"/>
        </w:rPr>
        <w:t xml:space="preserve">Our study </w:t>
      </w:r>
      <w:r w:rsidR="00A06319">
        <w:rPr>
          <w:color w:val="000000"/>
          <w:sz w:val="24"/>
          <w:szCs w:val="24"/>
        </w:rPr>
        <w:t xml:space="preserve">agreed with this, as 87.7% of patients with HCC had no or mild steatosis (S0 and S1) </w:t>
      </w:r>
      <w:r>
        <w:rPr>
          <w:color w:val="000000"/>
          <w:sz w:val="24"/>
          <w:szCs w:val="24"/>
        </w:rPr>
        <w:t>compared to 66.1% of patients without HCC.</w:t>
      </w:r>
      <w:r w:rsidR="005B6491">
        <w:rPr>
          <w:color w:val="000000"/>
          <w:sz w:val="24"/>
          <w:szCs w:val="24"/>
        </w:rPr>
        <w:t xml:space="preserve"> </w:t>
      </w:r>
      <w:r w:rsidR="005B6491" w:rsidRPr="00164B04">
        <w:rPr>
          <w:color w:val="000000"/>
          <w:sz w:val="24"/>
          <w:szCs w:val="24"/>
        </w:rPr>
        <w:t xml:space="preserve">A possible explanation might be that </w:t>
      </w:r>
      <w:r w:rsidR="00FF5A9B" w:rsidRPr="00164B04">
        <w:rPr>
          <w:color w:val="000000"/>
          <w:sz w:val="24"/>
          <w:szCs w:val="24"/>
        </w:rPr>
        <w:t>fat deposition might be evaded with advanced fibrosis</w:t>
      </w:r>
      <w:r w:rsidR="00164B04">
        <w:rPr>
          <w:color w:val="000000"/>
          <w:sz w:val="24"/>
          <w:szCs w:val="24"/>
        </w:rPr>
        <w:t>, tumor infiltration, and</w:t>
      </w:r>
      <w:r w:rsidR="005B6491" w:rsidRPr="00164B04">
        <w:rPr>
          <w:color w:val="000000"/>
          <w:sz w:val="24"/>
          <w:szCs w:val="24"/>
        </w:rPr>
        <w:t xml:space="preserve"> lower CAP values.</w:t>
      </w:r>
    </w:p>
    <w:p w14:paraId="4C084EDD" w14:textId="2E56D744" w:rsidR="006B4636" w:rsidRDefault="00000000">
      <w:pPr>
        <w:spacing w:line="480" w:lineRule="auto"/>
        <w:jc w:val="both"/>
        <w:rPr>
          <w:color w:val="000000"/>
          <w:sz w:val="24"/>
          <w:szCs w:val="24"/>
        </w:rPr>
      </w:pPr>
      <w:r>
        <w:rPr>
          <w:color w:val="000000"/>
          <w:sz w:val="24"/>
          <w:szCs w:val="24"/>
        </w:rPr>
        <w:t>On the other hand, it was shown that severe fibrosis is directly related to HCC development</w:t>
      </w:r>
      <w:r w:rsidR="00A06319">
        <w:rPr>
          <w:color w:val="000000"/>
          <w:sz w:val="24"/>
          <w:szCs w:val="24"/>
        </w:rPr>
        <w:t>. A</w:t>
      </w:r>
      <w:r>
        <w:rPr>
          <w:color w:val="000000"/>
          <w:sz w:val="24"/>
          <w:szCs w:val="24"/>
        </w:rPr>
        <w:t xml:space="preserve"> significant correlation was established between the degree of liver stiffness measured by transient elastography in patients with HCC compared to patients with liver cirrhosis who did not develop HCC. </w:t>
      </w:r>
    </w:p>
    <w:p w14:paraId="75C65A56" w14:textId="50EE9CE5" w:rsidR="006B4636" w:rsidRDefault="00350398" w:rsidP="00350398">
      <w:pPr>
        <w:spacing w:line="480" w:lineRule="auto"/>
        <w:jc w:val="both"/>
        <w:rPr>
          <w:color w:val="000000"/>
          <w:sz w:val="24"/>
          <w:szCs w:val="24"/>
        </w:rPr>
      </w:pPr>
      <w:r>
        <w:rPr>
          <w:color w:val="000000"/>
          <w:sz w:val="24"/>
          <w:szCs w:val="24"/>
        </w:rPr>
        <w:t xml:space="preserve">It was shown that liver stiffness measured by transient elastography </w:t>
      </w:r>
      <w:r w:rsidR="00FF5A9B">
        <w:rPr>
          <w:color w:val="000000"/>
          <w:sz w:val="24"/>
          <w:szCs w:val="24"/>
        </w:rPr>
        <w:t>could</w:t>
      </w:r>
      <w:r>
        <w:rPr>
          <w:color w:val="000000"/>
          <w:sz w:val="24"/>
          <w:szCs w:val="24"/>
        </w:rPr>
        <w:t xml:space="preserve"> be used to discriminate between patients with liver cirrhosis with and without HCC using a cutoff level of &gt;24.3 kPa with 90.5% sensitivity, 85.7% specificity, 86.4% PPV, and 90% NPV u</w:t>
      </w:r>
      <w:r w:rsidRPr="00350398">
        <w:rPr>
          <w:color w:val="000000"/>
          <w:sz w:val="24"/>
          <w:szCs w:val="24"/>
        </w:rPr>
        <w:t>sing the ROC curve</w:t>
      </w:r>
      <w:r>
        <w:rPr>
          <w:color w:val="000000"/>
          <w:sz w:val="24"/>
          <w:szCs w:val="24"/>
        </w:rPr>
        <w:t xml:space="preserve"> (AUC = 0.926 &amp; p-value &lt; 0.001)</w:t>
      </w:r>
    </w:p>
    <w:p w14:paraId="55847E37" w14:textId="45679CDC" w:rsidR="006B4636" w:rsidRDefault="00000000">
      <w:pPr>
        <w:spacing w:line="480" w:lineRule="auto"/>
        <w:ind w:right="-761"/>
        <w:jc w:val="both"/>
        <w:rPr>
          <w:color w:val="212121"/>
          <w:sz w:val="24"/>
          <w:szCs w:val="24"/>
          <w:highlight w:val="white"/>
        </w:rPr>
      </w:pPr>
      <w:r>
        <w:rPr>
          <w:color w:val="000000"/>
          <w:sz w:val="24"/>
          <w:szCs w:val="24"/>
        </w:rPr>
        <w:t>This observation was evident in many previous studies</w:t>
      </w:r>
      <w:r w:rsidR="00A06319">
        <w:rPr>
          <w:color w:val="000000"/>
          <w:sz w:val="24"/>
          <w:szCs w:val="24"/>
        </w:rPr>
        <w:t>,</w:t>
      </w:r>
      <w:r>
        <w:rPr>
          <w:color w:val="000000"/>
          <w:sz w:val="24"/>
          <w:szCs w:val="24"/>
        </w:rPr>
        <w:t xml:space="preserve"> which showed that higher fibrosis scores measured by transient elastography increased the risk of HCC development in patients with liver cirrhosis</w:t>
      </w:r>
      <w:r>
        <w:rPr>
          <w:color w:val="212121"/>
          <w:sz w:val="24"/>
          <w:szCs w:val="24"/>
          <w:highlight w:val="white"/>
        </w:rPr>
        <w:t xml:space="preserve"> </w:t>
      </w:r>
      <w:r>
        <w:rPr>
          <w:b/>
          <w:color w:val="212121"/>
          <w:sz w:val="24"/>
          <w:szCs w:val="24"/>
          <w:highlight w:val="white"/>
        </w:rPr>
        <w:t>(2</w:t>
      </w:r>
      <w:r w:rsidR="00541FB3">
        <w:rPr>
          <w:b/>
          <w:color w:val="212121"/>
          <w:sz w:val="24"/>
          <w:szCs w:val="24"/>
          <w:highlight w:val="white"/>
        </w:rPr>
        <w:t>3</w:t>
      </w:r>
      <w:r>
        <w:rPr>
          <w:b/>
          <w:color w:val="212121"/>
          <w:sz w:val="24"/>
          <w:szCs w:val="24"/>
          <w:highlight w:val="white"/>
        </w:rPr>
        <w:t>,2</w:t>
      </w:r>
      <w:r w:rsidR="00541FB3">
        <w:rPr>
          <w:b/>
          <w:color w:val="212121"/>
          <w:sz w:val="24"/>
          <w:szCs w:val="24"/>
          <w:highlight w:val="white"/>
        </w:rPr>
        <w:t>4</w:t>
      </w:r>
      <w:r>
        <w:rPr>
          <w:b/>
          <w:color w:val="212121"/>
          <w:sz w:val="24"/>
          <w:szCs w:val="24"/>
          <w:highlight w:val="white"/>
        </w:rPr>
        <w:t>,2</w:t>
      </w:r>
      <w:r w:rsidR="00541FB3">
        <w:rPr>
          <w:b/>
          <w:color w:val="212121"/>
          <w:sz w:val="24"/>
          <w:szCs w:val="24"/>
          <w:highlight w:val="white"/>
        </w:rPr>
        <w:t>5</w:t>
      </w:r>
      <w:r>
        <w:rPr>
          <w:b/>
          <w:color w:val="212121"/>
          <w:sz w:val="24"/>
          <w:szCs w:val="24"/>
          <w:highlight w:val="white"/>
        </w:rPr>
        <w:t>,2</w:t>
      </w:r>
      <w:r w:rsidR="00541FB3">
        <w:rPr>
          <w:b/>
          <w:color w:val="212121"/>
          <w:sz w:val="24"/>
          <w:szCs w:val="24"/>
          <w:highlight w:val="white"/>
        </w:rPr>
        <w:t>6</w:t>
      </w:r>
      <w:r>
        <w:rPr>
          <w:b/>
          <w:color w:val="212121"/>
          <w:sz w:val="24"/>
          <w:szCs w:val="24"/>
          <w:highlight w:val="white"/>
        </w:rPr>
        <w:t>,2</w:t>
      </w:r>
      <w:r w:rsidR="00541FB3">
        <w:rPr>
          <w:b/>
          <w:color w:val="212121"/>
          <w:sz w:val="24"/>
          <w:szCs w:val="24"/>
          <w:highlight w:val="white"/>
        </w:rPr>
        <w:t>7</w:t>
      </w:r>
      <w:r>
        <w:rPr>
          <w:b/>
          <w:color w:val="212121"/>
          <w:sz w:val="24"/>
          <w:szCs w:val="24"/>
          <w:highlight w:val="white"/>
        </w:rPr>
        <w:t>).</w:t>
      </w:r>
      <w:r>
        <w:rPr>
          <w:color w:val="212121"/>
          <w:sz w:val="24"/>
          <w:szCs w:val="24"/>
          <w:highlight w:val="white"/>
        </w:rPr>
        <w:t xml:space="preserve"> </w:t>
      </w:r>
    </w:p>
    <w:p w14:paraId="56EAF040" w14:textId="0203B31C" w:rsidR="006B4636" w:rsidRDefault="00000000">
      <w:pPr>
        <w:spacing w:line="480" w:lineRule="auto"/>
        <w:jc w:val="both"/>
        <w:rPr>
          <w:color w:val="212121"/>
          <w:sz w:val="24"/>
          <w:szCs w:val="24"/>
          <w:highlight w:val="white"/>
        </w:rPr>
      </w:pPr>
      <w:r>
        <w:rPr>
          <w:color w:val="000000"/>
          <w:sz w:val="24"/>
          <w:szCs w:val="24"/>
        </w:rPr>
        <w:t>Fibrosis and cancer-associated fibroblasts (CAF) can influence liver cancer development by modulating the tumor microenvironment</w:t>
      </w:r>
      <w:r>
        <w:rPr>
          <w:color w:val="212121"/>
          <w:sz w:val="24"/>
          <w:szCs w:val="24"/>
          <w:highlight w:val="white"/>
        </w:rPr>
        <w:t xml:space="preserve"> </w:t>
      </w:r>
      <w:r>
        <w:rPr>
          <w:b/>
          <w:color w:val="212121"/>
          <w:sz w:val="24"/>
          <w:szCs w:val="24"/>
          <w:highlight w:val="white"/>
        </w:rPr>
        <w:t>(</w:t>
      </w:r>
      <w:r w:rsidR="00541FB3">
        <w:rPr>
          <w:b/>
          <w:color w:val="212121"/>
          <w:sz w:val="24"/>
          <w:szCs w:val="24"/>
          <w:highlight w:val="white"/>
        </w:rPr>
        <w:t>28</w:t>
      </w:r>
      <w:r>
        <w:rPr>
          <w:b/>
          <w:color w:val="212121"/>
          <w:sz w:val="24"/>
          <w:szCs w:val="24"/>
          <w:highlight w:val="white"/>
        </w:rPr>
        <w:t>).</w:t>
      </w:r>
      <w:r>
        <w:rPr>
          <w:color w:val="212121"/>
          <w:sz w:val="24"/>
          <w:szCs w:val="24"/>
          <w:highlight w:val="white"/>
        </w:rPr>
        <w:t xml:space="preserve"> </w:t>
      </w:r>
      <w:r w:rsidRPr="00350398">
        <w:rPr>
          <w:color w:val="000000"/>
          <w:sz w:val="24"/>
          <w:szCs w:val="24"/>
        </w:rPr>
        <w:t>H</w:t>
      </w:r>
      <w:r w:rsidR="006A3099" w:rsidRPr="00350398">
        <w:rPr>
          <w:color w:val="000000"/>
          <w:sz w:val="24"/>
          <w:szCs w:val="24"/>
        </w:rPr>
        <w:t xml:space="preserve">epatic </w:t>
      </w:r>
      <w:r w:rsidRPr="00350398">
        <w:rPr>
          <w:color w:val="000000"/>
          <w:sz w:val="24"/>
          <w:szCs w:val="24"/>
        </w:rPr>
        <w:t>S</w:t>
      </w:r>
      <w:r w:rsidR="006A3099" w:rsidRPr="00350398">
        <w:rPr>
          <w:color w:val="000000"/>
          <w:sz w:val="24"/>
          <w:szCs w:val="24"/>
        </w:rPr>
        <w:t xml:space="preserve">tellate </w:t>
      </w:r>
      <w:r w:rsidRPr="00350398">
        <w:rPr>
          <w:color w:val="000000"/>
          <w:sz w:val="24"/>
          <w:szCs w:val="24"/>
        </w:rPr>
        <w:t>C</w:t>
      </w:r>
      <w:r w:rsidR="006A3099" w:rsidRPr="00350398">
        <w:rPr>
          <w:color w:val="000000"/>
          <w:sz w:val="24"/>
          <w:szCs w:val="24"/>
        </w:rPr>
        <w:t>ell</w:t>
      </w:r>
      <w:r w:rsidRPr="00350398">
        <w:rPr>
          <w:color w:val="000000"/>
          <w:sz w:val="24"/>
          <w:szCs w:val="24"/>
        </w:rPr>
        <w:t xml:space="preserve">s </w:t>
      </w:r>
      <w:r>
        <w:rPr>
          <w:color w:val="000000"/>
          <w:sz w:val="24"/>
          <w:szCs w:val="24"/>
        </w:rPr>
        <w:t xml:space="preserve">play both direct and indirect roles in HCC development. Besides being </w:t>
      </w:r>
      <w:r w:rsidR="00A06319">
        <w:rPr>
          <w:color w:val="000000"/>
          <w:sz w:val="24"/>
          <w:szCs w:val="24"/>
        </w:rPr>
        <w:t>an essential</w:t>
      </w:r>
      <w:r>
        <w:rPr>
          <w:color w:val="000000"/>
          <w:sz w:val="24"/>
          <w:szCs w:val="24"/>
        </w:rPr>
        <w:t xml:space="preserve"> cell type responsible for fibrosis development, activated HSCs can indirectly support hepatic tumorigenesis by secreting angiogenic factors such as VEGF and </w:t>
      </w:r>
      <w:r w:rsidR="00FF5A9B">
        <w:rPr>
          <w:color w:val="000000"/>
          <w:sz w:val="24"/>
          <w:szCs w:val="24"/>
        </w:rPr>
        <w:t>angiopoietin 1</w:t>
      </w:r>
      <w:r>
        <w:rPr>
          <w:color w:val="000000"/>
          <w:sz w:val="24"/>
          <w:szCs w:val="24"/>
        </w:rPr>
        <w:t>, and CXC chemokines that can influence tumor vascularization</w:t>
      </w:r>
      <w:r>
        <w:rPr>
          <w:color w:val="212121"/>
          <w:sz w:val="24"/>
          <w:szCs w:val="24"/>
          <w:highlight w:val="white"/>
        </w:rPr>
        <w:t xml:space="preserve"> </w:t>
      </w:r>
      <w:r>
        <w:rPr>
          <w:b/>
          <w:color w:val="212121"/>
          <w:sz w:val="24"/>
          <w:szCs w:val="24"/>
          <w:highlight w:val="white"/>
        </w:rPr>
        <w:t>(</w:t>
      </w:r>
      <w:r w:rsidR="00541FB3">
        <w:rPr>
          <w:b/>
          <w:color w:val="212121"/>
          <w:sz w:val="24"/>
          <w:szCs w:val="24"/>
          <w:highlight w:val="white"/>
        </w:rPr>
        <w:t>29</w:t>
      </w:r>
      <w:r>
        <w:rPr>
          <w:b/>
          <w:color w:val="212121"/>
          <w:sz w:val="24"/>
          <w:szCs w:val="24"/>
          <w:highlight w:val="white"/>
        </w:rPr>
        <w:t>) (3</w:t>
      </w:r>
      <w:r w:rsidR="00541FB3">
        <w:rPr>
          <w:b/>
          <w:color w:val="212121"/>
          <w:sz w:val="24"/>
          <w:szCs w:val="24"/>
          <w:highlight w:val="white"/>
        </w:rPr>
        <w:t>0</w:t>
      </w:r>
      <w:r>
        <w:rPr>
          <w:b/>
          <w:color w:val="212121"/>
          <w:sz w:val="24"/>
          <w:szCs w:val="24"/>
          <w:highlight w:val="white"/>
        </w:rPr>
        <w:t>).</w:t>
      </w:r>
      <w:r>
        <w:rPr>
          <w:color w:val="212121"/>
          <w:sz w:val="24"/>
          <w:szCs w:val="24"/>
          <w:highlight w:val="white"/>
        </w:rPr>
        <w:t xml:space="preserve"> </w:t>
      </w:r>
    </w:p>
    <w:p w14:paraId="0E0FB326" w14:textId="0FFD9431" w:rsidR="006B4636" w:rsidRDefault="00000000">
      <w:pPr>
        <w:spacing w:line="480" w:lineRule="auto"/>
        <w:jc w:val="both"/>
        <w:rPr>
          <w:color w:val="212121"/>
          <w:sz w:val="24"/>
          <w:szCs w:val="24"/>
          <w:highlight w:val="white"/>
        </w:rPr>
      </w:pPr>
      <w:r>
        <w:rPr>
          <w:color w:val="000000"/>
          <w:sz w:val="24"/>
          <w:szCs w:val="24"/>
        </w:rPr>
        <w:t xml:space="preserve">However, different </w:t>
      </w:r>
      <w:r w:rsidR="00A06319">
        <w:rPr>
          <w:color w:val="000000"/>
          <w:sz w:val="24"/>
          <w:szCs w:val="24"/>
        </w:rPr>
        <w:t>cut-offs</w:t>
      </w:r>
      <w:r>
        <w:rPr>
          <w:color w:val="000000"/>
          <w:sz w:val="24"/>
          <w:szCs w:val="24"/>
        </w:rPr>
        <w:t xml:space="preserve"> were proposed as predictors for HCC development. For example, a study done in 2015 suggested a </w:t>
      </w:r>
      <w:r w:rsidR="00A06319">
        <w:rPr>
          <w:color w:val="000000"/>
          <w:sz w:val="24"/>
          <w:szCs w:val="24"/>
        </w:rPr>
        <w:t>cut-off of more than 8.5 kPa in patients with chronic hepatitis B and a cut-off</w:t>
      </w:r>
      <w:r>
        <w:rPr>
          <w:color w:val="000000"/>
          <w:sz w:val="24"/>
          <w:szCs w:val="24"/>
        </w:rPr>
        <w:t xml:space="preserve"> of 12 kPa in those with hepatitis C and other etiologies of liver cirrhosis</w:t>
      </w:r>
      <w:r>
        <w:rPr>
          <w:color w:val="212121"/>
          <w:sz w:val="24"/>
          <w:szCs w:val="24"/>
          <w:highlight w:val="white"/>
        </w:rPr>
        <w:t xml:space="preserve"> </w:t>
      </w:r>
      <w:r>
        <w:rPr>
          <w:b/>
          <w:color w:val="212121"/>
          <w:sz w:val="24"/>
          <w:szCs w:val="24"/>
          <w:highlight w:val="white"/>
        </w:rPr>
        <w:t>(3</w:t>
      </w:r>
      <w:r w:rsidR="00541FB3">
        <w:rPr>
          <w:b/>
          <w:color w:val="212121"/>
          <w:sz w:val="24"/>
          <w:szCs w:val="24"/>
          <w:highlight w:val="white"/>
        </w:rPr>
        <w:t>1</w:t>
      </w:r>
      <w:r>
        <w:rPr>
          <w:b/>
          <w:color w:val="212121"/>
          <w:sz w:val="24"/>
          <w:szCs w:val="24"/>
          <w:highlight w:val="white"/>
        </w:rPr>
        <w:t>).</w:t>
      </w:r>
      <w:r>
        <w:rPr>
          <w:color w:val="212121"/>
          <w:sz w:val="24"/>
          <w:szCs w:val="24"/>
          <w:highlight w:val="white"/>
        </w:rPr>
        <w:t xml:space="preserve"> </w:t>
      </w:r>
      <w:r w:rsidR="00A06319">
        <w:rPr>
          <w:color w:val="000000"/>
          <w:sz w:val="24"/>
          <w:szCs w:val="24"/>
        </w:rPr>
        <w:t>A</w:t>
      </w:r>
      <w:r>
        <w:rPr>
          <w:color w:val="000000"/>
          <w:sz w:val="24"/>
          <w:szCs w:val="24"/>
        </w:rPr>
        <w:t xml:space="preserve"> higher cutoff value of 24 kPa was shown in another study for diagnostic prediction of HCC with a sensitivity of 100%, specificity of 83.3%, PPV </w:t>
      </w:r>
      <w:r w:rsidR="00A06319">
        <w:rPr>
          <w:color w:val="000000"/>
          <w:sz w:val="24"/>
          <w:szCs w:val="24"/>
        </w:rPr>
        <w:t xml:space="preserve">of </w:t>
      </w:r>
      <w:r>
        <w:rPr>
          <w:color w:val="000000"/>
          <w:sz w:val="24"/>
          <w:szCs w:val="24"/>
        </w:rPr>
        <w:t xml:space="preserve">94.5%, NPV </w:t>
      </w:r>
      <w:r w:rsidR="00A06319">
        <w:rPr>
          <w:color w:val="000000"/>
          <w:sz w:val="24"/>
          <w:szCs w:val="24"/>
        </w:rPr>
        <w:t xml:space="preserve">of </w:t>
      </w:r>
      <w:r>
        <w:rPr>
          <w:color w:val="000000"/>
          <w:sz w:val="24"/>
          <w:szCs w:val="24"/>
        </w:rPr>
        <w:t xml:space="preserve">77.3%, and AUC </w:t>
      </w:r>
      <w:r w:rsidR="00A06319">
        <w:rPr>
          <w:color w:val="000000"/>
          <w:sz w:val="24"/>
          <w:szCs w:val="24"/>
        </w:rPr>
        <w:t xml:space="preserve">of </w:t>
      </w:r>
      <w:r>
        <w:rPr>
          <w:color w:val="000000"/>
          <w:sz w:val="24"/>
          <w:szCs w:val="24"/>
        </w:rPr>
        <w:t>89%</w:t>
      </w:r>
      <w:r>
        <w:rPr>
          <w:color w:val="212121"/>
          <w:sz w:val="24"/>
          <w:szCs w:val="24"/>
          <w:highlight w:val="white"/>
        </w:rPr>
        <w:t xml:space="preserve"> </w:t>
      </w:r>
      <w:r>
        <w:rPr>
          <w:b/>
          <w:color w:val="212121"/>
          <w:sz w:val="24"/>
          <w:szCs w:val="24"/>
          <w:highlight w:val="white"/>
        </w:rPr>
        <w:t>(3</w:t>
      </w:r>
      <w:r w:rsidR="00541FB3">
        <w:rPr>
          <w:b/>
          <w:color w:val="212121"/>
          <w:sz w:val="24"/>
          <w:szCs w:val="24"/>
          <w:highlight w:val="white"/>
        </w:rPr>
        <w:t>2</w:t>
      </w:r>
      <w:r>
        <w:rPr>
          <w:b/>
          <w:color w:val="212121"/>
          <w:sz w:val="24"/>
          <w:szCs w:val="24"/>
          <w:highlight w:val="white"/>
        </w:rPr>
        <w:t>).</w:t>
      </w:r>
    </w:p>
    <w:p w14:paraId="0B5881DD" w14:textId="50975F7E" w:rsidR="006B4636" w:rsidRDefault="00000000">
      <w:pPr>
        <w:spacing w:after="0" w:line="480" w:lineRule="auto"/>
        <w:ind w:firstLine="851"/>
        <w:jc w:val="both"/>
        <w:rPr>
          <w:color w:val="000000"/>
          <w:sz w:val="24"/>
          <w:szCs w:val="24"/>
        </w:rPr>
      </w:pPr>
      <w:r>
        <w:rPr>
          <w:color w:val="000000"/>
          <w:sz w:val="24"/>
          <w:szCs w:val="24"/>
        </w:rPr>
        <w:t xml:space="preserve">In the current study, the overall survival for patients with HCC was measured from the day of the first visit to our multidisciplinary clinic till the death of the patient or till the end of the study. The mean overall survival was 29.81 months. By using univariate analysis, smoking was </w:t>
      </w:r>
      <w:r w:rsidR="00A06319">
        <w:rPr>
          <w:color w:val="000000"/>
          <w:sz w:val="24"/>
          <w:szCs w:val="24"/>
        </w:rPr>
        <w:t>a significant predictor for mortality of HCC patients</w:t>
      </w:r>
      <w:r w:rsidR="00FF5A9B">
        <w:rPr>
          <w:color w:val="000000"/>
          <w:sz w:val="24"/>
          <w:szCs w:val="24"/>
        </w:rPr>
        <w:t>. In contrast,</w:t>
      </w:r>
      <w:r w:rsidR="00A06319">
        <w:rPr>
          <w:color w:val="000000"/>
          <w:sz w:val="24"/>
          <w:szCs w:val="24"/>
        </w:rPr>
        <w:t xml:space="preserve"> the multivariate analysis showed that gender was an </w:t>
      </w:r>
      <w:r>
        <w:rPr>
          <w:color w:val="000000"/>
          <w:sz w:val="24"/>
          <w:szCs w:val="24"/>
        </w:rPr>
        <w:t xml:space="preserve">independent predictor for mortality in patients with HCC. </w:t>
      </w:r>
    </w:p>
    <w:p w14:paraId="387FF20D" w14:textId="61F2C39A" w:rsidR="0042433A" w:rsidRDefault="0042433A" w:rsidP="0042433A">
      <w:pPr>
        <w:spacing w:after="0" w:line="480" w:lineRule="auto"/>
        <w:jc w:val="both"/>
        <w:rPr>
          <w:color w:val="000000"/>
          <w:sz w:val="24"/>
          <w:szCs w:val="24"/>
        </w:rPr>
      </w:pPr>
      <w:r>
        <w:rPr>
          <w:color w:val="000000"/>
          <w:sz w:val="24"/>
          <w:szCs w:val="24"/>
        </w:rPr>
        <w:t xml:space="preserve">Liver stiffness measurement by transient elastography failed to </w:t>
      </w:r>
      <w:r w:rsidR="00A06319">
        <w:rPr>
          <w:color w:val="000000"/>
          <w:sz w:val="24"/>
          <w:szCs w:val="24"/>
        </w:rPr>
        <w:t>be</w:t>
      </w:r>
      <w:r>
        <w:rPr>
          <w:color w:val="000000"/>
          <w:sz w:val="24"/>
          <w:szCs w:val="24"/>
        </w:rPr>
        <w:t xml:space="preserve"> a good predictor for mortality in our study. This </w:t>
      </w:r>
      <w:r w:rsidR="00FF5A9B">
        <w:rPr>
          <w:color w:val="000000"/>
          <w:sz w:val="24"/>
          <w:szCs w:val="24"/>
        </w:rPr>
        <w:t>contradicted</w:t>
      </w:r>
      <w:r>
        <w:rPr>
          <w:color w:val="000000"/>
          <w:sz w:val="24"/>
          <w:szCs w:val="24"/>
        </w:rPr>
        <w:t xml:space="preserve"> other studies</w:t>
      </w:r>
      <w:r w:rsidR="00A06319">
        <w:rPr>
          <w:color w:val="000000"/>
          <w:sz w:val="24"/>
          <w:szCs w:val="24"/>
        </w:rPr>
        <w:t>, which showed that higher LSM can be associated with poor overall survival in patients with HCC with different cut-off</w:t>
      </w:r>
      <w:r>
        <w:rPr>
          <w:color w:val="000000"/>
          <w:sz w:val="24"/>
          <w:szCs w:val="24"/>
        </w:rPr>
        <w:t xml:space="preserve"> values. </w:t>
      </w:r>
      <w:r w:rsidR="001E171B">
        <w:rPr>
          <w:color w:val="000000"/>
          <w:sz w:val="24"/>
          <w:szCs w:val="24"/>
        </w:rPr>
        <w:t xml:space="preserve">For example, Rekik and his colleagues showed that a </w:t>
      </w:r>
      <w:r w:rsidR="001E171B">
        <w:rPr>
          <w:rFonts w:ascii="Open Sans" w:hAnsi="Open Sans" w:cs="Open Sans"/>
          <w:color w:val="1C1D1E"/>
          <w:shd w:val="clear" w:color="auto" w:fill="FFFFFF"/>
        </w:rPr>
        <w:t>TE value ≥ 40 kPa was associated with shorter median overall survival (34 months) compared to a TE value &lt; 40 kPa (59 months, </w:t>
      </w:r>
      <w:r w:rsidR="001E171B">
        <w:rPr>
          <w:rFonts w:ascii="Open Sans" w:hAnsi="Open Sans" w:cs="Open Sans"/>
          <w:i/>
          <w:iCs/>
          <w:color w:val="1C1D1E"/>
          <w:shd w:val="clear" w:color="auto" w:fill="FFFFFF"/>
        </w:rPr>
        <w:t>P</w:t>
      </w:r>
      <w:r w:rsidR="001E171B">
        <w:rPr>
          <w:rFonts w:ascii="Open Sans" w:hAnsi="Open Sans" w:cs="Open Sans"/>
          <w:color w:val="1C1D1E"/>
          <w:shd w:val="clear" w:color="auto" w:fill="FFFFFF"/>
        </w:rPr>
        <w:t xml:space="preserve"> = 0.0008 for the </w:t>
      </w:r>
      <w:r w:rsidR="00543354">
        <w:rPr>
          <w:rFonts w:ascii="Open Sans" w:hAnsi="Open Sans" w:cs="Open Sans"/>
          <w:color w:val="1C1D1E"/>
          <w:shd w:val="clear" w:color="auto" w:fill="FFFFFF"/>
        </w:rPr>
        <w:t>log–rank</w:t>
      </w:r>
      <w:r w:rsidR="001E171B">
        <w:rPr>
          <w:rFonts w:ascii="Open Sans" w:hAnsi="Open Sans" w:cs="Open Sans"/>
          <w:color w:val="1C1D1E"/>
          <w:shd w:val="clear" w:color="auto" w:fill="FFFFFF"/>
        </w:rPr>
        <w:t xml:space="preserve"> test)</w:t>
      </w:r>
      <w:r w:rsidR="00C242BF">
        <w:rPr>
          <w:rFonts w:ascii="Open Sans" w:hAnsi="Open Sans" w:cs="Open Sans"/>
          <w:color w:val="1C1D1E"/>
          <w:shd w:val="clear" w:color="auto" w:fill="FFFFFF"/>
        </w:rPr>
        <w:t xml:space="preserve"> </w:t>
      </w:r>
      <w:r w:rsidR="001E171B" w:rsidRPr="001E171B">
        <w:rPr>
          <w:b/>
          <w:color w:val="212121"/>
          <w:sz w:val="24"/>
          <w:szCs w:val="24"/>
          <w:highlight w:val="white"/>
        </w:rPr>
        <w:t>(3</w:t>
      </w:r>
      <w:r w:rsidR="00541FB3">
        <w:rPr>
          <w:b/>
          <w:color w:val="212121"/>
          <w:sz w:val="24"/>
          <w:szCs w:val="24"/>
          <w:highlight w:val="white"/>
        </w:rPr>
        <w:t>3</w:t>
      </w:r>
      <w:r w:rsidR="001E171B" w:rsidRPr="001E171B">
        <w:rPr>
          <w:b/>
          <w:color w:val="212121"/>
          <w:sz w:val="24"/>
          <w:szCs w:val="24"/>
          <w:highlight w:val="white"/>
        </w:rPr>
        <w:t>)</w:t>
      </w:r>
      <w:r w:rsidR="001E171B">
        <w:rPr>
          <w:rFonts w:ascii="Open Sans" w:hAnsi="Open Sans" w:cs="Open Sans"/>
          <w:color w:val="1C1D1E"/>
          <w:shd w:val="clear" w:color="auto" w:fill="FFFFFF"/>
        </w:rPr>
        <w:t>.</w:t>
      </w:r>
    </w:p>
    <w:p w14:paraId="5D7AB295" w14:textId="00C099DD" w:rsidR="006B4636" w:rsidRDefault="00000000">
      <w:pPr>
        <w:spacing w:line="480" w:lineRule="auto"/>
        <w:ind w:firstLine="720"/>
        <w:jc w:val="both"/>
        <w:rPr>
          <w:sz w:val="24"/>
          <w:szCs w:val="24"/>
        </w:rPr>
      </w:pPr>
      <w:r>
        <w:rPr>
          <w:color w:val="000000"/>
          <w:sz w:val="24"/>
          <w:szCs w:val="24"/>
        </w:rPr>
        <w:t xml:space="preserve">In conclusion, </w:t>
      </w:r>
      <w:r w:rsidR="00A06319">
        <w:rPr>
          <w:color w:val="000000"/>
          <w:sz w:val="24"/>
          <w:szCs w:val="24"/>
        </w:rPr>
        <w:t xml:space="preserve">detecting early HCC is essential to </w:t>
      </w:r>
      <w:r>
        <w:rPr>
          <w:color w:val="000000"/>
          <w:sz w:val="24"/>
          <w:szCs w:val="24"/>
        </w:rPr>
        <w:t>benefit from the available therapeutic options. Liver fibrosis estimation through transient</w:t>
      </w:r>
      <w:r>
        <w:rPr>
          <w:rFonts w:ascii="Times New Roman" w:eastAsia="Times New Roman" w:hAnsi="Times New Roman" w:cs="Times New Roman"/>
          <w:color w:val="000000"/>
          <w:sz w:val="28"/>
          <w:szCs w:val="28"/>
        </w:rPr>
        <w:t xml:space="preserve"> </w:t>
      </w:r>
      <w:r>
        <w:rPr>
          <w:sz w:val="24"/>
          <w:szCs w:val="24"/>
        </w:rPr>
        <w:t xml:space="preserve">elastography may provide an adequate tool for diagnosing patients in the early stages of the tumor. This might be reflected significantly </w:t>
      </w:r>
      <w:r w:rsidR="00A06319">
        <w:rPr>
          <w:sz w:val="24"/>
          <w:szCs w:val="24"/>
        </w:rPr>
        <w:t>in</w:t>
      </w:r>
      <w:r>
        <w:rPr>
          <w:sz w:val="24"/>
          <w:szCs w:val="24"/>
        </w:rPr>
        <w:t xml:space="preserve"> the survival and treatment response rates in patients with HCC. </w:t>
      </w:r>
      <w:r w:rsidR="00D0102D">
        <w:rPr>
          <w:sz w:val="24"/>
          <w:szCs w:val="24"/>
        </w:rPr>
        <w:t xml:space="preserve">Patients with higher LSM are not at an increased risk for </w:t>
      </w:r>
      <w:r w:rsidR="00A06319">
        <w:rPr>
          <w:sz w:val="24"/>
          <w:szCs w:val="24"/>
        </w:rPr>
        <w:t>HCC-related</w:t>
      </w:r>
      <w:r w:rsidR="00D0102D">
        <w:rPr>
          <w:sz w:val="24"/>
          <w:szCs w:val="24"/>
        </w:rPr>
        <w:t xml:space="preserve"> deaths.</w:t>
      </w:r>
    </w:p>
    <w:p w14:paraId="45C1ED3E" w14:textId="3FC4AC24" w:rsidR="00CC0313" w:rsidRPr="00FF4AF7" w:rsidRDefault="00CC0313" w:rsidP="00A06319">
      <w:pPr>
        <w:spacing w:line="480" w:lineRule="auto"/>
        <w:jc w:val="both"/>
        <w:rPr>
          <w:b/>
          <w:bCs/>
          <w:sz w:val="28"/>
          <w:szCs w:val="28"/>
        </w:rPr>
      </w:pPr>
      <w:r w:rsidRPr="00FF4AF7">
        <w:rPr>
          <w:b/>
          <w:bCs/>
          <w:sz w:val="28"/>
          <w:szCs w:val="28"/>
        </w:rPr>
        <w:t>Footnotes.</w:t>
      </w:r>
    </w:p>
    <w:p w14:paraId="6812AE61" w14:textId="1304AC8C" w:rsidR="008D183C" w:rsidRPr="008D183C" w:rsidRDefault="008D183C" w:rsidP="00CC156B">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Peer-Reviewers:</w:t>
      </w:r>
      <w:r w:rsidRPr="008D183C">
        <w:rPr>
          <w:rFonts w:ascii="Times New Roman" w:eastAsia="Times New Roman" w:hAnsi="Times New Roman" w:cs="Times New Roman"/>
          <w:sz w:val="24"/>
          <w:szCs w:val="24"/>
        </w:rPr>
        <w:t xml:space="preserve"> Amr Shaaban Hanafy (</w:t>
      </w:r>
      <w:bookmarkStart w:id="1" w:name="_Hlk151926632"/>
      <w:r w:rsidRPr="008D183C">
        <w:rPr>
          <w:rFonts w:ascii="Times New Roman" w:eastAsia="Times New Roman" w:hAnsi="Times New Roman" w:cs="Times New Roman"/>
          <w:sz w:val="24"/>
          <w:szCs w:val="24"/>
        </w:rPr>
        <w:t>professor of internal medicine</w:t>
      </w:r>
      <w:bookmarkEnd w:id="1"/>
      <w:r w:rsidRPr="008D183C">
        <w:rPr>
          <w:rFonts w:ascii="Times New Roman" w:eastAsia="Times New Roman" w:hAnsi="Times New Roman" w:cs="Times New Roman"/>
          <w:sz w:val="24"/>
          <w:szCs w:val="24"/>
        </w:rPr>
        <w:t xml:space="preserve">), Nabila Hassan (professor of </w:t>
      </w:r>
      <w:r w:rsidR="00CC156B">
        <w:rPr>
          <w:rFonts w:ascii="Times New Roman" w:eastAsia="Times New Roman" w:hAnsi="Times New Roman" w:cs="Times New Roman"/>
          <w:sz w:val="24"/>
          <w:szCs w:val="24"/>
        </w:rPr>
        <w:t>T</w:t>
      </w:r>
      <w:r w:rsidRPr="008D183C">
        <w:rPr>
          <w:rFonts w:ascii="Times New Roman" w:eastAsia="Times New Roman" w:hAnsi="Times New Roman" w:cs="Times New Roman"/>
          <w:sz w:val="24"/>
          <w:szCs w:val="24"/>
        </w:rPr>
        <w:t xml:space="preserve">ropical </w:t>
      </w:r>
      <w:r w:rsidR="00CC156B">
        <w:rPr>
          <w:rFonts w:ascii="Times New Roman" w:eastAsia="Times New Roman" w:hAnsi="Times New Roman" w:cs="Times New Roman"/>
          <w:sz w:val="24"/>
          <w:szCs w:val="24"/>
        </w:rPr>
        <w:t>M</w:t>
      </w:r>
      <w:r w:rsidRPr="008D183C">
        <w:rPr>
          <w:rFonts w:ascii="Times New Roman" w:eastAsia="Times New Roman" w:hAnsi="Times New Roman" w:cs="Times New Roman"/>
          <w:sz w:val="24"/>
          <w:szCs w:val="24"/>
        </w:rPr>
        <w:t xml:space="preserve">edicine), </w:t>
      </w:r>
      <w:r w:rsidR="00CC156B">
        <w:rPr>
          <w:rFonts w:ascii="Times New Roman" w:eastAsia="Times New Roman" w:hAnsi="Times New Roman" w:cs="Times New Roman"/>
          <w:sz w:val="24"/>
          <w:szCs w:val="24"/>
        </w:rPr>
        <w:t>Ahmed Fathy</w:t>
      </w:r>
      <w:r w:rsidRPr="008D183C">
        <w:rPr>
          <w:rFonts w:ascii="Times New Roman" w:eastAsia="Times New Roman" w:hAnsi="Times New Roman" w:cs="Times New Roman"/>
          <w:sz w:val="24"/>
          <w:szCs w:val="24"/>
        </w:rPr>
        <w:t xml:space="preserve"> (</w:t>
      </w:r>
      <w:r w:rsidR="00CC156B" w:rsidRPr="008D183C">
        <w:rPr>
          <w:rFonts w:ascii="Times New Roman" w:eastAsia="Times New Roman" w:hAnsi="Times New Roman" w:cs="Times New Roman"/>
          <w:sz w:val="24"/>
          <w:szCs w:val="24"/>
        </w:rPr>
        <w:t>professor of internal medicine</w:t>
      </w:r>
      <w:r w:rsidRPr="008D183C">
        <w:rPr>
          <w:rFonts w:ascii="Times New Roman" w:eastAsia="Times New Roman" w:hAnsi="Times New Roman" w:cs="Times New Roman"/>
          <w:sz w:val="24"/>
          <w:szCs w:val="24"/>
        </w:rPr>
        <w:t>).</w:t>
      </w:r>
    </w:p>
    <w:p w14:paraId="2FB8ACB6"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E- Editor:</w:t>
      </w:r>
      <w:r w:rsidRPr="008D183C">
        <w:rPr>
          <w:rFonts w:ascii="Times New Roman" w:eastAsia="Times New Roman" w:hAnsi="Times New Roman" w:cs="Times New Roman"/>
          <w:sz w:val="24"/>
          <w:szCs w:val="24"/>
        </w:rPr>
        <w:t xml:space="preserve"> Salem Youssef Mohamed, Osama Ahmed Khalil.</w:t>
      </w:r>
    </w:p>
    <w:p w14:paraId="5AC6840E"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Copyright ©.</w:t>
      </w:r>
      <w:r w:rsidRPr="008D183C">
        <w:rPr>
          <w:rFonts w:ascii="Times New Roman" w:eastAsia="Times New Roman" w:hAnsi="Times New Roman" w:cs="Times New Roman"/>
          <w:sz w:val="24"/>
          <w:szCs w:val="24"/>
        </w:rPr>
        <w:t xml:space="preserve"> This open-access article is distributed under the Creative Commons Attribution License (CC BY). The use, distribution, or reproduction in other forums is permitted, provided the original author(s) and the copyright owner(s) are credited. The original publication in this journal is cited by accepted academic practice. No use, distribution, or reproduction is permitted, complying with these terms.</w:t>
      </w:r>
    </w:p>
    <w:p w14:paraId="0CC4E0EF" w14:textId="77777777" w:rsid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Disclaimer:</w:t>
      </w:r>
      <w:r w:rsidRPr="008D183C">
        <w:rPr>
          <w:rFonts w:ascii="Times New Roman" w:eastAsia="Times New Roman" w:hAnsi="Times New Roman" w:cs="Times New Roman"/>
          <w:sz w:val="24"/>
          <w:szCs w:val="24"/>
        </w:rPr>
        <w:t xml:space="preserve"> All claims expressed in this article are solely those of the authors and do not necessarily represent their affiliated organizations or those of the publisher, the editors, and the reviewers. Any product evaluated in this article or its manufacturer's claim is not guaranteed or endorsed by the publisher.</w:t>
      </w:r>
    </w:p>
    <w:p w14:paraId="45AACB20" w14:textId="77777777" w:rsidR="00FF4AF7" w:rsidRPr="00FF4AF7" w:rsidRDefault="00FF4AF7" w:rsidP="00FF4AF7">
      <w:pPr>
        <w:autoSpaceDE w:val="0"/>
        <w:autoSpaceDN w:val="0"/>
        <w:adjustRightInd w:val="0"/>
        <w:spacing w:after="200" w:line="240" w:lineRule="auto"/>
        <w:jc w:val="both"/>
        <w:rPr>
          <w:rFonts w:ascii="Times New Roman" w:eastAsia="Times New Roman" w:hAnsi="Times New Roman" w:cs="Times New Roman"/>
          <w:b/>
          <w:sz w:val="24"/>
          <w:szCs w:val="24"/>
        </w:rPr>
      </w:pPr>
      <w:r w:rsidRPr="00FF4AF7">
        <w:rPr>
          <w:rFonts w:ascii="Times New Roman" w:eastAsia="Times New Roman" w:hAnsi="Times New Roman" w:cs="Times New Roman"/>
          <w:b/>
          <w:sz w:val="24"/>
          <w:szCs w:val="24"/>
        </w:rPr>
        <w:t>Submission declaration:</w:t>
      </w:r>
    </w:p>
    <w:p w14:paraId="443F64EA" w14:textId="4F41FA0C" w:rsidR="00FF4AF7" w:rsidRPr="00FF4AF7" w:rsidRDefault="00FF4AF7" w:rsidP="00FF4AF7">
      <w:pPr>
        <w:autoSpaceDE w:val="0"/>
        <w:autoSpaceDN w:val="0"/>
        <w:adjustRightInd w:val="0"/>
        <w:spacing w:after="200" w:line="240" w:lineRule="auto"/>
        <w:jc w:val="both"/>
        <w:rPr>
          <w:rFonts w:ascii="Times New Roman" w:eastAsia="Times New Roman" w:hAnsi="Times New Roman" w:cs="Times New Roman"/>
          <w:sz w:val="24"/>
          <w:szCs w:val="24"/>
        </w:rPr>
      </w:pPr>
      <w:r w:rsidRPr="00FF4AF7">
        <w:rPr>
          <w:rFonts w:ascii="Times New Roman" w:eastAsia="Times New Roman" w:hAnsi="Times New Roman" w:cs="Times New Roman"/>
          <w:sz w:val="24"/>
          <w:szCs w:val="24"/>
        </w:rPr>
        <w:t>This work has yet to be published previously and is not under consideration for publication elsewhere. Its publication is approved by all authors and tacitly or explicitly by the responsible authorities where the work was carried out and, if accepted, will not be published elsewhere, including electronically in the same form, in English or any other language, without the written consent of the copyright holder.</w:t>
      </w:r>
    </w:p>
    <w:p w14:paraId="77F5EE1D" w14:textId="673CF30C" w:rsidR="008D183C" w:rsidRPr="008D183C" w:rsidRDefault="008D183C" w:rsidP="00FF4AF7">
      <w:pPr>
        <w:autoSpaceDE w:val="0"/>
        <w:autoSpaceDN w:val="0"/>
        <w:adjustRightInd w:val="0"/>
        <w:spacing w:after="200" w:line="240" w:lineRule="auto"/>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Ethics Approval and Consent to Participate</w:t>
      </w:r>
      <w:r w:rsidRPr="008D183C">
        <w:rPr>
          <w:rFonts w:ascii="Times New Roman" w:eastAsia="Times New Roman" w:hAnsi="Times New Roman" w:cs="Times New Roman"/>
          <w:sz w:val="24"/>
          <w:szCs w:val="24"/>
        </w:rPr>
        <w:t>: All procedures followed were by the ethical standards of the responsible committee on human experimentation (Institutional Review Board (IRB)” (</w:t>
      </w:r>
      <w:r w:rsidR="00FF4AF7" w:rsidRPr="00FF4AF7">
        <w:rPr>
          <w:rFonts w:ascii="Times New Roman" w:eastAsia="Times New Roman" w:hAnsi="Times New Roman" w:cs="Times New Roman"/>
          <w:sz w:val="24"/>
          <w:szCs w:val="24"/>
        </w:rPr>
        <w:t>N-89-2023</w:t>
      </w:r>
      <w:r w:rsidRPr="008D183C">
        <w:rPr>
          <w:rFonts w:ascii="Times New Roman" w:eastAsia="Times New Roman" w:hAnsi="Times New Roman" w:cs="Times New Roman"/>
          <w:sz w:val="24"/>
          <w:szCs w:val="24"/>
        </w:rPr>
        <w:t xml:space="preserve">) of </w:t>
      </w:r>
      <w:r w:rsidR="00FF4AF7">
        <w:rPr>
          <w:rFonts w:ascii="Times New Roman" w:eastAsia="Times New Roman" w:hAnsi="Times New Roman" w:cs="Times New Roman"/>
          <w:sz w:val="24"/>
          <w:szCs w:val="24"/>
        </w:rPr>
        <w:t>Cairo</w:t>
      </w:r>
      <w:r w:rsidRPr="008D183C">
        <w:rPr>
          <w:rFonts w:ascii="Times New Roman" w:eastAsia="Times New Roman" w:hAnsi="Times New Roman" w:cs="Times New Roman"/>
          <w:sz w:val="24"/>
          <w:szCs w:val="24"/>
        </w:rPr>
        <w:t xml:space="preserve"> University and with the Helsinki Declaration of 1964 and later versions. </w:t>
      </w:r>
    </w:p>
    <w:p w14:paraId="30BCBEB4"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Consent for publication</w:t>
      </w:r>
      <w:r w:rsidRPr="008D183C">
        <w:rPr>
          <w:rFonts w:ascii="Times New Roman" w:eastAsia="Times New Roman" w:hAnsi="Times New Roman" w:cs="Times New Roman"/>
          <w:sz w:val="24"/>
          <w:szCs w:val="24"/>
        </w:rPr>
        <w:t>: All patients included in this research gave written informed permission to publish the data contained within this study.</w:t>
      </w:r>
    </w:p>
    <w:p w14:paraId="53ECD615"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Availability of data and materials:</w:t>
      </w:r>
      <w:r w:rsidRPr="008D183C">
        <w:rPr>
          <w:rFonts w:ascii="Times New Roman" w:eastAsia="Times New Roman" w:hAnsi="Times New Roman" w:cs="Times New Roman"/>
          <w:sz w:val="24"/>
          <w:szCs w:val="24"/>
        </w:rPr>
        <w:t xml:space="preserve"> The datasets used or analyzed during the current study are available from the corresponding author upon reasonable request.</w:t>
      </w:r>
    </w:p>
    <w:p w14:paraId="3FDDC38A"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Competing interests</w:t>
      </w:r>
      <w:r w:rsidRPr="008D183C">
        <w:rPr>
          <w:rFonts w:ascii="Times New Roman" w:eastAsia="Times New Roman" w:hAnsi="Times New Roman" w:cs="Times New Roman"/>
          <w:sz w:val="24"/>
          <w:szCs w:val="24"/>
        </w:rPr>
        <w:t>: The authors declare that they have no competing interests.</w:t>
      </w:r>
    </w:p>
    <w:p w14:paraId="39A34BCA" w14:textId="77777777" w:rsidR="008D183C" w:rsidRPr="008D183C" w:rsidRDefault="008D183C" w:rsidP="008D183C">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Funding</w:t>
      </w:r>
      <w:r w:rsidRPr="008D183C">
        <w:rPr>
          <w:rFonts w:ascii="Times New Roman" w:eastAsia="Times New Roman" w:hAnsi="Times New Roman" w:cs="Times New Roman"/>
          <w:sz w:val="24"/>
          <w:szCs w:val="24"/>
        </w:rPr>
        <w:t>: This study had no funding from any resource.</w:t>
      </w:r>
    </w:p>
    <w:p w14:paraId="3D09D333" w14:textId="77777777" w:rsidR="008558DE" w:rsidRDefault="008D183C" w:rsidP="008558DE">
      <w:pPr>
        <w:autoSpaceDE w:val="0"/>
        <w:autoSpaceDN w:val="0"/>
        <w:adjustRightInd w:val="0"/>
        <w:spacing w:after="200" w:line="240" w:lineRule="auto"/>
        <w:jc w:val="both"/>
        <w:rPr>
          <w:rFonts w:ascii="Times New Roman" w:eastAsia="Times New Roman" w:hAnsi="Times New Roman" w:cs="Times New Roman"/>
          <w:sz w:val="24"/>
          <w:szCs w:val="24"/>
        </w:rPr>
      </w:pPr>
      <w:r w:rsidRPr="008D183C">
        <w:rPr>
          <w:rFonts w:ascii="Times New Roman" w:eastAsia="Times New Roman" w:hAnsi="Times New Roman" w:cs="Times New Roman"/>
          <w:b/>
          <w:bCs/>
          <w:sz w:val="24"/>
          <w:szCs w:val="24"/>
        </w:rPr>
        <w:t>Authors’ contributions</w:t>
      </w:r>
      <w:r w:rsidRPr="008D183C">
        <w:rPr>
          <w:rFonts w:ascii="Times New Roman" w:eastAsia="Times New Roman" w:hAnsi="Times New Roman" w:cs="Times New Roman"/>
          <w:sz w:val="24"/>
          <w:szCs w:val="24"/>
        </w:rPr>
        <w:t>:</w:t>
      </w:r>
    </w:p>
    <w:p w14:paraId="5FDA35D0" w14:textId="3CF824B1"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b/>
          <w:bCs/>
          <w:sz w:val="24"/>
          <w:szCs w:val="24"/>
        </w:rPr>
      </w:pPr>
      <w:r w:rsidRPr="008558DE">
        <w:rPr>
          <w:rFonts w:ascii="Times New Roman" w:eastAsia="Times New Roman" w:hAnsi="Times New Roman" w:cs="Times New Roman"/>
          <w:b/>
          <w:bCs/>
          <w:sz w:val="24"/>
          <w:szCs w:val="24"/>
        </w:rPr>
        <w:t xml:space="preserve">Study conception and design: </w:t>
      </w:r>
      <w:r w:rsidRPr="008558DE">
        <w:rPr>
          <w:rFonts w:ascii="Times New Roman" w:eastAsia="Times New Roman" w:hAnsi="Times New Roman" w:cs="Times New Roman"/>
          <w:sz w:val="24"/>
          <w:szCs w:val="24"/>
        </w:rPr>
        <w:t xml:space="preserve">Hend Ibrahim </w:t>
      </w:r>
      <w:proofErr w:type="spellStart"/>
      <w:r w:rsidRPr="008558DE">
        <w:rPr>
          <w:rFonts w:ascii="Times New Roman" w:eastAsia="Times New Roman" w:hAnsi="Times New Roman" w:cs="Times New Roman"/>
          <w:sz w:val="24"/>
          <w:szCs w:val="24"/>
        </w:rPr>
        <w:t>Shousha</w:t>
      </w:r>
      <w:proofErr w:type="spellEnd"/>
      <w:r w:rsidRPr="008558DE">
        <w:rPr>
          <w:rFonts w:ascii="Times New Roman" w:eastAsia="Times New Roman" w:hAnsi="Times New Roman" w:cs="Times New Roman"/>
          <w:b/>
          <w:bCs/>
          <w:sz w:val="24"/>
          <w:szCs w:val="24"/>
        </w:rPr>
        <w:t xml:space="preserve"> </w:t>
      </w:r>
    </w:p>
    <w:p w14:paraId="514F62B9"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sz w:val="24"/>
          <w:szCs w:val="24"/>
        </w:rPr>
      </w:pPr>
      <w:r w:rsidRPr="008558DE">
        <w:rPr>
          <w:rFonts w:ascii="Times New Roman" w:eastAsia="Times New Roman" w:hAnsi="Times New Roman" w:cs="Times New Roman"/>
          <w:b/>
          <w:bCs/>
          <w:sz w:val="24"/>
          <w:szCs w:val="24"/>
        </w:rPr>
        <w:t xml:space="preserve">Methodology: </w:t>
      </w:r>
      <w:r w:rsidRPr="008558DE">
        <w:rPr>
          <w:rFonts w:ascii="Times New Roman" w:eastAsia="Times New Roman" w:hAnsi="Times New Roman" w:cs="Times New Roman"/>
          <w:sz w:val="24"/>
          <w:szCs w:val="24"/>
        </w:rPr>
        <w:t>Ashraf O. Abdelaziz, Mohammed H. Al-</w:t>
      </w:r>
      <w:proofErr w:type="spellStart"/>
      <w:r w:rsidRPr="008558DE">
        <w:rPr>
          <w:rFonts w:ascii="Times New Roman" w:eastAsia="Times New Roman" w:hAnsi="Times New Roman" w:cs="Times New Roman"/>
          <w:sz w:val="24"/>
          <w:szCs w:val="24"/>
        </w:rPr>
        <w:t>Nadry</w:t>
      </w:r>
      <w:proofErr w:type="spellEnd"/>
      <w:r w:rsidRPr="008558DE">
        <w:rPr>
          <w:rFonts w:ascii="Times New Roman" w:eastAsia="Times New Roman" w:hAnsi="Times New Roman" w:cs="Times New Roman"/>
          <w:sz w:val="24"/>
          <w:szCs w:val="24"/>
        </w:rPr>
        <w:t xml:space="preserve">, Walid M. Gomaa, Mohamed M. Abdel-Halim, Mohamed M. Nabeel, Tamer M. </w:t>
      </w:r>
      <w:proofErr w:type="spellStart"/>
      <w:r w:rsidRPr="008558DE">
        <w:rPr>
          <w:rFonts w:ascii="Times New Roman" w:eastAsia="Times New Roman" w:hAnsi="Times New Roman" w:cs="Times New Roman"/>
          <w:sz w:val="24"/>
          <w:szCs w:val="24"/>
        </w:rPr>
        <w:t>elbaz</w:t>
      </w:r>
      <w:proofErr w:type="spellEnd"/>
      <w:r w:rsidRPr="008558DE">
        <w:rPr>
          <w:rFonts w:ascii="Times New Roman" w:eastAsia="Times New Roman" w:hAnsi="Times New Roman" w:cs="Times New Roman"/>
          <w:sz w:val="24"/>
          <w:szCs w:val="24"/>
        </w:rPr>
        <w:t xml:space="preserve">, Ahmed Hosni </w:t>
      </w:r>
      <w:proofErr w:type="spellStart"/>
      <w:r w:rsidRPr="008558DE">
        <w:rPr>
          <w:rFonts w:ascii="Times New Roman" w:eastAsia="Times New Roman" w:hAnsi="Times New Roman" w:cs="Times New Roman"/>
          <w:sz w:val="24"/>
          <w:szCs w:val="24"/>
        </w:rPr>
        <w:t>Abdelmaksoud</w:t>
      </w:r>
      <w:proofErr w:type="spellEnd"/>
      <w:r w:rsidRPr="008558DE">
        <w:rPr>
          <w:rFonts w:ascii="Times New Roman" w:eastAsia="Times New Roman" w:hAnsi="Times New Roman" w:cs="Times New Roman"/>
          <w:sz w:val="24"/>
          <w:szCs w:val="24"/>
        </w:rPr>
        <w:t xml:space="preserve">, Hedy Ayman </w:t>
      </w:r>
    </w:p>
    <w:p w14:paraId="6D8B3E34"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b/>
          <w:bCs/>
          <w:sz w:val="24"/>
          <w:szCs w:val="24"/>
        </w:rPr>
      </w:pPr>
      <w:r w:rsidRPr="008558DE">
        <w:rPr>
          <w:rFonts w:ascii="Times New Roman" w:eastAsia="Times New Roman" w:hAnsi="Times New Roman" w:cs="Times New Roman"/>
          <w:b/>
          <w:bCs/>
          <w:sz w:val="24"/>
          <w:szCs w:val="24"/>
        </w:rPr>
        <w:t xml:space="preserve">Formal analysis and investigation: </w:t>
      </w:r>
      <w:r w:rsidRPr="008558DE">
        <w:rPr>
          <w:rFonts w:ascii="Times New Roman" w:eastAsia="Times New Roman" w:hAnsi="Times New Roman" w:cs="Times New Roman"/>
          <w:sz w:val="24"/>
          <w:szCs w:val="24"/>
        </w:rPr>
        <w:t xml:space="preserve">Mohammed N. Abou </w:t>
      </w:r>
      <w:proofErr w:type="spellStart"/>
      <w:r w:rsidRPr="008558DE">
        <w:rPr>
          <w:rFonts w:ascii="Times New Roman" w:eastAsia="Times New Roman" w:hAnsi="Times New Roman" w:cs="Times New Roman"/>
          <w:sz w:val="24"/>
          <w:szCs w:val="24"/>
        </w:rPr>
        <w:t>Hia</w:t>
      </w:r>
      <w:proofErr w:type="spellEnd"/>
      <w:r w:rsidRPr="008558DE">
        <w:rPr>
          <w:rFonts w:ascii="Times New Roman" w:eastAsia="Times New Roman" w:hAnsi="Times New Roman" w:cs="Times New Roman"/>
          <w:sz w:val="24"/>
          <w:szCs w:val="24"/>
        </w:rPr>
        <w:t xml:space="preserve"> Allah.</w:t>
      </w:r>
      <w:r w:rsidRPr="008558DE">
        <w:rPr>
          <w:rFonts w:ascii="Times New Roman" w:eastAsia="Times New Roman" w:hAnsi="Times New Roman" w:cs="Times New Roman"/>
          <w:b/>
          <w:bCs/>
          <w:sz w:val="24"/>
          <w:szCs w:val="24"/>
        </w:rPr>
        <w:t xml:space="preserve"> </w:t>
      </w:r>
    </w:p>
    <w:p w14:paraId="11DE396B"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b/>
          <w:bCs/>
          <w:sz w:val="24"/>
          <w:szCs w:val="24"/>
        </w:rPr>
      </w:pPr>
      <w:r w:rsidRPr="008558DE">
        <w:rPr>
          <w:rFonts w:ascii="Times New Roman" w:eastAsia="Times New Roman" w:hAnsi="Times New Roman" w:cs="Times New Roman"/>
          <w:b/>
          <w:bCs/>
          <w:sz w:val="24"/>
          <w:szCs w:val="24"/>
        </w:rPr>
        <w:t xml:space="preserve">Writing - original draft preparation: </w:t>
      </w:r>
      <w:r w:rsidRPr="008558DE">
        <w:rPr>
          <w:rFonts w:ascii="Times New Roman" w:eastAsia="Times New Roman" w:hAnsi="Times New Roman" w:cs="Times New Roman"/>
          <w:sz w:val="24"/>
          <w:szCs w:val="24"/>
        </w:rPr>
        <w:t>Mohamed Bassam.</w:t>
      </w:r>
      <w:r w:rsidRPr="008558DE">
        <w:rPr>
          <w:rFonts w:ascii="Times New Roman" w:eastAsia="Times New Roman" w:hAnsi="Times New Roman" w:cs="Times New Roman"/>
          <w:b/>
          <w:bCs/>
          <w:sz w:val="24"/>
          <w:szCs w:val="24"/>
        </w:rPr>
        <w:t xml:space="preserve"> </w:t>
      </w:r>
    </w:p>
    <w:p w14:paraId="154D8056"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sz w:val="24"/>
          <w:szCs w:val="24"/>
        </w:rPr>
      </w:pPr>
      <w:r w:rsidRPr="008558DE">
        <w:rPr>
          <w:rFonts w:ascii="Times New Roman" w:eastAsia="Times New Roman" w:hAnsi="Times New Roman" w:cs="Times New Roman"/>
          <w:b/>
          <w:bCs/>
          <w:sz w:val="24"/>
          <w:szCs w:val="24"/>
        </w:rPr>
        <w:t xml:space="preserve">Writing - review and editing: </w:t>
      </w:r>
      <w:r w:rsidRPr="008558DE">
        <w:rPr>
          <w:rFonts w:ascii="Times New Roman" w:eastAsia="Times New Roman" w:hAnsi="Times New Roman" w:cs="Times New Roman"/>
          <w:sz w:val="24"/>
          <w:szCs w:val="24"/>
        </w:rPr>
        <w:t>Ashraf O. Abdelaziz, Mohammed H. Al-</w:t>
      </w:r>
      <w:proofErr w:type="spellStart"/>
      <w:r w:rsidRPr="008558DE">
        <w:rPr>
          <w:rFonts w:ascii="Times New Roman" w:eastAsia="Times New Roman" w:hAnsi="Times New Roman" w:cs="Times New Roman"/>
          <w:sz w:val="24"/>
          <w:szCs w:val="24"/>
        </w:rPr>
        <w:t>Nadry</w:t>
      </w:r>
      <w:proofErr w:type="spellEnd"/>
      <w:r w:rsidRPr="008558DE">
        <w:rPr>
          <w:rFonts w:ascii="Times New Roman" w:eastAsia="Times New Roman" w:hAnsi="Times New Roman" w:cs="Times New Roman"/>
          <w:sz w:val="24"/>
          <w:szCs w:val="24"/>
        </w:rPr>
        <w:t xml:space="preserve">, Walid M. Gomaa, Mohamed M. Abdel-Halim, Mohamed M. Nabeel, Tamer M. </w:t>
      </w:r>
      <w:proofErr w:type="spellStart"/>
      <w:r w:rsidRPr="008558DE">
        <w:rPr>
          <w:rFonts w:ascii="Times New Roman" w:eastAsia="Times New Roman" w:hAnsi="Times New Roman" w:cs="Times New Roman"/>
          <w:sz w:val="24"/>
          <w:szCs w:val="24"/>
        </w:rPr>
        <w:t>elbaz</w:t>
      </w:r>
      <w:proofErr w:type="spellEnd"/>
      <w:r w:rsidRPr="008558DE">
        <w:rPr>
          <w:rFonts w:ascii="Times New Roman" w:eastAsia="Times New Roman" w:hAnsi="Times New Roman" w:cs="Times New Roman"/>
          <w:sz w:val="24"/>
          <w:szCs w:val="24"/>
        </w:rPr>
        <w:t xml:space="preserve">, Ahmed Hosni </w:t>
      </w:r>
      <w:proofErr w:type="spellStart"/>
      <w:r w:rsidRPr="008558DE">
        <w:rPr>
          <w:rFonts w:ascii="Times New Roman" w:eastAsia="Times New Roman" w:hAnsi="Times New Roman" w:cs="Times New Roman"/>
          <w:sz w:val="24"/>
          <w:szCs w:val="24"/>
        </w:rPr>
        <w:t>Abdelmaksoud</w:t>
      </w:r>
      <w:proofErr w:type="spellEnd"/>
      <w:r w:rsidRPr="008558DE">
        <w:rPr>
          <w:rFonts w:ascii="Times New Roman" w:eastAsia="Times New Roman" w:hAnsi="Times New Roman" w:cs="Times New Roman"/>
          <w:sz w:val="24"/>
          <w:szCs w:val="24"/>
        </w:rPr>
        <w:t xml:space="preserve">, Hedy Ayman. </w:t>
      </w:r>
    </w:p>
    <w:p w14:paraId="31BAFAE3"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sz w:val="24"/>
          <w:szCs w:val="24"/>
        </w:rPr>
      </w:pPr>
      <w:r w:rsidRPr="008558DE">
        <w:rPr>
          <w:rFonts w:ascii="Times New Roman" w:eastAsia="Times New Roman" w:hAnsi="Times New Roman" w:cs="Times New Roman"/>
          <w:b/>
          <w:bCs/>
          <w:sz w:val="24"/>
          <w:szCs w:val="24"/>
        </w:rPr>
        <w:t xml:space="preserve">Supervision: </w:t>
      </w:r>
      <w:r w:rsidRPr="008558DE">
        <w:rPr>
          <w:rFonts w:ascii="Times New Roman" w:eastAsia="Times New Roman" w:hAnsi="Times New Roman" w:cs="Times New Roman"/>
          <w:sz w:val="24"/>
          <w:szCs w:val="24"/>
        </w:rPr>
        <w:t>Ashraf Omar Abdelaziz, Mohammed H. Al-</w:t>
      </w:r>
      <w:proofErr w:type="spellStart"/>
      <w:r w:rsidRPr="008558DE">
        <w:rPr>
          <w:rFonts w:ascii="Times New Roman" w:eastAsia="Times New Roman" w:hAnsi="Times New Roman" w:cs="Times New Roman"/>
          <w:sz w:val="24"/>
          <w:szCs w:val="24"/>
        </w:rPr>
        <w:t>Nadry</w:t>
      </w:r>
      <w:proofErr w:type="spellEnd"/>
      <w:r w:rsidRPr="008558DE">
        <w:rPr>
          <w:rFonts w:ascii="Times New Roman" w:eastAsia="Times New Roman" w:hAnsi="Times New Roman" w:cs="Times New Roman"/>
          <w:sz w:val="24"/>
          <w:szCs w:val="24"/>
        </w:rPr>
        <w:t xml:space="preserve"> </w:t>
      </w:r>
    </w:p>
    <w:p w14:paraId="6D37A2E4" w14:textId="77777777" w:rsidR="008558DE" w:rsidRPr="008558DE" w:rsidRDefault="008558DE" w:rsidP="008558DE">
      <w:pPr>
        <w:autoSpaceDE w:val="0"/>
        <w:autoSpaceDN w:val="0"/>
        <w:adjustRightInd w:val="0"/>
        <w:spacing w:after="200" w:line="240" w:lineRule="auto"/>
        <w:jc w:val="both"/>
        <w:rPr>
          <w:rFonts w:ascii="Times New Roman" w:eastAsia="Times New Roman" w:hAnsi="Times New Roman" w:cs="Times New Roman"/>
          <w:sz w:val="24"/>
          <w:szCs w:val="24"/>
          <w:u w:val="single"/>
        </w:rPr>
      </w:pPr>
      <w:r w:rsidRPr="008558DE">
        <w:rPr>
          <w:rFonts w:ascii="Times New Roman" w:eastAsia="Times New Roman" w:hAnsi="Times New Roman" w:cs="Times New Roman"/>
          <w:sz w:val="24"/>
          <w:szCs w:val="24"/>
        </w:rPr>
        <w:t>All authors approved the final version of the manuscript.</w:t>
      </w:r>
    </w:p>
    <w:p w14:paraId="4E6B3D53" w14:textId="77777777" w:rsidR="00807A28" w:rsidRPr="00807A28" w:rsidRDefault="00807A28" w:rsidP="008558DE">
      <w:pPr>
        <w:spacing w:line="480" w:lineRule="auto"/>
        <w:jc w:val="both"/>
        <w:rPr>
          <w:b/>
          <w:sz w:val="24"/>
          <w:szCs w:val="24"/>
          <w:u w:val="single"/>
        </w:rPr>
      </w:pPr>
      <w:r w:rsidRPr="00807A28">
        <w:rPr>
          <w:b/>
          <w:sz w:val="24"/>
          <w:szCs w:val="24"/>
          <w:u w:val="single"/>
        </w:rPr>
        <w:t>References</w:t>
      </w:r>
    </w:p>
    <w:p w14:paraId="031C7CE3" w14:textId="77777777" w:rsidR="00807A28" w:rsidRPr="00807A28" w:rsidRDefault="00807A28" w:rsidP="00807A28">
      <w:pPr>
        <w:numPr>
          <w:ilvl w:val="0"/>
          <w:numId w:val="3"/>
        </w:numPr>
        <w:spacing w:line="480" w:lineRule="auto"/>
        <w:jc w:val="both"/>
        <w:rPr>
          <w:sz w:val="24"/>
          <w:szCs w:val="24"/>
        </w:rPr>
      </w:pPr>
      <w:proofErr w:type="spellStart"/>
      <w:r w:rsidRPr="00807A28">
        <w:rPr>
          <w:b/>
          <w:sz w:val="24"/>
          <w:szCs w:val="24"/>
        </w:rPr>
        <w:t>Muzica</w:t>
      </w:r>
      <w:proofErr w:type="spellEnd"/>
      <w:r w:rsidRPr="00807A28">
        <w:rPr>
          <w:b/>
          <w:sz w:val="24"/>
          <w:szCs w:val="24"/>
        </w:rPr>
        <w:t xml:space="preserve"> CM, Stanciu C, </w:t>
      </w:r>
      <w:proofErr w:type="spellStart"/>
      <w:r w:rsidRPr="00807A28">
        <w:rPr>
          <w:b/>
          <w:sz w:val="24"/>
          <w:szCs w:val="24"/>
        </w:rPr>
        <w:t>Huiban</w:t>
      </w:r>
      <w:proofErr w:type="spellEnd"/>
      <w:r w:rsidRPr="00807A28">
        <w:rPr>
          <w:b/>
          <w:sz w:val="24"/>
          <w:szCs w:val="24"/>
        </w:rPr>
        <w:t xml:space="preserve"> L, et al., </w:t>
      </w:r>
      <w:r w:rsidRPr="00807A28">
        <w:rPr>
          <w:sz w:val="24"/>
          <w:szCs w:val="24"/>
        </w:rPr>
        <w:t>Hepatocellular carcinoma after direct-acting antiviral hepatitis C virus therapy: A debate near the end. World Journal of Gastroenterology. 2020 Nov 21;26(43):6770.</w:t>
      </w:r>
    </w:p>
    <w:p w14:paraId="76EFBADF" w14:textId="77777777" w:rsidR="00807A28" w:rsidRPr="00807A28" w:rsidRDefault="00807A28" w:rsidP="00807A28">
      <w:pPr>
        <w:numPr>
          <w:ilvl w:val="0"/>
          <w:numId w:val="3"/>
        </w:numPr>
        <w:spacing w:line="480" w:lineRule="auto"/>
        <w:jc w:val="both"/>
        <w:rPr>
          <w:sz w:val="24"/>
          <w:szCs w:val="24"/>
        </w:rPr>
      </w:pPr>
      <w:r w:rsidRPr="00807A28">
        <w:rPr>
          <w:b/>
          <w:sz w:val="24"/>
          <w:szCs w:val="24"/>
        </w:rPr>
        <w:t xml:space="preserve">Bandiera S, Bian CB, </w:t>
      </w:r>
      <w:proofErr w:type="spellStart"/>
      <w:r w:rsidRPr="00807A28">
        <w:rPr>
          <w:b/>
          <w:sz w:val="24"/>
          <w:szCs w:val="24"/>
        </w:rPr>
        <w:t>Hoshida</w:t>
      </w:r>
      <w:proofErr w:type="spellEnd"/>
      <w:r w:rsidRPr="00807A28">
        <w:rPr>
          <w:b/>
          <w:sz w:val="24"/>
          <w:szCs w:val="24"/>
        </w:rPr>
        <w:t xml:space="preserve"> Y, Baumert TF, Zeisel MB.</w:t>
      </w:r>
      <w:r w:rsidRPr="00807A28">
        <w:rPr>
          <w:sz w:val="24"/>
          <w:szCs w:val="24"/>
        </w:rPr>
        <w:t xml:space="preserve"> Chronic hepatitis C virus infection and pathogenesis of hepatocellular carcinoma. Current opinion in virology. 2016 Oct 1; 20:99-105.</w:t>
      </w:r>
      <w:r w:rsidRPr="00807A28">
        <w:rPr>
          <w:b/>
          <w:sz w:val="24"/>
          <w:szCs w:val="24"/>
        </w:rPr>
        <w:t xml:space="preserve"> </w:t>
      </w:r>
    </w:p>
    <w:p w14:paraId="65E0F5DF" w14:textId="77777777" w:rsidR="00807A28" w:rsidRPr="00807A28" w:rsidRDefault="00807A28" w:rsidP="00807A28">
      <w:pPr>
        <w:numPr>
          <w:ilvl w:val="0"/>
          <w:numId w:val="3"/>
        </w:numPr>
        <w:spacing w:line="480" w:lineRule="auto"/>
        <w:jc w:val="both"/>
        <w:rPr>
          <w:sz w:val="24"/>
          <w:szCs w:val="24"/>
        </w:rPr>
      </w:pPr>
      <w:r w:rsidRPr="00807A28">
        <w:rPr>
          <w:b/>
          <w:sz w:val="24"/>
          <w:szCs w:val="24"/>
        </w:rPr>
        <w:t xml:space="preserve">Wong, Grace Lai‐Hung. "Non‐invasive assessments for liver fibrosis: </w:t>
      </w:r>
      <w:r w:rsidRPr="00807A28">
        <w:rPr>
          <w:sz w:val="24"/>
          <w:szCs w:val="24"/>
        </w:rPr>
        <w:t>The crystal ball we long for." Journal of gastroenterology and hepatology 33.5 (2018): 1009-1015.‏</w:t>
      </w:r>
    </w:p>
    <w:p w14:paraId="02455C55" w14:textId="77777777" w:rsidR="00807A28" w:rsidRPr="00807A28" w:rsidRDefault="00807A28" w:rsidP="00807A28">
      <w:pPr>
        <w:numPr>
          <w:ilvl w:val="0"/>
          <w:numId w:val="3"/>
        </w:numPr>
        <w:spacing w:line="480" w:lineRule="auto"/>
        <w:jc w:val="both"/>
        <w:rPr>
          <w:sz w:val="24"/>
          <w:szCs w:val="24"/>
        </w:rPr>
      </w:pPr>
      <w:r w:rsidRPr="00807A28">
        <w:rPr>
          <w:b/>
          <w:sz w:val="24"/>
          <w:szCs w:val="24"/>
        </w:rPr>
        <w:t xml:space="preserve">Yoo S. H., Lim T. S., Lee H. W. et al., </w:t>
      </w:r>
      <w:r w:rsidRPr="00807A28">
        <w:rPr>
          <w:sz w:val="24"/>
          <w:szCs w:val="24"/>
        </w:rPr>
        <w:t>Risk assessment of hepatocellular carcinoma and liver‐related events using ultrasonography and transient elastography in patients with chronic hepatitis B. Journal of Viral Hepatitis, 2021, 28(10), 1362-1372.‏</w:t>
      </w:r>
    </w:p>
    <w:p w14:paraId="39F3E712"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Wu D., Chen E., Liang T., et al., </w:t>
      </w:r>
      <w:r w:rsidRPr="00807A28">
        <w:rPr>
          <w:bCs/>
          <w:sz w:val="24"/>
          <w:szCs w:val="24"/>
        </w:rPr>
        <w:t>Predicting the risk of postoperative liver failure and overall survival using liver and spleen stiffness measurements in patients with hepatocellular carcinoma. Medicine, 2017,96(34), e7864.https://doi.org/10.1097/MD.0000000000007864</w:t>
      </w:r>
    </w:p>
    <w:p w14:paraId="5CF46E3D" w14:textId="77777777" w:rsidR="00807A28" w:rsidRPr="00807A28" w:rsidRDefault="00000000" w:rsidP="00807A28">
      <w:pPr>
        <w:numPr>
          <w:ilvl w:val="0"/>
          <w:numId w:val="3"/>
        </w:numPr>
        <w:spacing w:line="480" w:lineRule="auto"/>
        <w:jc w:val="both"/>
        <w:rPr>
          <w:bCs/>
          <w:sz w:val="24"/>
          <w:szCs w:val="24"/>
        </w:rPr>
      </w:pPr>
      <w:hyperlink r:id="rId10">
        <w:r w:rsidR="00807A28" w:rsidRPr="00807A28">
          <w:rPr>
            <w:b/>
            <w:sz w:val="24"/>
            <w:szCs w:val="24"/>
          </w:rPr>
          <w:t>Chia-Yang Hsu</w:t>
        </w:r>
      </w:hyperlink>
      <w:r w:rsidR="00807A28" w:rsidRPr="00807A28">
        <w:rPr>
          <w:b/>
          <w:sz w:val="24"/>
          <w:szCs w:val="24"/>
        </w:rPr>
        <w:t>, </w:t>
      </w:r>
      <w:hyperlink r:id="rId11">
        <w:r w:rsidR="00807A28" w:rsidRPr="00807A28">
          <w:rPr>
            <w:b/>
            <w:sz w:val="24"/>
            <w:szCs w:val="24"/>
          </w:rPr>
          <w:t>Yun-Hsuan Lee</w:t>
        </w:r>
      </w:hyperlink>
      <w:r w:rsidR="00807A28" w:rsidRPr="00807A28">
        <w:rPr>
          <w:b/>
          <w:sz w:val="24"/>
          <w:szCs w:val="24"/>
        </w:rPr>
        <w:t>, </w:t>
      </w:r>
      <w:hyperlink r:id="rId12">
        <w:r w:rsidR="00807A28" w:rsidRPr="00807A28">
          <w:rPr>
            <w:b/>
            <w:sz w:val="24"/>
            <w:szCs w:val="24"/>
          </w:rPr>
          <w:t>Cheng-Yuan Hsia</w:t>
        </w:r>
      </w:hyperlink>
      <w:r w:rsidR="00807A28" w:rsidRPr="00807A28">
        <w:rPr>
          <w:b/>
          <w:sz w:val="24"/>
          <w:szCs w:val="24"/>
        </w:rPr>
        <w:t>, et al.,</w:t>
      </w:r>
      <w:r w:rsidR="00807A28" w:rsidRPr="00807A28">
        <w:rPr>
          <w:bCs/>
          <w:sz w:val="24"/>
          <w:szCs w:val="24"/>
        </w:rPr>
        <w:t xml:space="preserve"> Performance status in patients with hepatocellular carcinoma: Determinants, prognostic impact, and ability to improve the Barcelona Clinic Liver Cancer system. Hepatology. </w:t>
      </w:r>
      <w:hyperlink r:id="rId13">
        <w:r w:rsidR="00807A28" w:rsidRPr="00807A28">
          <w:rPr>
            <w:rStyle w:val="Hyperlink"/>
            <w:bCs/>
            <w:sz w:val="24"/>
            <w:szCs w:val="24"/>
          </w:rPr>
          <w:t>Issue 1</w:t>
        </w:r>
      </w:hyperlink>
      <w:r w:rsidR="00807A28" w:rsidRPr="00807A28">
        <w:rPr>
          <w:bCs/>
          <w:sz w:val="24"/>
          <w:szCs w:val="24"/>
        </w:rPr>
        <w:t>. January 2013, Pages 112-119.</w:t>
      </w:r>
    </w:p>
    <w:p w14:paraId="2835FCB1"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 xml:space="preserve">Maria Reig, Alejandro Forner, Jordi </w:t>
      </w:r>
      <w:proofErr w:type="spellStart"/>
      <w:r w:rsidRPr="00807A28">
        <w:rPr>
          <w:b/>
          <w:bCs/>
          <w:sz w:val="24"/>
          <w:szCs w:val="24"/>
        </w:rPr>
        <w:t>Rimola</w:t>
      </w:r>
      <w:proofErr w:type="spellEnd"/>
      <w:r w:rsidRPr="00807A28">
        <w:rPr>
          <w:b/>
          <w:bCs/>
          <w:sz w:val="24"/>
          <w:szCs w:val="24"/>
        </w:rPr>
        <w:t>, et al.,</w:t>
      </w:r>
      <w:r w:rsidRPr="00807A28">
        <w:rPr>
          <w:sz w:val="24"/>
          <w:szCs w:val="24"/>
        </w:rPr>
        <w:t xml:space="preserve"> BCLC strategy for prognosis prediction and treatment recommendation: The 2022 update. Journal of Hepatology 2022 vol. 76 j 681–693.</w:t>
      </w:r>
    </w:p>
    <w:p w14:paraId="3A2BE6AC"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 xml:space="preserve">Singal A., Volk M.L., </w:t>
      </w:r>
      <w:proofErr w:type="spellStart"/>
      <w:r w:rsidRPr="00807A28">
        <w:rPr>
          <w:b/>
          <w:bCs/>
          <w:sz w:val="24"/>
          <w:szCs w:val="24"/>
        </w:rPr>
        <w:t>Waljee</w:t>
      </w:r>
      <w:proofErr w:type="spellEnd"/>
      <w:r w:rsidRPr="00807A28">
        <w:rPr>
          <w:b/>
          <w:bCs/>
          <w:sz w:val="24"/>
          <w:szCs w:val="24"/>
        </w:rPr>
        <w:t xml:space="preserve"> A., et al. </w:t>
      </w:r>
      <w:r w:rsidRPr="00807A28">
        <w:rPr>
          <w:sz w:val="24"/>
          <w:szCs w:val="24"/>
        </w:rPr>
        <w:t xml:space="preserve">Meta-analysis: surveillance with ultrasound for early-stage hepatocellular carcinoma in patients with cirrhosis. Aliment </w:t>
      </w:r>
      <w:proofErr w:type="spellStart"/>
      <w:r w:rsidRPr="00807A28">
        <w:rPr>
          <w:sz w:val="24"/>
          <w:szCs w:val="24"/>
        </w:rPr>
        <w:t>Pharmacol</w:t>
      </w:r>
      <w:proofErr w:type="spellEnd"/>
      <w:r w:rsidRPr="00807A28">
        <w:rPr>
          <w:sz w:val="24"/>
          <w:szCs w:val="24"/>
        </w:rPr>
        <w:t xml:space="preserve"> Ther. 2009; 30: 37-47.</w:t>
      </w:r>
    </w:p>
    <w:p w14:paraId="413D1C31" w14:textId="77777777" w:rsidR="00807A28" w:rsidRPr="00807A28" w:rsidRDefault="00807A28" w:rsidP="00807A28">
      <w:pPr>
        <w:numPr>
          <w:ilvl w:val="0"/>
          <w:numId w:val="3"/>
        </w:numPr>
        <w:spacing w:line="480" w:lineRule="auto"/>
        <w:jc w:val="both"/>
        <w:rPr>
          <w:sz w:val="24"/>
          <w:szCs w:val="24"/>
        </w:rPr>
      </w:pPr>
      <w:r w:rsidRPr="00807A28">
        <w:rPr>
          <w:b/>
          <w:sz w:val="24"/>
          <w:szCs w:val="24"/>
        </w:rPr>
        <w:t xml:space="preserve">Pocha C., </w:t>
      </w:r>
      <w:proofErr w:type="spellStart"/>
      <w:r w:rsidRPr="00807A28">
        <w:rPr>
          <w:b/>
          <w:sz w:val="24"/>
          <w:szCs w:val="24"/>
        </w:rPr>
        <w:t>Dieperink</w:t>
      </w:r>
      <w:proofErr w:type="spellEnd"/>
      <w:r w:rsidRPr="00807A28">
        <w:rPr>
          <w:b/>
          <w:sz w:val="24"/>
          <w:szCs w:val="24"/>
        </w:rPr>
        <w:t xml:space="preserve"> E., McMaken K.A., Knott A., </w:t>
      </w:r>
      <w:proofErr w:type="spellStart"/>
      <w:r w:rsidRPr="00807A28">
        <w:rPr>
          <w:b/>
          <w:sz w:val="24"/>
          <w:szCs w:val="24"/>
        </w:rPr>
        <w:t>Thuras</w:t>
      </w:r>
      <w:proofErr w:type="spellEnd"/>
      <w:r w:rsidRPr="00807A28">
        <w:rPr>
          <w:b/>
          <w:sz w:val="24"/>
          <w:szCs w:val="24"/>
        </w:rPr>
        <w:t xml:space="preserve"> P., Ho S.B.</w:t>
      </w:r>
    </w:p>
    <w:p w14:paraId="606F571F" w14:textId="77777777" w:rsidR="00807A28" w:rsidRPr="00807A28" w:rsidRDefault="00807A28" w:rsidP="00807A28">
      <w:pPr>
        <w:spacing w:line="480" w:lineRule="auto"/>
        <w:ind w:firstLine="720"/>
        <w:jc w:val="both"/>
        <w:rPr>
          <w:sz w:val="24"/>
          <w:szCs w:val="24"/>
        </w:rPr>
      </w:pPr>
      <w:r w:rsidRPr="00807A28">
        <w:rPr>
          <w:sz w:val="24"/>
          <w:szCs w:val="24"/>
        </w:rPr>
        <w:t>Surveillance for hepatocellular cancer with ultrasonography </w:t>
      </w:r>
      <w:r w:rsidRPr="00807A28">
        <w:rPr>
          <w:i/>
          <w:sz w:val="24"/>
          <w:szCs w:val="24"/>
        </w:rPr>
        <w:t>vs.</w:t>
      </w:r>
      <w:r w:rsidRPr="00807A28">
        <w:rPr>
          <w:sz w:val="24"/>
          <w:szCs w:val="24"/>
        </w:rPr>
        <w:t xml:space="preserve"> computed tomography – a randomized study. </w:t>
      </w:r>
      <w:r w:rsidRPr="00807A28">
        <w:rPr>
          <w:i/>
          <w:sz w:val="24"/>
          <w:szCs w:val="24"/>
        </w:rPr>
        <w:t xml:space="preserve">Aliment </w:t>
      </w:r>
      <w:proofErr w:type="spellStart"/>
      <w:r w:rsidRPr="00807A28">
        <w:rPr>
          <w:i/>
          <w:sz w:val="24"/>
          <w:szCs w:val="24"/>
        </w:rPr>
        <w:t>Pharmacol</w:t>
      </w:r>
      <w:proofErr w:type="spellEnd"/>
      <w:r w:rsidRPr="00807A28">
        <w:rPr>
          <w:i/>
          <w:sz w:val="24"/>
          <w:szCs w:val="24"/>
        </w:rPr>
        <w:t xml:space="preserve"> Ther.</w:t>
      </w:r>
      <w:r w:rsidRPr="00807A28">
        <w:rPr>
          <w:sz w:val="24"/>
          <w:szCs w:val="24"/>
        </w:rPr>
        <w:t> 2013; </w:t>
      </w:r>
      <w:r w:rsidRPr="00807A28">
        <w:rPr>
          <w:b/>
          <w:sz w:val="24"/>
          <w:szCs w:val="24"/>
        </w:rPr>
        <w:t>38</w:t>
      </w:r>
      <w:r w:rsidRPr="00807A28">
        <w:rPr>
          <w:sz w:val="24"/>
          <w:szCs w:val="24"/>
        </w:rPr>
        <w:t>: 303-312.</w:t>
      </w:r>
    </w:p>
    <w:p w14:paraId="2A6E1981" w14:textId="77777777" w:rsidR="00807A28" w:rsidRPr="00807A28" w:rsidRDefault="00807A28" w:rsidP="00807A28">
      <w:pPr>
        <w:numPr>
          <w:ilvl w:val="0"/>
          <w:numId w:val="3"/>
        </w:numPr>
        <w:spacing w:line="480" w:lineRule="auto"/>
        <w:jc w:val="both"/>
        <w:rPr>
          <w:bCs/>
          <w:sz w:val="24"/>
          <w:szCs w:val="24"/>
        </w:rPr>
      </w:pPr>
      <w:r w:rsidRPr="00807A28">
        <w:rPr>
          <w:b/>
          <w:bCs/>
          <w:sz w:val="24"/>
          <w:szCs w:val="24"/>
        </w:rPr>
        <w:t>Heimbach JK, Kulik LM, Finn RS, et al.,</w:t>
      </w:r>
      <w:r w:rsidRPr="00807A28">
        <w:rPr>
          <w:sz w:val="24"/>
          <w:szCs w:val="24"/>
        </w:rPr>
        <w:t xml:space="preserve"> AASLD guidelines for treating hepatocellular carcinoma. Hepatology. 2018, 67(1):358–380.</w:t>
      </w:r>
    </w:p>
    <w:p w14:paraId="5CD52A26" w14:textId="77777777" w:rsidR="00807A28" w:rsidRPr="00807A28" w:rsidRDefault="00807A28" w:rsidP="00807A28">
      <w:pPr>
        <w:numPr>
          <w:ilvl w:val="0"/>
          <w:numId w:val="3"/>
        </w:numPr>
        <w:spacing w:line="480" w:lineRule="auto"/>
        <w:jc w:val="both"/>
        <w:rPr>
          <w:bCs/>
          <w:sz w:val="24"/>
          <w:szCs w:val="24"/>
        </w:rPr>
      </w:pPr>
      <w:r w:rsidRPr="00807A28">
        <w:rPr>
          <w:b/>
          <w:bCs/>
          <w:sz w:val="24"/>
          <w:szCs w:val="24"/>
        </w:rPr>
        <w:t>Asahina Y, Tsuchiya K, Tamaki N, et al.,</w:t>
      </w:r>
      <w:r w:rsidRPr="00807A28">
        <w:rPr>
          <w:sz w:val="24"/>
          <w:szCs w:val="24"/>
        </w:rPr>
        <w:t xml:space="preserve"> Effect of aging on risk for hepatocellular carcinoma in chronic hepatitis C virus infection. Hepatology. 2010 Aug;52(2):518-27. </w:t>
      </w:r>
      <w:proofErr w:type="spellStart"/>
      <w:r w:rsidRPr="00807A28">
        <w:rPr>
          <w:sz w:val="24"/>
          <w:szCs w:val="24"/>
        </w:rPr>
        <w:t>doi</w:t>
      </w:r>
      <w:proofErr w:type="spellEnd"/>
      <w:r w:rsidRPr="00807A28">
        <w:rPr>
          <w:sz w:val="24"/>
          <w:szCs w:val="24"/>
        </w:rPr>
        <w:t>: 10.1002/hep.23691. PMID: 20683951.</w:t>
      </w:r>
    </w:p>
    <w:p w14:paraId="78BEEE29" w14:textId="77777777" w:rsidR="00807A28" w:rsidRPr="00807A28" w:rsidRDefault="00807A28" w:rsidP="00807A28">
      <w:pPr>
        <w:numPr>
          <w:ilvl w:val="0"/>
          <w:numId w:val="3"/>
        </w:numPr>
        <w:spacing w:line="480" w:lineRule="auto"/>
        <w:jc w:val="both"/>
        <w:rPr>
          <w:bCs/>
          <w:sz w:val="24"/>
          <w:szCs w:val="24"/>
        </w:rPr>
      </w:pPr>
      <w:r w:rsidRPr="00807A28">
        <w:rPr>
          <w:b/>
          <w:bCs/>
          <w:sz w:val="24"/>
          <w:szCs w:val="24"/>
        </w:rPr>
        <w:t>Yi SW, Choi JS, Yi JJ, Lee YH, Han KJ.</w:t>
      </w:r>
      <w:r w:rsidRPr="00807A28">
        <w:rPr>
          <w:sz w:val="24"/>
          <w:szCs w:val="24"/>
        </w:rPr>
        <w:t xml:space="preserve"> Risk factors for hepatocellular carcinoma by age, sex, and liver disorder status: A prospective cohort study in Korea. Cancer. 2018 Jul 1;124(13):2748-2757. </w:t>
      </w:r>
      <w:hyperlink r:id="rId14" w:history="1">
        <w:proofErr w:type="spellStart"/>
        <w:r w:rsidRPr="00807A28">
          <w:rPr>
            <w:rStyle w:val="Hyperlink"/>
            <w:sz w:val="24"/>
            <w:szCs w:val="24"/>
          </w:rPr>
          <w:t>doi</w:t>
        </w:r>
        <w:proofErr w:type="spellEnd"/>
        <w:r w:rsidRPr="00807A28">
          <w:rPr>
            <w:rStyle w:val="Hyperlink"/>
            <w:sz w:val="24"/>
            <w:szCs w:val="24"/>
          </w:rPr>
          <w:t xml:space="preserve">: 10.1002/cncr.31406. </w:t>
        </w:r>
        <w:proofErr w:type="spellStart"/>
        <w:r w:rsidRPr="00807A28">
          <w:rPr>
            <w:rStyle w:val="Hyperlink"/>
            <w:sz w:val="24"/>
            <w:szCs w:val="24"/>
          </w:rPr>
          <w:t>Epub</w:t>
        </w:r>
        <w:proofErr w:type="spellEnd"/>
        <w:r w:rsidRPr="00807A28">
          <w:rPr>
            <w:rStyle w:val="Hyperlink"/>
            <w:sz w:val="24"/>
            <w:szCs w:val="24"/>
          </w:rPr>
          <w:t xml:space="preserve"> 2018 Apr 18. PMID: 29669170.</w:t>
        </w:r>
      </w:hyperlink>
    </w:p>
    <w:p w14:paraId="4FC38C7C" w14:textId="77777777" w:rsidR="00807A28" w:rsidRPr="00807A28" w:rsidRDefault="00807A28" w:rsidP="00807A28">
      <w:pPr>
        <w:numPr>
          <w:ilvl w:val="0"/>
          <w:numId w:val="3"/>
        </w:numPr>
        <w:spacing w:line="480" w:lineRule="auto"/>
        <w:jc w:val="both"/>
        <w:rPr>
          <w:bCs/>
          <w:sz w:val="24"/>
          <w:szCs w:val="24"/>
        </w:rPr>
      </w:pPr>
      <w:r w:rsidRPr="00807A28">
        <w:rPr>
          <w:b/>
          <w:bCs/>
          <w:sz w:val="24"/>
          <w:szCs w:val="24"/>
        </w:rPr>
        <w:t>Marti-Aguado, D.; Clemente-Sanchez, A.; Bataller, R.</w:t>
      </w:r>
      <w:r w:rsidRPr="00807A28">
        <w:rPr>
          <w:sz w:val="24"/>
          <w:szCs w:val="24"/>
        </w:rPr>
        <w:t xml:space="preserve"> Cigarette smoking and liver diseases. J. Hepatol. 2022, 77, 191–205.</w:t>
      </w:r>
    </w:p>
    <w:p w14:paraId="1BF158FA" w14:textId="77777777" w:rsidR="00807A28" w:rsidRPr="00807A28" w:rsidRDefault="00807A28" w:rsidP="00807A28">
      <w:pPr>
        <w:numPr>
          <w:ilvl w:val="0"/>
          <w:numId w:val="3"/>
        </w:numPr>
        <w:spacing w:line="480" w:lineRule="auto"/>
        <w:jc w:val="both"/>
        <w:rPr>
          <w:bCs/>
          <w:sz w:val="24"/>
          <w:szCs w:val="24"/>
        </w:rPr>
      </w:pPr>
      <w:proofErr w:type="spellStart"/>
      <w:r w:rsidRPr="00807A28">
        <w:rPr>
          <w:b/>
          <w:bCs/>
          <w:sz w:val="24"/>
          <w:szCs w:val="24"/>
        </w:rPr>
        <w:t>Ciernik</w:t>
      </w:r>
      <w:proofErr w:type="spellEnd"/>
      <w:r w:rsidRPr="00807A28">
        <w:rPr>
          <w:b/>
          <w:bCs/>
          <w:sz w:val="24"/>
          <w:szCs w:val="24"/>
        </w:rPr>
        <w:t xml:space="preserve"> IF.</w:t>
      </w:r>
      <w:r w:rsidRPr="00807A28">
        <w:rPr>
          <w:sz w:val="24"/>
          <w:szCs w:val="24"/>
        </w:rPr>
        <w:t xml:space="preserve"> Risk factors for hepatocellular carcinoma in patients with chronic liver diseases. The New England journal of medicine. 1993;329(25):1897; author reply -8. </w:t>
      </w:r>
      <w:proofErr w:type="spellStart"/>
      <w:r w:rsidRPr="00807A28">
        <w:rPr>
          <w:sz w:val="24"/>
          <w:szCs w:val="24"/>
        </w:rPr>
        <w:t>Epub</w:t>
      </w:r>
      <w:proofErr w:type="spellEnd"/>
      <w:r w:rsidRPr="00807A28">
        <w:rPr>
          <w:sz w:val="24"/>
          <w:szCs w:val="24"/>
        </w:rPr>
        <w:t xml:space="preserve"> 1993/12/16. pmid:8247051.</w:t>
      </w:r>
    </w:p>
    <w:p w14:paraId="14EF1FD4"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Jiang WC, Shen Y, et al., </w:t>
      </w:r>
      <w:r w:rsidRPr="00807A28">
        <w:rPr>
          <w:bCs/>
          <w:sz w:val="24"/>
          <w:szCs w:val="24"/>
        </w:rPr>
        <w:t>Clinical application of determining serum AFP-IgM complexes for diagnosing small hepatocellular carcinoma. Anticancer Res. 2011, 31(2):687–691.</w:t>
      </w:r>
    </w:p>
    <w:p w14:paraId="34A4B38D"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El-Serag HB, Marrero JA, Rudolph, et al., </w:t>
      </w:r>
      <w:r w:rsidRPr="00807A28">
        <w:rPr>
          <w:bCs/>
          <w:sz w:val="24"/>
          <w:szCs w:val="24"/>
        </w:rPr>
        <w:t>Diagnosis and treatment of hepatocellular carcinoma. Gastroenterology 2016, 134(6):1752–1763.</w:t>
      </w:r>
    </w:p>
    <w:p w14:paraId="2D88F028"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Abdel-Rahman A, Alam El-Din HM, </w:t>
      </w:r>
      <w:proofErr w:type="spellStart"/>
      <w:r w:rsidRPr="00807A28">
        <w:rPr>
          <w:b/>
          <w:sz w:val="24"/>
          <w:szCs w:val="24"/>
        </w:rPr>
        <w:t>Bahnassy</w:t>
      </w:r>
      <w:proofErr w:type="spellEnd"/>
      <w:r w:rsidRPr="00807A28">
        <w:rPr>
          <w:b/>
          <w:sz w:val="24"/>
          <w:szCs w:val="24"/>
        </w:rPr>
        <w:t xml:space="preserve"> AA, et al., </w:t>
      </w:r>
      <w:r w:rsidRPr="00807A28">
        <w:rPr>
          <w:bCs/>
          <w:sz w:val="24"/>
          <w:szCs w:val="24"/>
        </w:rPr>
        <w:t xml:space="preserve">Serum levels of soluble </w:t>
      </w:r>
      <w:proofErr w:type="spellStart"/>
      <w:r w:rsidRPr="00807A28">
        <w:rPr>
          <w:bCs/>
          <w:sz w:val="24"/>
          <w:szCs w:val="24"/>
        </w:rPr>
        <w:t>Fas</w:t>
      </w:r>
      <w:proofErr w:type="spellEnd"/>
      <w:r w:rsidRPr="00807A28">
        <w:rPr>
          <w:bCs/>
          <w:sz w:val="24"/>
          <w:szCs w:val="24"/>
        </w:rPr>
        <w:t>, soluble tumor necrosis factor-receptor II, interleukin-2 receptor, transient elastography and interleukin-8 as early predictors of hepatocellular carcinoma in Egyptian patients with hepatitis C virus genotype-4. J. Hepatology 2010, 9:1.</w:t>
      </w:r>
    </w:p>
    <w:p w14:paraId="7971F064" w14:textId="77777777" w:rsidR="00807A28" w:rsidRPr="00807A28" w:rsidRDefault="00807A28" w:rsidP="00807A28">
      <w:pPr>
        <w:numPr>
          <w:ilvl w:val="0"/>
          <w:numId w:val="3"/>
        </w:numPr>
        <w:spacing w:line="480" w:lineRule="auto"/>
        <w:jc w:val="both"/>
        <w:rPr>
          <w:bCs/>
          <w:sz w:val="24"/>
          <w:szCs w:val="24"/>
        </w:rPr>
      </w:pPr>
      <w:proofErr w:type="spellStart"/>
      <w:r w:rsidRPr="00807A28">
        <w:rPr>
          <w:b/>
          <w:sz w:val="24"/>
          <w:szCs w:val="24"/>
        </w:rPr>
        <w:t>Baffy</w:t>
      </w:r>
      <w:proofErr w:type="spellEnd"/>
      <w:r w:rsidRPr="00807A28">
        <w:rPr>
          <w:b/>
          <w:sz w:val="24"/>
          <w:szCs w:val="24"/>
        </w:rPr>
        <w:t xml:space="preserve"> G, Brunt EM, Caldwell SH.</w:t>
      </w:r>
      <w:r w:rsidRPr="00807A28">
        <w:rPr>
          <w:sz w:val="24"/>
          <w:szCs w:val="24"/>
        </w:rPr>
        <w:t xml:space="preserve"> </w:t>
      </w:r>
      <w:r w:rsidRPr="00807A28">
        <w:rPr>
          <w:bCs/>
          <w:sz w:val="24"/>
          <w:szCs w:val="24"/>
        </w:rPr>
        <w:t>Hepatocellular carcinoma in non-alcoholic fatty liver disease: an emerging menace. J Hepatol. 2012; 56:1384–1391.</w:t>
      </w:r>
    </w:p>
    <w:p w14:paraId="23201F92" w14:textId="77777777" w:rsidR="00807A28" w:rsidRPr="00807A28" w:rsidRDefault="00807A28" w:rsidP="00807A28">
      <w:pPr>
        <w:numPr>
          <w:ilvl w:val="0"/>
          <w:numId w:val="3"/>
        </w:numPr>
        <w:spacing w:line="480" w:lineRule="auto"/>
        <w:jc w:val="both"/>
        <w:rPr>
          <w:bCs/>
          <w:sz w:val="24"/>
          <w:szCs w:val="24"/>
        </w:rPr>
      </w:pPr>
      <w:proofErr w:type="spellStart"/>
      <w:r w:rsidRPr="00807A28">
        <w:rPr>
          <w:b/>
          <w:sz w:val="24"/>
          <w:szCs w:val="24"/>
        </w:rPr>
        <w:t>Pekow</w:t>
      </w:r>
      <w:proofErr w:type="spellEnd"/>
      <w:r w:rsidRPr="00807A28">
        <w:rPr>
          <w:b/>
          <w:sz w:val="24"/>
          <w:szCs w:val="24"/>
        </w:rPr>
        <w:t xml:space="preserve"> JR, Bhan AK, Zheng H, Chung RT.</w:t>
      </w:r>
      <w:r w:rsidRPr="00807A28">
        <w:rPr>
          <w:bCs/>
          <w:sz w:val="24"/>
          <w:szCs w:val="24"/>
        </w:rPr>
        <w:t xml:space="preserve"> Hepatic steatosis is associated with an increased frequency of hepatocellular carcinoma in patients with hepatitis C-related cirrhosis. Cancer. 2007; 109:2490–2496.</w:t>
      </w:r>
    </w:p>
    <w:p w14:paraId="2267E59A"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Stickel F, </w:t>
      </w:r>
      <w:proofErr w:type="spellStart"/>
      <w:r w:rsidRPr="00807A28">
        <w:rPr>
          <w:b/>
          <w:sz w:val="24"/>
          <w:szCs w:val="24"/>
        </w:rPr>
        <w:t>Hellerbrand</w:t>
      </w:r>
      <w:proofErr w:type="spellEnd"/>
      <w:r w:rsidRPr="00807A28">
        <w:rPr>
          <w:b/>
          <w:sz w:val="24"/>
          <w:szCs w:val="24"/>
        </w:rPr>
        <w:t xml:space="preserve"> C.</w:t>
      </w:r>
      <w:r w:rsidRPr="00807A28">
        <w:rPr>
          <w:bCs/>
          <w:sz w:val="24"/>
          <w:szCs w:val="24"/>
        </w:rPr>
        <w:t xml:space="preserve"> Non-alcoholic fatty liver disease as a risk factor for hepatocellular carcinoma: mechanisms and implications. Gut. 2010; 59:1303–1307.</w:t>
      </w:r>
    </w:p>
    <w:p w14:paraId="06E01C51"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Ohata K, Hamasaki K, Toriyama K, et al.</w:t>
      </w:r>
      <w:r w:rsidRPr="00807A28">
        <w:rPr>
          <w:bCs/>
          <w:sz w:val="24"/>
          <w:szCs w:val="24"/>
        </w:rPr>
        <w:t> Hepatic steatosis is a risk factor for hepatocellular carcinoma in patients with chronic hepatitis C virus infection. Cancer 2003; 97: 3036-3043.</w:t>
      </w:r>
    </w:p>
    <w:p w14:paraId="5EAAFAF5" w14:textId="77777777" w:rsidR="00807A28" w:rsidRPr="00807A28" w:rsidRDefault="00807A28" w:rsidP="00807A28">
      <w:pPr>
        <w:numPr>
          <w:ilvl w:val="0"/>
          <w:numId w:val="3"/>
        </w:numPr>
        <w:spacing w:line="480" w:lineRule="auto"/>
        <w:jc w:val="both"/>
        <w:rPr>
          <w:bCs/>
          <w:sz w:val="24"/>
          <w:szCs w:val="24"/>
        </w:rPr>
      </w:pPr>
      <w:r w:rsidRPr="00807A28">
        <w:rPr>
          <w:b/>
          <w:bCs/>
          <w:sz w:val="24"/>
          <w:szCs w:val="24"/>
        </w:rPr>
        <w:t>Mak, LY., Hui, R.WH., Fung, J. </w:t>
      </w:r>
      <w:r w:rsidRPr="00807A28">
        <w:rPr>
          <w:b/>
          <w:bCs/>
          <w:i/>
          <w:sz w:val="24"/>
          <w:szCs w:val="24"/>
        </w:rPr>
        <w:t>et al.</w:t>
      </w:r>
      <w:r w:rsidRPr="00807A28">
        <w:rPr>
          <w:sz w:val="24"/>
          <w:szCs w:val="24"/>
        </w:rPr>
        <w:t> </w:t>
      </w:r>
      <w:r w:rsidRPr="00807A28">
        <w:rPr>
          <w:bCs/>
          <w:sz w:val="24"/>
          <w:szCs w:val="24"/>
        </w:rPr>
        <w:t>Reduced hepatic steatosis is associated with a higher risk of hepatocellular carcinoma in chronic hepatitis B infection. Hepatol Int 15, 901–911 (2021).</w:t>
      </w:r>
      <w:r w:rsidRPr="00807A28">
        <w:rPr>
          <w:sz w:val="24"/>
          <w:szCs w:val="24"/>
        </w:rPr>
        <w:t xml:space="preserve"> </w:t>
      </w:r>
      <w:hyperlink r:id="rId15">
        <w:r w:rsidRPr="00807A28">
          <w:rPr>
            <w:rStyle w:val="Hyperlink"/>
            <w:sz w:val="24"/>
            <w:szCs w:val="24"/>
          </w:rPr>
          <w:t>https://doi.org/10.1007/s12072-021-10218-2</w:t>
        </w:r>
      </w:hyperlink>
      <w:r w:rsidRPr="00807A28">
        <w:rPr>
          <w:sz w:val="24"/>
          <w:szCs w:val="24"/>
          <w:u w:val="single"/>
        </w:rPr>
        <w:t>.</w:t>
      </w:r>
    </w:p>
    <w:p w14:paraId="606A774C"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 xml:space="preserve">Adler M, </w:t>
      </w:r>
      <w:proofErr w:type="spellStart"/>
      <w:r w:rsidRPr="00807A28">
        <w:rPr>
          <w:b/>
          <w:sz w:val="24"/>
          <w:szCs w:val="24"/>
        </w:rPr>
        <w:t>Larocca</w:t>
      </w:r>
      <w:proofErr w:type="spellEnd"/>
      <w:r w:rsidRPr="00807A28">
        <w:rPr>
          <w:b/>
          <w:sz w:val="24"/>
          <w:szCs w:val="24"/>
        </w:rPr>
        <w:t xml:space="preserve"> L, Trovato FM et al.,</w:t>
      </w:r>
      <w:r w:rsidRPr="00807A28">
        <w:rPr>
          <w:bCs/>
          <w:sz w:val="24"/>
          <w:szCs w:val="24"/>
        </w:rPr>
        <w:t xml:space="preserve"> Evaluating the risk of hepatocellular carcinoma in patients with prominently elevated liver stiffness measurements by </w:t>
      </w:r>
      <w:proofErr w:type="spellStart"/>
      <w:r w:rsidRPr="00807A28">
        <w:rPr>
          <w:bCs/>
          <w:sz w:val="24"/>
          <w:szCs w:val="24"/>
        </w:rPr>
        <w:t>FibroScan</w:t>
      </w:r>
      <w:proofErr w:type="spellEnd"/>
      <w:r w:rsidRPr="00807A28">
        <w:rPr>
          <w:bCs/>
          <w:sz w:val="24"/>
          <w:szCs w:val="24"/>
        </w:rPr>
        <w:t xml:space="preserve">: a </w:t>
      </w:r>
      <w:proofErr w:type="spellStart"/>
      <w:r w:rsidRPr="00807A28">
        <w:rPr>
          <w:bCs/>
          <w:sz w:val="24"/>
          <w:szCs w:val="24"/>
        </w:rPr>
        <w:t>multicentre</w:t>
      </w:r>
      <w:proofErr w:type="spellEnd"/>
      <w:r w:rsidRPr="00807A28">
        <w:rPr>
          <w:bCs/>
          <w:sz w:val="24"/>
          <w:szCs w:val="24"/>
        </w:rPr>
        <w:t xml:space="preserve"> study. HPB (Oxford) 2016, 18(8):678–683.</w:t>
      </w:r>
    </w:p>
    <w:p w14:paraId="6F6F86D5"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Singh S, Fujii L, Ehman R et al.,</w:t>
      </w:r>
      <w:r w:rsidRPr="00807A28">
        <w:rPr>
          <w:bCs/>
          <w:sz w:val="24"/>
          <w:szCs w:val="24"/>
        </w:rPr>
        <w:t xml:space="preserve"> Decompensated liver cancer of chronic liver diseases. Clin Gastroenterol Hepatol 2013, 11(12):1573-84. e1–1573-84. e2.</w:t>
      </w:r>
    </w:p>
    <w:p w14:paraId="24948C9F" w14:textId="77777777" w:rsidR="00807A28" w:rsidRPr="00807A28" w:rsidRDefault="00807A28" w:rsidP="00807A28">
      <w:pPr>
        <w:numPr>
          <w:ilvl w:val="0"/>
          <w:numId w:val="3"/>
        </w:numPr>
        <w:spacing w:line="480" w:lineRule="auto"/>
        <w:jc w:val="both"/>
        <w:rPr>
          <w:sz w:val="24"/>
          <w:szCs w:val="24"/>
        </w:rPr>
      </w:pPr>
      <w:proofErr w:type="spellStart"/>
      <w:r w:rsidRPr="00807A28">
        <w:rPr>
          <w:b/>
          <w:sz w:val="24"/>
          <w:szCs w:val="24"/>
        </w:rPr>
        <w:t>Poynard</w:t>
      </w:r>
      <w:proofErr w:type="spellEnd"/>
      <w:r w:rsidRPr="00807A28">
        <w:rPr>
          <w:b/>
          <w:sz w:val="24"/>
          <w:szCs w:val="24"/>
        </w:rPr>
        <w:t xml:space="preserve"> T, </w:t>
      </w:r>
      <w:proofErr w:type="spellStart"/>
      <w:r w:rsidRPr="00807A28">
        <w:rPr>
          <w:b/>
          <w:sz w:val="24"/>
          <w:szCs w:val="24"/>
        </w:rPr>
        <w:t>Vergniol</w:t>
      </w:r>
      <w:proofErr w:type="spellEnd"/>
      <w:r w:rsidRPr="00807A28">
        <w:rPr>
          <w:b/>
          <w:sz w:val="24"/>
          <w:szCs w:val="24"/>
        </w:rPr>
        <w:t xml:space="preserve"> J, Ngo Y, et al.,</w:t>
      </w:r>
      <w:r w:rsidRPr="00807A28">
        <w:rPr>
          <w:bCs/>
          <w:sz w:val="24"/>
          <w:szCs w:val="24"/>
        </w:rPr>
        <w:t xml:space="preserve"> Staging chronic</w:t>
      </w:r>
      <w:r w:rsidRPr="00807A28">
        <w:rPr>
          <w:sz w:val="24"/>
          <w:szCs w:val="24"/>
        </w:rPr>
        <w:t xml:space="preserve"> </w:t>
      </w:r>
      <w:r w:rsidRPr="00807A28">
        <w:rPr>
          <w:bCs/>
          <w:sz w:val="24"/>
          <w:szCs w:val="24"/>
        </w:rPr>
        <w:t>hepatitis C in seven categories using fibrosis biomarker (</w:t>
      </w:r>
      <w:proofErr w:type="spellStart"/>
      <w:r w:rsidRPr="00807A28">
        <w:rPr>
          <w:bCs/>
          <w:sz w:val="24"/>
          <w:szCs w:val="24"/>
        </w:rPr>
        <w:t>FibroTest</w:t>
      </w:r>
      <w:proofErr w:type="spellEnd"/>
      <w:r w:rsidRPr="00807A28">
        <w:rPr>
          <w:bCs/>
          <w:sz w:val="24"/>
          <w:szCs w:val="24"/>
        </w:rPr>
        <w:t>™) and transient elastography (</w:t>
      </w:r>
      <w:proofErr w:type="spellStart"/>
      <w:r w:rsidRPr="00807A28">
        <w:rPr>
          <w:bCs/>
          <w:sz w:val="24"/>
          <w:szCs w:val="24"/>
        </w:rPr>
        <w:t>FibroScan</w:t>
      </w:r>
      <w:proofErr w:type="spellEnd"/>
      <w:r w:rsidRPr="00807A28">
        <w:rPr>
          <w:bCs/>
          <w:sz w:val="24"/>
          <w:szCs w:val="24"/>
        </w:rPr>
        <w:t>®). Hepatol 2014, 60(4):706–714.</w:t>
      </w:r>
    </w:p>
    <w:p w14:paraId="71E37152" w14:textId="77777777" w:rsidR="00807A28" w:rsidRPr="00807A28" w:rsidRDefault="00807A28" w:rsidP="00807A28">
      <w:pPr>
        <w:numPr>
          <w:ilvl w:val="0"/>
          <w:numId w:val="3"/>
        </w:numPr>
        <w:spacing w:line="480" w:lineRule="auto"/>
        <w:jc w:val="both"/>
        <w:rPr>
          <w:sz w:val="24"/>
          <w:szCs w:val="24"/>
        </w:rPr>
      </w:pPr>
      <w:proofErr w:type="spellStart"/>
      <w:r w:rsidRPr="00807A28">
        <w:rPr>
          <w:b/>
          <w:sz w:val="24"/>
          <w:szCs w:val="24"/>
        </w:rPr>
        <w:t>Haydara</w:t>
      </w:r>
      <w:proofErr w:type="spellEnd"/>
      <w:r w:rsidRPr="00807A28">
        <w:rPr>
          <w:b/>
          <w:sz w:val="24"/>
          <w:szCs w:val="24"/>
        </w:rPr>
        <w:t xml:space="preserve"> T, Gabr M, </w:t>
      </w:r>
      <w:proofErr w:type="spellStart"/>
      <w:r w:rsidRPr="00807A28">
        <w:rPr>
          <w:b/>
          <w:sz w:val="24"/>
          <w:szCs w:val="24"/>
        </w:rPr>
        <w:t>Abofreikha</w:t>
      </w:r>
      <w:proofErr w:type="spellEnd"/>
      <w:r w:rsidRPr="00807A28">
        <w:rPr>
          <w:b/>
          <w:sz w:val="24"/>
          <w:szCs w:val="24"/>
        </w:rPr>
        <w:t xml:space="preserve"> M, et al., </w:t>
      </w:r>
      <w:r w:rsidRPr="00807A28">
        <w:rPr>
          <w:bCs/>
          <w:sz w:val="24"/>
          <w:szCs w:val="24"/>
        </w:rPr>
        <w:t xml:space="preserve">The effect of stem cell transplantation therapy for post viral chronic liver cell failure on associated type II diabetes mellitus: a pilot study. </w:t>
      </w:r>
      <w:proofErr w:type="spellStart"/>
      <w:r w:rsidRPr="00807A28">
        <w:rPr>
          <w:bCs/>
          <w:sz w:val="24"/>
          <w:szCs w:val="24"/>
        </w:rPr>
        <w:t>Endocr</w:t>
      </w:r>
      <w:proofErr w:type="spellEnd"/>
      <w:r w:rsidRPr="00807A28">
        <w:rPr>
          <w:bCs/>
          <w:sz w:val="24"/>
          <w:szCs w:val="24"/>
        </w:rPr>
        <w:t xml:space="preserve"> </w:t>
      </w:r>
      <w:proofErr w:type="spellStart"/>
      <w:r w:rsidRPr="00807A28">
        <w:rPr>
          <w:bCs/>
          <w:sz w:val="24"/>
          <w:szCs w:val="24"/>
        </w:rPr>
        <w:t>Metab</w:t>
      </w:r>
      <w:proofErr w:type="spellEnd"/>
      <w:r w:rsidRPr="00807A28">
        <w:rPr>
          <w:bCs/>
          <w:sz w:val="24"/>
          <w:szCs w:val="24"/>
        </w:rPr>
        <w:t xml:space="preserve"> Immune </w:t>
      </w:r>
      <w:proofErr w:type="spellStart"/>
      <w:r w:rsidRPr="00807A28">
        <w:rPr>
          <w:bCs/>
          <w:sz w:val="24"/>
          <w:szCs w:val="24"/>
        </w:rPr>
        <w:t>Disord</w:t>
      </w:r>
      <w:proofErr w:type="spellEnd"/>
      <w:r w:rsidRPr="00807A28">
        <w:rPr>
          <w:bCs/>
          <w:sz w:val="24"/>
          <w:szCs w:val="24"/>
        </w:rPr>
        <w:t xml:space="preserve"> Drug Targets. 2019</w:t>
      </w:r>
      <w:r w:rsidRPr="00807A28">
        <w:rPr>
          <w:sz w:val="24"/>
          <w:szCs w:val="24"/>
        </w:rPr>
        <w:t xml:space="preserve"> </w:t>
      </w:r>
      <w:hyperlink r:id="rId16" w:history="1">
        <w:r w:rsidRPr="00807A28">
          <w:rPr>
            <w:rStyle w:val="Hyperlink"/>
            <w:sz w:val="24"/>
            <w:szCs w:val="24"/>
          </w:rPr>
          <w:t>https://doi.org/10.2174/1871530319666191202125402</w:t>
        </w:r>
      </w:hyperlink>
    </w:p>
    <w:p w14:paraId="3D7F5485" w14:textId="77777777" w:rsidR="00807A28" w:rsidRPr="00807A28" w:rsidRDefault="00807A28" w:rsidP="00807A28">
      <w:pPr>
        <w:numPr>
          <w:ilvl w:val="0"/>
          <w:numId w:val="3"/>
        </w:numPr>
        <w:spacing w:line="480" w:lineRule="auto"/>
        <w:jc w:val="both"/>
        <w:rPr>
          <w:bCs/>
          <w:sz w:val="24"/>
          <w:szCs w:val="24"/>
        </w:rPr>
      </w:pPr>
      <w:r w:rsidRPr="00807A28">
        <w:rPr>
          <w:b/>
          <w:sz w:val="24"/>
          <w:szCs w:val="24"/>
        </w:rPr>
        <w:t>Soliman H, Ziada D, Salama M, et al.,</w:t>
      </w:r>
      <w:r w:rsidRPr="00807A28">
        <w:rPr>
          <w:bCs/>
          <w:sz w:val="24"/>
          <w:szCs w:val="24"/>
        </w:rPr>
        <w:t xml:space="preserve"> Predictors for fibrosis regression in chronic HCV patients after the treatment with DAAS: results of a real-world cohort study. </w:t>
      </w:r>
      <w:proofErr w:type="spellStart"/>
      <w:r w:rsidRPr="00807A28">
        <w:rPr>
          <w:bCs/>
          <w:sz w:val="24"/>
          <w:szCs w:val="24"/>
        </w:rPr>
        <w:t>Endocr</w:t>
      </w:r>
      <w:proofErr w:type="spellEnd"/>
      <w:r w:rsidRPr="00807A28">
        <w:rPr>
          <w:bCs/>
          <w:sz w:val="24"/>
          <w:szCs w:val="24"/>
        </w:rPr>
        <w:t xml:space="preserve"> </w:t>
      </w:r>
      <w:proofErr w:type="spellStart"/>
      <w:r w:rsidRPr="00807A28">
        <w:rPr>
          <w:bCs/>
          <w:sz w:val="24"/>
          <w:szCs w:val="24"/>
        </w:rPr>
        <w:t>Metab</w:t>
      </w:r>
      <w:proofErr w:type="spellEnd"/>
      <w:r w:rsidRPr="00807A28">
        <w:rPr>
          <w:bCs/>
          <w:sz w:val="24"/>
          <w:szCs w:val="24"/>
        </w:rPr>
        <w:t xml:space="preserve"> Immune </w:t>
      </w:r>
      <w:proofErr w:type="spellStart"/>
      <w:r w:rsidRPr="00807A28">
        <w:rPr>
          <w:bCs/>
          <w:sz w:val="24"/>
          <w:szCs w:val="24"/>
        </w:rPr>
        <w:t>Disord</w:t>
      </w:r>
      <w:proofErr w:type="spellEnd"/>
      <w:r w:rsidRPr="00807A28">
        <w:rPr>
          <w:bCs/>
          <w:sz w:val="24"/>
          <w:szCs w:val="24"/>
        </w:rPr>
        <w:t xml:space="preserve"> Drug Targets. 2020, 20(1):104–111.</w:t>
      </w:r>
    </w:p>
    <w:p w14:paraId="58DA445D"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 xml:space="preserve">Baglieri J, Brenner DA, </w:t>
      </w:r>
      <w:proofErr w:type="spellStart"/>
      <w:r w:rsidRPr="00807A28">
        <w:rPr>
          <w:b/>
          <w:bCs/>
          <w:sz w:val="24"/>
          <w:szCs w:val="24"/>
        </w:rPr>
        <w:t>Kisseleva</w:t>
      </w:r>
      <w:proofErr w:type="spellEnd"/>
      <w:r w:rsidRPr="00807A28">
        <w:rPr>
          <w:b/>
          <w:bCs/>
          <w:sz w:val="24"/>
          <w:szCs w:val="24"/>
        </w:rPr>
        <w:t xml:space="preserve"> T.</w:t>
      </w:r>
      <w:r w:rsidRPr="00807A28">
        <w:rPr>
          <w:sz w:val="24"/>
          <w:szCs w:val="24"/>
        </w:rPr>
        <w:t xml:space="preserve"> The role of fibrosis and liver-associated fibroblasts in the pathogenesis of hepatocellular carcinoma. </w:t>
      </w:r>
      <w:r w:rsidRPr="00807A28">
        <w:rPr>
          <w:i/>
          <w:sz w:val="24"/>
          <w:szCs w:val="24"/>
        </w:rPr>
        <w:t>Int J Mol Sci</w:t>
      </w:r>
      <w:r w:rsidRPr="00807A28">
        <w:rPr>
          <w:sz w:val="24"/>
          <w:szCs w:val="24"/>
        </w:rPr>
        <w:t xml:space="preserve"> 2019;20: </w:t>
      </w:r>
      <w:proofErr w:type="spellStart"/>
      <w:r w:rsidRPr="00807A28">
        <w:rPr>
          <w:sz w:val="24"/>
          <w:szCs w:val="24"/>
        </w:rPr>
        <w:t>pii</w:t>
      </w:r>
      <w:proofErr w:type="spellEnd"/>
      <w:r w:rsidRPr="00807A28">
        <w:rPr>
          <w:sz w:val="24"/>
          <w:szCs w:val="24"/>
        </w:rPr>
        <w:t>: E1723</w:t>
      </w:r>
    </w:p>
    <w:p w14:paraId="487D79A7"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 xml:space="preserve">Taura K, De </w:t>
      </w:r>
      <w:proofErr w:type="spellStart"/>
      <w:r w:rsidRPr="00807A28">
        <w:rPr>
          <w:b/>
          <w:bCs/>
          <w:sz w:val="24"/>
          <w:szCs w:val="24"/>
        </w:rPr>
        <w:t>Minicis</w:t>
      </w:r>
      <w:proofErr w:type="spellEnd"/>
      <w:r w:rsidRPr="00807A28">
        <w:rPr>
          <w:b/>
          <w:bCs/>
          <w:sz w:val="24"/>
          <w:szCs w:val="24"/>
        </w:rPr>
        <w:t xml:space="preserve"> S, Seki E et al.,</w:t>
      </w:r>
      <w:r w:rsidRPr="00807A28">
        <w:rPr>
          <w:sz w:val="24"/>
          <w:szCs w:val="24"/>
        </w:rPr>
        <w:t xml:space="preserve"> Hepatic stellate cells secrete angiopoietin 1 that induces angiogenesis in liver fibrosis. </w:t>
      </w:r>
      <w:r w:rsidRPr="00807A28">
        <w:rPr>
          <w:i/>
          <w:sz w:val="24"/>
          <w:szCs w:val="24"/>
        </w:rPr>
        <w:t>Gastroenterology</w:t>
      </w:r>
      <w:r w:rsidRPr="00807A28">
        <w:rPr>
          <w:sz w:val="24"/>
          <w:szCs w:val="24"/>
        </w:rPr>
        <w:t> 2008; 135:1729–38</w:t>
      </w:r>
    </w:p>
    <w:p w14:paraId="10B0DBA8"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Sahin H, Wasmuth HE.</w:t>
      </w:r>
      <w:r w:rsidRPr="00807A28">
        <w:rPr>
          <w:sz w:val="24"/>
          <w:szCs w:val="24"/>
        </w:rPr>
        <w:t xml:space="preserve"> Chemokines in tissue fibrosis. </w:t>
      </w:r>
      <w:proofErr w:type="spellStart"/>
      <w:r w:rsidRPr="00807A28">
        <w:rPr>
          <w:i/>
          <w:sz w:val="24"/>
          <w:szCs w:val="24"/>
        </w:rPr>
        <w:t>Biochim</w:t>
      </w:r>
      <w:proofErr w:type="spellEnd"/>
      <w:r w:rsidRPr="00807A28">
        <w:rPr>
          <w:i/>
          <w:sz w:val="24"/>
          <w:szCs w:val="24"/>
        </w:rPr>
        <w:t xml:space="preserve"> </w:t>
      </w:r>
      <w:proofErr w:type="spellStart"/>
      <w:r w:rsidRPr="00807A28">
        <w:rPr>
          <w:i/>
          <w:sz w:val="24"/>
          <w:szCs w:val="24"/>
        </w:rPr>
        <w:t>Biophys</w:t>
      </w:r>
      <w:proofErr w:type="spellEnd"/>
      <w:r w:rsidRPr="00807A28">
        <w:rPr>
          <w:i/>
          <w:sz w:val="24"/>
          <w:szCs w:val="24"/>
        </w:rPr>
        <w:t xml:space="preserve"> Acta</w:t>
      </w:r>
      <w:r w:rsidRPr="00807A28">
        <w:rPr>
          <w:sz w:val="24"/>
          <w:szCs w:val="24"/>
        </w:rPr>
        <w:t> 2013; 1832:1041–8</w:t>
      </w:r>
    </w:p>
    <w:p w14:paraId="6BE7634B"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Tatsumi A, Maekawa S, Sato M et al.,</w:t>
      </w:r>
      <w:r w:rsidRPr="00807A28">
        <w:rPr>
          <w:sz w:val="24"/>
          <w:szCs w:val="24"/>
        </w:rPr>
        <w:t xml:space="preserve"> Liver stiffness measurement for risk assessment of hepatocellular carcinoma. Hepatol Res. 2015, 45(5):523–532</w:t>
      </w:r>
    </w:p>
    <w:p w14:paraId="26D914FB"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Ebrahim, A.E., Shehata, M.A.H., Abou-</w:t>
      </w:r>
      <w:proofErr w:type="spellStart"/>
      <w:r w:rsidRPr="00807A28">
        <w:rPr>
          <w:b/>
          <w:bCs/>
          <w:sz w:val="24"/>
          <w:szCs w:val="24"/>
        </w:rPr>
        <w:t>saif</w:t>
      </w:r>
      <w:proofErr w:type="spellEnd"/>
      <w:r w:rsidRPr="00807A28">
        <w:rPr>
          <w:b/>
          <w:bCs/>
          <w:sz w:val="24"/>
          <w:szCs w:val="24"/>
        </w:rPr>
        <w:t>, S. et al.</w:t>
      </w:r>
      <w:r w:rsidRPr="00807A28">
        <w:rPr>
          <w:sz w:val="24"/>
          <w:szCs w:val="24"/>
        </w:rPr>
        <w:t xml:space="preserve"> Role of Fibroscan for early detection of hepatocellular carcinoma (HCC) in hepatitis C cirrhotic patients. Egypt J </w:t>
      </w:r>
      <w:proofErr w:type="spellStart"/>
      <w:r w:rsidRPr="00807A28">
        <w:rPr>
          <w:sz w:val="24"/>
          <w:szCs w:val="24"/>
        </w:rPr>
        <w:t>Radiol</w:t>
      </w:r>
      <w:proofErr w:type="spellEnd"/>
      <w:r w:rsidRPr="00807A28">
        <w:rPr>
          <w:sz w:val="24"/>
          <w:szCs w:val="24"/>
        </w:rPr>
        <w:t xml:space="preserve"> </w:t>
      </w:r>
      <w:proofErr w:type="spellStart"/>
      <w:r w:rsidRPr="00807A28">
        <w:rPr>
          <w:sz w:val="24"/>
          <w:szCs w:val="24"/>
        </w:rPr>
        <w:t>Nucl</w:t>
      </w:r>
      <w:proofErr w:type="spellEnd"/>
      <w:r w:rsidRPr="00807A28">
        <w:rPr>
          <w:sz w:val="24"/>
          <w:szCs w:val="24"/>
        </w:rPr>
        <w:t xml:space="preserve"> Med 51, 134 (2020). </w:t>
      </w:r>
      <w:hyperlink r:id="rId17" w:history="1">
        <w:r w:rsidRPr="00807A28">
          <w:rPr>
            <w:rStyle w:val="Hyperlink"/>
            <w:sz w:val="24"/>
            <w:szCs w:val="24"/>
          </w:rPr>
          <w:t>https://doi.org/10.1186/s43055-020-00258-3</w:t>
        </w:r>
      </w:hyperlink>
    </w:p>
    <w:p w14:paraId="7106A7D7" w14:textId="77777777" w:rsidR="00807A28" w:rsidRPr="00807A28" w:rsidRDefault="00807A28" w:rsidP="00807A28">
      <w:pPr>
        <w:numPr>
          <w:ilvl w:val="0"/>
          <w:numId w:val="3"/>
        </w:numPr>
        <w:spacing w:line="480" w:lineRule="auto"/>
        <w:jc w:val="both"/>
        <w:rPr>
          <w:sz w:val="24"/>
          <w:szCs w:val="24"/>
        </w:rPr>
      </w:pPr>
      <w:r w:rsidRPr="00807A28">
        <w:rPr>
          <w:b/>
          <w:bCs/>
          <w:sz w:val="24"/>
          <w:szCs w:val="24"/>
        </w:rPr>
        <w:t xml:space="preserve">Rekik S, Allaire M, </w:t>
      </w:r>
      <w:proofErr w:type="spellStart"/>
      <w:r w:rsidRPr="00807A28">
        <w:rPr>
          <w:b/>
          <w:bCs/>
          <w:sz w:val="24"/>
          <w:szCs w:val="24"/>
        </w:rPr>
        <w:t>Mumana</w:t>
      </w:r>
      <w:proofErr w:type="spellEnd"/>
      <w:r w:rsidRPr="00807A28">
        <w:rPr>
          <w:b/>
          <w:bCs/>
          <w:sz w:val="24"/>
          <w:szCs w:val="24"/>
        </w:rPr>
        <w:t xml:space="preserve"> A, et al.,</w:t>
      </w:r>
      <w:r w:rsidRPr="00807A28">
        <w:rPr>
          <w:sz w:val="24"/>
          <w:szCs w:val="24"/>
        </w:rPr>
        <w:t xml:space="preserve"> Transient elastography predicts survival after radiofrequency ablation of hepatocellular carcinoma developing on cirrhosis. J Gastroenterol Hepatol. 2020 Jan;35(1):142-150. Doi: 10.1111/jgh.14763. </w:t>
      </w:r>
      <w:proofErr w:type="spellStart"/>
      <w:r w:rsidRPr="00807A28">
        <w:rPr>
          <w:sz w:val="24"/>
          <w:szCs w:val="24"/>
        </w:rPr>
        <w:t>Epub</w:t>
      </w:r>
      <w:proofErr w:type="spellEnd"/>
      <w:r w:rsidRPr="00807A28">
        <w:rPr>
          <w:sz w:val="24"/>
          <w:szCs w:val="24"/>
        </w:rPr>
        <w:t xml:space="preserve"> 2019 Jul 31. PMID: 31237018.</w:t>
      </w:r>
    </w:p>
    <w:p w14:paraId="3E9998F9" w14:textId="77777777" w:rsidR="00CC0313" w:rsidRDefault="00CC0313">
      <w:pPr>
        <w:spacing w:line="480" w:lineRule="auto"/>
        <w:ind w:firstLine="720"/>
        <w:jc w:val="both"/>
        <w:rPr>
          <w:sz w:val="24"/>
          <w:szCs w:val="24"/>
        </w:rPr>
      </w:pPr>
    </w:p>
    <w:sectPr w:rsidR="00CC0313">
      <w:headerReference w:type="default" r:id="rId18"/>
      <w:footerReference w:type="default" r:id="rId1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AE38E" w14:textId="77777777" w:rsidR="00FB4057" w:rsidRDefault="00FB4057" w:rsidP="00114589">
      <w:pPr>
        <w:spacing w:after="0" w:line="240" w:lineRule="auto"/>
      </w:pPr>
      <w:r>
        <w:separator/>
      </w:r>
    </w:p>
  </w:endnote>
  <w:endnote w:type="continuationSeparator" w:id="0">
    <w:p w14:paraId="7434D35E" w14:textId="77777777" w:rsidR="00FB4057" w:rsidRDefault="00FB4057" w:rsidP="00114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rPr>
      <w:id w:val="705601247"/>
      <w:docPartObj>
        <w:docPartGallery w:val="Page Numbers (Bottom of Page)"/>
        <w:docPartUnique/>
      </w:docPartObj>
    </w:sdtPr>
    <w:sdtContent>
      <w:sdt>
        <w:sdtPr>
          <w:rPr>
            <w:rFonts w:eastAsia="Times New Roman" w:cs="Times New Roman"/>
            <w:sz w:val="28"/>
            <w:szCs w:val="28"/>
          </w:rPr>
          <w:id w:val="-1146124694"/>
          <w:docPartObj>
            <w:docPartGallery w:val="Page Numbers (Bottom of Page)"/>
            <w:docPartUnique/>
          </w:docPartObj>
        </w:sdtPr>
        <w:sdtContent>
          <w:p w14:paraId="1A583845" w14:textId="1DCB1667" w:rsidR="009912A9" w:rsidRPr="009912A9" w:rsidRDefault="00592299" w:rsidP="009912A9">
            <w:pPr>
              <w:pBdr>
                <w:top w:val="thinThickSmallGap" w:sz="24" w:space="1" w:color="823B0B"/>
              </w:pBdr>
              <w:tabs>
                <w:tab w:val="center" w:pos="4320"/>
                <w:tab w:val="right" w:pos="8640"/>
              </w:tabs>
              <w:spacing w:after="240" w:line="256" w:lineRule="auto"/>
              <w:ind w:firstLine="357"/>
              <w:rPr>
                <w:rFonts w:eastAsia="Times New Roman" w:cs="Times New Roman"/>
                <w:noProof/>
                <w:sz w:val="28"/>
                <w:szCs w:val="28"/>
              </w:rPr>
            </w:pPr>
            <w:r w:rsidRPr="009D54B0">
              <w:rPr>
                <w:sz w:val="28"/>
                <w:szCs w:val="28"/>
              </w:rPr>
              <w:t>Hash</w:t>
            </w:r>
            <w:r w:rsidR="0006026A" w:rsidRPr="009D54B0">
              <w:rPr>
                <w:sz w:val="28"/>
                <w:szCs w:val="28"/>
              </w:rPr>
              <w:t>e</w:t>
            </w:r>
            <w:r w:rsidRPr="009D54B0">
              <w:rPr>
                <w:sz w:val="28"/>
                <w:szCs w:val="28"/>
              </w:rPr>
              <w:t>m</w:t>
            </w:r>
            <w:r w:rsidRPr="009D54B0">
              <w:rPr>
                <w:rFonts w:cs="Arial"/>
                <w:color w:val="000000"/>
              </w:rPr>
              <w:t xml:space="preserve"> MB</w:t>
            </w:r>
            <w:r w:rsidR="009912A9" w:rsidRPr="009D54B0">
              <w:rPr>
                <w:rFonts w:eastAsia="Times New Roman" w:cs="Times New Roman"/>
                <w:sz w:val="28"/>
                <w:szCs w:val="28"/>
              </w:rPr>
              <w:t xml:space="preserve"> </w:t>
            </w:r>
            <w:r w:rsidR="009912A9" w:rsidRPr="009D54B0">
              <w:rPr>
                <w:rFonts w:cs="Arial"/>
              </w:rPr>
              <w:t>et al.2023</w:t>
            </w:r>
            <w:r w:rsidR="009912A9" w:rsidRPr="009912A9">
              <w:rPr>
                <w:rFonts w:ascii="Calibri Light" w:eastAsia="Times New Roman" w:hAnsi="Calibri Light" w:cs="Times New Roman"/>
              </w:rPr>
              <w:ptab w:relativeTo="margin" w:alignment="right" w:leader="none"/>
            </w:r>
            <w:r w:rsidR="009912A9" w:rsidRPr="009912A9">
              <w:rPr>
                <w:rFonts w:eastAsia="Times New Roman" w:cs="Arial"/>
              </w:rPr>
              <w:fldChar w:fldCharType="begin"/>
            </w:r>
            <w:r w:rsidR="009912A9" w:rsidRPr="009912A9">
              <w:rPr>
                <w:rFonts w:cs="Arial"/>
              </w:rPr>
              <w:instrText xml:space="preserve"> PAGE   \* MERGEFORMAT </w:instrText>
            </w:r>
            <w:r w:rsidR="009912A9" w:rsidRPr="009912A9">
              <w:rPr>
                <w:rFonts w:eastAsia="Times New Roman" w:cs="Arial"/>
              </w:rPr>
              <w:fldChar w:fldCharType="separate"/>
            </w:r>
            <w:r w:rsidR="009912A9" w:rsidRPr="009912A9">
              <w:rPr>
                <w:rFonts w:eastAsia="Times New Roman" w:cs="Arial"/>
              </w:rPr>
              <w:t>127</w:t>
            </w:r>
            <w:r w:rsidR="009912A9" w:rsidRPr="009912A9">
              <w:rPr>
                <w:rFonts w:ascii="Calibri Light" w:eastAsia="Times New Roman" w:hAnsi="Calibri Light" w:cs="Times New Roman"/>
                <w:noProof/>
              </w:rPr>
              <w:fldChar w:fldCharType="end"/>
            </w:r>
          </w:p>
        </w:sdtContent>
      </w:sdt>
      <w:p w14:paraId="45737C2B" w14:textId="77777777" w:rsidR="009912A9" w:rsidRPr="009912A9" w:rsidRDefault="00000000" w:rsidP="00FF4AF7">
        <w:pPr>
          <w:tabs>
            <w:tab w:val="center" w:pos="4320"/>
            <w:tab w:val="right" w:pos="8640"/>
          </w:tabs>
          <w:spacing w:after="0" w:line="240" w:lineRule="auto"/>
          <w:jc w:val="center"/>
          <w:rPr>
            <w:rFonts w:cs="Arial"/>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1459" w14:textId="77777777" w:rsidR="00FB4057" w:rsidRDefault="00FB4057" w:rsidP="00114589">
      <w:pPr>
        <w:spacing w:after="0" w:line="240" w:lineRule="auto"/>
      </w:pPr>
      <w:r>
        <w:separator/>
      </w:r>
    </w:p>
  </w:footnote>
  <w:footnote w:type="continuationSeparator" w:id="0">
    <w:p w14:paraId="1DF0DD53" w14:textId="77777777" w:rsidR="00FB4057" w:rsidRDefault="00FB4057" w:rsidP="001145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B094A" w14:textId="77777777" w:rsidR="00114589" w:rsidRPr="00114589" w:rsidRDefault="00114589" w:rsidP="00114589">
    <w:pPr>
      <w:pBdr>
        <w:bottom w:val="thickThinSmallGap" w:sz="24" w:space="21" w:color="622423"/>
      </w:pBdr>
      <w:tabs>
        <w:tab w:val="right" w:pos="8640"/>
      </w:tabs>
      <w:spacing w:after="0" w:line="240" w:lineRule="auto"/>
      <w:rPr>
        <w:rFonts w:ascii="Cambria" w:eastAsia="Times New Roman" w:hAnsi="Cambria" w:cs="Times New Roman"/>
        <w:sz w:val="18"/>
        <w:szCs w:val="18"/>
      </w:rPr>
    </w:pPr>
    <w:bookmarkStart w:id="2" w:name="_Hlk151845719"/>
    <w:r w:rsidRPr="00114589">
      <w:rPr>
        <w:rFonts w:ascii="Cambria" w:eastAsia="Times New Roman" w:hAnsi="Cambria" w:cs="Times New Roman"/>
        <w:sz w:val="18"/>
        <w:szCs w:val="18"/>
      </w:rPr>
      <w:t>African journal of gastroenterology and hepatology</w:t>
    </w:r>
    <w:r w:rsidRPr="00114589">
      <w:rPr>
        <w:rFonts w:ascii="Cambria" w:eastAsia="Times New Roman" w:hAnsi="Cambria" w:cs="Times New Roman"/>
        <w:sz w:val="18"/>
        <w:szCs w:val="18"/>
      </w:rPr>
      <w:tab/>
    </w:r>
    <w:r w:rsidRPr="00114589">
      <w:rPr>
        <w:rFonts w:ascii="Calibri Light" w:eastAsia="Times New Roman" w:hAnsi="Calibri Light" w:cs="Times New Roman"/>
        <w:noProof/>
        <w:sz w:val="32"/>
        <w:szCs w:val="32"/>
      </w:rPr>
      <w:drawing>
        <wp:inline distT="0" distB="0" distL="0" distR="0" wp14:anchorId="33C4BD96" wp14:editId="1DA9F22C">
          <wp:extent cx="1449070" cy="212725"/>
          <wp:effectExtent l="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212725"/>
                  </a:xfrm>
                  <a:prstGeom prst="rect">
                    <a:avLst/>
                  </a:prstGeom>
                  <a:noFill/>
                  <a:ln>
                    <a:noFill/>
                  </a:ln>
                </pic:spPr>
              </pic:pic>
            </a:graphicData>
          </a:graphic>
        </wp:inline>
      </w:drawing>
    </w:r>
  </w:p>
  <w:bookmarkEnd w:id="2"/>
  <w:p w14:paraId="52401ECB" w14:textId="77777777" w:rsidR="00114589" w:rsidRPr="00114589" w:rsidRDefault="00114589" w:rsidP="00114589">
    <w:pPr>
      <w:tabs>
        <w:tab w:val="center" w:pos="4680"/>
        <w:tab w:val="right" w:pos="9360"/>
      </w:tabs>
      <w:spacing w:after="0" w:line="240" w:lineRule="auto"/>
      <w:rPr>
        <w:rFonts w:cs="Arial"/>
      </w:rPr>
    </w:pPr>
    <w:r w:rsidRPr="00114589">
      <w:rPr>
        <w:rFonts w:cs="Arial"/>
        <w:noProof/>
      </w:rPr>
      <mc:AlternateContent>
        <mc:Choice Requires="wps">
          <w:drawing>
            <wp:anchor distT="0" distB="0" distL="114300" distR="114300" simplePos="0" relativeHeight="251659264" behindDoc="0" locked="0" layoutInCell="1" allowOverlap="1" wp14:anchorId="1BBC3653" wp14:editId="1E7CD00E">
              <wp:simplePos x="0" y="0"/>
              <wp:positionH relativeFrom="margin">
                <wp:posOffset>26035</wp:posOffset>
              </wp:positionH>
              <wp:positionV relativeFrom="page">
                <wp:posOffset>1033780</wp:posOffset>
              </wp:positionV>
              <wp:extent cx="1277620" cy="300355"/>
              <wp:effectExtent l="0" t="0" r="17780" b="23495"/>
              <wp:wrapNone/>
              <wp:docPr id="3480002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300355"/>
                      </a:xfrm>
                      <a:prstGeom prst="rect">
                        <a:avLst/>
                      </a:prstGeom>
                      <a:solidFill>
                        <a:srgbClr val="00B0F0"/>
                      </a:solidFill>
                      <a:ln w="6350">
                        <a:solidFill>
                          <a:prstClr val="black"/>
                        </a:solidFill>
                      </a:ln>
                    </wps:spPr>
                    <wps:txbx>
                      <w:txbxContent>
                        <w:p w14:paraId="3D564828" w14:textId="77777777" w:rsidR="00114589" w:rsidRDefault="00114589" w:rsidP="00114589">
                          <w:pPr>
                            <w:rPr>
                              <w:sz w:val="24"/>
                              <w:szCs w:val="24"/>
                            </w:rPr>
                          </w:pPr>
                          <w:r>
                            <w:rPr>
                              <w:sz w:val="24"/>
                              <w:szCs w:val="24"/>
                            </w:rPr>
                            <w:t>Original research</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BC3653" id="_x0000_t202" coordsize="21600,21600" o:spt="202" path="m,l,21600r21600,l21600,xe">
              <v:stroke joinstyle="miter"/>
              <v:path gradientshapeok="t" o:connecttype="rect"/>
            </v:shapetype>
            <v:shape id="Text Box 6" o:spid="_x0000_s1026" type="#_x0000_t202" style="position:absolute;margin-left:2.05pt;margin-top:81.4pt;width:100.6pt;height:23.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" fillcolor="#00b0f0" strokeweight=".5pt">
              <v:path arrowok="t"/>
              <v:textbox>
                <w:txbxContent>
                  <w:p w14:paraId="3D564828" w14:textId="77777777" w:rsidR="00114589" w:rsidRDefault="00114589" w:rsidP="00114589">
                    <w:pPr>
                      <w:rPr>
                        <w:sz w:val="24"/>
                        <w:szCs w:val="24"/>
                      </w:rPr>
                    </w:pPr>
                    <w:r>
                      <w:rPr>
                        <w:sz w:val="24"/>
                        <w:szCs w:val="24"/>
                      </w:rPr>
                      <w:t>Original research</w:t>
                    </w:r>
                  </w:p>
                </w:txbxContent>
              </v:textbox>
              <w10:wrap anchorx="margin" anchory="page"/>
            </v:shape>
          </w:pict>
        </mc:Fallback>
      </mc:AlternateContent>
    </w:r>
  </w:p>
  <w:p w14:paraId="00EA3375" w14:textId="77777777" w:rsidR="00114589" w:rsidRPr="00114589" w:rsidRDefault="00114589" w:rsidP="00114589">
    <w:pPr>
      <w:tabs>
        <w:tab w:val="center" w:pos="4320"/>
        <w:tab w:val="right" w:pos="8640"/>
      </w:tabs>
      <w:spacing w:after="0" w:line="240" w:lineRule="auto"/>
      <w:rPr>
        <w:rFonts w:cs="Arial"/>
      </w:rPr>
    </w:pPr>
  </w:p>
  <w:p w14:paraId="307A092C" w14:textId="77777777" w:rsidR="00114589" w:rsidRDefault="001145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A5628"/>
    <w:multiLevelType w:val="multilevel"/>
    <w:tmpl w:val="01E02BD0"/>
    <w:lvl w:ilvl="0">
      <w:start w:val="1"/>
      <w:numFmt w:val="decimal"/>
      <w:lvlText w:val="%1-"/>
      <w:lvlJc w:val="left"/>
      <w:pPr>
        <w:ind w:left="1100" w:hanging="38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4A252436"/>
    <w:multiLevelType w:val="multilevel"/>
    <w:tmpl w:val="D1D09E0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672304B9"/>
    <w:multiLevelType w:val="multilevel"/>
    <w:tmpl w:val="D494BD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3" w15:restartNumberingAfterBreak="0">
    <w:nsid w:val="68D15B88"/>
    <w:multiLevelType w:val="multilevel"/>
    <w:tmpl w:val="7FB83366"/>
    <w:lvl w:ilvl="0">
      <w:start w:val="1"/>
      <w:numFmt w:val="decimal"/>
      <w:lvlText w:val="%1-"/>
      <w:lvlJc w:val="left"/>
      <w:pPr>
        <w:ind w:left="720" w:hanging="360"/>
      </w:pPr>
      <w:rPr>
        <w:b w:val="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E96247B"/>
    <w:multiLevelType w:val="multilevel"/>
    <w:tmpl w:val="81BA526A"/>
    <w:lvl w:ilvl="0">
      <w:start w:val="1"/>
      <w:numFmt w:val="decimal"/>
      <w:lvlText w:val="%1-"/>
      <w:lvlJc w:val="left"/>
      <w:pPr>
        <w:ind w:left="1080" w:hanging="360"/>
      </w:pPr>
      <w:rPr>
        <w:b w:val="0"/>
        <w:u w:val="none"/>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442919073">
    <w:abstractNumId w:val="2"/>
  </w:num>
  <w:num w:numId="2" w16cid:durableId="389154881">
    <w:abstractNumId w:val="4"/>
  </w:num>
  <w:num w:numId="3" w16cid:durableId="772241251">
    <w:abstractNumId w:val="1"/>
  </w:num>
  <w:num w:numId="4" w16cid:durableId="1769546763">
    <w:abstractNumId w:val="0"/>
  </w:num>
  <w:num w:numId="5" w16cid:durableId="22751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636"/>
    <w:rsid w:val="00022570"/>
    <w:rsid w:val="00044C1D"/>
    <w:rsid w:val="0006026A"/>
    <w:rsid w:val="00084BE1"/>
    <w:rsid w:val="000E4330"/>
    <w:rsid w:val="000F09C9"/>
    <w:rsid w:val="00114589"/>
    <w:rsid w:val="00160088"/>
    <w:rsid w:val="00164B04"/>
    <w:rsid w:val="001D7094"/>
    <w:rsid w:val="001E171B"/>
    <w:rsid w:val="00231D02"/>
    <w:rsid w:val="00233E94"/>
    <w:rsid w:val="002857AC"/>
    <w:rsid w:val="00285CF6"/>
    <w:rsid w:val="0029514F"/>
    <w:rsid w:val="002E49C4"/>
    <w:rsid w:val="002F46AB"/>
    <w:rsid w:val="00350398"/>
    <w:rsid w:val="00383D7E"/>
    <w:rsid w:val="003F4147"/>
    <w:rsid w:val="0042433A"/>
    <w:rsid w:val="004508B2"/>
    <w:rsid w:val="00461B33"/>
    <w:rsid w:val="00541FB3"/>
    <w:rsid w:val="00543354"/>
    <w:rsid w:val="00592299"/>
    <w:rsid w:val="005B6491"/>
    <w:rsid w:val="0064320E"/>
    <w:rsid w:val="006A3099"/>
    <w:rsid w:val="006B4636"/>
    <w:rsid w:val="006F012C"/>
    <w:rsid w:val="00807A28"/>
    <w:rsid w:val="00836A78"/>
    <w:rsid w:val="008558DE"/>
    <w:rsid w:val="00897BB0"/>
    <w:rsid w:val="008D183C"/>
    <w:rsid w:val="008D248A"/>
    <w:rsid w:val="00917DF7"/>
    <w:rsid w:val="00955654"/>
    <w:rsid w:val="00973FA4"/>
    <w:rsid w:val="009912A9"/>
    <w:rsid w:val="00994424"/>
    <w:rsid w:val="009C0835"/>
    <w:rsid w:val="009D54B0"/>
    <w:rsid w:val="00A06319"/>
    <w:rsid w:val="00A43DA0"/>
    <w:rsid w:val="00A452A2"/>
    <w:rsid w:val="00A61BC1"/>
    <w:rsid w:val="00AE6C90"/>
    <w:rsid w:val="00B1276C"/>
    <w:rsid w:val="00B15F39"/>
    <w:rsid w:val="00B32C42"/>
    <w:rsid w:val="00B35F10"/>
    <w:rsid w:val="00B5480B"/>
    <w:rsid w:val="00B617EB"/>
    <w:rsid w:val="00BC323B"/>
    <w:rsid w:val="00BD5B9C"/>
    <w:rsid w:val="00C00D47"/>
    <w:rsid w:val="00C242BF"/>
    <w:rsid w:val="00C24385"/>
    <w:rsid w:val="00CC0313"/>
    <w:rsid w:val="00CC156B"/>
    <w:rsid w:val="00CC40E8"/>
    <w:rsid w:val="00D0102D"/>
    <w:rsid w:val="00D103B0"/>
    <w:rsid w:val="00D335B1"/>
    <w:rsid w:val="00D34F7C"/>
    <w:rsid w:val="00D4519E"/>
    <w:rsid w:val="00E10938"/>
    <w:rsid w:val="00E27269"/>
    <w:rsid w:val="00E32BB0"/>
    <w:rsid w:val="00E7628D"/>
    <w:rsid w:val="00FB4057"/>
    <w:rsid w:val="00FD1EFC"/>
    <w:rsid w:val="00FE74FC"/>
    <w:rsid w:val="00FF4AF7"/>
    <w:rsid w:val="00FF5A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CA9998"/>
  <w15:docId w15:val="{2640AD81-F1D4-4FEC-9DCA-7AEFC7B5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1E171B"/>
    <w:rPr>
      <w:color w:val="0000FF"/>
      <w:u w:val="single"/>
    </w:rPr>
  </w:style>
  <w:style w:type="character" w:styleId="UnresolvedMention">
    <w:name w:val="Unresolved Mention"/>
    <w:basedOn w:val="DefaultParagraphFont"/>
    <w:uiPriority w:val="99"/>
    <w:semiHidden/>
    <w:unhideWhenUsed/>
    <w:rsid w:val="00D0102D"/>
    <w:rPr>
      <w:color w:val="605E5C"/>
      <w:shd w:val="clear" w:color="auto" w:fill="E1DFDD"/>
    </w:rPr>
  </w:style>
  <w:style w:type="paragraph" w:styleId="Caption">
    <w:name w:val="caption"/>
    <w:basedOn w:val="Normal"/>
    <w:next w:val="Normal"/>
    <w:uiPriority w:val="35"/>
    <w:unhideWhenUsed/>
    <w:qFormat/>
    <w:rsid w:val="00FD1EFC"/>
    <w:pPr>
      <w:spacing w:after="200" w:line="240" w:lineRule="auto"/>
    </w:pPr>
    <w:rPr>
      <w:i/>
      <w:iCs/>
      <w:color w:val="1F497D" w:themeColor="text2"/>
      <w:sz w:val="18"/>
      <w:szCs w:val="18"/>
    </w:rPr>
  </w:style>
  <w:style w:type="paragraph" w:styleId="Header">
    <w:name w:val="header"/>
    <w:basedOn w:val="Normal"/>
    <w:link w:val="HeaderChar"/>
    <w:uiPriority w:val="99"/>
    <w:unhideWhenUsed/>
    <w:rsid w:val="00114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589"/>
  </w:style>
  <w:style w:type="paragraph" w:styleId="Footer">
    <w:name w:val="footer"/>
    <w:basedOn w:val="Normal"/>
    <w:link w:val="FooterChar"/>
    <w:uiPriority w:val="99"/>
    <w:unhideWhenUsed/>
    <w:rsid w:val="00114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706936">
      <w:bodyDiv w:val="1"/>
      <w:marLeft w:val="0"/>
      <w:marRight w:val="0"/>
      <w:marTop w:val="0"/>
      <w:marBottom w:val="0"/>
      <w:divBdr>
        <w:top w:val="none" w:sz="0" w:space="0" w:color="auto"/>
        <w:left w:val="none" w:sz="0" w:space="0" w:color="auto"/>
        <w:bottom w:val="none" w:sz="0" w:space="0" w:color="auto"/>
        <w:right w:val="none" w:sz="0" w:space="0" w:color="auto"/>
      </w:divBdr>
    </w:div>
    <w:div w:id="933053038">
      <w:bodyDiv w:val="1"/>
      <w:marLeft w:val="0"/>
      <w:marRight w:val="0"/>
      <w:marTop w:val="0"/>
      <w:marBottom w:val="0"/>
      <w:divBdr>
        <w:top w:val="none" w:sz="0" w:space="0" w:color="auto"/>
        <w:left w:val="none" w:sz="0" w:space="0" w:color="auto"/>
        <w:bottom w:val="none" w:sz="0" w:space="0" w:color="auto"/>
        <w:right w:val="none" w:sz="0" w:space="0" w:color="auto"/>
      </w:divBdr>
    </w:div>
    <w:div w:id="1334726352">
      <w:bodyDiv w:val="1"/>
      <w:marLeft w:val="0"/>
      <w:marRight w:val="0"/>
      <w:marTop w:val="0"/>
      <w:marBottom w:val="0"/>
      <w:divBdr>
        <w:top w:val="none" w:sz="0" w:space="0" w:color="auto"/>
        <w:left w:val="none" w:sz="0" w:space="0" w:color="auto"/>
        <w:bottom w:val="none" w:sz="0" w:space="0" w:color="auto"/>
        <w:right w:val="none" w:sz="0" w:space="0" w:color="auto"/>
      </w:divBdr>
    </w:div>
    <w:div w:id="1367754583">
      <w:bodyDiv w:val="1"/>
      <w:marLeft w:val="0"/>
      <w:marRight w:val="0"/>
      <w:marTop w:val="0"/>
      <w:marBottom w:val="0"/>
      <w:divBdr>
        <w:top w:val="none" w:sz="0" w:space="0" w:color="auto"/>
        <w:left w:val="none" w:sz="0" w:space="0" w:color="auto"/>
        <w:bottom w:val="none" w:sz="0" w:space="0" w:color="auto"/>
        <w:right w:val="none" w:sz="0" w:space="0" w:color="auto"/>
      </w:divBdr>
    </w:div>
    <w:div w:id="1873760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10.21608/AJGH.2023.245244.1039" TargetMode="External"/><Relationship Id="rId13" Type="http://schemas.openxmlformats.org/officeDocument/2006/relationships/hyperlink" Target="https://aasldpubs.onlinelibrary.wiley.com/toc/15273350/2013/57/1"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ohamed.bassam@kasralainy.edu.eg" TargetMode="External"/><Relationship Id="rId12" Type="http://schemas.openxmlformats.org/officeDocument/2006/relationships/hyperlink" Target="https://aasldpubs.onlinelibrary.wiley.com/action/doSearch?ContribAuthorRaw=Hsia%2C+Cheng-Yuan" TargetMode="External"/><Relationship Id="rId17" Type="http://schemas.openxmlformats.org/officeDocument/2006/relationships/hyperlink" Target="https://doi.org/10.1186/s43055-020-00258-3" TargetMode="External"/><Relationship Id="rId2" Type="http://schemas.openxmlformats.org/officeDocument/2006/relationships/styles" Target="styles.xml"/><Relationship Id="rId16" Type="http://schemas.openxmlformats.org/officeDocument/2006/relationships/hyperlink" Target="https://doi.org/10.2174/187153031966619120212540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asldpubs.onlinelibrary.wiley.com/action/doSearch?ContribAuthorRaw=Lee%2C+Yun-Hsuan" TargetMode="External"/><Relationship Id="rId5" Type="http://schemas.openxmlformats.org/officeDocument/2006/relationships/footnotes" Target="footnotes.xml"/><Relationship Id="rId15" Type="http://schemas.openxmlformats.org/officeDocument/2006/relationships/hyperlink" Target="https://doi.org/10.1007/s12072-021-10218-2" TargetMode="External"/><Relationship Id="rId10" Type="http://schemas.openxmlformats.org/officeDocument/2006/relationships/hyperlink" Target="https://aasldpubs.onlinelibrary.wiley.com/action/doSearch?ContribAuthorRaw=Hsu%2C+Chia-Yan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doi:%2010.1002/cncr.31406.%20Epub%202018%20Apr%2018.%20PMID:%202966917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4591</Words>
  <Characters>26242</Characters>
  <Application>Microsoft Office Word</Application>
  <DocSecurity>0</DocSecurity>
  <Lines>603</Lines>
  <Paragraphs>329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risk of HCC increases with the advancement in the degree of liver decompensa</vt:lpstr>
    </vt:vector>
  </TitlesOfParts>
  <Company/>
  <LinksUpToDate>false</LinksUpToDate>
  <CharactersWithSpaces>30516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Hashem</dc:creator>
  <cp:lastModifiedBy>SYSalem</cp:lastModifiedBy>
  <cp:revision>2</cp:revision>
  <dcterms:created xsi:type="dcterms:W3CDTF">2023-11-27T11:04:00Z</dcterms:created>
  <dcterms:modified xsi:type="dcterms:W3CDTF">2023-11-27T11:04:00Z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da621653fe7d44b432b8e59b6390834b5f9a235906ba0614b5d06861d6d43151</vt:lpwstr>
  </property>
</Properties>
</file>