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00A9" w14:textId="7CA2D034" w:rsidR="00403720" w:rsidRPr="00DC4B5A" w:rsidRDefault="005E172B" w:rsidP="005765D7">
      <w:pPr>
        <w:spacing w:before="240" w:after="240" w:line="240" w:lineRule="auto"/>
        <w:jc w:val="center"/>
        <w:rPr>
          <w:rFonts w:ascii="Times New Roman" w:eastAsia="Times New Roman" w:hAnsi="Times New Roman" w:cs="Times New Roman"/>
          <w:b/>
          <w:bCs/>
          <w:sz w:val="24"/>
          <w:szCs w:val="24"/>
        </w:rPr>
      </w:pPr>
      <w:r w:rsidRPr="00DC4B5A">
        <w:rPr>
          <w:rFonts w:ascii="Times New Roman" w:eastAsia="Times New Roman" w:hAnsi="Times New Roman" w:cs="Times New Roman"/>
          <w:b/>
          <w:bCs/>
          <w:sz w:val="24"/>
          <w:szCs w:val="24"/>
        </w:rPr>
        <w:t xml:space="preserve">Value of </w:t>
      </w:r>
      <w:r w:rsidR="00B7625B" w:rsidRPr="00DC4B5A">
        <w:rPr>
          <w:rFonts w:ascii="Times New Roman" w:eastAsia="Times New Roman" w:hAnsi="Times New Roman" w:cs="Times New Roman"/>
          <w:b/>
          <w:bCs/>
          <w:sz w:val="24"/>
          <w:szCs w:val="24"/>
        </w:rPr>
        <w:t>esophagogastroduodenoscopy</w:t>
      </w:r>
      <w:r w:rsidRPr="00DC4B5A">
        <w:rPr>
          <w:rFonts w:ascii="Times New Roman" w:eastAsia="Times New Roman" w:hAnsi="Times New Roman" w:cs="Times New Roman"/>
          <w:b/>
          <w:bCs/>
          <w:sz w:val="24"/>
          <w:szCs w:val="24"/>
        </w:rPr>
        <w:t xml:space="preserve"> in assessment of chronic kidney disease patients with iron deficiency anemia without gastrointestinal symptoms</w:t>
      </w:r>
    </w:p>
    <w:p w14:paraId="66231B54" w14:textId="0726FA7F" w:rsidR="000236BA" w:rsidRDefault="000236BA" w:rsidP="000236BA">
      <w:pPr>
        <w:spacing w:before="240" w:after="240" w:line="240" w:lineRule="auto"/>
        <w:rPr>
          <w:rFonts w:ascii="Times New Roman" w:eastAsia="Calibri" w:hAnsi="Times New Roman" w:cs="Times New Roman"/>
          <w:sz w:val="24"/>
          <w:szCs w:val="24"/>
        </w:rPr>
      </w:pPr>
      <w:r w:rsidRPr="000236BA">
        <w:rPr>
          <w:rFonts w:ascii="Times New Roman" w:eastAsia="Calibri" w:hAnsi="Times New Roman" w:cs="Times New Roman"/>
          <w:sz w:val="24"/>
          <w:szCs w:val="24"/>
        </w:rPr>
        <w:t xml:space="preserve">Walid Ahmed Ragab Abdelhamid, Said Abdel Baky Gad, </w:t>
      </w:r>
      <w:bookmarkStart w:id="0" w:name="_Hlk155700290"/>
      <w:r w:rsidRPr="000236BA">
        <w:rPr>
          <w:rFonts w:ascii="Times New Roman" w:eastAsia="Calibri" w:hAnsi="Times New Roman" w:cs="Times New Roman"/>
          <w:sz w:val="24"/>
          <w:szCs w:val="24"/>
        </w:rPr>
        <w:t xml:space="preserve">Mahmoud Ahmed </w:t>
      </w:r>
      <w:proofErr w:type="spellStart"/>
      <w:r w:rsidRPr="000236BA">
        <w:rPr>
          <w:rFonts w:ascii="Times New Roman" w:eastAsia="Calibri" w:hAnsi="Times New Roman" w:cs="Times New Roman"/>
          <w:sz w:val="24"/>
          <w:szCs w:val="24"/>
        </w:rPr>
        <w:t>Sharafeddin</w:t>
      </w:r>
      <w:bookmarkEnd w:id="0"/>
      <w:proofErr w:type="spellEnd"/>
    </w:p>
    <w:p w14:paraId="163B6841" w14:textId="10B6718E" w:rsidR="000236BA" w:rsidRDefault="000236BA" w:rsidP="000236BA">
      <w:pPr>
        <w:spacing w:before="240"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Internal medicine department, faculty of medicine, Zagazig University, Egypt.</w:t>
      </w:r>
    </w:p>
    <w:p w14:paraId="7B57FA68" w14:textId="02DD641A" w:rsidR="004D5487" w:rsidRPr="004D5487" w:rsidRDefault="004D5487" w:rsidP="004D5487">
      <w:pPr>
        <w:spacing w:line="240" w:lineRule="auto"/>
        <w:rPr>
          <w:rFonts w:ascii="Calibri" w:eastAsia="Calibri" w:hAnsi="Calibri" w:cs="Arial"/>
          <w:color w:val="000000"/>
        </w:rPr>
      </w:pPr>
      <w:r w:rsidRPr="004D5487">
        <w:rPr>
          <w:rFonts w:ascii="Calibri" w:eastAsia="Calibri" w:hAnsi="Calibri" w:cs="Arial"/>
          <w:b/>
          <w:bCs/>
          <w:color w:val="000000"/>
        </w:rPr>
        <w:t>Corresponding author:</w:t>
      </w:r>
      <w:r w:rsidRPr="004D5487">
        <w:rPr>
          <w:rFonts w:ascii="Calibri" w:eastAsia="Calibri" w:hAnsi="Calibri" w:cs="Arial"/>
          <w:color w:val="000000"/>
        </w:rPr>
        <w:t xml:space="preserve"> Mahmoud Ahmed </w:t>
      </w:r>
      <w:proofErr w:type="spellStart"/>
      <w:r w:rsidRPr="004D5487">
        <w:rPr>
          <w:rFonts w:ascii="Calibri" w:eastAsia="Calibri" w:hAnsi="Calibri" w:cs="Arial"/>
          <w:color w:val="000000"/>
        </w:rPr>
        <w:t>Sharafeddin</w:t>
      </w:r>
      <w:proofErr w:type="spellEnd"/>
      <w:r w:rsidRPr="004D5487">
        <w:rPr>
          <w:rFonts w:ascii="Calibri" w:eastAsia="Calibri" w:hAnsi="Calibri" w:cs="Arial"/>
          <w:color w:val="000000"/>
        </w:rPr>
        <w:t xml:space="preserve">, </w:t>
      </w:r>
      <w:r>
        <w:rPr>
          <w:rFonts w:ascii="Calibri" w:eastAsia="Calibri" w:hAnsi="Calibri" w:cs="Arial"/>
          <w:color w:val="000000"/>
        </w:rPr>
        <w:t>Internal Medicine Department,</w:t>
      </w:r>
      <w:r w:rsidRPr="004D5487">
        <w:rPr>
          <w:rFonts w:ascii="Calibri" w:eastAsia="Calibri" w:hAnsi="Calibri" w:cs="Arial"/>
          <w:color w:val="000000"/>
        </w:rPr>
        <w:t xml:space="preserve"> Faculty of Medicine - </w:t>
      </w:r>
      <w:r>
        <w:rPr>
          <w:rFonts w:ascii="Calibri" w:eastAsia="Calibri" w:hAnsi="Calibri" w:cs="Arial"/>
          <w:color w:val="000000"/>
        </w:rPr>
        <w:t>Zagazig</w:t>
      </w:r>
      <w:r w:rsidRPr="004D5487">
        <w:rPr>
          <w:rFonts w:ascii="Calibri" w:eastAsia="Calibri" w:hAnsi="Calibri" w:cs="Arial"/>
          <w:color w:val="000000"/>
        </w:rPr>
        <w:t xml:space="preserve"> University</w:t>
      </w:r>
      <w:r>
        <w:rPr>
          <w:rFonts w:ascii="Calibri" w:eastAsia="Calibri" w:hAnsi="Calibri" w:cs="Arial"/>
          <w:color w:val="000000"/>
        </w:rPr>
        <w:t>, Egypt</w:t>
      </w:r>
      <w:r w:rsidRPr="004D5487">
        <w:rPr>
          <w:rFonts w:ascii="Calibri" w:eastAsia="Calibri" w:hAnsi="Calibri" w:cs="Arial"/>
          <w:color w:val="000000"/>
        </w:rPr>
        <w:t>.</w:t>
      </w:r>
    </w:p>
    <w:p w14:paraId="03BFA73A" w14:textId="78C00F72" w:rsidR="004D5487" w:rsidRPr="004D5487" w:rsidRDefault="004D5487" w:rsidP="004D5487">
      <w:pPr>
        <w:spacing w:line="240" w:lineRule="auto"/>
        <w:rPr>
          <w:rFonts w:ascii="Calibri" w:eastAsia="Calibri" w:hAnsi="Calibri" w:cs="Arial"/>
          <w:b/>
          <w:bCs/>
          <w:color w:val="000000"/>
        </w:rPr>
      </w:pPr>
      <w:r w:rsidRPr="004D5487">
        <w:rPr>
          <w:rFonts w:ascii="Calibri" w:eastAsia="Calibri" w:hAnsi="Calibri" w:cs="Arial"/>
          <w:b/>
          <w:bCs/>
          <w:color w:val="000000"/>
        </w:rPr>
        <w:t>Phone numbers: +2</w:t>
      </w:r>
      <w:r w:rsidRPr="004D5487">
        <w:rPr>
          <w:rFonts w:ascii="Calibri" w:eastAsia="Calibri" w:hAnsi="Calibri" w:cs="Arial"/>
          <w:color w:val="000000"/>
        </w:rPr>
        <w:t>0</w:t>
      </w:r>
      <w:r>
        <w:rPr>
          <w:rFonts w:ascii="Calibri" w:eastAsia="Calibri" w:hAnsi="Calibri" w:cs="Arial"/>
          <w:color w:val="000000"/>
        </w:rPr>
        <w:t>1068462009.</w:t>
      </w:r>
    </w:p>
    <w:p w14:paraId="6A7F1158" w14:textId="70759D1F" w:rsidR="004D5487" w:rsidRPr="004D5487" w:rsidRDefault="004D5487" w:rsidP="004D5487">
      <w:pPr>
        <w:spacing w:line="240" w:lineRule="auto"/>
        <w:rPr>
          <w:rFonts w:ascii="Calibri" w:eastAsia="Calibri" w:hAnsi="Calibri" w:cs="Arial"/>
          <w:b/>
          <w:bCs/>
          <w:color w:val="000000"/>
        </w:rPr>
      </w:pPr>
      <w:r w:rsidRPr="004D5487">
        <w:rPr>
          <w:rFonts w:ascii="Calibri" w:eastAsia="Calibri" w:hAnsi="Calibri" w:cs="Arial"/>
          <w:b/>
          <w:bCs/>
          <w:color w:val="000000"/>
        </w:rPr>
        <w:t xml:space="preserve">E-mail address: </w:t>
      </w:r>
      <w:hyperlink r:id="rId8" w:history="1">
        <w:r w:rsidRPr="004D5487">
          <w:rPr>
            <w:rStyle w:val="Hyperlink"/>
            <w:rFonts w:ascii="Calibri" w:eastAsia="Calibri" w:hAnsi="Calibri" w:cs="Arial"/>
          </w:rPr>
          <w:t>dr.mahmoudsharafeddin@gmail.com</w:t>
        </w:r>
      </w:hyperlink>
      <w:r w:rsidRPr="004D5487">
        <w:rPr>
          <w:rFonts w:ascii="Calibri" w:eastAsia="Calibri" w:hAnsi="Calibri" w:cs="Arial"/>
          <w:color w:val="000000"/>
        </w:rPr>
        <w:t>.</w:t>
      </w:r>
    </w:p>
    <w:p w14:paraId="27C93C6E" w14:textId="0CC69381" w:rsidR="004D5487" w:rsidRPr="004D5487" w:rsidRDefault="004D5487" w:rsidP="0060502D">
      <w:pPr>
        <w:spacing w:line="240" w:lineRule="auto"/>
        <w:rPr>
          <w:rFonts w:ascii="Calibri" w:eastAsia="Calibri" w:hAnsi="Calibri" w:cs="Arial"/>
          <w:color w:val="000000"/>
        </w:rPr>
      </w:pPr>
      <w:r w:rsidRPr="004D5487">
        <w:rPr>
          <w:rFonts w:ascii="Calibri" w:eastAsia="Calibri" w:hAnsi="Calibri" w:cs="Arial"/>
          <w:color w:val="000000"/>
        </w:rPr>
        <w:t xml:space="preserve">DOI: </w:t>
      </w:r>
      <w:hyperlink r:id="rId9" w:history="1">
        <w:r w:rsidR="0060502D" w:rsidRPr="0060502D">
          <w:rPr>
            <w:rStyle w:val="Hyperlink"/>
            <w:rFonts w:ascii="Calibri" w:eastAsia="Calibri" w:hAnsi="Calibri" w:cs="Arial"/>
            <w:b/>
            <w:bCs/>
          </w:rPr>
          <w:t>10.21608/AJGH.2024.247971.1043</w:t>
        </w:r>
      </w:hyperlink>
      <w:r w:rsidRPr="004D5487">
        <w:rPr>
          <w:rFonts w:ascii="Calibri" w:eastAsia="Calibri" w:hAnsi="Calibri" w:cs="Arial"/>
          <w:b/>
          <w:bCs/>
          <w:color w:val="000000"/>
        </w:rPr>
        <w:t>.</w:t>
      </w:r>
    </w:p>
    <w:p w14:paraId="6E200B2B" w14:textId="5409A677" w:rsidR="004D5487" w:rsidRPr="004D5487" w:rsidRDefault="004D5487" w:rsidP="004D5487">
      <w:pPr>
        <w:spacing w:line="240" w:lineRule="auto"/>
        <w:rPr>
          <w:rFonts w:ascii="Calibri" w:eastAsia="Calibri" w:hAnsi="Calibri" w:cs="Arial"/>
          <w:color w:val="000000"/>
        </w:rPr>
      </w:pPr>
      <w:r w:rsidRPr="004D5487">
        <w:rPr>
          <w:rFonts w:ascii="Calibri" w:eastAsia="Calibri" w:hAnsi="Calibri" w:cs="Arial"/>
          <w:color w:val="000000"/>
        </w:rPr>
        <w:t>Submission date:</w:t>
      </w:r>
      <w:r w:rsidR="0060502D">
        <w:rPr>
          <w:rFonts w:ascii="Calibri" w:eastAsia="Calibri" w:hAnsi="Calibri" w:cs="Arial"/>
          <w:color w:val="000000"/>
        </w:rPr>
        <w:t>1</w:t>
      </w:r>
      <w:r w:rsidRPr="004D5487">
        <w:rPr>
          <w:rFonts w:ascii="Calibri" w:eastAsia="Calibri" w:hAnsi="Calibri" w:cs="Arial"/>
          <w:color w:val="000000"/>
        </w:rPr>
        <w:t xml:space="preserve">1 </w:t>
      </w:r>
      <w:r w:rsidR="0060502D">
        <w:rPr>
          <w:rFonts w:ascii="Calibri" w:eastAsia="Calibri" w:hAnsi="Calibri" w:cs="Arial"/>
          <w:color w:val="000000"/>
        </w:rPr>
        <w:t>November</w:t>
      </w:r>
      <w:r w:rsidRPr="004D5487">
        <w:rPr>
          <w:rFonts w:ascii="Calibri" w:eastAsia="Calibri" w:hAnsi="Calibri" w:cs="Arial"/>
          <w:color w:val="000000"/>
        </w:rPr>
        <w:t xml:space="preserve"> 2023.</w:t>
      </w:r>
    </w:p>
    <w:p w14:paraId="5E596E33" w14:textId="7BD144DC" w:rsidR="004D5487" w:rsidRPr="004D5487" w:rsidRDefault="004D5487" w:rsidP="004D5487">
      <w:pPr>
        <w:spacing w:line="240" w:lineRule="auto"/>
        <w:rPr>
          <w:rFonts w:ascii="Calibri" w:eastAsia="Calibri" w:hAnsi="Calibri" w:cs="Arial"/>
          <w:color w:val="000000"/>
        </w:rPr>
      </w:pPr>
      <w:r w:rsidRPr="004D5487">
        <w:rPr>
          <w:rFonts w:ascii="Calibri" w:eastAsia="Calibri" w:hAnsi="Calibri" w:cs="Arial"/>
          <w:color w:val="000000"/>
        </w:rPr>
        <w:t xml:space="preserve">Revision date: </w:t>
      </w:r>
      <w:r w:rsidR="0060502D">
        <w:rPr>
          <w:rFonts w:ascii="Calibri" w:eastAsia="Calibri" w:hAnsi="Calibri" w:cs="Arial"/>
          <w:color w:val="000000"/>
        </w:rPr>
        <w:t>30</w:t>
      </w:r>
      <w:r w:rsidRPr="004D5487">
        <w:rPr>
          <w:rFonts w:ascii="Calibri" w:eastAsia="Calibri" w:hAnsi="Calibri" w:cs="Arial"/>
          <w:color w:val="000000"/>
        </w:rPr>
        <w:t xml:space="preserve"> </w:t>
      </w:r>
      <w:r w:rsidR="0060502D">
        <w:rPr>
          <w:rFonts w:ascii="Calibri" w:eastAsia="Calibri" w:hAnsi="Calibri" w:cs="Arial"/>
          <w:color w:val="000000"/>
        </w:rPr>
        <w:t>December</w:t>
      </w:r>
      <w:r w:rsidRPr="004D5487">
        <w:rPr>
          <w:rFonts w:ascii="Calibri" w:eastAsia="Calibri" w:hAnsi="Calibri" w:cs="Arial"/>
          <w:color w:val="000000"/>
        </w:rPr>
        <w:t xml:space="preserve"> 2023.</w:t>
      </w:r>
    </w:p>
    <w:p w14:paraId="27E584DA" w14:textId="3D0EFC4A" w:rsidR="004D5487" w:rsidRPr="004D5487" w:rsidRDefault="004D5487" w:rsidP="004D5487">
      <w:pPr>
        <w:spacing w:line="240" w:lineRule="auto"/>
        <w:rPr>
          <w:rFonts w:ascii="Calibri" w:eastAsia="Calibri" w:hAnsi="Calibri" w:cs="Arial"/>
          <w:color w:val="000000"/>
        </w:rPr>
      </w:pPr>
      <w:r w:rsidRPr="004D5487">
        <w:rPr>
          <w:rFonts w:ascii="Calibri" w:eastAsia="Calibri" w:hAnsi="Calibri" w:cs="Arial"/>
          <w:color w:val="000000"/>
        </w:rPr>
        <w:t xml:space="preserve">Acceptance date: 9 </w:t>
      </w:r>
      <w:bookmarkStart w:id="1" w:name="_Hlk155701452"/>
      <w:r w:rsidR="0060502D">
        <w:rPr>
          <w:rFonts w:ascii="Calibri" w:eastAsia="Calibri" w:hAnsi="Calibri" w:cs="Arial"/>
          <w:color w:val="000000"/>
        </w:rPr>
        <w:t>January</w:t>
      </w:r>
      <w:bookmarkEnd w:id="1"/>
      <w:r w:rsidRPr="004D5487">
        <w:rPr>
          <w:rFonts w:ascii="Calibri" w:eastAsia="Calibri" w:hAnsi="Calibri" w:cs="Arial"/>
          <w:color w:val="000000"/>
        </w:rPr>
        <w:t xml:space="preserve"> 202</w:t>
      </w:r>
      <w:r w:rsidR="0060502D">
        <w:rPr>
          <w:rFonts w:ascii="Calibri" w:eastAsia="Calibri" w:hAnsi="Calibri" w:cs="Arial"/>
          <w:color w:val="000000"/>
        </w:rPr>
        <w:t>4</w:t>
      </w:r>
      <w:r w:rsidRPr="004D5487">
        <w:rPr>
          <w:rFonts w:ascii="Calibri" w:eastAsia="Calibri" w:hAnsi="Calibri" w:cs="Arial"/>
          <w:color w:val="000000"/>
        </w:rPr>
        <w:t>.</w:t>
      </w:r>
    </w:p>
    <w:p w14:paraId="2B266F5F" w14:textId="443F7CDB" w:rsidR="004D5487" w:rsidRPr="004D5487" w:rsidRDefault="004D5487" w:rsidP="000238FC">
      <w:pPr>
        <w:spacing w:line="240" w:lineRule="auto"/>
        <w:rPr>
          <w:rFonts w:ascii="Calibri" w:eastAsia="Calibri" w:hAnsi="Calibri" w:cs="Arial"/>
          <w:color w:val="000000"/>
          <w:rtl/>
        </w:rPr>
      </w:pPr>
      <w:r w:rsidRPr="004D5487">
        <w:rPr>
          <w:rFonts w:ascii="Calibri" w:eastAsia="Calibri" w:hAnsi="Calibri" w:cs="Arial"/>
          <w:color w:val="000000"/>
        </w:rPr>
        <w:t>Published online:</w:t>
      </w:r>
      <w:r w:rsidR="0060502D">
        <w:rPr>
          <w:rFonts w:ascii="Calibri" w:eastAsia="Calibri" w:hAnsi="Calibri" w:cs="Arial"/>
          <w:color w:val="000000"/>
        </w:rPr>
        <w:t>10</w:t>
      </w:r>
      <w:r w:rsidRPr="004D5487">
        <w:rPr>
          <w:rFonts w:ascii="Calibri" w:eastAsia="Calibri" w:hAnsi="Calibri" w:cs="Arial"/>
          <w:color w:val="000000"/>
        </w:rPr>
        <w:t xml:space="preserve"> </w:t>
      </w:r>
      <w:r w:rsidR="000238FC" w:rsidRPr="000238FC">
        <w:rPr>
          <w:rFonts w:ascii="Calibri" w:eastAsia="Calibri" w:hAnsi="Calibri" w:cs="Arial"/>
          <w:color w:val="000000"/>
        </w:rPr>
        <w:t>January</w:t>
      </w:r>
      <w:r w:rsidRPr="004D5487">
        <w:rPr>
          <w:rFonts w:ascii="Calibri" w:eastAsia="Calibri" w:hAnsi="Calibri" w:cs="Arial"/>
          <w:color w:val="000000"/>
        </w:rPr>
        <w:t xml:space="preserve"> 202</w:t>
      </w:r>
      <w:r w:rsidR="000238FC">
        <w:rPr>
          <w:rFonts w:ascii="Calibri" w:eastAsia="Calibri" w:hAnsi="Calibri" w:cs="Arial"/>
          <w:color w:val="000000"/>
        </w:rPr>
        <w:t>4</w:t>
      </w:r>
      <w:r w:rsidRPr="004D5487">
        <w:rPr>
          <w:rFonts w:ascii="Calibri" w:eastAsia="Calibri" w:hAnsi="Calibri" w:cs="Arial"/>
          <w:color w:val="000000"/>
        </w:rPr>
        <w:t>.</w:t>
      </w:r>
    </w:p>
    <w:p w14:paraId="331FDAF8" w14:textId="2AF3CD98" w:rsidR="00403720" w:rsidRPr="00DC4B5A" w:rsidRDefault="005E172B" w:rsidP="005765D7">
      <w:pPr>
        <w:spacing w:before="240" w:after="240" w:line="240" w:lineRule="auto"/>
        <w:jc w:val="both"/>
        <w:rPr>
          <w:rFonts w:ascii="Times New Roman" w:eastAsia="Times New Roman" w:hAnsi="Times New Roman" w:cs="Times New Roman"/>
          <w:sz w:val="24"/>
          <w:szCs w:val="24"/>
        </w:rPr>
      </w:pPr>
      <w:r w:rsidRPr="00DC4B5A">
        <w:rPr>
          <w:rFonts w:ascii="Times New Roman" w:eastAsia="Times New Roman" w:hAnsi="Times New Roman" w:cs="Times New Roman"/>
          <w:b/>
          <w:bCs/>
          <w:sz w:val="24"/>
          <w:szCs w:val="24"/>
        </w:rPr>
        <w:t>Abstract</w:t>
      </w:r>
      <w:r w:rsidRPr="00DC4B5A">
        <w:rPr>
          <w:rFonts w:ascii="Times New Roman" w:eastAsia="Times New Roman" w:hAnsi="Times New Roman" w:cs="Times New Roman"/>
          <w:sz w:val="24"/>
          <w:szCs w:val="24"/>
        </w:rPr>
        <w:t>:</w:t>
      </w:r>
    </w:p>
    <w:p w14:paraId="68203495" w14:textId="416885DE" w:rsidR="00403720" w:rsidRPr="00DC4B5A" w:rsidRDefault="005E172B" w:rsidP="005765D7">
      <w:pPr>
        <w:spacing w:line="240" w:lineRule="auto"/>
        <w:jc w:val="lowKashida"/>
        <w:rPr>
          <w:rFonts w:ascii="Times New Roman" w:eastAsia="Times New Roman" w:hAnsi="Times New Roman" w:cs="Times New Roman"/>
          <w:sz w:val="24"/>
          <w:szCs w:val="24"/>
        </w:rPr>
      </w:pPr>
      <w:r w:rsidRPr="00DC4B5A">
        <w:rPr>
          <w:rFonts w:ascii="Times New Roman" w:eastAsia="Times New Roman" w:hAnsi="Times New Roman" w:cs="Times New Roman"/>
          <w:b/>
          <w:bCs/>
          <w:sz w:val="24"/>
          <w:szCs w:val="24"/>
          <w:lang w:val="en-GB"/>
        </w:rPr>
        <w:t>Background</w:t>
      </w:r>
      <w:r w:rsidRPr="00DC4B5A">
        <w:rPr>
          <w:rFonts w:ascii="Times New Roman" w:eastAsia="Times New Roman" w:hAnsi="Times New Roman" w:cs="Times New Roman"/>
          <w:b/>
          <w:bCs/>
          <w:sz w:val="24"/>
          <w:szCs w:val="24"/>
        </w:rPr>
        <w:t>:</w:t>
      </w:r>
      <w:r w:rsidRPr="00DC4B5A">
        <w:rPr>
          <w:rFonts w:ascii="Times New Roman" w:eastAsia="Times New Roman" w:hAnsi="Times New Roman" w:cs="Times New Roman"/>
          <w:sz w:val="24"/>
          <w:szCs w:val="24"/>
        </w:rPr>
        <w:t xml:space="preserve"> </w:t>
      </w:r>
      <w:r w:rsidRPr="00DC4B5A">
        <w:rPr>
          <w:rFonts w:ascii="Times New Roman" w:eastAsia="Calibri" w:hAnsi="Times New Roman" w:cs="Times New Roman"/>
          <w:sz w:val="24"/>
          <w:szCs w:val="24"/>
        </w:rPr>
        <w:t xml:space="preserve">Iron deficiency anemia is one of the most important etiological factors for anemia in chronic kidney disease patients. </w:t>
      </w:r>
      <w:r w:rsidR="005E3D56" w:rsidRPr="00DC4B5A">
        <w:rPr>
          <w:rFonts w:ascii="Times New Roman" w:eastAsia="Calibri" w:hAnsi="Times New Roman" w:cs="Times New Roman"/>
          <w:sz w:val="24"/>
          <w:szCs w:val="24"/>
        </w:rPr>
        <w:t xml:space="preserve">Iron deficiency anemia </w:t>
      </w:r>
      <w:r w:rsidRPr="00DC4B5A">
        <w:rPr>
          <w:rFonts w:ascii="Times New Roman" w:eastAsia="Calibri" w:hAnsi="Times New Roman" w:cs="Times New Roman"/>
          <w:sz w:val="24"/>
          <w:szCs w:val="24"/>
        </w:rPr>
        <w:t xml:space="preserve">in adults is commonly caused by upper gastrointestinal bleeding. However, the epidemiology of gastrointestinal lesions in patients with </w:t>
      </w:r>
      <w:r w:rsidR="00E70E5B" w:rsidRPr="00DC4B5A">
        <w:rPr>
          <w:rFonts w:ascii="Times New Roman" w:eastAsia="Calibri" w:hAnsi="Times New Roman" w:cs="Times New Roman"/>
          <w:sz w:val="24"/>
          <w:szCs w:val="24"/>
        </w:rPr>
        <w:t xml:space="preserve">chronic kidney disease </w:t>
      </w:r>
      <w:r w:rsidRPr="00DC4B5A">
        <w:rPr>
          <w:rFonts w:ascii="Times New Roman" w:eastAsia="Calibri" w:hAnsi="Times New Roman" w:cs="Times New Roman"/>
          <w:sz w:val="24"/>
          <w:szCs w:val="24"/>
        </w:rPr>
        <w:t xml:space="preserve">remains questionable. </w:t>
      </w:r>
      <w:r w:rsidR="002E73CB" w:rsidRPr="00DC4B5A">
        <w:rPr>
          <w:rFonts w:ascii="Times New Roman" w:eastAsia="Calibri" w:hAnsi="Times New Roman" w:cs="Times New Roman"/>
          <w:sz w:val="24"/>
          <w:szCs w:val="24"/>
        </w:rPr>
        <w:t xml:space="preserve">Aim: </w:t>
      </w:r>
      <w:r w:rsidRPr="00DC4B5A">
        <w:rPr>
          <w:rFonts w:ascii="Times New Roman" w:eastAsia="Calibri" w:hAnsi="Times New Roman" w:cs="Times New Roman"/>
          <w:sz w:val="24"/>
          <w:szCs w:val="24"/>
        </w:rPr>
        <w:t xml:space="preserve">to assess the presence of potential upper gastrointestinal disorders in asymptomatic patients with </w:t>
      </w:r>
      <w:r w:rsidR="00E70E5B" w:rsidRPr="00DC4B5A">
        <w:rPr>
          <w:rFonts w:ascii="Times New Roman" w:eastAsia="Calibri" w:hAnsi="Times New Roman" w:cs="Times New Roman"/>
          <w:sz w:val="24"/>
          <w:szCs w:val="24"/>
        </w:rPr>
        <w:t xml:space="preserve">chronic kidney disease </w:t>
      </w:r>
      <w:r w:rsidRPr="00DC4B5A">
        <w:rPr>
          <w:rFonts w:ascii="Times New Roman" w:eastAsia="Calibri" w:hAnsi="Times New Roman" w:cs="Times New Roman"/>
          <w:sz w:val="24"/>
          <w:szCs w:val="24"/>
        </w:rPr>
        <w:t>and assess the risk factors contributing to the most prevalent endoscopic findings.</w:t>
      </w:r>
    </w:p>
    <w:p w14:paraId="3CF41CFA" w14:textId="5D2DB8BA" w:rsidR="003F64A0" w:rsidRPr="00DC4B5A" w:rsidRDefault="005E172B" w:rsidP="005765D7">
      <w:pPr>
        <w:spacing w:line="240" w:lineRule="auto"/>
        <w:jc w:val="lowKashida"/>
        <w:rPr>
          <w:rFonts w:ascii="Times New Roman" w:eastAsia="Times New Roman" w:hAnsi="Times New Roman" w:cs="Times New Roman"/>
          <w:b/>
          <w:bCs/>
          <w:sz w:val="24"/>
          <w:szCs w:val="24"/>
          <w:lang w:val="en-GB"/>
        </w:rPr>
      </w:pPr>
      <w:r w:rsidRPr="00DC4B5A">
        <w:rPr>
          <w:rFonts w:ascii="Times New Roman" w:eastAsia="Times New Roman" w:hAnsi="Times New Roman" w:cs="Times New Roman"/>
          <w:b/>
          <w:bCs/>
          <w:sz w:val="24"/>
          <w:szCs w:val="24"/>
          <w:lang w:val="en-GB"/>
        </w:rPr>
        <w:t>Methods:</w:t>
      </w:r>
      <w:r w:rsidRPr="00DC4B5A">
        <w:rPr>
          <w:rFonts w:ascii="Times New Roman" w:eastAsia="Times New Roman" w:hAnsi="Times New Roman" w:cs="Times New Roman"/>
          <w:sz w:val="24"/>
          <w:szCs w:val="24"/>
          <w:lang w:val="en-GB"/>
        </w:rPr>
        <w:t xml:space="preserve"> </w:t>
      </w:r>
      <w:r w:rsidRPr="00DC4B5A">
        <w:rPr>
          <w:rFonts w:ascii="Times New Roman" w:eastAsia="Calibri" w:hAnsi="Times New Roman" w:cs="Times New Roman"/>
          <w:sz w:val="24"/>
          <w:szCs w:val="24"/>
        </w:rPr>
        <w:t xml:space="preserve">This </w:t>
      </w:r>
      <w:r w:rsidR="00AD1276" w:rsidRPr="00DC4B5A">
        <w:rPr>
          <w:rFonts w:ascii="Times New Roman" w:eastAsia="Calibri" w:hAnsi="Times New Roman" w:cs="Times New Roman"/>
          <w:sz w:val="24"/>
          <w:szCs w:val="24"/>
        </w:rPr>
        <w:t>randomized controlled trial</w:t>
      </w:r>
      <w:r w:rsidR="00AD1276" w:rsidRPr="00416649">
        <w:rPr>
          <w:rFonts w:ascii="Times New Roman" w:eastAsia="Calibri" w:hAnsi="Times New Roman" w:cs="Times New Roman"/>
          <w:sz w:val="24"/>
          <w:szCs w:val="24"/>
        </w:rPr>
        <w:t xml:space="preserve"> </w:t>
      </w:r>
      <w:r w:rsidRPr="00DC4B5A">
        <w:rPr>
          <w:rFonts w:ascii="Times New Roman" w:eastAsia="Times New Roman" w:hAnsi="Times New Roman" w:cs="Times New Roman"/>
          <w:sz w:val="24"/>
          <w:szCs w:val="24"/>
          <w:lang w:val="en-GB"/>
        </w:rPr>
        <w:t xml:space="preserve">involved 81 patients categorized </w:t>
      </w:r>
      <w:r w:rsidRPr="00DC4B5A">
        <w:rPr>
          <w:rFonts w:ascii="Times New Roman" w:eastAsia="Times New Roman" w:hAnsi="Times New Roman" w:cs="Times New Roman"/>
          <w:sz w:val="24"/>
          <w:szCs w:val="24"/>
          <w:cs/>
          <w:lang w:val="en-GB"/>
        </w:rPr>
        <w:t>‎</w:t>
      </w:r>
      <w:r w:rsidRPr="00DC4B5A">
        <w:rPr>
          <w:rFonts w:ascii="Times New Roman" w:eastAsia="Times New Roman" w:hAnsi="Times New Roman" w:cs="Times New Roman"/>
          <w:sz w:val="24"/>
          <w:szCs w:val="24"/>
          <w:lang w:val="en-GB"/>
        </w:rPr>
        <w:t xml:space="preserve">into two groups </w:t>
      </w:r>
      <w:r w:rsidRPr="00DC4B5A">
        <w:rPr>
          <w:rFonts w:ascii="Times New Roman" w:eastAsia="Times New Roman" w:hAnsi="Times New Roman" w:cs="Times New Roman"/>
          <w:sz w:val="24"/>
          <w:szCs w:val="24"/>
          <w:cs/>
          <w:lang w:val="en-GB"/>
        </w:rPr>
        <w:t>‎</w:t>
      </w:r>
      <w:r w:rsidRPr="00DC4B5A">
        <w:rPr>
          <w:rFonts w:ascii="Times New Roman" w:eastAsia="Times New Roman" w:hAnsi="Times New Roman" w:cs="Times New Roman"/>
          <w:sz w:val="24"/>
          <w:szCs w:val="24"/>
          <w:lang w:val="en-GB"/>
        </w:rPr>
        <w:t xml:space="preserve">according to the estimated glomerular filtration rate. </w:t>
      </w:r>
      <w:r w:rsidR="00AD1276" w:rsidRPr="00DC4B5A">
        <w:rPr>
          <w:rFonts w:ascii="Times New Roman" w:eastAsia="Times New Roman" w:hAnsi="Times New Roman" w:cs="Times New Roman"/>
          <w:sz w:val="24"/>
          <w:szCs w:val="24"/>
          <w:lang w:val="en-GB"/>
        </w:rPr>
        <w:t xml:space="preserve">History taking, examination, laboratory </w:t>
      </w:r>
      <w:r w:rsidR="00AD1276" w:rsidRPr="00DC4B5A">
        <w:rPr>
          <w:rFonts w:ascii="Times New Roman" w:eastAsia="Times New Roman" w:hAnsi="Times New Roman" w:cs="Times New Roman"/>
          <w:sz w:val="24"/>
          <w:szCs w:val="24"/>
          <w:cs/>
          <w:lang w:val="en-GB"/>
        </w:rPr>
        <w:t>‎</w:t>
      </w:r>
      <w:r w:rsidR="00AD1276" w:rsidRPr="00DC4B5A">
        <w:rPr>
          <w:rFonts w:ascii="Times New Roman" w:eastAsia="Times New Roman" w:hAnsi="Times New Roman" w:cs="Times New Roman"/>
          <w:sz w:val="24"/>
          <w:szCs w:val="24"/>
          <w:lang w:val="en-GB"/>
        </w:rPr>
        <w:t xml:space="preserve">investigations, and esophagogastroduodenoscopy were performed on all participants </w:t>
      </w:r>
      <w:r w:rsidR="00AD1276" w:rsidRPr="00DC4B5A">
        <w:rPr>
          <w:rFonts w:ascii="Times New Roman" w:eastAsia="Times New Roman" w:hAnsi="Times New Roman" w:cs="Times New Roman"/>
          <w:sz w:val="24"/>
          <w:szCs w:val="24"/>
          <w:cs/>
          <w:lang w:val="en-GB"/>
        </w:rPr>
        <w:t>‎</w:t>
      </w:r>
      <w:r w:rsidR="00AD1276" w:rsidRPr="00DC4B5A">
        <w:rPr>
          <w:rFonts w:ascii="Times New Roman" w:eastAsia="Times New Roman" w:hAnsi="Times New Roman" w:cs="Times New Roman"/>
          <w:sz w:val="24"/>
          <w:szCs w:val="24"/>
          <w:lang w:val="en-GB"/>
        </w:rPr>
        <w:t>from May 2021 to November 2021</w:t>
      </w:r>
      <w:r w:rsidR="00AD1276" w:rsidRPr="00DC4B5A">
        <w:rPr>
          <w:rFonts w:ascii="Times New Roman" w:eastAsia="Times New Roman" w:hAnsi="Times New Roman" w:cs="Times New Roman"/>
          <w:sz w:val="24"/>
          <w:szCs w:val="24"/>
          <w:cs/>
          <w:lang w:val="en-GB"/>
        </w:rPr>
        <w:t>‎‎</w:t>
      </w:r>
      <w:r w:rsidR="00AD1276" w:rsidRPr="00DC4B5A">
        <w:rPr>
          <w:rFonts w:ascii="Times New Roman" w:eastAsia="Times New Roman" w:hAnsi="Times New Roman" w:cs="Times New Roman"/>
          <w:sz w:val="24"/>
          <w:szCs w:val="24"/>
          <w:lang w:val="en-GB"/>
        </w:rPr>
        <w:t>.</w:t>
      </w:r>
      <w:r w:rsidR="00AD1276" w:rsidRPr="00DC4B5A">
        <w:rPr>
          <w:rFonts w:ascii="Times New Roman" w:eastAsia="Times New Roman" w:hAnsi="Times New Roman" w:cs="Times New Roman"/>
          <w:sz w:val="24"/>
          <w:szCs w:val="24"/>
          <w:cs/>
          <w:lang w:val="en-GB"/>
        </w:rPr>
        <w:t>‎</w:t>
      </w:r>
    </w:p>
    <w:p w14:paraId="064DE680" w14:textId="56517A3A" w:rsidR="00403720" w:rsidRPr="00DC4B5A" w:rsidRDefault="005E172B" w:rsidP="005765D7">
      <w:pPr>
        <w:spacing w:line="240" w:lineRule="auto"/>
        <w:jc w:val="lowKashida"/>
        <w:rPr>
          <w:rFonts w:ascii="Times New Roman" w:eastAsia="Times New Roman" w:hAnsi="Times New Roman" w:cs="Times New Roman"/>
          <w:sz w:val="24"/>
          <w:szCs w:val="24"/>
        </w:rPr>
      </w:pPr>
      <w:r w:rsidRPr="00DC4B5A">
        <w:rPr>
          <w:rFonts w:ascii="Times New Roman" w:eastAsia="Times New Roman" w:hAnsi="Times New Roman" w:cs="Times New Roman"/>
          <w:b/>
          <w:bCs/>
          <w:sz w:val="24"/>
          <w:szCs w:val="24"/>
          <w:lang w:val="en-GB"/>
        </w:rPr>
        <w:t>Results:</w:t>
      </w:r>
      <w:r w:rsidRPr="00DC4B5A">
        <w:rPr>
          <w:rFonts w:ascii="Times New Roman" w:eastAsia="Times New Roman" w:hAnsi="Times New Roman" w:cs="Times New Roman"/>
          <w:sz w:val="24"/>
          <w:szCs w:val="24"/>
          <w:lang w:val="en-GB"/>
        </w:rPr>
        <w:t xml:space="preserve"> </w:t>
      </w:r>
      <w:r w:rsidRPr="00DC4B5A">
        <w:rPr>
          <w:rFonts w:ascii="Times New Roman" w:eastAsia="Calibri" w:hAnsi="Times New Roman" w:cs="Times New Roman"/>
          <w:sz w:val="24"/>
          <w:szCs w:val="24"/>
        </w:rPr>
        <w:t xml:space="preserve">The most common endoscopic findings were chronic gastritis, </w:t>
      </w:r>
      <w:r w:rsidRPr="00DC4B5A">
        <w:rPr>
          <w:rFonts w:ascii="Times New Roman" w:eastAsia="Calibri" w:hAnsi="Times New Roman" w:cs="Times New Roman"/>
          <w:i/>
          <w:iCs/>
          <w:sz w:val="24"/>
          <w:szCs w:val="24"/>
        </w:rPr>
        <w:t>helicobacter pylori</w:t>
      </w:r>
      <w:r w:rsidRPr="00DC4B5A">
        <w:rPr>
          <w:rFonts w:ascii="Times New Roman" w:eastAsia="Calibri" w:hAnsi="Times New Roman" w:cs="Times New Roman"/>
          <w:sz w:val="24"/>
          <w:szCs w:val="24"/>
        </w:rPr>
        <w:t xml:space="preserve">, and erosive </w:t>
      </w:r>
      <w:r w:rsidRPr="00DC4B5A">
        <w:rPr>
          <w:rFonts w:ascii="Times New Roman" w:eastAsia="Calibri" w:hAnsi="Times New Roman" w:cs="Times New Roman"/>
          <w:sz w:val="24"/>
          <w:szCs w:val="24"/>
          <w:cs/>
        </w:rPr>
        <w:t>‎</w:t>
      </w:r>
      <w:r w:rsidRPr="00DC4B5A">
        <w:rPr>
          <w:rFonts w:ascii="Times New Roman" w:eastAsia="Calibri" w:hAnsi="Times New Roman" w:cs="Times New Roman"/>
          <w:sz w:val="24"/>
          <w:szCs w:val="24"/>
        </w:rPr>
        <w:t xml:space="preserve">gastritis. Risk factors associated with </w:t>
      </w:r>
      <w:r w:rsidR="00E70E5B" w:rsidRPr="00DC4B5A">
        <w:rPr>
          <w:rFonts w:ascii="Times New Roman" w:eastAsia="Calibri" w:hAnsi="Times New Roman" w:cs="Times New Roman"/>
          <w:sz w:val="24"/>
          <w:szCs w:val="24"/>
        </w:rPr>
        <w:t xml:space="preserve">helicobacter pylori </w:t>
      </w:r>
      <w:r w:rsidRPr="00DC4B5A">
        <w:rPr>
          <w:rFonts w:ascii="Times New Roman" w:eastAsia="Calibri" w:hAnsi="Times New Roman" w:cs="Times New Roman"/>
          <w:sz w:val="24"/>
          <w:szCs w:val="24"/>
        </w:rPr>
        <w:t xml:space="preserve">gastritis </w:t>
      </w:r>
      <w:r w:rsidRPr="00DC4B5A">
        <w:rPr>
          <w:rFonts w:ascii="Times New Roman" w:eastAsia="Calibri" w:hAnsi="Times New Roman" w:cs="Times New Roman"/>
          <w:sz w:val="24"/>
          <w:szCs w:val="24"/>
          <w:cs/>
        </w:rPr>
        <w:t>‎</w:t>
      </w:r>
      <w:r w:rsidRPr="00DC4B5A">
        <w:rPr>
          <w:rFonts w:ascii="Times New Roman" w:eastAsia="Calibri" w:hAnsi="Times New Roman" w:cs="Times New Roman"/>
          <w:sz w:val="24"/>
          <w:szCs w:val="24"/>
        </w:rPr>
        <w:t xml:space="preserve">included higher serum creatinine and lower transferrin saturation. Risk factors </w:t>
      </w:r>
      <w:r w:rsidR="00B7625B" w:rsidRPr="00DC4B5A">
        <w:rPr>
          <w:rFonts w:ascii="Times New Roman" w:eastAsia="Calibri" w:hAnsi="Times New Roman" w:cs="Times New Roman"/>
          <w:sz w:val="24"/>
          <w:szCs w:val="24"/>
        </w:rPr>
        <w:t>for</w:t>
      </w:r>
      <w:r w:rsidRPr="00DC4B5A">
        <w:rPr>
          <w:rFonts w:ascii="Times New Roman" w:eastAsia="Calibri" w:hAnsi="Times New Roman" w:cs="Times New Roman"/>
          <w:sz w:val="24"/>
          <w:szCs w:val="24"/>
        </w:rPr>
        <w:t xml:space="preserve"> erosive gastritis</w:t>
      </w:r>
      <w:r w:rsidRPr="00DC4B5A">
        <w:rPr>
          <w:rFonts w:ascii="Times New Roman" w:eastAsia="Calibri" w:hAnsi="Times New Roman" w:cs="Times New Roman"/>
          <w:sz w:val="24"/>
          <w:szCs w:val="24"/>
          <w:cs/>
        </w:rPr>
        <w:t>‎</w:t>
      </w:r>
      <w:r w:rsidRPr="00DC4B5A">
        <w:rPr>
          <w:rFonts w:ascii="Times New Roman" w:eastAsia="Calibri" w:hAnsi="Times New Roman" w:cs="Times New Roman"/>
          <w:sz w:val="24"/>
          <w:szCs w:val="24"/>
        </w:rPr>
        <w:t xml:space="preserve"> included older age, higher serum creatinine, </w:t>
      </w:r>
      <w:r w:rsidRPr="00DC4B5A">
        <w:rPr>
          <w:rFonts w:ascii="Times New Roman" w:eastAsia="Calibri" w:hAnsi="Times New Roman" w:cs="Times New Roman"/>
          <w:sz w:val="24"/>
          <w:szCs w:val="24"/>
          <w:cs/>
        </w:rPr>
        <w:t>‎</w:t>
      </w:r>
      <w:r w:rsidRPr="00DC4B5A">
        <w:rPr>
          <w:rFonts w:ascii="Times New Roman" w:eastAsia="Calibri" w:hAnsi="Times New Roman" w:cs="Times New Roman"/>
          <w:sz w:val="24"/>
          <w:szCs w:val="24"/>
        </w:rPr>
        <w:t xml:space="preserve"> </w:t>
      </w:r>
      <w:r w:rsidRPr="00DC4B5A">
        <w:rPr>
          <w:rFonts w:ascii="Times New Roman" w:eastAsia="Calibri" w:hAnsi="Times New Roman" w:cs="Times New Roman"/>
          <w:sz w:val="24"/>
          <w:szCs w:val="24"/>
          <w:cs/>
        </w:rPr>
        <w:t>‎</w:t>
      </w:r>
      <w:r w:rsidRPr="00DC4B5A">
        <w:rPr>
          <w:rFonts w:ascii="Times New Roman" w:eastAsia="Calibri" w:hAnsi="Times New Roman" w:cs="Times New Roman"/>
          <w:sz w:val="24"/>
          <w:szCs w:val="24"/>
        </w:rPr>
        <w:t xml:space="preserve">lower hemoglobin, </w:t>
      </w:r>
      <w:r w:rsidRPr="00DC4B5A">
        <w:rPr>
          <w:rFonts w:ascii="Times New Roman" w:eastAsia="Calibri" w:hAnsi="Times New Roman" w:cs="Times New Roman"/>
          <w:sz w:val="24"/>
          <w:szCs w:val="24"/>
          <w:cs/>
        </w:rPr>
        <w:t>‎</w:t>
      </w:r>
      <w:r w:rsidRPr="00DC4B5A">
        <w:rPr>
          <w:rFonts w:ascii="Times New Roman" w:eastAsia="Calibri" w:hAnsi="Times New Roman" w:cs="Times New Roman"/>
          <w:sz w:val="24"/>
          <w:szCs w:val="24"/>
        </w:rPr>
        <w:t xml:space="preserve"> and lower </w:t>
      </w:r>
      <w:r w:rsidRPr="00DC4B5A">
        <w:rPr>
          <w:rFonts w:ascii="Times New Roman" w:eastAsia="Calibri" w:hAnsi="Times New Roman" w:cs="Times New Roman"/>
          <w:sz w:val="24"/>
          <w:szCs w:val="24"/>
          <w:cs/>
        </w:rPr>
        <w:t>‎</w:t>
      </w:r>
      <w:r w:rsidRPr="00DC4B5A">
        <w:rPr>
          <w:rFonts w:ascii="Times New Roman" w:eastAsia="Calibri" w:hAnsi="Times New Roman" w:cs="Times New Roman"/>
          <w:sz w:val="24"/>
          <w:szCs w:val="24"/>
        </w:rPr>
        <w:t xml:space="preserve"> serum iron.</w:t>
      </w:r>
      <w:r w:rsidRPr="00DC4B5A">
        <w:rPr>
          <w:rFonts w:ascii="Times New Roman" w:eastAsia="Calibri" w:hAnsi="Times New Roman" w:cs="Times New Roman"/>
          <w:sz w:val="24"/>
          <w:szCs w:val="24"/>
          <w:cs/>
        </w:rPr>
        <w:t>‎</w:t>
      </w:r>
    </w:p>
    <w:p w14:paraId="75905D9E" w14:textId="01915824" w:rsidR="00403720" w:rsidRPr="00DC4B5A" w:rsidRDefault="005E172B" w:rsidP="005765D7">
      <w:pPr>
        <w:spacing w:line="240" w:lineRule="auto"/>
        <w:jc w:val="lowKashida"/>
        <w:rPr>
          <w:rFonts w:ascii="Times New Roman" w:eastAsia="Times New Roman" w:hAnsi="Times New Roman" w:cs="Times New Roman"/>
          <w:sz w:val="24"/>
          <w:szCs w:val="24"/>
        </w:rPr>
      </w:pPr>
      <w:r w:rsidRPr="00DC4B5A">
        <w:rPr>
          <w:rFonts w:ascii="Times New Roman" w:eastAsia="Times New Roman" w:hAnsi="Times New Roman" w:cs="Times New Roman"/>
          <w:b/>
          <w:bCs/>
          <w:sz w:val="24"/>
          <w:szCs w:val="24"/>
          <w:lang w:val="en-GB"/>
        </w:rPr>
        <w:t>Conclusion:</w:t>
      </w:r>
      <w:r w:rsidRPr="00DC4B5A">
        <w:rPr>
          <w:rFonts w:ascii="Times New Roman" w:eastAsia="Times New Roman" w:hAnsi="Times New Roman" w:cs="Times New Roman"/>
          <w:sz w:val="24"/>
          <w:szCs w:val="24"/>
          <w:lang w:val="en-GB"/>
        </w:rPr>
        <w:t xml:space="preserve"> </w:t>
      </w:r>
      <w:r w:rsidRPr="00DC4B5A">
        <w:rPr>
          <w:rFonts w:ascii="Times New Roman" w:eastAsia="Times New Roman" w:hAnsi="Times New Roman" w:cs="Times New Roman"/>
          <w:sz w:val="24"/>
          <w:szCs w:val="24"/>
        </w:rPr>
        <w:t xml:space="preserve">Endoscopic gastrointestinal lesions are common in asymptomatic </w:t>
      </w:r>
      <w:r w:rsidR="00E70E5B" w:rsidRPr="00DC4B5A">
        <w:rPr>
          <w:rFonts w:ascii="Times New Roman" w:eastAsia="Calibri" w:hAnsi="Times New Roman" w:cs="Times New Roman"/>
          <w:sz w:val="24"/>
          <w:szCs w:val="24"/>
        </w:rPr>
        <w:t>chronic kidney disease</w:t>
      </w:r>
      <w:r w:rsidR="00487C00" w:rsidRPr="00DC4B5A">
        <w:rPr>
          <w:rFonts w:ascii="Times New Roman" w:eastAsia="Times New Roman" w:hAnsi="Times New Roman" w:cs="Times New Roman"/>
          <w:sz w:val="24"/>
          <w:szCs w:val="24"/>
        </w:rPr>
        <w:t xml:space="preserve"> </w:t>
      </w:r>
      <w:r w:rsidRPr="00DC4B5A">
        <w:rPr>
          <w:rFonts w:ascii="Times New Roman" w:eastAsia="Times New Roman" w:hAnsi="Times New Roman" w:cs="Times New Roman"/>
          <w:sz w:val="24"/>
          <w:szCs w:val="24"/>
        </w:rPr>
        <w:t>patients</w:t>
      </w:r>
      <w:r w:rsidR="00E70E5B" w:rsidRPr="00DC4B5A">
        <w:rPr>
          <w:rFonts w:ascii="Times New Roman" w:eastAsia="Times New Roman" w:hAnsi="Times New Roman" w:cs="Times New Roman"/>
          <w:sz w:val="24"/>
          <w:szCs w:val="24"/>
        </w:rPr>
        <w:t xml:space="preserve"> with iron deficiency anemia</w:t>
      </w:r>
      <w:r w:rsidRPr="00DC4B5A">
        <w:rPr>
          <w:rFonts w:ascii="Times New Roman" w:eastAsia="Times New Roman" w:hAnsi="Times New Roman" w:cs="Times New Roman"/>
          <w:sz w:val="24"/>
          <w:szCs w:val="24"/>
        </w:rPr>
        <w:t>.</w:t>
      </w:r>
      <w:r w:rsidRPr="00DC4B5A">
        <w:rPr>
          <w:rFonts w:ascii="Times New Roman" w:eastAsia="Calibri" w:hAnsi="Times New Roman" w:cs="Times New Roman"/>
          <w:sz w:val="24"/>
          <w:szCs w:val="24"/>
        </w:rPr>
        <w:t xml:space="preserve"> </w:t>
      </w:r>
      <w:bookmarkStart w:id="2" w:name="_Hlk97218408"/>
      <w:r w:rsidRPr="00DC4B5A">
        <w:rPr>
          <w:rFonts w:ascii="Times New Roman" w:eastAsia="Times New Roman" w:hAnsi="Times New Roman" w:cs="Times New Roman"/>
          <w:sz w:val="24"/>
          <w:szCs w:val="24"/>
        </w:rPr>
        <w:t xml:space="preserve">The severity </w:t>
      </w:r>
      <w:r w:rsidR="00E70E5B" w:rsidRPr="00DC4B5A">
        <w:rPr>
          <w:rFonts w:ascii="Times New Roman" w:eastAsia="Times New Roman" w:hAnsi="Times New Roman" w:cs="Times New Roman"/>
          <w:sz w:val="24"/>
          <w:szCs w:val="24"/>
        </w:rPr>
        <w:t xml:space="preserve">of renal disease </w:t>
      </w:r>
      <w:r w:rsidRPr="00DC4B5A">
        <w:rPr>
          <w:rFonts w:ascii="Times New Roman" w:eastAsia="Times New Roman" w:hAnsi="Times New Roman" w:cs="Times New Roman"/>
          <w:sz w:val="24"/>
          <w:szCs w:val="24"/>
        </w:rPr>
        <w:t>increased the prevalence</w:t>
      </w:r>
      <w:r w:rsidRPr="00DC4B5A">
        <w:rPr>
          <w:rFonts w:ascii="Times New Roman" w:eastAsia="Calibri" w:hAnsi="Times New Roman" w:cs="Times New Roman"/>
          <w:sz w:val="24"/>
          <w:szCs w:val="24"/>
        </w:rPr>
        <w:t xml:space="preserve"> of severe gastrointestinal lesions.</w:t>
      </w:r>
      <w:r w:rsidRPr="00DC4B5A">
        <w:rPr>
          <w:rFonts w:ascii="Times New Roman" w:eastAsia="Times New Roman" w:hAnsi="Times New Roman" w:cs="Times New Roman"/>
          <w:sz w:val="24"/>
          <w:szCs w:val="24"/>
        </w:rPr>
        <w:t xml:space="preserve"> </w:t>
      </w:r>
    </w:p>
    <w:bookmarkEnd w:id="2"/>
    <w:p w14:paraId="3C15D7A6" w14:textId="1AF38101" w:rsidR="00BF7887" w:rsidRPr="00DC4B5A" w:rsidRDefault="00B7625B" w:rsidP="005765D7">
      <w:pPr>
        <w:spacing w:line="240" w:lineRule="auto"/>
        <w:jc w:val="lowKashida"/>
        <w:rPr>
          <w:rFonts w:ascii="Times New Roman" w:eastAsia="Times New Roman" w:hAnsi="Times New Roman" w:cs="Times New Roman"/>
          <w:sz w:val="24"/>
          <w:szCs w:val="24"/>
        </w:rPr>
      </w:pPr>
      <w:r w:rsidRPr="00DC4B5A">
        <w:rPr>
          <w:rFonts w:ascii="Times New Roman" w:eastAsia="Times New Roman" w:hAnsi="Times New Roman" w:cs="Times New Roman"/>
          <w:b/>
          <w:bCs/>
          <w:i/>
          <w:iCs/>
          <w:sz w:val="24"/>
          <w:szCs w:val="24"/>
          <w:lang w:val="en-GB"/>
        </w:rPr>
        <w:t>Keywords</w:t>
      </w:r>
      <w:r w:rsidRPr="00DC4B5A">
        <w:rPr>
          <w:rFonts w:ascii="Times New Roman" w:eastAsia="Times New Roman" w:hAnsi="Times New Roman" w:cs="Times New Roman"/>
          <w:b/>
          <w:bCs/>
          <w:i/>
          <w:iCs/>
          <w:sz w:val="24"/>
          <w:szCs w:val="24"/>
          <w:cs/>
          <w:lang w:val="en-GB"/>
        </w:rPr>
        <w:t>‎</w:t>
      </w:r>
      <w:r w:rsidRPr="00DC4B5A">
        <w:rPr>
          <w:rFonts w:ascii="Times New Roman" w:eastAsia="Times New Roman" w:hAnsi="Times New Roman" w:cs="Times New Roman"/>
          <w:b/>
          <w:bCs/>
          <w:i/>
          <w:iCs/>
          <w:sz w:val="24"/>
          <w:szCs w:val="24"/>
          <w:lang w:val="en-GB"/>
        </w:rPr>
        <w:t>:</w:t>
      </w:r>
      <w:r w:rsidRPr="00DC4B5A">
        <w:rPr>
          <w:rFonts w:ascii="Times New Roman" w:eastAsia="Times New Roman" w:hAnsi="Times New Roman" w:cs="Times New Roman"/>
          <w:b/>
          <w:bCs/>
          <w:sz w:val="24"/>
          <w:szCs w:val="24"/>
          <w:lang w:val="en-GB"/>
        </w:rPr>
        <w:t xml:space="preserve"> </w:t>
      </w:r>
      <w:r w:rsidRPr="00DC4B5A">
        <w:rPr>
          <w:rFonts w:ascii="Times New Roman" w:eastAsia="Times New Roman" w:hAnsi="Times New Roman" w:cs="Times New Roman"/>
          <w:sz w:val="24"/>
          <w:szCs w:val="24"/>
        </w:rPr>
        <w:t>Occult bleeding; Fecal occult blood test; Duodenal</w:t>
      </w:r>
      <w:r w:rsidR="00C77136" w:rsidRPr="00DC4B5A">
        <w:rPr>
          <w:rFonts w:ascii="Times New Roman" w:eastAsia="Times New Roman" w:hAnsi="Times New Roman" w:cs="Times New Roman"/>
          <w:sz w:val="24"/>
          <w:szCs w:val="24"/>
        </w:rPr>
        <w:t xml:space="preserve"> Ulcer</w:t>
      </w:r>
      <w:r w:rsidR="00DF18F7" w:rsidRPr="00DC4B5A">
        <w:rPr>
          <w:rFonts w:ascii="Times New Roman" w:eastAsia="Times New Roman" w:hAnsi="Times New Roman" w:cs="Times New Roman"/>
          <w:sz w:val="24"/>
          <w:szCs w:val="24"/>
        </w:rPr>
        <w:t>;</w:t>
      </w:r>
      <w:r w:rsidR="00C77136" w:rsidRPr="00DC4B5A">
        <w:rPr>
          <w:rFonts w:ascii="Times New Roman" w:eastAsia="Times New Roman" w:hAnsi="Times New Roman" w:cs="Times New Roman"/>
          <w:sz w:val="24"/>
          <w:szCs w:val="24"/>
        </w:rPr>
        <w:t xml:space="preserve"> Stomach </w:t>
      </w:r>
      <w:r w:rsidR="00DF18F7" w:rsidRPr="00DC4B5A">
        <w:rPr>
          <w:rFonts w:ascii="Times New Roman" w:eastAsia="Times New Roman" w:hAnsi="Times New Roman" w:cs="Times New Roman"/>
          <w:sz w:val="24"/>
          <w:szCs w:val="24"/>
        </w:rPr>
        <w:t>Ulcer.</w:t>
      </w:r>
      <w:r w:rsidR="00BF7887" w:rsidRPr="00DC4B5A">
        <w:rPr>
          <w:rFonts w:ascii="Times New Roman" w:eastAsia="Times New Roman" w:hAnsi="Times New Roman" w:cs="Times New Roman"/>
          <w:sz w:val="24"/>
          <w:szCs w:val="24"/>
        </w:rPr>
        <w:t xml:space="preserve"> </w:t>
      </w:r>
    </w:p>
    <w:p w14:paraId="3AE59C49" w14:textId="77777777" w:rsidR="00403720" w:rsidRPr="00DC4B5A" w:rsidRDefault="005E172B" w:rsidP="005765D7">
      <w:pPr>
        <w:spacing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lastRenderedPageBreak/>
        <w:t xml:space="preserve">Introduction </w:t>
      </w:r>
    </w:p>
    <w:p w14:paraId="15A97F94" w14:textId="10D75823" w:rsidR="00403720" w:rsidRPr="00DC4B5A" w:rsidRDefault="005E172B" w:rsidP="002B2058">
      <w:pPr>
        <w:spacing w:line="240" w:lineRule="auto"/>
        <w:ind w:firstLine="180"/>
        <w:jc w:val="lowKashida"/>
        <w:rPr>
          <w:rFonts w:ascii="Times New Roman" w:eastAsia="Calibri" w:hAnsi="Times New Roman" w:cs="Times New Roman"/>
          <w:sz w:val="24"/>
          <w:szCs w:val="24"/>
        </w:rPr>
      </w:pPr>
      <w:r w:rsidRPr="00DC4B5A">
        <w:rPr>
          <w:rFonts w:ascii="Times New Roman" w:hAnsi="Times New Roman" w:cs="Times New Roman"/>
          <w:sz w:val="24"/>
          <w:szCs w:val="24"/>
        </w:rPr>
        <w:t xml:space="preserve">Anemia is a prevalent complication of renal disease, and its magnitude intensifies with the reduction of the glomerular filtration rate [1]. The primary reason for this complication is the decreased synthesis of erythropoietin. Additional etiological factors include insufficient hematopoietic nutrients, such as iron, folate, and cobalamin, digestive system losses, hemolysis, bone marrow dysfunction, and erythropoietin resistance [2]. Meanwhile, Iron deficiency anemia (IDA) is a prevalent and </w:t>
      </w:r>
      <w:r w:rsidR="00B7625B" w:rsidRPr="00DC4B5A">
        <w:rPr>
          <w:rFonts w:ascii="Times New Roman" w:hAnsi="Times New Roman" w:cs="Times New Roman"/>
          <w:sz w:val="24"/>
          <w:szCs w:val="24"/>
        </w:rPr>
        <w:t>essential</w:t>
      </w:r>
      <w:r w:rsidRPr="00DC4B5A">
        <w:rPr>
          <w:rFonts w:ascii="Times New Roman" w:hAnsi="Times New Roman" w:cs="Times New Roman"/>
          <w:sz w:val="24"/>
          <w:szCs w:val="24"/>
        </w:rPr>
        <w:t xml:space="preserve"> etiological factor for this condition among patients who have chronic kidney disease (CKD). IDA is attributable to either actual or functional iron insufficiency, often linked to underlying inflammation [3]. However, the epidemiology of gastrointestinal disorders in </w:t>
      </w:r>
      <w:bookmarkStart w:id="3" w:name="_Hlk87202677"/>
      <w:bookmarkStart w:id="4" w:name="_Hlk95637300"/>
      <w:r w:rsidR="008B095C" w:rsidRPr="00DC4B5A">
        <w:rPr>
          <w:rFonts w:ascii="Times New Roman" w:eastAsia="Times New Roman" w:hAnsi="Times New Roman" w:cs="Times New Roman"/>
          <w:sz w:val="24"/>
          <w:szCs w:val="24"/>
        </w:rPr>
        <w:t xml:space="preserve">Arab </w:t>
      </w:r>
      <w:r w:rsidRPr="00DC4B5A">
        <w:rPr>
          <w:rFonts w:ascii="Times New Roman" w:hAnsi="Times New Roman" w:cs="Times New Roman"/>
          <w:sz w:val="24"/>
          <w:szCs w:val="24"/>
        </w:rPr>
        <w:t xml:space="preserve">patients with </w:t>
      </w:r>
      <w:bookmarkEnd w:id="3"/>
      <w:r w:rsidRPr="00DC4B5A">
        <w:rPr>
          <w:rFonts w:ascii="Times New Roman" w:hAnsi="Times New Roman" w:cs="Times New Roman"/>
          <w:sz w:val="24"/>
          <w:szCs w:val="24"/>
        </w:rPr>
        <w:t>CKD and IDA</w:t>
      </w:r>
      <w:bookmarkEnd w:id="4"/>
      <w:r w:rsidR="008B095C" w:rsidRPr="00DC4B5A">
        <w:rPr>
          <w:rFonts w:ascii="Times New Roman" w:hAnsi="Times New Roman" w:cs="Times New Roman"/>
          <w:sz w:val="24"/>
          <w:szCs w:val="24"/>
        </w:rPr>
        <w:t xml:space="preserve"> </w:t>
      </w:r>
      <w:r w:rsidRPr="00DC4B5A">
        <w:rPr>
          <w:rFonts w:ascii="Times New Roman" w:hAnsi="Times New Roman" w:cs="Times New Roman"/>
          <w:sz w:val="24"/>
          <w:szCs w:val="24"/>
        </w:rPr>
        <w:t xml:space="preserve">remains questionable. Some investigators revealed that almost all CKD patients experienced these disorders, whereas other researchers stated that CKD patients had the exact prevalence of gastrointestinal diseases as the general population [4]. Thus, </w:t>
      </w:r>
      <w:r w:rsidR="00B7625B" w:rsidRPr="00DC4B5A">
        <w:rPr>
          <w:rFonts w:ascii="Times New Roman" w:hAnsi="Times New Roman" w:cs="Times New Roman"/>
          <w:sz w:val="24"/>
          <w:szCs w:val="24"/>
        </w:rPr>
        <w:t>this work's primary objectives were to assess</w:t>
      </w:r>
      <w:r w:rsidRPr="00DC4B5A">
        <w:rPr>
          <w:rFonts w:ascii="Times New Roman" w:hAnsi="Times New Roman" w:cs="Times New Roman"/>
          <w:sz w:val="24"/>
          <w:szCs w:val="24"/>
        </w:rPr>
        <w:t xml:space="preserve"> potential gastrointestinal disorders in patients with CKD </w:t>
      </w:r>
      <w:r w:rsidRPr="00DC4B5A">
        <w:rPr>
          <w:rFonts w:ascii="Times New Roman" w:hAnsi="Times New Roman" w:cs="Times New Roman"/>
          <w:sz w:val="24"/>
          <w:szCs w:val="24"/>
          <w:cs/>
        </w:rPr>
        <w:t>‎</w:t>
      </w:r>
      <w:r w:rsidRPr="00DC4B5A">
        <w:rPr>
          <w:rFonts w:ascii="Times New Roman" w:hAnsi="Times New Roman" w:cs="Times New Roman"/>
          <w:sz w:val="24"/>
          <w:szCs w:val="24"/>
        </w:rPr>
        <w:t xml:space="preserve"> and iron deficiency anemia who do not have gastrointestinal symptoms and determine the risk factors contributing to the most prevalent endoscopic findings.</w:t>
      </w:r>
    </w:p>
    <w:p w14:paraId="22900930" w14:textId="77777777" w:rsidR="00403720" w:rsidRPr="00DC4B5A" w:rsidRDefault="005E172B" w:rsidP="005765D7">
      <w:pPr>
        <w:spacing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Methods</w:t>
      </w:r>
    </w:p>
    <w:p w14:paraId="0ABD47AA" w14:textId="0CAFC635" w:rsidR="00403720" w:rsidRPr="00DC4B5A" w:rsidRDefault="00AD1276" w:rsidP="002B2058">
      <w:pPr>
        <w:spacing w:line="240" w:lineRule="auto"/>
        <w:ind w:firstLine="180"/>
        <w:jc w:val="lowKashida"/>
        <w:rPr>
          <w:rFonts w:ascii="Times New Roman" w:hAnsi="Times New Roman" w:cs="Times New Roman"/>
          <w:sz w:val="24"/>
          <w:szCs w:val="24"/>
        </w:rPr>
      </w:pPr>
      <w:r w:rsidRPr="00DC4B5A">
        <w:rPr>
          <w:rFonts w:ascii="Times New Roman" w:hAnsi="Times New Roman" w:cs="Times New Roman"/>
          <w:sz w:val="24"/>
          <w:szCs w:val="24"/>
        </w:rPr>
        <w:t xml:space="preserve">This randomized controlled trial </w:t>
      </w:r>
      <w:r w:rsidR="005E172B" w:rsidRPr="00DC4B5A">
        <w:rPr>
          <w:rFonts w:ascii="Times New Roman" w:hAnsi="Times New Roman" w:cs="Times New Roman"/>
          <w:sz w:val="24"/>
          <w:szCs w:val="24"/>
        </w:rPr>
        <w:t xml:space="preserve">was conducted at the outpatient clinic of the Internal Medicine Department of Zagazig University Hospital from May to November 2021. </w:t>
      </w:r>
      <w:r w:rsidR="006A761C" w:rsidRPr="00DC4B5A">
        <w:rPr>
          <w:rFonts w:ascii="Times New Roman" w:hAnsi="Times New Roman" w:cs="Times New Roman"/>
          <w:sz w:val="24"/>
          <w:szCs w:val="24"/>
        </w:rPr>
        <w:t>All study participants signed consent before sharing in the study. We followed the Helsinki Declaration ethical guidelines. The protocol was approved by the Institutional Review Board of the Ethical Committee of Zagazig University (</w:t>
      </w:r>
      <w:bookmarkStart w:id="5" w:name="_Hlk155701518"/>
      <w:r w:rsidR="006A761C" w:rsidRPr="00DC4B5A">
        <w:rPr>
          <w:rFonts w:ascii="Times New Roman" w:hAnsi="Times New Roman" w:cs="Times New Roman"/>
          <w:sz w:val="24"/>
          <w:szCs w:val="24"/>
        </w:rPr>
        <w:t>ZU-IRB #9145</w:t>
      </w:r>
      <w:bookmarkEnd w:id="5"/>
      <w:r w:rsidR="006A761C" w:rsidRPr="00DC4B5A">
        <w:rPr>
          <w:rFonts w:ascii="Times New Roman" w:hAnsi="Times New Roman" w:cs="Times New Roman"/>
          <w:sz w:val="24"/>
          <w:szCs w:val="24"/>
        </w:rPr>
        <w:t xml:space="preserve">). </w:t>
      </w:r>
      <w:r w:rsidR="005E172B" w:rsidRPr="00DC4B5A">
        <w:rPr>
          <w:rFonts w:ascii="Times New Roman" w:hAnsi="Times New Roman" w:cs="Times New Roman"/>
          <w:sz w:val="24"/>
          <w:szCs w:val="24"/>
        </w:rPr>
        <w:t>We included patients older than 18 with a history of CKD stages 1</w:t>
      </w:r>
      <w:r w:rsidR="005E172B" w:rsidRPr="00DC4B5A">
        <w:rPr>
          <w:b/>
          <w:bCs/>
          <w:sz w:val="24"/>
          <w:szCs w:val="24"/>
        </w:rPr>
        <w:t>-</w:t>
      </w:r>
      <w:r w:rsidR="005E172B" w:rsidRPr="00DC4B5A">
        <w:rPr>
          <w:rFonts w:ascii="Times New Roman" w:hAnsi="Times New Roman" w:cs="Times New Roman"/>
          <w:sz w:val="24"/>
          <w:szCs w:val="24"/>
        </w:rPr>
        <w:t xml:space="preserve">5 and iron deficiency anemia without gastrointestinal symptoms. Iron deficiency anemia was considered present if hemoglobin was less than 13 g/dL in men and 12 g/dL in women and transferrin saturation was less than 20% [5]. </w:t>
      </w:r>
    </w:p>
    <w:p w14:paraId="1A72F457" w14:textId="68647F7E" w:rsidR="00403720" w:rsidRPr="00DC4B5A" w:rsidRDefault="005E172B" w:rsidP="002B2058">
      <w:pPr>
        <w:spacing w:line="240" w:lineRule="auto"/>
        <w:ind w:firstLine="180"/>
        <w:jc w:val="lowKashida"/>
        <w:rPr>
          <w:rFonts w:ascii="Times New Roman" w:hAnsi="Times New Roman" w:cs="Times New Roman"/>
          <w:sz w:val="24"/>
          <w:szCs w:val="24"/>
        </w:rPr>
      </w:pPr>
      <w:r w:rsidRPr="00DC4B5A">
        <w:rPr>
          <w:rFonts w:ascii="Times New Roman" w:hAnsi="Times New Roman" w:cs="Times New Roman"/>
          <w:sz w:val="24"/>
          <w:szCs w:val="24"/>
        </w:rPr>
        <w:t>As 135 CKD patients with a confirmed diagnosis of iron deficiency anemia attended the outpatient clinic of the Internal Medicine Department of our hospital within six months</w:t>
      </w:r>
      <w:r w:rsidR="00B7625B" w:rsidRPr="00DC4B5A">
        <w:rPr>
          <w:rFonts w:ascii="Times New Roman" w:hAnsi="Times New Roman" w:cs="Times New Roman"/>
          <w:sz w:val="24"/>
          <w:szCs w:val="24"/>
        </w:rPr>
        <w:t>,</w:t>
      </w:r>
      <w:r w:rsidRPr="00DC4B5A">
        <w:rPr>
          <w:rFonts w:ascii="Times New Roman" w:hAnsi="Times New Roman" w:cs="Times New Roman"/>
          <w:sz w:val="24"/>
          <w:szCs w:val="24"/>
        </w:rPr>
        <w:t xml:space="preserve"> and the prevalence of iron deficiency anemia in patients with CKD is 15.4% [6]; therefore, the sample size was calculated to be 81 patients with using </w:t>
      </w:r>
      <w:proofErr w:type="spellStart"/>
      <w:r w:rsidRPr="00DC4B5A">
        <w:rPr>
          <w:rFonts w:ascii="Times New Roman" w:hAnsi="Times New Roman" w:cs="Times New Roman"/>
          <w:sz w:val="24"/>
          <w:szCs w:val="24"/>
        </w:rPr>
        <w:t>OpenEpi</w:t>
      </w:r>
      <w:proofErr w:type="spellEnd"/>
      <w:r w:rsidRPr="00DC4B5A">
        <w:rPr>
          <w:rFonts w:ascii="Times New Roman" w:hAnsi="Times New Roman" w:cs="Times New Roman"/>
          <w:sz w:val="24"/>
          <w:szCs w:val="24"/>
        </w:rPr>
        <w:t xml:space="preserve"> software with confidence level 95% and power of study 80%. </w:t>
      </w:r>
    </w:p>
    <w:p w14:paraId="47146E32" w14:textId="7F2293A2" w:rsidR="00403720" w:rsidRPr="00DC4B5A" w:rsidRDefault="005E172B" w:rsidP="00195AA5">
      <w:pPr>
        <w:spacing w:line="240" w:lineRule="auto"/>
        <w:ind w:firstLine="180"/>
        <w:jc w:val="lowKashida"/>
        <w:rPr>
          <w:rFonts w:ascii="Times New Roman" w:eastAsia="Times New Roman" w:hAnsi="Times New Roman" w:cs="Times New Roman"/>
          <w:sz w:val="24"/>
          <w:szCs w:val="24"/>
          <w:rtl/>
        </w:rPr>
      </w:pPr>
      <w:r w:rsidRPr="00DC4B5A">
        <w:rPr>
          <w:rFonts w:ascii="Times New Roman" w:eastAsia="Times New Roman" w:hAnsi="Times New Roman" w:cs="Times New Roman"/>
          <w:sz w:val="24"/>
          <w:szCs w:val="24"/>
        </w:rPr>
        <w:t xml:space="preserve">Patients with a history of gastrointestinal symptoms (especially hematemesis and melena), </w:t>
      </w:r>
      <w:r w:rsidRPr="00DC4B5A">
        <w:rPr>
          <w:rFonts w:ascii="Times New Roman" w:eastAsia="Times New Roman" w:hAnsi="Times New Roman" w:cs="Times New Roman"/>
          <w:sz w:val="24"/>
          <w:szCs w:val="24"/>
          <w:cs/>
        </w:rPr>
        <w:t>‎</w:t>
      </w:r>
      <w:r w:rsidR="006A761C" w:rsidRPr="00DC4B5A">
        <w:rPr>
          <w:rFonts w:ascii="Times New Roman" w:eastAsia="Times New Roman" w:hAnsi="Times New Roman" w:cs="Times New Roman"/>
          <w:sz w:val="24"/>
          <w:szCs w:val="24"/>
        </w:rPr>
        <w:t xml:space="preserve">active bleeding in the last year, </w:t>
      </w:r>
      <w:r w:rsidRPr="00DC4B5A">
        <w:rPr>
          <w:rFonts w:ascii="Times New Roman" w:eastAsia="Times New Roman" w:hAnsi="Times New Roman" w:cs="Times New Roman"/>
          <w:sz w:val="24"/>
          <w:szCs w:val="24"/>
        </w:rPr>
        <w:t xml:space="preserve">active infection, malignancy, hemolytic anemia, advanced liver disease, folate </w:t>
      </w:r>
      <w:r w:rsidRPr="00DC4B5A">
        <w:rPr>
          <w:rFonts w:ascii="Times New Roman" w:eastAsia="Times New Roman" w:hAnsi="Times New Roman" w:cs="Times New Roman"/>
          <w:sz w:val="24"/>
          <w:szCs w:val="24"/>
          <w:cs/>
        </w:rPr>
        <w:t>‎</w:t>
      </w:r>
      <w:r w:rsidRPr="00DC4B5A">
        <w:rPr>
          <w:rFonts w:ascii="Times New Roman" w:eastAsia="Times New Roman" w:hAnsi="Times New Roman" w:cs="Times New Roman"/>
          <w:sz w:val="24"/>
          <w:szCs w:val="24"/>
        </w:rPr>
        <w:t>deficiency, and cobalamin deficiency were ruled out from the study.</w:t>
      </w:r>
      <w:r w:rsidRPr="00DC4B5A">
        <w:rPr>
          <w:rFonts w:ascii="Times New Roman" w:eastAsia="Times New Roman" w:hAnsi="Times New Roman" w:cs="Times New Roman"/>
          <w:sz w:val="24"/>
          <w:szCs w:val="24"/>
          <w:cs/>
        </w:rPr>
        <w:t>‎</w:t>
      </w:r>
      <w:r w:rsidR="003F64A0" w:rsidRPr="00DC4B5A">
        <w:rPr>
          <w:rFonts w:ascii="Times New Roman" w:eastAsia="Times New Roman" w:hAnsi="Times New Roman" w:cs="Times New Roman"/>
          <w:sz w:val="24"/>
          <w:szCs w:val="24"/>
        </w:rPr>
        <w:t xml:space="preserve"> </w:t>
      </w:r>
      <w:r w:rsidR="00195AA5" w:rsidRPr="00DC4B5A">
        <w:rPr>
          <w:rFonts w:ascii="Times New Roman" w:eastAsia="Times New Roman" w:hAnsi="Times New Roman" w:cs="Times New Roman"/>
          <w:sz w:val="24"/>
          <w:szCs w:val="24"/>
        </w:rPr>
        <w:t>Additionally, patients with a history of Helicobacter pylori eradication therapy were excluded.</w:t>
      </w:r>
    </w:p>
    <w:p w14:paraId="75D43DAA" w14:textId="77777777" w:rsidR="00403720" w:rsidRPr="00DC4B5A" w:rsidRDefault="005E172B" w:rsidP="005765D7">
      <w:pPr>
        <w:spacing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 xml:space="preserve">The patients were classified according to the </w:t>
      </w:r>
      <w:r w:rsidRPr="00DC4B5A">
        <w:rPr>
          <w:rFonts w:ascii="Times New Roman" w:eastAsia="Times New Roman" w:hAnsi="Times New Roman" w:cs="Times New Roman"/>
          <w:sz w:val="24"/>
          <w:szCs w:val="24"/>
        </w:rPr>
        <w:t>estimated glomerular filtration rate (eGFR) as follows</w:t>
      </w:r>
      <w:r w:rsidRPr="00DC4B5A">
        <w:rPr>
          <w:rFonts w:ascii="Times New Roman" w:hAnsi="Times New Roman" w:cs="Times New Roman"/>
          <w:sz w:val="24"/>
          <w:szCs w:val="24"/>
        </w:rPr>
        <w:t>:</w:t>
      </w:r>
    </w:p>
    <w:p w14:paraId="6A4EAA3A" w14:textId="208BB2B0" w:rsidR="00403720" w:rsidRPr="00DC4B5A" w:rsidRDefault="005E172B" w:rsidP="005765D7">
      <w:pPr>
        <w:spacing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 Group 1 included 48 patients with an eGFR ≥ 60 ml/min/1.73 m</w:t>
      </w:r>
      <w:r w:rsidRPr="00DC4B5A">
        <w:rPr>
          <w:rFonts w:ascii="Times New Roman" w:hAnsi="Times New Roman" w:cs="Times New Roman"/>
          <w:sz w:val="24"/>
          <w:szCs w:val="24"/>
          <w:vertAlign w:val="superscript"/>
        </w:rPr>
        <w:t>2</w:t>
      </w:r>
      <w:r w:rsidRPr="00DC4B5A">
        <w:rPr>
          <w:rFonts w:ascii="Times New Roman" w:hAnsi="Times New Roman" w:cs="Times New Roman"/>
          <w:sz w:val="24"/>
          <w:szCs w:val="24"/>
        </w:rPr>
        <w:t xml:space="preserve">. </w:t>
      </w:r>
      <w:r w:rsidR="00B7625B" w:rsidRPr="00DC4B5A">
        <w:rPr>
          <w:rFonts w:ascii="Times New Roman" w:hAnsi="Times New Roman" w:cs="Times New Roman"/>
          <w:sz w:val="24"/>
          <w:szCs w:val="24"/>
        </w:rPr>
        <w:t>There</w:t>
      </w:r>
      <w:r w:rsidRPr="00DC4B5A">
        <w:rPr>
          <w:rFonts w:ascii="Times New Roman" w:hAnsi="Times New Roman" w:cs="Times New Roman"/>
          <w:sz w:val="24"/>
          <w:szCs w:val="24"/>
        </w:rPr>
        <w:t xml:space="preserve"> were 31 males and 17 females.</w:t>
      </w:r>
    </w:p>
    <w:p w14:paraId="66E55C7E" w14:textId="69B301B8" w:rsidR="00403720" w:rsidRPr="00DC4B5A" w:rsidRDefault="005E172B" w:rsidP="005765D7">
      <w:pPr>
        <w:spacing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 Group 2 included 33 patients with an eGFR &lt; 60 ml/min/1.73 m</w:t>
      </w:r>
      <w:r w:rsidRPr="00DC4B5A">
        <w:rPr>
          <w:rFonts w:ascii="Times New Roman" w:hAnsi="Times New Roman" w:cs="Times New Roman"/>
          <w:sz w:val="24"/>
          <w:szCs w:val="24"/>
          <w:vertAlign w:val="superscript"/>
        </w:rPr>
        <w:t>2</w:t>
      </w:r>
      <w:r w:rsidRPr="00DC4B5A">
        <w:rPr>
          <w:rFonts w:ascii="Times New Roman" w:hAnsi="Times New Roman" w:cs="Times New Roman"/>
          <w:sz w:val="24"/>
          <w:szCs w:val="24"/>
        </w:rPr>
        <w:t xml:space="preserve">. </w:t>
      </w:r>
      <w:r w:rsidR="00B7625B" w:rsidRPr="00DC4B5A">
        <w:rPr>
          <w:rFonts w:ascii="Times New Roman" w:hAnsi="Times New Roman" w:cs="Times New Roman"/>
          <w:sz w:val="24"/>
          <w:szCs w:val="24"/>
        </w:rPr>
        <w:t>There</w:t>
      </w:r>
      <w:r w:rsidRPr="00DC4B5A">
        <w:rPr>
          <w:rFonts w:ascii="Times New Roman" w:hAnsi="Times New Roman" w:cs="Times New Roman"/>
          <w:sz w:val="24"/>
          <w:szCs w:val="24"/>
        </w:rPr>
        <w:t xml:space="preserve"> were 23 males and </w:t>
      </w:r>
      <w:r w:rsidR="00DC4B5A">
        <w:rPr>
          <w:rFonts w:ascii="Times New Roman" w:hAnsi="Times New Roman" w:cs="Times New Roman"/>
          <w:sz w:val="24"/>
          <w:szCs w:val="24"/>
        </w:rPr>
        <w:t>ten</w:t>
      </w:r>
      <w:r w:rsidRPr="00DC4B5A">
        <w:rPr>
          <w:rFonts w:ascii="Times New Roman" w:hAnsi="Times New Roman" w:cs="Times New Roman"/>
          <w:sz w:val="24"/>
          <w:szCs w:val="24"/>
        </w:rPr>
        <w:t xml:space="preserve"> females.</w:t>
      </w:r>
    </w:p>
    <w:p w14:paraId="081A3D6C" w14:textId="77777777" w:rsidR="00403720" w:rsidRPr="00DC4B5A" w:rsidRDefault="005E172B" w:rsidP="002B2058">
      <w:pPr>
        <w:spacing w:line="240" w:lineRule="auto"/>
        <w:ind w:firstLine="180"/>
        <w:jc w:val="lowKashida"/>
        <w:rPr>
          <w:rFonts w:ascii="Times New Roman" w:eastAsia="Times New Roman" w:hAnsi="Times New Roman" w:cs="Times New Roman"/>
          <w:sz w:val="24"/>
          <w:szCs w:val="24"/>
        </w:rPr>
      </w:pPr>
      <w:r w:rsidRPr="00DC4B5A">
        <w:rPr>
          <w:rFonts w:ascii="Times New Roman" w:eastAsia="Times New Roman" w:hAnsi="Times New Roman" w:cs="Times New Roman"/>
          <w:sz w:val="24"/>
          <w:szCs w:val="24"/>
        </w:rPr>
        <w:t>All enrollees performed the following procedures: medical history taking, medical examination, and routine laboratory investigations. Routine investigations included a complete blood picture, test for occult blood in stool, serum creatinine, blood urea, estimated glomerular filtration rate (eGFR) using the Modification of Diet in Renal Disease (MDRD) formula, liver function tests, coagulation profile, lipid profile, iron indices, erythrocyte sedimentation rate (ESR) and abdominal ultrasound. All patients underwent esophagogastroduodenoscopy (EGD) with routine testing for helicobacter pylori (H. pylori) infection using the Campylobacter-like organism (CLO) test. Biopsy and histopathological examinations were done if any suspicious pathology was detected during EGD.</w:t>
      </w:r>
    </w:p>
    <w:p w14:paraId="71B2FE12" w14:textId="77777777" w:rsidR="00403720" w:rsidRPr="00DC4B5A" w:rsidRDefault="005E172B" w:rsidP="005765D7">
      <w:pPr>
        <w:spacing w:line="240" w:lineRule="auto"/>
        <w:jc w:val="lowKashida"/>
        <w:rPr>
          <w:rFonts w:ascii="Times New Roman" w:eastAsia="Times New Roman" w:hAnsi="Times New Roman" w:cs="Times New Roman"/>
          <w:b/>
          <w:bCs/>
          <w:sz w:val="24"/>
          <w:szCs w:val="24"/>
        </w:rPr>
      </w:pPr>
      <w:r w:rsidRPr="00DC4B5A">
        <w:rPr>
          <w:rFonts w:ascii="Times New Roman" w:eastAsia="Times New Roman" w:hAnsi="Times New Roman" w:cs="Times New Roman"/>
          <w:b/>
          <w:bCs/>
          <w:sz w:val="24"/>
          <w:szCs w:val="24"/>
        </w:rPr>
        <w:t>Statistical analysis</w:t>
      </w:r>
    </w:p>
    <w:p w14:paraId="7AC9EE53" w14:textId="22774133" w:rsidR="00403720" w:rsidRPr="00DC4B5A" w:rsidRDefault="005E172B" w:rsidP="002B2058">
      <w:pPr>
        <w:spacing w:line="240" w:lineRule="auto"/>
        <w:ind w:firstLine="180"/>
        <w:jc w:val="lowKashida"/>
        <w:rPr>
          <w:rFonts w:ascii="Times New Roman" w:eastAsia="Times New Roman" w:hAnsi="Times New Roman" w:cs="Times New Roman"/>
          <w:b/>
          <w:bCs/>
          <w:sz w:val="24"/>
          <w:szCs w:val="24"/>
        </w:rPr>
      </w:pPr>
      <w:r w:rsidRPr="00DC4B5A">
        <w:rPr>
          <w:rFonts w:ascii="Times New Roman" w:eastAsia="Times New Roman" w:hAnsi="Times New Roman" w:cs="Times New Roman"/>
          <w:sz w:val="24"/>
          <w:szCs w:val="24"/>
        </w:rPr>
        <w:t xml:space="preserve">Data analysis was performed using SPSS (Statistical Package for the </w:t>
      </w:r>
      <w:r w:rsidRPr="00DC4B5A">
        <w:rPr>
          <w:rFonts w:ascii="Times New Roman" w:eastAsia="Times New Roman" w:hAnsi="Times New Roman" w:cs="Times New Roman"/>
          <w:sz w:val="24"/>
          <w:szCs w:val="24"/>
          <w:cs/>
        </w:rPr>
        <w:t>‎</w:t>
      </w:r>
      <w:r w:rsidRPr="00DC4B5A">
        <w:rPr>
          <w:rFonts w:ascii="Times New Roman" w:eastAsia="Times New Roman" w:hAnsi="Times New Roman" w:cs="Times New Roman"/>
          <w:sz w:val="24"/>
          <w:szCs w:val="24"/>
        </w:rPr>
        <w:t xml:space="preserve">Social Sciences) version 28. Categorical variables were described using their </w:t>
      </w:r>
      <w:r w:rsidRPr="00DC4B5A">
        <w:rPr>
          <w:rFonts w:ascii="Times New Roman" w:eastAsia="Times New Roman" w:hAnsi="Times New Roman" w:cs="Times New Roman"/>
          <w:sz w:val="24"/>
          <w:szCs w:val="24"/>
          <w:cs/>
        </w:rPr>
        <w:t>‎</w:t>
      </w:r>
      <w:r w:rsidRPr="00DC4B5A">
        <w:rPr>
          <w:rFonts w:ascii="Times New Roman" w:eastAsia="Times New Roman" w:hAnsi="Times New Roman" w:cs="Times New Roman"/>
          <w:sz w:val="24"/>
          <w:szCs w:val="24"/>
        </w:rPr>
        <w:t>absolute frequencies. We then used Chi-square and Monte Carlo tests to compare them. We used Kolmogorov-Smirnov and Levene tests to verify the assumptions of normality and homogeneity of variances for parametric tests. The Mann</w:t>
      </w:r>
      <w:r w:rsidR="006C6859" w:rsidRPr="00DC4B5A">
        <w:rPr>
          <w:rFonts w:ascii="Times New Roman" w:eastAsia="Times New Roman" w:hAnsi="Times New Roman" w:cs="Times New Roman"/>
          <w:sz w:val="24"/>
          <w:szCs w:val="24"/>
        </w:rPr>
        <w:t>-</w:t>
      </w:r>
      <w:r w:rsidRPr="00DC4B5A">
        <w:rPr>
          <w:rFonts w:ascii="Times New Roman" w:eastAsia="Times New Roman" w:hAnsi="Times New Roman" w:cs="Times New Roman"/>
          <w:sz w:val="24"/>
          <w:szCs w:val="24"/>
        </w:rPr>
        <w:t xml:space="preserve">Whitney </w:t>
      </w:r>
      <w:r w:rsidRPr="00DC4B5A">
        <w:rPr>
          <w:rFonts w:ascii="Times New Roman" w:eastAsia="Times New Roman" w:hAnsi="Times New Roman" w:cs="Times New Roman"/>
          <w:sz w:val="24"/>
          <w:szCs w:val="24"/>
          <w:cs/>
        </w:rPr>
        <w:t>‎</w:t>
      </w:r>
      <w:r w:rsidRPr="00DC4B5A">
        <w:rPr>
          <w:rFonts w:ascii="Times New Roman" w:eastAsia="Times New Roman" w:hAnsi="Times New Roman" w:cs="Times New Roman"/>
          <w:sz w:val="24"/>
          <w:szCs w:val="24"/>
        </w:rPr>
        <w:t xml:space="preserve">test (for non-normally distributed data) and the independent sample t-test (for normally </w:t>
      </w:r>
      <w:r w:rsidRPr="00DC4B5A">
        <w:rPr>
          <w:rFonts w:ascii="Times New Roman" w:eastAsia="Times New Roman" w:hAnsi="Times New Roman" w:cs="Times New Roman"/>
          <w:sz w:val="24"/>
          <w:szCs w:val="24"/>
          <w:cs/>
        </w:rPr>
        <w:t>‎</w:t>
      </w:r>
      <w:r w:rsidRPr="00DC4B5A">
        <w:rPr>
          <w:rFonts w:ascii="Times New Roman" w:eastAsia="Times New Roman" w:hAnsi="Times New Roman" w:cs="Times New Roman"/>
          <w:sz w:val="24"/>
          <w:szCs w:val="24"/>
        </w:rPr>
        <w:t xml:space="preserve">distributed data) were used to compare quantitative data between </w:t>
      </w:r>
      <w:r w:rsidR="00B7625B" w:rsidRPr="00DC4B5A">
        <w:rPr>
          <w:rFonts w:ascii="Times New Roman" w:eastAsia="Times New Roman" w:hAnsi="Times New Roman" w:cs="Times New Roman"/>
          <w:sz w:val="24"/>
          <w:szCs w:val="24"/>
        </w:rPr>
        <w:t xml:space="preserve">the </w:t>
      </w:r>
      <w:r w:rsidRPr="00DC4B5A">
        <w:rPr>
          <w:rFonts w:ascii="Times New Roman" w:eastAsia="Times New Roman" w:hAnsi="Times New Roman" w:cs="Times New Roman"/>
          <w:sz w:val="24"/>
          <w:szCs w:val="24"/>
        </w:rPr>
        <w:t xml:space="preserve">two groups. We used the Spearman rank correlation coefficient to assess the strength and association of the correlation between two continuous variables. The level </w:t>
      </w:r>
      <w:r w:rsidRPr="00DC4B5A">
        <w:rPr>
          <w:rFonts w:ascii="Times New Roman" w:eastAsia="Times New Roman" w:hAnsi="Times New Roman" w:cs="Times New Roman"/>
          <w:sz w:val="24"/>
          <w:szCs w:val="24"/>
          <w:cs/>
        </w:rPr>
        <w:t>‎</w:t>
      </w:r>
      <w:r w:rsidRPr="00DC4B5A">
        <w:rPr>
          <w:rFonts w:ascii="Times New Roman" w:eastAsia="Times New Roman" w:hAnsi="Times New Roman" w:cs="Times New Roman"/>
          <w:sz w:val="24"/>
          <w:szCs w:val="24"/>
        </w:rPr>
        <w:t xml:space="preserve">of statistical significance was set at p≤0.05. A highly significant difference was present </w:t>
      </w:r>
      <w:r w:rsidRPr="00DC4B5A">
        <w:rPr>
          <w:rFonts w:ascii="Times New Roman" w:eastAsia="Times New Roman" w:hAnsi="Times New Roman" w:cs="Times New Roman"/>
          <w:sz w:val="24"/>
          <w:szCs w:val="24"/>
          <w:cs/>
        </w:rPr>
        <w:t>‎</w:t>
      </w:r>
      <w:r w:rsidRPr="00DC4B5A">
        <w:rPr>
          <w:rFonts w:ascii="Times New Roman" w:eastAsia="Times New Roman" w:hAnsi="Times New Roman" w:cs="Times New Roman"/>
          <w:sz w:val="24"/>
          <w:szCs w:val="24"/>
        </w:rPr>
        <w:t>at p≤0.001.</w:t>
      </w:r>
      <w:r w:rsidRPr="00DC4B5A">
        <w:rPr>
          <w:rFonts w:ascii="Times New Roman" w:eastAsia="Times New Roman" w:hAnsi="Times New Roman" w:cs="Times New Roman"/>
          <w:sz w:val="24"/>
          <w:szCs w:val="24"/>
          <w:cs/>
        </w:rPr>
        <w:t>‎</w:t>
      </w:r>
    </w:p>
    <w:p w14:paraId="2FC8D4AC" w14:textId="77777777" w:rsidR="00403720" w:rsidRPr="00DC4B5A" w:rsidRDefault="005E172B" w:rsidP="005765D7">
      <w:pPr>
        <w:spacing w:before="100" w:after="100" w:line="240" w:lineRule="auto"/>
        <w:jc w:val="lowKashida"/>
        <w:rPr>
          <w:rFonts w:ascii="Times New Roman" w:eastAsia="Times New Roman" w:hAnsi="Times New Roman" w:cs="Times New Roman"/>
          <w:b/>
          <w:bCs/>
          <w:sz w:val="24"/>
          <w:szCs w:val="24"/>
        </w:rPr>
      </w:pPr>
      <w:r w:rsidRPr="00DC4B5A">
        <w:rPr>
          <w:rFonts w:ascii="Times New Roman" w:eastAsia="Times New Roman" w:hAnsi="Times New Roman" w:cs="Times New Roman"/>
          <w:b/>
          <w:bCs/>
          <w:sz w:val="24"/>
          <w:szCs w:val="24"/>
        </w:rPr>
        <w:t>Results</w:t>
      </w:r>
    </w:p>
    <w:p w14:paraId="4693A154" w14:textId="0B46A418" w:rsidR="00403720" w:rsidRPr="00DC4B5A" w:rsidRDefault="005E172B" w:rsidP="002B2058">
      <w:pPr>
        <w:spacing w:before="100" w:after="100" w:line="240" w:lineRule="auto"/>
        <w:ind w:firstLine="180"/>
        <w:jc w:val="lowKashida"/>
        <w:rPr>
          <w:rFonts w:ascii="Times New Roman" w:hAnsi="Times New Roman" w:cs="Times New Roman"/>
          <w:sz w:val="24"/>
          <w:szCs w:val="24"/>
        </w:rPr>
      </w:pPr>
      <w:r w:rsidRPr="00DC4B5A">
        <w:rPr>
          <w:rFonts w:ascii="Times New Roman" w:hAnsi="Times New Roman" w:cs="Times New Roman"/>
          <w:sz w:val="24"/>
          <w:szCs w:val="24"/>
        </w:rPr>
        <w:t xml:space="preserve">This study included 81 patients with CKD. The baseline data of the </w:t>
      </w:r>
      <w:r w:rsidR="00B7625B" w:rsidRPr="00DC4B5A">
        <w:rPr>
          <w:rFonts w:ascii="Times New Roman" w:hAnsi="Times New Roman" w:cs="Times New Roman"/>
          <w:sz w:val="24"/>
          <w:szCs w:val="24"/>
        </w:rPr>
        <w:t>patients studied is</w:t>
      </w:r>
      <w:r w:rsidRPr="00DC4B5A">
        <w:rPr>
          <w:rFonts w:ascii="Times New Roman" w:hAnsi="Times New Roman" w:cs="Times New Roman"/>
          <w:sz w:val="24"/>
          <w:szCs w:val="24"/>
        </w:rPr>
        <w:t xml:space="preserve"> presented in Tab1. </w:t>
      </w:r>
      <w:r w:rsidRPr="00DC4B5A">
        <w:rPr>
          <w:rFonts w:ascii="Times New Roman" w:eastAsia="Calibri" w:hAnsi="Times New Roman" w:cs="Times New Roman"/>
          <w:sz w:val="24"/>
          <w:szCs w:val="24"/>
        </w:rPr>
        <w:t>About 43% of patients had positive fecal occult blood testing (FOBT) (Tab1).</w:t>
      </w:r>
    </w:p>
    <w:p w14:paraId="7C98C05D" w14:textId="19C40D9D" w:rsidR="00B7625B" w:rsidRPr="00DC4B5A" w:rsidRDefault="00B7625B" w:rsidP="00B7625B">
      <w:pPr>
        <w:pStyle w:val="Caption"/>
        <w:keepNext/>
        <w:rPr>
          <w:sz w:val="24"/>
          <w:szCs w:val="24"/>
        </w:rPr>
      </w:pPr>
      <w:r w:rsidRPr="00DC4B5A">
        <w:rPr>
          <w:sz w:val="24"/>
          <w:szCs w:val="24"/>
        </w:rPr>
        <w:t>Tab</w:t>
      </w:r>
      <w:r w:rsidRPr="00DC4B5A">
        <w:rPr>
          <w:sz w:val="24"/>
          <w:szCs w:val="24"/>
        </w:rPr>
        <w:fldChar w:fldCharType="begin"/>
      </w:r>
      <w:r w:rsidRPr="00DC4B5A">
        <w:rPr>
          <w:sz w:val="24"/>
          <w:szCs w:val="24"/>
        </w:rPr>
        <w:instrText xml:space="preserve"> SEQ Table \* ARABIC </w:instrText>
      </w:r>
      <w:r w:rsidRPr="00DC4B5A">
        <w:rPr>
          <w:sz w:val="24"/>
          <w:szCs w:val="24"/>
        </w:rPr>
        <w:fldChar w:fldCharType="separate"/>
      </w:r>
      <w:r w:rsidR="00D75AE6">
        <w:rPr>
          <w:noProof/>
          <w:sz w:val="24"/>
          <w:szCs w:val="24"/>
        </w:rPr>
        <w:t>1</w:t>
      </w:r>
      <w:r w:rsidRPr="00DC4B5A">
        <w:rPr>
          <w:noProof/>
          <w:sz w:val="24"/>
          <w:szCs w:val="24"/>
        </w:rPr>
        <w:fldChar w:fldCharType="end"/>
      </w:r>
      <w:r w:rsidRPr="00DC4B5A">
        <w:rPr>
          <w:sz w:val="24"/>
          <w:szCs w:val="24"/>
        </w:rPr>
        <w:t xml:space="preserve">. </w:t>
      </w:r>
      <w:r w:rsidRPr="00DC4B5A">
        <w:rPr>
          <w:b/>
          <w:bCs/>
          <w:sz w:val="24"/>
          <w:szCs w:val="24"/>
        </w:rPr>
        <w:t>Baseline data of the studied patients.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1. Baseline data of the studied patients."/>
        <w:tblDescription w:val="(SD): Standard deviation, (IHD): Ischemic heart disease, (NSAIDs): Non-steroidal anti-inflammatory drugs, (CKD): Chronic kidney disease, (FOBT): Fecal occult blood test."/>
      </w:tblPr>
      <w:tblGrid>
        <w:gridCol w:w="3139"/>
        <w:gridCol w:w="3102"/>
        <w:gridCol w:w="3109"/>
      </w:tblGrid>
      <w:tr w:rsidR="005765D7" w:rsidRPr="00DC4B5A" w14:paraId="2A90BCC2" w14:textId="77777777" w:rsidTr="00DC086E">
        <w:tc>
          <w:tcPr>
            <w:tcW w:w="3139" w:type="dxa"/>
            <w:tcBorders>
              <w:top w:val="single" w:sz="4" w:space="0" w:color="auto"/>
              <w:bottom w:val="single" w:sz="4" w:space="0" w:color="auto"/>
            </w:tcBorders>
          </w:tcPr>
          <w:p w14:paraId="6DDDCBD1" w14:textId="77777777" w:rsidR="005765D7" w:rsidRPr="00DC4B5A" w:rsidRDefault="005765D7"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Parameter </w:t>
            </w:r>
          </w:p>
        </w:tc>
        <w:tc>
          <w:tcPr>
            <w:tcW w:w="3102" w:type="dxa"/>
            <w:tcBorders>
              <w:top w:val="single" w:sz="4" w:space="0" w:color="auto"/>
              <w:bottom w:val="single" w:sz="4" w:space="0" w:color="auto"/>
            </w:tcBorders>
          </w:tcPr>
          <w:p w14:paraId="70E108E2" w14:textId="77777777" w:rsidR="005765D7" w:rsidRPr="00DC4B5A" w:rsidRDefault="005765D7"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N=81</w:t>
            </w:r>
          </w:p>
        </w:tc>
        <w:tc>
          <w:tcPr>
            <w:tcW w:w="3109" w:type="dxa"/>
            <w:tcBorders>
              <w:top w:val="single" w:sz="4" w:space="0" w:color="auto"/>
              <w:bottom w:val="single" w:sz="4" w:space="0" w:color="auto"/>
            </w:tcBorders>
          </w:tcPr>
          <w:p w14:paraId="041EBEF7" w14:textId="77777777" w:rsidR="005765D7" w:rsidRPr="00DC4B5A" w:rsidRDefault="005765D7"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w:t>
            </w:r>
          </w:p>
        </w:tc>
      </w:tr>
      <w:tr w:rsidR="005765D7" w:rsidRPr="00DC4B5A" w14:paraId="5755004A" w14:textId="77777777" w:rsidTr="00DC086E">
        <w:tc>
          <w:tcPr>
            <w:tcW w:w="3139" w:type="dxa"/>
            <w:tcBorders>
              <w:top w:val="single" w:sz="4" w:space="0" w:color="auto"/>
            </w:tcBorders>
          </w:tcPr>
          <w:p w14:paraId="0DA62CB5" w14:textId="77777777" w:rsidR="005765D7" w:rsidRPr="00DC4B5A" w:rsidRDefault="005765D7"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Age (year):</w:t>
            </w:r>
          </w:p>
          <w:p w14:paraId="3B0DC125" w14:textId="4770ABCE"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 xml:space="preserve">Mean ± </w:t>
            </w:r>
            <w:r w:rsidR="00B7625B" w:rsidRPr="00DC4B5A">
              <w:rPr>
                <w:rFonts w:ascii="Times New Roman" w:hAnsi="Times New Roman" w:cs="Times New Roman"/>
                <w:sz w:val="24"/>
                <w:szCs w:val="24"/>
              </w:rPr>
              <w:t>SD.</w:t>
            </w:r>
          </w:p>
          <w:p w14:paraId="19B7746C"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Range</w:t>
            </w:r>
          </w:p>
        </w:tc>
        <w:tc>
          <w:tcPr>
            <w:tcW w:w="6211" w:type="dxa"/>
            <w:gridSpan w:val="2"/>
            <w:tcBorders>
              <w:top w:val="single" w:sz="4" w:space="0" w:color="auto"/>
            </w:tcBorders>
          </w:tcPr>
          <w:p w14:paraId="2DFA0DC1" w14:textId="77777777" w:rsidR="005765D7" w:rsidRPr="00DC4B5A" w:rsidRDefault="005765D7" w:rsidP="00DC086E">
            <w:pPr>
              <w:spacing w:after="0" w:line="240" w:lineRule="auto"/>
              <w:jc w:val="lowKashida"/>
              <w:rPr>
                <w:rFonts w:ascii="Times New Roman" w:hAnsi="Times New Roman" w:cs="Times New Roman"/>
                <w:sz w:val="24"/>
                <w:szCs w:val="24"/>
              </w:rPr>
            </w:pPr>
          </w:p>
          <w:p w14:paraId="6CEE79A1"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62.78 ± 12.16</w:t>
            </w:r>
          </w:p>
          <w:p w14:paraId="13BD117F"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 xml:space="preserve">34 – 82 </w:t>
            </w:r>
          </w:p>
        </w:tc>
      </w:tr>
      <w:tr w:rsidR="005765D7" w:rsidRPr="00DC4B5A" w14:paraId="5EEA1A58" w14:textId="77777777" w:rsidTr="00DC086E">
        <w:tc>
          <w:tcPr>
            <w:tcW w:w="3139" w:type="dxa"/>
          </w:tcPr>
          <w:p w14:paraId="72F8F7D6" w14:textId="77777777" w:rsidR="005765D7" w:rsidRPr="00DC4B5A" w:rsidRDefault="005765D7"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Male sex</w:t>
            </w:r>
          </w:p>
        </w:tc>
        <w:tc>
          <w:tcPr>
            <w:tcW w:w="3102" w:type="dxa"/>
          </w:tcPr>
          <w:p w14:paraId="5448CE98"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54</w:t>
            </w:r>
          </w:p>
        </w:tc>
        <w:tc>
          <w:tcPr>
            <w:tcW w:w="3109" w:type="dxa"/>
          </w:tcPr>
          <w:p w14:paraId="082A6ED2"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66.7%</w:t>
            </w:r>
          </w:p>
        </w:tc>
      </w:tr>
      <w:tr w:rsidR="005765D7" w:rsidRPr="00DC4B5A" w14:paraId="4D0AA8FF" w14:textId="77777777" w:rsidTr="00DC086E">
        <w:tc>
          <w:tcPr>
            <w:tcW w:w="3139" w:type="dxa"/>
          </w:tcPr>
          <w:p w14:paraId="56019AAD" w14:textId="77777777" w:rsidR="005765D7" w:rsidRPr="00DC4B5A" w:rsidRDefault="005765D7"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Comorbidities:</w:t>
            </w:r>
          </w:p>
          <w:p w14:paraId="1697D097"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Hypertension</w:t>
            </w:r>
          </w:p>
          <w:p w14:paraId="592A005A"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Diabetes</w:t>
            </w:r>
          </w:p>
          <w:p w14:paraId="3B5C722F"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IHD</w:t>
            </w:r>
          </w:p>
        </w:tc>
        <w:tc>
          <w:tcPr>
            <w:tcW w:w="3102" w:type="dxa"/>
          </w:tcPr>
          <w:p w14:paraId="649547B8" w14:textId="77777777" w:rsidR="005765D7" w:rsidRPr="00DC4B5A" w:rsidRDefault="005765D7" w:rsidP="00DC086E">
            <w:pPr>
              <w:spacing w:after="0" w:line="240" w:lineRule="auto"/>
              <w:jc w:val="lowKashida"/>
              <w:rPr>
                <w:rFonts w:ascii="Times New Roman" w:hAnsi="Times New Roman" w:cs="Times New Roman"/>
                <w:sz w:val="24"/>
                <w:szCs w:val="24"/>
              </w:rPr>
            </w:pPr>
          </w:p>
          <w:p w14:paraId="4DED4518"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54</w:t>
            </w:r>
          </w:p>
          <w:p w14:paraId="22808F19"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42</w:t>
            </w:r>
          </w:p>
          <w:p w14:paraId="38FE82B5"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18</w:t>
            </w:r>
          </w:p>
        </w:tc>
        <w:tc>
          <w:tcPr>
            <w:tcW w:w="3109" w:type="dxa"/>
          </w:tcPr>
          <w:p w14:paraId="16E91E51" w14:textId="77777777" w:rsidR="005765D7" w:rsidRPr="00DC4B5A" w:rsidRDefault="005765D7" w:rsidP="00DC086E">
            <w:pPr>
              <w:spacing w:after="0" w:line="240" w:lineRule="auto"/>
              <w:jc w:val="lowKashida"/>
              <w:rPr>
                <w:rFonts w:ascii="Times New Roman" w:hAnsi="Times New Roman" w:cs="Times New Roman"/>
                <w:sz w:val="24"/>
                <w:szCs w:val="24"/>
              </w:rPr>
            </w:pPr>
          </w:p>
          <w:p w14:paraId="083CC49F"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66.7%</w:t>
            </w:r>
          </w:p>
          <w:p w14:paraId="1E4FCE46"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51.9%</w:t>
            </w:r>
          </w:p>
          <w:p w14:paraId="76A903FB"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22.2%</w:t>
            </w:r>
          </w:p>
        </w:tc>
      </w:tr>
      <w:tr w:rsidR="005765D7" w:rsidRPr="00DC4B5A" w14:paraId="1BFFD3CE" w14:textId="77777777" w:rsidTr="00DC086E">
        <w:tc>
          <w:tcPr>
            <w:tcW w:w="3139" w:type="dxa"/>
          </w:tcPr>
          <w:p w14:paraId="2D021F5F" w14:textId="77777777" w:rsidR="005765D7" w:rsidRPr="00DC4B5A" w:rsidRDefault="005765D7"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Drugs:</w:t>
            </w:r>
          </w:p>
          <w:p w14:paraId="457A4618"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 xml:space="preserve">Aspirin </w:t>
            </w:r>
          </w:p>
          <w:p w14:paraId="7EDFE49A"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NSAIDs</w:t>
            </w:r>
          </w:p>
          <w:p w14:paraId="6E51D8A3"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 xml:space="preserve">Clopidogrel </w:t>
            </w:r>
          </w:p>
          <w:p w14:paraId="54F0C63F"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 xml:space="preserve">Oral anticoagulants </w:t>
            </w:r>
          </w:p>
          <w:p w14:paraId="33F2416B"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 xml:space="preserve">Steroid </w:t>
            </w:r>
          </w:p>
        </w:tc>
        <w:tc>
          <w:tcPr>
            <w:tcW w:w="3102" w:type="dxa"/>
          </w:tcPr>
          <w:p w14:paraId="6FC47A3D" w14:textId="77777777" w:rsidR="005765D7" w:rsidRPr="00DC4B5A" w:rsidRDefault="005765D7" w:rsidP="00DC086E">
            <w:pPr>
              <w:spacing w:after="0" w:line="240" w:lineRule="auto"/>
              <w:jc w:val="lowKashida"/>
              <w:rPr>
                <w:rFonts w:ascii="Times New Roman" w:hAnsi="Times New Roman" w:cs="Times New Roman"/>
                <w:sz w:val="24"/>
                <w:szCs w:val="24"/>
              </w:rPr>
            </w:pPr>
          </w:p>
          <w:p w14:paraId="5F92643A"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25</w:t>
            </w:r>
          </w:p>
          <w:p w14:paraId="0E1BFED5"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37</w:t>
            </w:r>
          </w:p>
          <w:p w14:paraId="630BEB39"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15</w:t>
            </w:r>
          </w:p>
          <w:p w14:paraId="5B4BCC3D"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w:t>
            </w:r>
          </w:p>
          <w:p w14:paraId="05E71489"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10</w:t>
            </w:r>
          </w:p>
        </w:tc>
        <w:tc>
          <w:tcPr>
            <w:tcW w:w="3109" w:type="dxa"/>
          </w:tcPr>
          <w:p w14:paraId="0D0B6D1E" w14:textId="77777777" w:rsidR="005765D7" w:rsidRPr="00DC4B5A" w:rsidRDefault="005765D7" w:rsidP="00DC086E">
            <w:pPr>
              <w:spacing w:after="0" w:line="240" w:lineRule="auto"/>
              <w:jc w:val="lowKashida"/>
              <w:rPr>
                <w:rFonts w:ascii="Times New Roman" w:hAnsi="Times New Roman" w:cs="Times New Roman"/>
                <w:sz w:val="24"/>
                <w:szCs w:val="24"/>
              </w:rPr>
            </w:pPr>
          </w:p>
          <w:p w14:paraId="0A65C4DC"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30.9%</w:t>
            </w:r>
          </w:p>
          <w:p w14:paraId="7D3DDECB"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45.7%</w:t>
            </w:r>
          </w:p>
          <w:p w14:paraId="49991EC3"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18.5%</w:t>
            </w:r>
          </w:p>
          <w:p w14:paraId="123DF2FD"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4.9%</w:t>
            </w:r>
          </w:p>
          <w:p w14:paraId="6D9F86B6"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12.3%</w:t>
            </w:r>
          </w:p>
        </w:tc>
      </w:tr>
      <w:tr w:rsidR="005765D7" w:rsidRPr="00DC4B5A" w14:paraId="09EEF25D" w14:textId="77777777" w:rsidTr="00DC086E">
        <w:tc>
          <w:tcPr>
            <w:tcW w:w="3139" w:type="dxa"/>
          </w:tcPr>
          <w:p w14:paraId="406D37AA" w14:textId="77777777" w:rsidR="005765D7" w:rsidRPr="00DC4B5A" w:rsidRDefault="005765D7"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CKD stages:</w:t>
            </w:r>
          </w:p>
          <w:p w14:paraId="38FD4695"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Stages 1- 2</w:t>
            </w:r>
          </w:p>
          <w:p w14:paraId="67898317"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3A</w:t>
            </w:r>
          </w:p>
          <w:p w14:paraId="2176F5B4"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3B</w:t>
            </w:r>
          </w:p>
          <w:p w14:paraId="6BBCC6E4"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4</w:t>
            </w:r>
          </w:p>
          <w:p w14:paraId="44270420"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5</w:t>
            </w:r>
          </w:p>
        </w:tc>
        <w:tc>
          <w:tcPr>
            <w:tcW w:w="3102" w:type="dxa"/>
          </w:tcPr>
          <w:p w14:paraId="27D61DA9" w14:textId="77777777" w:rsidR="005765D7" w:rsidRPr="00DC4B5A" w:rsidRDefault="005765D7" w:rsidP="00DC086E">
            <w:pPr>
              <w:spacing w:after="0" w:line="240" w:lineRule="auto"/>
              <w:jc w:val="lowKashida"/>
              <w:rPr>
                <w:rFonts w:ascii="Times New Roman" w:hAnsi="Times New Roman" w:cs="Times New Roman"/>
                <w:sz w:val="24"/>
                <w:szCs w:val="24"/>
              </w:rPr>
            </w:pPr>
          </w:p>
          <w:p w14:paraId="5C3CB4A9"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48</w:t>
            </w:r>
          </w:p>
          <w:p w14:paraId="1FEB9030"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22</w:t>
            </w:r>
          </w:p>
          <w:p w14:paraId="2B073E48"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w:t>
            </w:r>
          </w:p>
          <w:p w14:paraId="4FED1683"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6</w:t>
            </w:r>
          </w:p>
          <w:p w14:paraId="55858EEF"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w:t>
            </w:r>
          </w:p>
        </w:tc>
        <w:tc>
          <w:tcPr>
            <w:tcW w:w="3109" w:type="dxa"/>
          </w:tcPr>
          <w:p w14:paraId="7FC93D83" w14:textId="77777777" w:rsidR="005765D7" w:rsidRPr="00DC4B5A" w:rsidRDefault="005765D7" w:rsidP="00DC086E">
            <w:pPr>
              <w:spacing w:after="0" w:line="240" w:lineRule="auto"/>
              <w:jc w:val="lowKashida"/>
              <w:rPr>
                <w:rFonts w:ascii="Times New Roman" w:hAnsi="Times New Roman" w:cs="Times New Roman"/>
                <w:sz w:val="24"/>
                <w:szCs w:val="24"/>
              </w:rPr>
            </w:pPr>
          </w:p>
          <w:p w14:paraId="6649D0DC"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59.3%</w:t>
            </w:r>
          </w:p>
          <w:p w14:paraId="38DE74F1"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27.2%</w:t>
            </w:r>
          </w:p>
          <w:p w14:paraId="49392667"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1.2%</w:t>
            </w:r>
          </w:p>
          <w:p w14:paraId="308329FE"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7.4%</w:t>
            </w:r>
          </w:p>
          <w:p w14:paraId="32EEB051"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4.9%</w:t>
            </w:r>
          </w:p>
        </w:tc>
      </w:tr>
      <w:tr w:rsidR="005765D7" w:rsidRPr="00DC4B5A" w14:paraId="4B13944E" w14:textId="77777777" w:rsidTr="00DC086E">
        <w:tc>
          <w:tcPr>
            <w:tcW w:w="3139" w:type="dxa"/>
            <w:tcBorders>
              <w:bottom w:val="single" w:sz="4" w:space="0" w:color="auto"/>
            </w:tcBorders>
          </w:tcPr>
          <w:p w14:paraId="2ED49295" w14:textId="77777777" w:rsidR="005765D7" w:rsidRPr="00DC4B5A" w:rsidRDefault="005765D7"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Positive FOBT:</w:t>
            </w:r>
          </w:p>
        </w:tc>
        <w:tc>
          <w:tcPr>
            <w:tcW w:w="3102" w:type="dxa"/>
            <w:tcBorders>
              <w:bottom w:val="single" w:sz="4" w:space="0" w:color="auto"/>
            </w:tcBorders>
          </w:tcPr>
          <w:p w14:paraId="2C082BD5" w14:textId="77777777" w:rsidR="005765D7" w:rsidRPr="00DC4B5A" w:rsidRDefault="005765D7"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35</w:t>
            </w:r>
          </w:p>
        </w:tc>
        <w:tc>
          <w:tcPr>
            <w:tcW w:w="3109" w:type="dxa"/>
            <w:tcBorders>
              <w:bottom w:val="single" w:sz="4" w:space="0" w:color="auto"/>
            </w:tcBorders>
          </w:tcPr>
          <w:p w14:paraId="50864BB7" w14:textId="77777777" w:rsidR="005765D7" w:rsidRPr="00DC4B5A" w:rsidRDefault="005765D7" w:rsidP="00960F6D">
            <w:pPr>
              <w:keepNext/>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43.2%</w:t>
            </w:r>
          </w:p>
        </w:tc>
      </w:tr>
    </w:tbl>
    <w:p w14:paraId="7E99CAAB" w14:textId="77777777" w:rsidR="00960F6D" w:rsidRPr="00DC4B5A" w:rsidRDefault="00960F6D" w:rsidP="00960F6D">
      <w:pPr>
        <w:spacing w:line="240" w:lineRule="auto"/>
        <w:jc w:val="lowKashida"/>
        <w:rPr>
          <w:i/>
          <w:iCs/>
          <w:color w:val="44546A" w:themeColor="text2"/>
          <w:sz w:val="24"/>
          <w:szCs w:val="24"/>
        </w:rPr>
      </w:pPr>
      <w:r w:rsidRPr="00DC4B5A">
        <w:rPr>
          <w:i/>
          <w:iCs/>
          <w:color w:val="44546A" w:themeColor="text2"/>
          <w:sz w:val="24"/>
          <w:szCs w:val="24"/>
        </w:rPr>
        <w:t>(SD): Standard deviation, (IHD): Ischemic heart disease, (NSAIDs): Non-steroidal anti-inflammatory drugs, (CKD): Chronic kidney disease, (FOBT): Fecal occult blood test.</w:t>
      </w:r>
    </w:p>
    <w:p w14:paraId="28A0DB00" w14:textId="51F11AD0" w:rsidR="00403720" w:rsidRPr="00DC4B5A" w:rsidRDefault="005E172B" w:rsidP="002B2058">
      <w:pPr>
        <w:spacing w:before="100" w:after="100" w:line="240" w:lineRule="auto"/>
        <w:ind w:firstLine="180"/>
        <w:jc w:val="lowKashida"/>
        <w:rPr>
          <w:rFonts w:ascii="Times New Roman" w:hAnsi="Times New Roman" w:cs="Times New Roman"/>
          <w:sz w:val="24"/>
          <w:szCs w:val="24"/>
        </w:rPr>
      </w:pPr>
      <w:r w:rsidRPr="00DC4B5A">
        <w:rPr>
          <w:rFonts w:ascii="Times New Roman" w:hAnsi="Times New Roman" w:cs="Times New Roman"/>
          <w:sz w:val="24"/>
          <w:szCs w:val="24"/>
        </w:rPr>
        <w:t xml:space="preserve">The patients in group 2 were older than those in group 1. Group 2 also had a higher prevalence of diabetes mellitus and </w:t>
      </w:r>
      <w:r w:rsidR="006C6859" w:rsidRPr="00DC4B5A">
        <w:rPr>
          <w:rFonts w:ascii="Times New Roman" w:hAnsi="Times New Roman" w:cs="Times New Roman"/>
          <w:sz w:val="24"/>
          <w:szCs w:val="24"/>
        </w:rPr>
        <w:t xml:space="preserve">a </w:t>
      </w:r>
      <w:r w:rsidRPr="00DC4B5A">
        <w:rPr>
          <w:rFonts w:ascii="Times New Roman" w:hAnsi="Times New Roman" w:cs="Times New Roman"/>
          <w:sz w:val="24"/>
          <w:szCs w:val="24"/>
        </w:rPr>
        <w:t>history of intake of non</w:t>
      </w:r>
      <w:r w:rsidR="006C6859" w:rsidRPr="00DC4B5A">
        <w:rPr>
          <w:rFonts w:ascii="Times New Roman" w:hAnsi="Times New Roman" w:cs="Times New Roman"/>
          <w:sz w:val="24"/>
          <w:szCs w:val="24"/>
        </w:rPr>
        <w:t>-</w:t>
      </w:r>
      <w:r w:rsidRPr="00DC4B5A">
        <w:rPr>
          <w:rFonts w:ascii="Times New Roman" w:hAnsi="Times New Roman" w:cs="Times New Roman"/>
          <w:sz w:val="24"/>
          <w:szCs w:val="24"/>
        </w:rPr>
        <w:t>steroidal anti-inflammatory drugs (NSAIDs). In addition, hemoglobin, total serum protein, serum albumin, and alanine transaminase (ALT) levels were lower in group 2 than in group 1</w:t>
      </w:r>
      <w:r w:rsidR="00B7625B" w:rsidRPr="00DC4B5A">
        <w:rPr>
          <w:rFonts w:ascii="Times New Roman" w:hAnsi="Times New Roman" w:cs="Times New Roman"/>
          <w:sz w:val="24"/>
          <w:szCs w:val="24"/>
        </w:rPr>
        <w:t>. In contrast,</w:t>
      </w:r>
      <w:r w:rsidRPr="00DC4B5A">
        <w:rPr>
          <w:rFonts w:ascii="Times New Roman" w:hAnsi="Times New Roman" w:cs="Times New Roman"/>
          <w:sz w:val="24"/>
          <w:szCs w:val="24"/>
        </w:rPr>
        <w:t xml:space="preserve"> serum creatinine, blood urea, and ESR were higher in group 2 than in group 1 (</w:t>
      </w:r>
      <w:r w:rsidRPr="00DC4B5A">
        <w:rPr>
          <w:rFonts w:ascii="Times New Roman" w:hAnsi="Times New Roman" w:cs="Times New Roman"/>
          <w:color w:val="000000" w:themeColor="text1"/>
          <w:sz w:val="24"/>
          <w:szCs w:val="24"/>
        </w:rPr>
        <w:t>Table 2). Statistically, no significant relationships were observed between CKD severity and EGD results for the esophagus and duodenum. However, there was a</w:t>
      </w:r>
      <w:r w:rsidRPr="00DC4B5A">
        <w:rPr>
          <w:rFonts w:ascii="Times New Roman" w:hAnsi="Times New Roman" w:cs="Times New Roman"/>
          <w:sz w:val="24"/>
          <w:szCs w:val="24"/>
        </w:rPr>
        <w:t xml:space="preserve"> statistically significant relationship between CKD severity and EGD results for the stomach, with 12.1% of patients with severe CKD having large gastric ulcers (Table 3).</w:t>
      </w:r>
    </w:p>
    <w:p w14:paraId="6A0F1C78" w14:textId="6D5CC9E0" w:rsidR="009A6614" w:rsidRPr="00DC4B5A" w:rsidRDefault="009A6614" w:rsidP="009A6614">
      <w:pPr>
        <w:pStyle w:val="Caption"/>
        <w:keepNext/>
        <w:rPr>
          <w:sz w:val="24"/>
          <w:szCs w:val="24"/>
        </w:rPr>
      </w:pPr>
      <w:r w:rsidRPr="00DC4B5A">
        <w:rPr>
          <w:sz w:val="24"/>
          <w:szCs w:val="24"/>
        </w:rPr>
        <w:t xml:space="preserve">Tab </w:t>
      </w:r>
      <w:r w:rsidRPr="00DC4B5A">
        <w:rPr>
          <w:sz w:val="24"/>
          <w:szCs w:val="24"/>
        </w:rPr>
        <w:fldChar w:fldCharType="begin"/>
      </w:r>
      <w:r w:rsidRPr="00DC4B5A">
        <w:rPr>
          <w:sz w:val="24"/>
          <w:szCs w:val="24"/>
        </w:rPr>
        <w:instrText xml:space="preserve"> SEQ Table \* ARABIC </w:instrText>
      </w:r>
      <w:r w:rsidRPr="00DC4B5A">
        <w:rPr>
          <w:sz w:val="24"/>
          <w:szCs w:val="24"/>
        </w:rPr>
        <w:fldChar w:fldCharType="separate"/>
      </w:r>
      <w:r w:rsidR="00D75AE6">
        <w:rPr>
          <w:noProof/>
          <w:sz w:val="24"/>
          <w:szCs w:val="24"/>
        </w:rPr>
        <w:t>2</w:t>
      </w:r>
      <w:r w:rsidRPr="00DC4B5A">
        <w:rPr>
          <w:noProof/>
          <w:sz w:val="24"/>
          <w:szCs w:val="24"/>
        </w:rPr>
        <w:fldChar w:fldCharType="end"/>
      </w:r>
      <w:r w:rsidRPr="00DC4B5A">
        <w:rPr>
          <w:sz w:val="24"/>
          <w:szCs w:val="24"/>
        </w:rPr>
        <w:t>.</w:t>
      </w:r>
      <w:r w:rsidRPr="00DC4B5A">
        <w:rPr>
          <w:rFonts w:ascii="Times New Roman" w:hAnsi="Times New Roman" w:cs="Times New Roman"/>
          <w:b/>
          <w:bCs/>
          <w:i w:val="0"/>
          <w:iCs w:val="0"/>
          <w:color w:val="auto"/>
          <w:sz w:val="24"/>
          <w:szCs w:val="24"/>
        </w:rPr>
        <w:t xml:space="preserve"> </w:t>
      </w:r>
      <w:r w:rsidRPr="00DC4B5A">
        <w:rPr>
          <w:b/>
          <w:bCs/>
          <w:sz w:val="24"/>
          <w:szCs w:val="24"/>
        </w:rPr>
        <w:t>Comparison between the studied groups regarding baseline data.</w:t>
      </w:r>
      <w:r w:rsidRPr="00DC4B5A">
        <w:rPr>
          <w:sz w:val="24"/>
          <w:szCs w:val="24"/>
        </w:rPr>
        <w:t xml:space="preserve"> </w:t>
      </w:r>
    </w:p>
    <w:tbl>
      <w:tblPr>
        <w:tblStyle w:val="TableGrid"/>
        <w:tblW w:w="9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2. Comparison between the studied groups regarding baseline data. "/>
        <w:tblDescription w:val="(*): Statistically significant, (**): Highly effective, (NSAIDs): Non-steroidal anti-inflammatory drugs, (WBCs): White blood cells, (LDL): Low-density lipoproteins, (HDL): High-density lipoprotein, (ESR): Erythrocyte sedimentation rate, (FOBT): Fecal occult blood test."/>
      </w:tblPr>
      <w:tblGrid>
        <w:gridCol w:w="3963"/>
        <w:gridCol w:w="1984"/>
        <w:gridCol w:w="2232"/>
        <w:gridCol w:w="1135"/>
      </w:tblGrid>
      <w:tr w:rsidR="00AC7F5D" w:rsidRPr="00DC4B5A" w14:paraId="23E14240" w14:textId="77777777" w:rsidTr="00DC086E">
        <w:trPr>
          <w:trHeight w:val="47"/>
        </w:trPr>
        <w:tc>
          <w:tcPr>
            <w:tcW w:w="3963" w:type="dxa"/>
            <w:tcBorders>
              <w:top w:val="single" w:sz="4" w:space="0" w:color="auto"/>
              <w:bottom w:val="single" w:sz="4" w:space="0" w:color="auto"/>
            </w:tcBorders>
          </w:tcPr>
          <w:p w14:paraId="0B73BF95"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b/>
                <w:bCs/>
                <w:sz w:val="24"/>
                <w:szCs w:val="24"/>
              </w:rPr>
              <w:t>Parameter</w:t>
            </w:r>
            <w:r w:rsidRPr="00DC4B5A">
              <w:rPr>
                <w:rFonts w:ascii="Times New Roman" w:hAnsi="Times New Roman" w:cs="Times New Roman"/>
                <w:sz w:val="24"/>
                <w:szCs w:val="24"/>
              </w:rPr>
              <w:t xml:space="preserve"> </w:t>
            </w:r>
          </w:p>
        </w:tc>
        <w:tc>
          <w:tcPr>
            <w:tcW w:w="1984" w:type="dxa"/>
            <w:tcBorders>
              <w:top w:val="single" w:sz="4" w:space="0" w:color="auto"/>
              <w:bottom w:val="single" w:sz="4" w:space="0" w:color="auto"/>
            </w:tcBorders>
          </w:tcPr>
          <w:p w14:paraId="72895C84" w14:textId="77777777" w:rsidR="00AC7F5D" w:rsidRPr="00DC4B5A" w:rsidRDefault="00AC7F5D" w:rsidP="00DC086E">
            <w:pPr>
              <w:spacing w:after="0" w:line="240" w:lineRule="auto"/>
              <w:jc w:val="center"/>
              <w:rPr>
                <w:rFonts w:ascii="Times New Roman" w:hAnsi="Times New Roman" w:cs="Times New Roman"/>
                <w:b/>
                <w:bCs/>
                <w:sz w:val="24"/>
                <w:szCs w:val="24"/>
              </w:rPr>
            </w:pPr>
            <w:r w:rsidRPr="00DC4B5A">
              <w:rPr>
                <w:rFonts w:ascii="Times New Roman" w:hAnsi="Times New Roman" w:cs="Times New Roman"/>
                <w:b/>
                <w:bCs/>
                <w:sz w:val="24"/>
                <w:szCs w:val="24"/>
              </w:rPr>
              <w:t>Group 1 (n=48)</w:t>
            </w:r>
          </w:p>
        </w:tc>
        <w:tc>
          <w:tcPr>
            <w:tcW w:w="2232" w:type="dxa"/>
            <w:tcBorders>
              <w:top w:val="single" w:sz="4" w:space="0" w:color="auto"/>
              <w:bottom w:val="single" w:sz="4" w:space="0" w:color="auto"/>
            </w:tcBorders>
          </w:tcPr>
          <w:p w14:paraId="1AAF264C" w14:textId="77777777" w:rsidR="00AC7F5D" w:rsidRPr="00DC4B5A" w:rsidRDefault="00AC7F5D" w:rsidP="00DC086E">
            <w:pPr>
              <w:spacing w:after="0" w:line="240" w:lineRule="auto"/>
              <w:jc w:val="center"/>
              <w:rPr>
                <w:rFonts w:ascii="Times New Roman" w:hAnsi="Times New Roman" w:cs="Times New Roman"/>
                <w:b/>
                <w:bCs/>
                <w:sz w:val="24"/>
                <w:szCs w:val="24"/>
              </w:rPr>
            </w:pPr>
            <w:r w:rsidRPr="00DC4B5A">
              <w:rPr>
                <w:rFonts w:ascii="Times New Roman" w:hAnsi="Times New Roman" w:cs="Times New Roman"/>
                <w:b/>
                <w:bCs/>
                <w:sz w:val="24"/>
                <w:szCs w:val="24"/>
              </w:rPr>
              <w:t>Group 2 (n=33)</w:t>
            </w:r>
          </w:p>
        </w:tc>
        <w:tc>
          <w:tcPr>
            <w:tcW w:w="1135" w:type="dxa"/>
            <w:tcBorders>
              <w:top w:val="single" w:sz="4" w:space="0" w:color="auto"/>
              <w:bottom w:val="single" w:sz="4" w:space="0" w:color="auto"/>
            </w:tcBorders>
          </w:tcPr>
          <w:p w14:paraId="4C5CEC47"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i/>
                <w:iCs/>
                <w:sz w:val="24"/>
                <w:szCs w:val="24"/>
              </w:rPr>
              <w:t>p</w:t>
            </w:r>
            <w:r w:rsidRPr="00DC4B5A">
              <w:rPr>
                <w:rFonts w:ascii="Times New Roman" w:hAnsi="Times New Roman" w:cs="Times New Roman"/>
                <w:sz w:val="24"/>
                <w:szCs w:val="24"/>
              </w:rPr>
              <w:t>-value</w:t>
            </w:r>
          </w:p>
        </w:tc>
      </w:tr>
      <w:tr w:rsidR="00AC7F5D" w:rsidRPr="00DC4B5A" w14:paraId="4F403618" w14:textId="77777777" w:rsidTr="00DC086E">
        <w:tc>
          <w:tcPr>
            <w:tcW w:w="3963" w:type="dxa"/>
            <w:tcBorders>
              <w:top w:val="single" w:sz="4" w:space="0" w:color="auto"/>
            </w:tcBorders>
          </w:tcPr>
          <w:p w14:paraId="13B75EA7"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Male sex</w:t>
            </w:r>
          </w:p>
        </w:tc>
        <w:tc>
          <w:tcPr>
            <w:tcW w:w="1984" w:type="dxa"/>
            <w:tcBorders>
              <w:top w:val="single" w:sz="4" w:space="0" w:color="auto"/>
            </w:tcBorders>
          </w:tcPr>
          <w:p w14:paraId="7CB6F87E"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31 (64.5%)</w:t>
            </w:r>
          </w:p>
        </w:tc>
        <w:tc>
          <w:tcPr>
            <w:tcW w:w="2232" w:type="dxa"/>
            <w:tcBorders>
              <w:top w:val="single" w:sz="4" w:space="0" w:color="auto"/>
            </w:tcBorders>
          </w:tcPr>
          <w:p w14:paraId="1267F316"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23 (69.7%)</w:t>
            </w:r>
          </w:p>
        </w:tc>
        <w:tc>
          <w:tcPr>
            <w:tcW w:w="1135" w:type="dxa"/>
            <w:tcBorders>
              <w:top w:val="single" w:sz="4" w:space="0" w:color="auto"/>
            </w:tcBorders>
          </w:tcPr>
          <w:p w14:paraId="38E54977"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0.631</w:t>
            </w:r>
          </w:p>
        </w:tc>
      </w:tr>
      <w:tr w:rsidR="00AC7F5D" w:rsidRPr="00DC4B5A" w14:paraId="7B0E7024" w14:textId="77777777" w:rsidTr="00DC086E">
        <w:tc>
          <w:tcPr>
            <w:tcW w:w="3963" w:type="dxa"/>
          </w:tcPr>
          <w:p w14:paraId="6D6804B7"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Age (years)</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 xml:space="preserve"> </w:t>
            </w:r>
          </w:p>
        </w:tc>
        <w:tc>
          <w:tcPr>
            <w:tcW w:w="1984" w:type="dxa"/>
          </w:tcPr>
          <w:p w14:paraId="4A89E40E"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60.23 ± 12.78</w:t>
            </w:r>
          </w:p>
        </w:tc>
        <w:tc>
          <w:tcPr>
            <w:tcW w:w="2232" w:type="dxa"/>
          </w:tcPr>
          <w:p w14:paraId="26FEC56E"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66.48 ± 10.29</w:t>
            </w:r>
          </w:p>
        </w:tc>
        <w:tc>
          <w:tcPr>
            <w:tcW w:w="1135" w:type="dxa"/>
          </w:tcPr>
          <w:p w14:paraId="16E8C65C"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0.017*</w:t>
            </w:r>
          </w:p>
        </w:tc>
      </w:tr>
      <w:tr w:rsidR="00AC7F5D" w:rsidRPr="00DC4B5A" w14:paraId="28C96926" w14:textId="77777777" w:rsidTr="00DC086E">
        <w:tc>
          <w:tcPr>
            <w:tcW w:w="3963" w:type="dxa"/>
          </w:tcPr>
          <w:p w14:paraId="73F1022C"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Body mass index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(kg/m</w:t>
            </w:r>
            <w:r w:rsidRPr="00DC4B5A">
              <w:rPr>
                <w:rFonts w:ascii="Times New Roman" w:hAnsi="Times New Roman" w:cs="Times New Roman"/>
                <w:b/>
                <w:bCs/>
                <w:sz w:val="24"/>
                <w:szCs w:val="24"/>
                <w:vertAlign w:val="superscript"/>
              </w:rPr>
              <w:t>2</w:t>
            </w:r>
            <w:r w:rsidRPr="00DC4B5A">
              <w:rPr>
                <w:rFonts w:ascii="Times New Roman" w:hAnsi="Times New Roman" w:cs="Times New Roman"/>
                <w:b/>
                <w:bCs/>
                <w:sz w:val="24"/>
                <w:szCs w:val="24"/>
              </w:rPr>
              <w:t>)</w:t>
            </w:r>
            <w:r w:rsidRPr="00DC4B5A">
              <w:rPr>
                <w:rFonts w:ascii="Times New Roman" w:hAnsi="Times New Roman" w:cs="Times New Roman"/>
                <w:b/>
                <w:bCs/>
                <w:sz w:val="24"/>
                <w:szCs w:val="24"/>
                <w:cs/>
              </w:rPr>
              <w:t>‎</w:t>
            </w:r>
          </w:p>
        </w:tc>
        <w:tc>
          <w:tcPr>
            <w:tcW w:w="1984" w:type="dxa"/>
          </w:tcPr>
          <w:p w14:paraId="7FED3DCD"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25.9 ± 5.0</w:t>
            </w:r>
          </w:p>
        </w:tc>
        <w:tc>
          <w:tcPr>
            <w:tcW w:w="2232" w:type="dxa"/>
          </w:tcPr>
          <w:p w14:paraId="4B68F05C"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25.68 ± 4.51</w:t>
            </w:r>
          </w:p>
        </w:tc>
        <w:tc>
          <w:tcPr>
            <w:tcW w:w="1135" w:type="dxa"/>
          </w:tcPr>
          <w:p w14:paraId="13D9E240"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0.836</w:t>
            </w:r>
          </w:p>
        </w:tc>
      </w:tr>
      <w:tr w:rsidR="00AC7F5D" w:rsidRPr="00DC4B5A" w14:paraId="65C438D4" w14:textId="77777777" w:rsidTr="00DC086E">
        <w:tc>
          <w:tcPr>
            <w:tcW w:w="3963" w:type="dxa"/>
          </w:tcPr>
          <w:p w14:paraId="51D39D9C"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Hypertension </w:t>
            </w:r>
          </w:p>
        </w:tc>
        <w:tc>
          <w:tcPr>
            <w:tcW w:w="1984" w:type="dxa"/>
          </w:tcPr>
          <w:p w14:paraId="3E525C76"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29 (60.4%)</w:t>
            </w:r>
          </w:p>
        </w:tc>
        <w:tc>
          <w:tcPr>
            <w:tcW w:w="2232" w:type="dxa"/>
          </w:tcPr>
          <w:p w14:paraId="78B1FF31"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25 (75.8%)</w:t>
            </w:r>
          </w:p>
        </w:tc>
        <w:tc>
          <w:tcPr>
            <w:tcW w:w="1135" w:type="dxa"/>
          </w:tcPr>
          <w:p w14:paraId="5F980352"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0.15</w:t>
            </w:r>
          </w:p>
        </w:tc>
      </w:tr>
      <w:tr w:rsidR="00AC7F5D" w:rsidRPr="00DC4B5A" w14:paraId="1FEC324E" w14:textId="77777777" w:rsidTr="00DC086E">
        <w:tc>
          <w:tcPr>
            <w:tcW w:w="3963" w:type="dxa"/>
          </w:tcPr>
          <w:p w14:paraId="33C50744"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Diabetes</w:t>
            </w:r>
          </w:p>
        </w:tc>
        <w:tc>
          <w:tcPr>
            <w:tcW w:w="1984" w:type="dxa"/>
          </w:tcPr>
          <w:p w14:paraId="28B484E9"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17 (35.4%)</w:t>
            </w:r>
          </w:p>
        </w:tc>
        <w:tc>
          <w:tcPr>
            <w:tcW w:w="2232" w:type="dxa"/>
          </w:tcPr>
          <w:p w14:paraId="305BA3E1"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25 (75.8%)</w:t>
            </w:r>
          </w:p>
        </w:tc>
        <w:tc>
          <w:tcPr>
            <w:tcW w:w="1135" w:type="dxa"/>
          </w:tcPr>
          <w:p w14:paraId="46AAC249"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&lt;0.001**</w:t>
            </w:r>
          </w:p>
        </w:tc>
      </w:tr>
      <w:tr w:rsidR="00AC7F5D" w:rsidRPr="00DC4B5A" w14:paraId="178DD1BA" w14:textId="77777777" w:rsidTr="00DC086E">
        <w:tc>
          <w:tcPr>
            <w:tcW w:w="3963" w:type="dxa"/>
          </w:tcPr>
          <w:p w14:paraId="43528E43"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Ischemic heart disease</w:t>
            </w:r>
          </w:p>
        </w:tc>
        <w:tc>
          <w:tcPr>
            <w:tcW w:w="1984" w:type="dxa"/>
          </w:tcPr>
          <w:p w14:paraId="51287575"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11 (22.9%)</w:t>
            </w:r>
          </w:p>
        </w:tc>
        <w:tc>
          <w:tcPr>
            <w:tcW w:w="2232" w:type="dxa"/>
          </w:tcPr>
          <w:p w14:paraId="182EF088"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7 (21.2%)</w:t>
            </w:r>
          </w:p>
        </w:tc>
        <w:tc>
          <w:tcPr>
            <w:tcW w:w="1135" w:type="dxa"/>
          </w:tcPr>
          <w:p w14:paraId="5BCE61E1"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0.856</w:t>
            </w:r>
          </w:p>
        </w:tc>
      </w:tr>
      <w:tr w:rsidR="00AC7F5D" w:rsidRPr="00DC4B5A" w14:paraId="2CB7DE18" w14:textId="77777777" w:rsidTr="00DC086E">
        <w:tc>
          <w:tcPr>
            <w:tcW w:w="3963" w:type="dxa"/>
          </w:tcPr>
          <w:p w14:paraId="36B39002"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Aspirin </w:t>
            </w:r>
          </w:p>
        </w:tc>
        <w:tc>
          <w:tcPr>
            <w:tcW w:w="1984" w:type="dxa"/>
          </w:tcPr>
          <w:p w14:paraId="21A8627D"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18 (37.5%)</w:t>
            </w:r>
          </w:p>
        </w:tc>
        <w:tc>
          <w:tcPr>
            <w:tcW w:w="2232" w:type="dxa"/>
          </w:tcPr>
          <w:p w14:paraId="53D70D02"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7 (21.2%)</w:t>
            </w:r>
          </w:p>
        </w:tc>
        <w:tc>
          <w:tcPr>
            <w:tcW w:w="1135" w:type="dxa"/>
          </w:tcPr>
          <w:p w14:paraId="7C1AD705"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0.119</w:t>
            </w:r>
          </w:p>
        </w:tc>
      </w:tr>
      <w:tr w:rsidR="00AC7F5D" w:rsidRPr="00DC4B5A" w14:paraId="03301BCD" w14:textId="77777777" w:rsidTr="00DC086E">
        <w:tc>
          <w:tcPr>
            <w:tcW w:w="3963" w:type="dxa"/>
          </w:tcPr>
          <w:p w14:paraId="24CFFB30"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NSAIDs</w:t>
            </w:r>
          </w:p>
        </w:tc>
        <w:tc>
          <w:tcPr>
            <w:tcW w:w="1984" w:type="dxa"/>
          </w:tcPr>
          <w:p w14:paraId="59E42A51"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28 (58.3%)</w:t>
            </w:r>
          </w:p>
        </w:tc>
        <w:tc>
          <w:tcPr>
            <w:tcW w:w="2232" w:type="dxa"/>
          </w:tcPr>
          <w:p w14:paraId="21384303"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9 (27.3%)</w:t>
            </w:r>
          </w:p>
        </w:tc>
        <w:tc>
          <w:tcPr>
            <w:tcW w:w="1135" w:type="dxa"/>
          </w:tcPr>
          <w:p w14:paraId="066F9EEA"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0.006*</w:t>
            </w:r>
          </w:p>
        </w:tc>
      </w:tr>
      <w:tr w:rsidR="00AC7F5D" w:rsidRPr="00DC4B5A" w14:paraId="5C941C92" w14:textId="77777777" w:rsidTr="00DC086E">
        <w:tc>
          <w:tcPr>
            <w:tcW w:w="3963" w:type="dxa"/>
          </w:tcPr>
          <w:p w14:paraId="67A74211"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Clopidogrel </w:t>
            </w:r>
          </w:p>
        </w:tc>
        <w:tc>
          <w:tcPr>
            <w:tcW w:w="1984" w:type="dxa"/>
          </w:tcPr>
          <w:p w14:paraId="169E61AB"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8 (16.7%)</w:t>
            </w:r>
          </w:p>
        </w:tc>
        <w:tc>
          <w:tcPr>
            <w:tcW w:w="2232" w:type="dxa"/>
          </w:tcPr>
          <w:p w14:paraId="55159F48"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7 (21.2%)</w:t>
            </w:r>
          </w:p>
        </w:tc>
        <w:tc>
          <w:tcPr>
            <w:tcW w:w="1135" w:type="dxa"/>
          </w:tcPr>
          <w:p w14:paraId="398C75E8"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0.605</w:t>
            </w:r>
          </w:p>
        </w:tc>
      </w:tr>
      <w:tr w:rsidR="00AC7F5D" w:rsidRPr="00DC4B5A" w14:paraId="41D4A5E3" w14:textId="77777777" w:rsidTr="00DC086E">
        <w:tc>
          <w:tcPr>
            <w:tcW w:w="3963" w:type="dxa"/>
          </w:tcPr>
          <w:p w14:paraId="3918FE55"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Oral anticoagulants</w:t>
            </w:r>
          </w:p>
        </w:tc>
        <w:tc>
          <w:tcPr>
            <w:tcW w:w="1984" w:type="dxa"/>
          </w:tcPr>
          <w:p w14:paraId="0EE1CEEF"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 (2.1%)</w:t>
            </w:r>
          </w:p>
        </w:tc>
        <w:tc>
          <w:tcPr>
            <w:tcW w:w="2232" w:type="dxa"/>
          </w:tcPr>
          <w:p w14:paraId="07CC6851"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 (9.1%)</w:t>
            </w:r>
          </w:p>
        </w:tc>
        <w:tc>
          <w:tcPr>
            <w:tcW w:w="1135" w:type="dxa"/>
          </w:tcPr>
          <w:p w14:paraId="47CA9576"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0.299</w:t>
            </w:r>
          </w:p>
        </w:tc>
      </w:tr>
      <w:tr w:rsidR="00AC7F5D" w:rsidRPr="00DC4B5A" w14:paraId="5D84A957" w14:textId="77777777" w:rsidTr="00DC086E">
        <w:tc>
          <w:tcPr>
            <w:tcW w:w="3963" w:type="dxa"/>
          </w:tcPr>
          <w:p w14:paraId="15ECBD06"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Steroid </w:t>
            </w:r>
          </w:p>
        </w:tc>
        <w:tc>
          <w:tcPr>
            <w:tcW w:w="1984" w:type="dxa"/>
          </w:tcPr>
          <w:p w14:paraId="361C5490"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 (10.4%)</w:t>
            </w:r>
          </w:p>
        </w:tc>
        <w:tc>
          <w:tcPr>
            <w:tcW w:w="2232" w:type="dxa"/>
          </w:tcPr>
          <w:p w14:paraId="77E4F9CB"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 (15.2%)</w:t>
            </w:r>
          </w:p>
        </w:tc>
        <w:tc>
          <w:tcPr>
            <w:tcW w:w="1135" w:type="dxa"/>
          </w:tcPr>
          <w:p w14:paraId="264FC6A7"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0.524</w:t>
            </w:r>
          </w:p>
        </w:tc>
      </w:tr>
      <w:tr w:rsidR="00AC7F5D" w:rsidRPr="00DC4B5A" w14:paraId="1130F9C4" w14:textId="77777777" w:rsidTr="00DC086E">
        <w:tc>
          <w:tcPr>
            <w:tcW w:w="3963" w:type="dxa"/>
          </w:tcPr>
          <w:p w14:paraId="4561630B"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Creatinine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(mg/dL)</w:t>
            </w:r>
            <w:r w:rsidRPr="00DC4B5A">
              <w:rPr>
                <w:rFonts w:ascii="Times New Roman" w:hAnsi="Times New Roman" w:cs="Times New Roman"/>
                <w:b/>
                <w:bCs/>
                <w:sz w:val="24"/>
                <w:szCs w:val="24"/>
                <w:cs/>
              </w:rPr>
              <w:t>‎</w:t>
            </w:r>
          </w:p>
        </w:tc>
        <w:tc>
          <w:tcPr>
            <w:tcW w:w="1984" w:type="dxa"/>
          </w:tcPr>
          <w:p w14:paraId="4421812D"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 xml:space="preserve">0.86 (0.69 – 2)   </w:t>
            </w:r>
          </w:p>
        </w:tc>
        <w:tc>
          <w:tcPr>
            <w:tcW w:w="2232" w:type="dxa"/>
          </w:tcPr>
          <w:p w14:paraId="54656F91"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1.5 (0.98 – 10.17)</w:t>
            </w:r>
          </w:p>
        </w:tc>
        <w:tc>
          <w:tcPr>
            <w:tcW w:w="1135" w:type="dxa"/>
          </w:tcPr>
          <w:p w14:paraId="5275EDCF"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&lt;0.001**</w:t>
            </w:r>
          </w:p>
        </w:tc>
      </w:tr>
      <w:tr w:rsidR="00AC7F5D" w:rsidRPr="00DC4B5A" w14:paraId="5FD4F11C" w14:textId="77777777" w:rsidTr="00DC086E">
        <w:tc>
          <w:tcPr>
            <w:tcW w:w="3963" w:type="dxa"/>
          </w:tcPr>
          <w:p w14:paraId="1EEA8655"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Urea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(mg/dL)</w:t>
            </w:r>
            <w:r w:rsidRPr="00DC4B5A">
              <w:rPr>
                <w:rFonts w:ascii="Times New Roman" w:hAnsi="Times New Roman" w:cs="Times New Roman"/>
                <w:b/>
                <w:bCs/>
                <w:sz w:val="24"/>
                <w:szCs w:val="24"/>
                <w:cs/>
              </w:rPr>
              <w:t>‎</w:t>
            </w:r>
          </w:p>
        </w:tc>
        <w:tc>
          <w:tcPr>
            <w:tcW w:w="1984" w:type="dxa"/>
          </w:tcPr>
          <w:p w14:paraId="26303236"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30.4 (16.8 – 89)</w:t>
            </w:r>
          </w:p>
        </w:tc>
        <w:tc>
          <w:tcPr>
            <w:tcW w:w="2232" w:type="dxa"/>
          </w:tcPr>
          <w:p w14:paraId="22031876"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46.7 (22.2 – 139.49)</w:t>
            </w:r>
          </w:p>
        </w:tc>
        <w:tc>
          <w:tcPr>
            <w:tcW w:w="1135" w:type="dxa"/>
          </w:tcPr>
          <w:p w14:paraId="6BCE2E59"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&lt;0.001**</w:t>
            </w:r>
          </w:p>
        </w:tc>
      </w:tr>
      <w:tr w:rsidR="00AC7F5D" w:rsidRPr="00DC4B5A" w14:paraId="5D585B72" w14:textId="77777777" w:rsidTr="00DC086E">
        <w:tc>
          <w:tcPr>
            <w:tcW w:w="3963" w:type="dxa"/>
          </w:tcPr>
          <w:p w14:paraId="0732A4DA"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Hemoglobin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(g/dL)</w:t>
            </w:r>
            <w:r w:rsidRPr="00DC4B5A">
              <w:rPr>
                <w:rFonts w:ascii="Times New Roman" w:hAnsi="Times New Roman" w:cs="Times New Roman"/>
                <w:b/>
                <w:bCs/>
                <w:sz w:val="24"/>
                <w:szCs w:val="24"/>
                <w:cs/>
              </w:rPr>
              <w:t>‎</w:t>
            </w:r>
          </w:p>
        </w:tc>
        <w:tc>
          <w:tcPr>
            <w:tcW w:w="1984" w:type="dxa"/>
          </w:tcPr>
          <w:p w14:paraId="3CEB0554"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9.66 ± 1.1</w:t>
            </w:r>
          </w:p>
        </w:tc>
        <w:tc>
          <w:tcPr>
            <w:tcW w:w="2232" w:type="dxa"/>
          </w:tcPr>
          <w:p w14:paraId="1F3841F5"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8.9 ± 1.4</w:t>
            </w:r>
          </w:p>
        </w:tc>
        <w:tc>
          <w:tcPr>
            <w:tcW w:w="1135" w:type="dxa"/>
          </w:tcPr>
          <w:p w14:paraId="4C4710B2"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0.008*</w:t>
            </w:r>
          </w:p>
        </w:tc>
      </w:tr>
      <w:tr w:rsidR="00AC7F5D" w:rsidRPr="00DC4B5A" w14:paraId="5EB60641" w14:textId="77777777" w:rsidTr="00DC086E">
        <w:tc>
          <w:tcPr>
            <w:tcW w:w="3963" w:type="dxa"/>
          </w:tcPr>
          <w:p w14:paraId="21B91C00"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WBCs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(x10</w:t>
            </w:r>
            <w:r w:rsidRPr="00DC4B5A">
              <w:rPr>
                <w:rFonts w:ascii="Times New Roman" w:hAnsi="Times New Roman" w:cs="Times New Roman"/>
                <w:b/>
                <w:bCs/>
                <w:sz w:val="24"/>
                <w:szCs w:val="24"/>
                <w:vertAlign w:val="superscript"/>
              </w:rPr>
              <w:t>3</w:t>
            </w:r>
            <w:r w:rsidRPr="00DC4B5A">
              <w:rPr>
                <w:rFonts w:ascii="Times New Roman" w:hAnsi="Times New Roman" w:cs="Times New Roman"/>
                <w:b/>
                <w:bCs/>
                <w:sz w:val="24"/>
                <w:szCs w:val="24"/>
              </w:rPr>
              <w:t>/mm</w:t>
            </w:r>
            <w:r w:rsidRPr="00DC4B5A">
              <w:rPr>
                <w:rFonts w:ascii="Times New Roman" w:hAnsi="Times New Roman" w:cs="Times New Roman"/>
                <w:b/>
                <w:bCs/>
                <w:sz w:val="24"/>
                <w:szCs w:val="24"/>
                <w:vertAlign w:val="superscript"/>
              </w:rPr>
              <w:t>3</w:t>
            </w:r>
            <w:r w:rsidRPr="00DC4B5A">
              <w:rPr>
                <w:rFonts w:ascii="Times New Roman" w:hAnsi="Times New Roman" w:cs="Times New Roman"/>
                <w:b/>
                <w:bCs/>
                <w:sz w:val="24"/>
                <w:szCs w:val="24"/>
              </w:rPr>
              <w:t>)</w:t>
            </w:r>
          </w:p>
        </w:tc>
        <w:tc>
          <w:tcPr>
            <w:tcW w:w="1984" w:type="dxa"/>
          </w:tcPr>
          <w:p w14:paraId="557401F1"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5.99 (3 – 29)</w:t>
            </w:r>
          </w:p>
        </w:tc>
        <w:tc>
          <w:tcPr>
            <w:tcW w:w="2232" w:type="dxa"/>
          </w:tcPr>
          <w:p w14:paraId="5E7B6180"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6.2 (3.21 – 25.5)</w:t>
            </w:r>
          </w:p>
        </w:tc>
        <w:tc>
          <w:tcPr>
            <w:tcW w:w="1135" w:type="dxa"/>
          </w:tcPr>
          <w:p w14:paraId="3E585B5E"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0.474</w:t>
            </w:r>
          </w:p>
        </w:tc>
      </w:tr>
      <w:tr w:rsidR="00AC7F5D" w:rsidRPr="00DC4B5A" w14:paraId="2ED02B27" w14:textId="77777777" w:rsidTr="00DC086E">
        <w:tc>
          <w:tcPr>
            <w:tcW w:w="3963" w:type="dxa"/>
          </w:tcPr>
          <w:p w14:paraId="081AD50B"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Platelet (x10</w:t>
            </w:r>
            <w:r w:rsidRPr="00DC4B5A">
              <w:rPr>
                <w:rFonts w:ascii="Times New Roman" w:hAnsi="Times New Roman" w:cs="Times New Roman"/>
                <w:b/>
                <w:bCs/>
                <w:sz w:val="24"/>
                <w:szCs w:val="24"/>
                <w:vertAlign w:val="superscript"/>
              </w:rPr>
              <w:t>3</w:t>
            </w:r>
            <w:r w:rsidRPr="00DC4B5A">
              <w:rPr>
                <w:rFonts w:ascii="Times New Roman" w:hAnsi="Times New Roman" w:cs="Times New Roman"/>
                <w:b/>
                <w:bCs/>
                <w:sz w:val="24"/>
                <w:szCs w:val="24"/>
              </w:rPr>
              <w:t>/mm</w:t>
            </w:r>
            <w:r w:rsidRPr="00DC4B5A">
              <w:rPr>
                <w:rFonts w:ascii="Times New Roman" w:hAnsi="Times New Roman" w:cs="Times New Roman"/>
                <w:b/>
                <w:bCs/>
                <w:sz w:val="24"/>
                <w:szCs w:val="24"/>
                <w:vertAlign w:val="superscript"/>
              </w:rPr>
              <w:t>3</w:t>
            </w:r>
            <w:r w:rsidRPr="00DC4B5A">
              <w:rPr>
                <w:rFonts w:ascii="Times New Roman" w:hAnsi="Times New Roman" w:cs="Times New Roman"/>
                <w:b/>
                <w:bCs/>
                <w:sz w:val="24"/>
                <w:szCs w:val="24"/>
              </w:rPr>
              <w:t>)</w:t>
            </w:r>
          </w:p>
        </w:tc>
        <w:tc>
          <w:tcPr>
            <w:tcW w:w="1984" w:type="dxa"/>
          </w:tcPr>
          <w:p w14:paraId="086BA9EB"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263.75 ± 66.02</w:t>
            </w:r>
          </w:p>
        </w:tc>
        <w:tc>
          <w:tcPr>
            <w:tcW w:w="2232" w:type="dxa"/>
          </w:tcPr>
          <w:p w14:paraId="25624236"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306.42±119.8</w:t>
            </w:r>
          </w:p>
        </w:tc>
        <w:tc>
          <w:tcPr>
            <w:tcW w:w="1135" w:type="dxa"/>
          </w:tcPr>
          <w:p w14:paraId="4592E10B"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0.077</w:t>
            </w:r>
          </w:p>
        </w:tc>
      </w:tr>
      <w:tr w:rsidR="00AC7F5D" w:rsidRPr="00DC4B5A" w14:paraId="15723980" w14:textId="77777777" w:rsidTr="00DC086E">
        <w:tc>
          <w:tcPr>
            <w:tcW w:w="3963" w:type="dxa"/>
          </w:tcPr>
          <w:p w14:paraId="03144DF0"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Albumin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(g/dL)</w:t>
            </w:r>
          </w:p>
        </w:tc>
        <w:tc>
          <w:tcPr>
            <w:tcW w:w="1984" w:type="dxa"/>
          </w:tcPr>
          <w:p w14:paraId="3CFEB0B4"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4.26 ± 0.43</w:t>
            </w:r>
          </w:p>
        </w:tc>
        <w:tc>
          <w:tcPr>
            <w:tcW w:w="2232" w:type="dxa"/>
          </w:tcPr>
          <w:p w14:paraId="11CDABEF"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3.9 ± 0.31</w:t>
            </w:r>
          </w:p>
        </w:tc>
        <w:tc>
          <w:tcPr>
            <w:tcW w:w="1135" w:type="dxa"/>
          </w:tcPr>
          <w:p w14:paraId="1A499F55"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&lt;0.001**</w:t>
            </w:r>
          </w:p>
        </w:tc>
      </w:tr>
      <w:tr w:rsidR="00AC7F5D" w:rsidRPr="00DC4B5A" w14:paraId="4967C294" w14:textId="77777777" w:rsidTr="00DC086E">
        <w:tc>
          <w:tcPr>
            <w:tcW w:w="3963" w:type="dxa"/>
          </w:tcPr>
          <w:p w14:paraId="5A14B120"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Alanine transaminase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(IU/L)</w:t>
            </w:r>
            <w:r w:rsidRPr="00DC4B5A">
              <w:rPr>
                <w:rFonts w:ascii="Times New Roman" w:hAnsi="Times New Roman" w:cs="Times New Roman"/>
                <w:b/>
                <w:bCs/>
                <w:sz w:val="24"/>
                <w:szCs w:val="24"/>
                <w:cs/>
              </w:rPr>
              <w:t>‎</w:t>
            </w:r>
          </w:p>
        </w:tc>
        <w:tc>
          <w:tcPr>
            <w:tcW w:w="1984" w:type="dxa"/>
          </w:tcPr>
          <w:p w14:paraId="66DBF95B"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15.7 (6.3 – 92)</w:t>
            </w:r>
          </w:p>
        </w:tc>
        <w:tc>
          <w:tcPr>
            <w:tcW w:w="2232" w:type="dxa"/>
          </w:tcPr>
          <w:p w14:paraId="1FFA0502"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12.2 (5 – 27)</w:t>
            </w:r>
          </w:p>
        </w:tc>
        <w:tc>
          <w:tcPr>
            <w:tcW w:w="1135" w:type="dxa"/>
          </w:tcPr>
          <w:p w14:paraId="559ED53F"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&lt;0.001**</w:t>
            </w:r>
          </w:p>
        </w:tc>
      </w:tr>
      <w:tr w:rsidR="00AC7F5D" w:rsidRPr="00DC4B5A" w14:paraId="28B43EAB" w14:textId="77777777" w:rsidTr="00DC086E">
        <w:tc>
          <w:tcPr>
            <w:tcW w:w="3963" w:type="dxa"/>
          </w:tcPr>
          <w:p w14:paraId="2CA088CD"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Ferritin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(ng/mL)</w:t>
            </w:r>
            <w:r w:rsidRPr="00DC4B5A">
              <w:rPr>
                <w:rFonts w:ascii="Times New Roman" w:hAnsi="Times New Roman" w:cs="Times New Roman"/>
                <w:b/>
                <w:bCs/>
                <w:sz w:val="24"/>
                <w:szCs w:val="24"/>
                <w:cs/>
              </w:rPr>
              <w:t>‎</w:t>
            </w:r>
          </w:p>
        </w:tc>
        <w:tc>
          <w:tcPr>
            <w:tcW w:w="1984" w:type="dxa"/>
          </w:tcPr>
          <w:p w14:paraId="25ACDC91"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70 (7 – 1392)</w:t>
            </w:r>
          </w:p>
        </w:tc>
        <w:tc>
          <w:tcPr>
            <w:tcW w:w="2232" w:type="dxa"/>
          </w:tcPr>
          <w:p w14:paraId="73967413"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100 (6.48 – 1210)</w:t>
            </w:r>
          </w:p>
        </w:tc>
        <w:tc>
          <w:tcPr>
            <w:tcW w:w="1135" w:type="dxa"/>
          </w:tcPr>
          <w:p w14:paraId="6DEFEF17"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0.402</w:t>
            </w:r>
          </w:p>
        </w:tc>
      </w:tr>
      <w:tr w:rsidR="00AC7F5D" w:rsidRPr="00DC4B5A" w14:paraId="076B0A3E" w14:textId="77777777" w:rsidTr="00DC086E">
        <w:tc>
          <w:tcPr>
            <w:tcW w:w="3963" w:type="dxa"/>
          </w:tcPr>
          <w:p w14:paraId="25D4DC99"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Transferrin saturation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w:t>
            </w:r>
            <w:r w:rsidRPr="00DC4B5A">
              <w:rPr>
                <w:rFonts w:ascii="Times New Roman" w:hAnsi="Times New Roman" w:cs="Times New Roman"/>
                <w:b/>
                <w:bCs/>
                <w:sz w:val="24"/>
                <w:szCs w:val="24"/>
                <w:cs/>
              </w:rPr>
              <w:t>‎</w:t>
            </w:r>
          </w:p>
        </w:tc>
        <w:tc>
          <w:tcPr>
            <w:tcW w:w="1984" w:type="dxa"/>
          </w:tcPr>
          <w:p w14:paraId="721F8F14"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12 (5.2 – 10)</w:t>
            </w:r>
          </w:p>
        </w:tc>
        <w:tc>
          <w:tcPr>
            <w:tcW w:w="2232" w:type="dxa"/>
          </w:tcPr>
          <w:p w14:paraId="3FC0E6A1"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13 (3.43 – 24)</w:t>
            </w:r>
          </w:p>
        </w:tc>
        <w:tc>
          <w:tcPr>
            <w:tcW w:w="1135" w:type="dxa"/>
          </w:tcPr>
          <w:p w14:paraId="665C8BC6"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0.307</w:t>
            </w:r>
          </w:p>
        </w:tc>
      </w:tr>
      <w:tr w:rsidR="00AC7F5D" w:rsidRPr="00DC4B5A" w14:paraId="3AFF1F8E" w14:textId="77777777" w:rsidTr="00DC086E">
        <w:tc>
          <w:tcPr>
            <w:tcW w:w="3963" w:type="dxa"/>
          </w:tcPr>
          <w:p w14:paraId="3074A1CC"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Serum iron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(µg/dL)</w:t>
            </w:r>
          </w:p>
        </w:tc>
        <w:tc>
          <w:tcPr>
            <w:tcW w:w="1984" w:type="dxa"/>
          </w:tcPr>
          <w:p w14:paraId="056FEE92"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52.8 (17.42 –430)</w:t>
            </w:r>
          </w:p>
        </w:tc>
        <w:tc>
          <w:tcPr>
            <w:tcW w:w="2232" w:type="dxa"/>
          </w:tcPr>
          <w:p w14:paraId="32201A40"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38 (13.8–136.8)</w:t>
            </w:r>
          </w:p>
        </w:tc>
        <w:tc>
          <w:tcPr>
            <w:tcW w:w="1135" w:type="dxa"/>
          </w:tcPr>
          <w:p w14:paraId="149BE078"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0.059</w:t>
            </w:r>
          </w:p>
        </w:tc>
      </w:tr>
      <w:tr w:rsidR="00AC7F5D" w:rsidRPr="00DC4B5A" w14:paraId="52ABA016" w14:textId="77777777" w:rsidTr="00DC086E">
        <w:tc>
          <w:tcPr>
            <w:tcW w:w="3963" w:type="dxa"/>
          </w:tcPr>
          <w:p w14:paraId="686A5AC2"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Total cholesterol</w:t>
            </w:r>
            <w:r w:rsidRPr="00DC4B5A">
              <w:rPr>
                <w:rFonts w:ascii="Times New Roman" w:hAnsi="Times New Roman" w:cs="Times New Roman"/>
                <w:b/>
                <w:bCs/>
                <w:sz w:val="24"/>
                <w:szCs w:val="24"/>
                <w:cs/>
              </w:rPr>
              <w:t xml:space="preserve">‎ </w:t>
            </w:r>
            <w:r w:rsidRPr="00DC4B5A">
              <w:rPr>
                <w:rFonts w:ascii="Times New Roman" w:hAnsi="Times New Roman" w:cs="Times New Roman"/>
                <w:b/>
                <w:bCs/>
                <w:sz w:val="24"/>
                <w:szCs w:val="24"/>
              </w:rPr>
              <w:t>(mg/dL)</w:t>
            </w:r>
            <w:r w:rsidRPr="00DC4B5A">
              <w:rPr>
                <w:rFonts w:ascii="Times New Roman" w:hAnsi="Times New Roman" w:cs="Times New Roman"/>
                <w:b/>
                <w:bCs/>
                <w:sz w:val="24"/>
                <w:szCs w:val="24"/>
                <w:cs/>
              </w:rPr>
              <w:t>‎</w:t>
            </w:r>
          </w:p>
        </w:tc>
        <w:tc>
          <w:tcPr>
            <w:tcW w:w="1984" w:type="dxa"/>
          </w:tcPr>
          <w:p w14:paraId="5328ABF4"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160.5 (100 – 242)</w:t>
            </w:r>
          </w:p>
        </w:tc>
        <w:tc>
          <w:tcPr>
            <w:tcW w:w="2232" w:type="dxa"/>
          </w:tcPr>
          <w:p w14:paraId="5A59838F"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157 (88.9 – 280)</w:t>
            </w:r>
          </w:p>
        </w:tc>
        <w:tc>
          <w:tcPr>
            <w:tcW w:w="1135" w:type="dxa"/>
          </w:tcPr>
          <w:p w14:paraId="3718EF93"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0.788</w:t>
            </w:r>
          </w:p>
        </w:tc>
      </w:tr>
      <w:tr w:rsidR="00AC7F5D" w:rsidRPr="00DC4B5A" w14:paraId="2B5F0C92" w14:textId="77777777" w:rsidTr="00DC086E">
        <w:tc>
          <w:tcPr>
            <w:tcW w:w="3963" w:type="dxa"/>
          </w:tcPr>
          <w:p w14:paraId="1D2942FD"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LDL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(mg/dL)</w:t>
            </w:r>
            <w:r w:rsidRPr="00DC4B5A">
              <w:rPr>
                <w:rFonts w:ascii="Times New Roman" w:hAnsi="Times New Roman" w:cs="Times New Roman"/>
                <w:b/>
                <w:bCs/>
                <w:sz w:val="24"/>
                <w:szCs w:val="24"/>
                <w:cs/>
              </w:rPr>
              <w:t>‎</w:t>
            </w:r>
          </w:p>
        </w:tc>
        <w:tc>
          <w:tcPr>
            <w:tcW w:w="1984" w:type="dxa"/>
          </w:tcPr>
          <w:p w14:paraId="52FB92F7"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100.25 (46 – 176)</w:t>
            </w:r>
          </w:p>
        </w:tc>
        <w:tc>
          <w:tcPr>
            <w:tcW w:w="2232" w:type="dxa"/>
          </w:tcPr>
          <w:p w14:paraId="1841EA45"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100 (36.35 – 210)</w:t>
            </w:r>
          </w:p>
        </w:tc>
        <w:tc>
          <w:tcPr>
            <w:tcW w:w="1135" w:type="dxa"/>
          </w:tcPr>
          <w:p w14:paraId="33C5190E"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0.554</w:t>
            </w:r>
          </w:p>
        </w:tc>
      </w:tr>
      <w:tr w:rsidR="00AC7F5D" w:rsidRPr="00DC4B5A" w14:paraId="5548F581" w14:textId="77777777" w:rsidTr="00DC086E">
        <w:tc>
          <w:tcPr>
            <w:tcW w:w="3963" w:type="dxa"/>
          </w:tcPr>
          <w:p w14:paraId="787218C0"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HDL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(mg/dL)</w:t>
            </w:r>
            <w:r w:rsidRPr="00DC4B5A">
              <w:rPr>
                <w:rFonts w:ascii="Times New Roman" w:hAnsi="Times New Roman" w:cs="Times New Roman"/>
                <w:b/>
                <w:bCs/>
                <w:sz w:val="24"/>
                <w:szCs w:val="24"/>
                <w:cs/>
              </w:rPr>
              <w:t>‎</w:t>
            </w:r>
          </w:p>
        </w:tc>
        <w:tc>
          <w:tcPr>
            <w:tcW w:w="1984" w:type="dxa"/>
          </w:tcPr>
          <w:p w14:paraId="4C2C642D"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42.3 (17.4 – 77.3)</w:t>
            </w:r>
          </w:p>
        </w:tc>
        <w:tc>
          <w:tcPr>
            <w:tcW w:w="2232" w:type="dxa"/>
          </w:tcPr>
          <w:p w14:paraId="5E0BF7E0"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46.89 (28 – 77)</w:t>
            </w:r>
          </w:p>
        </w:tc>
        <w:tc>
          <w:tcPr>
            <w:tcW w:w="1135" w:type="dxa"/>
          </w:tcPr>
          <w:p w14:paraId="0C312AF0"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0.561</w:t>
            </w:r>
          </w:p>
        </w:tc>
      </w:tr>
      <w:tr w:rsidR="00AC7F5D" w:rsidRPr="00DC4B5A" w14:paraId="32A1273D" w14:textId="77777777" w:rsidTr="00DC086E">
        <w:tc>
          <w:tcPr>
            <w:tcW w:w="3963" w:type="dxa"/>
          </w:tcPr>
          <w:p w14:paraId="6AFF382B"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ESR (mm/</w:t>
            </w:r>
            <w:proofErr w:type="spellStart"/>
            <w:r w:rsidRPr="00DC4B5A">
              <w:rPr>
                <w:rFonts w:ascii="Times New Roman" w:hAnsi="Times New Roman" w:cs="Times New Roman"/>
                <w:b/>
                <w:bCs/>
                <w:sz w:val="24"/>
                <w:szCs w:val="24"/>
              </w:rPr>
              <w:t>hr</w:t>
            </w:r>
            <w:proofErr w:type="spellEnd"/>
            <w:r w:rsidRPr="00DC4B5A">
              <w:rPr>
                <w:rFonts w:ascii="Times New Roman" w:hAnsi="Times New Roman" w:cs="Times New Roman"/>
                <w:b/>
                <w:bCs/>
                <w:sz w:val="24"/>
                <w:szCs w:val="24"/>
              </w:rPr>
              <w:t>)</w:t>
            </w:r>
          </w:p>
        </w:tc>
        <w:tc>
          <w:tcPr>
            <w:tcW w:w="1984" w:type="dxa"/>
          </w:tcPr>
          <w:p w14:paraId="5C1AAF72"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24 (6 – 95)</w:t>
            </w:r>
          </w:p>
        </w:tc>
        <w:tc>
          <w:tcPr>
            <w:tcW w:w="2232" w:type="dxa"/>
          </w:tcPr>
          <w:p w14:paraId="06C9A2ED"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35 (6 – 85)</w:t>
            </w:r>
          </w:p>
        </w:tc>
        <w:tc>
          <w:tcPr>
            <w:tcW w:w="1135" w:type="dxa"/>
          </w:tcPr>
          <w:p w14:paraId="007C10E7"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0.014*</w:t>
            </w:r>
          </w:p>
        </w:tc>
      </w:tr>
      <w:tr w:rsidR="00AC7F5D" w:rsidRPr="00DC4B5A" w14:paraId="57882452" w14:textId="77777777" w:rsidTr="00DC086E">
        <w:tc>
          <w:tcPr>
            <w:tcW w:w="3963" w:type="dxa"/>
            <w:tcBorders>
              <w:bottom w:val="single" w:sz="4" w:space="0" w:color="auto"/>
            </w:tcBorders>
          </w:tcPr>
          <w:p w14:paraId="6B6B2746"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Positive FOBT</w:t>
            </w:r>
          </w:p>
        </w:tc>
        <w:tc>
          <w:tcPr>
            <w:tcW w:w="1984" w:type="dxa"/>
            <w:tcBorders>
              <w:bottom w:val="single" w:sz="4" w:space="0" w:color="auto"/>
            </w:tcBorders>
          </w:tcPr>
          <w:p w14:paraId="08CEA527"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15 (31.3%)</w:t>
            </w:r>
          </w:p>
        </w:tc>
        <w:tc>
          <w:tcPr>
            <w:tcW w:w="2232" w:type="dxa"/>
            <w:tcBorders>
              <w:bottom w:val="single" w:sz="4" w:space="0" w:color="auto"/>
            </w:tcBorders>
          </w:tcPr>
          <w:p w14:paraId="7AA276A5" w14:textId="77777777" w:rsidR="00AC7F5D" w:rsidRPr="00DC4B5A" w:rsidRDefault="00AC7F5D"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20 (60.6%)</w:t>
            </w:r>
          </w:p>
        </w:tc>
        <w:tc>
          <w:tcPr>
            <w:tcW w:w="1135" w:type="dxa"/>
            <w:tcBorders>
              <w:bottom w:val="single" w:sz="4" w:space="0" w:color="auto"/>
            </w:tcBorders>
          </w:tcPr>
          <w:p w14:paraId="45AEA1F6" w14:textId="77777777" w:rsidR="00AC7F5D" w:rsidRPr="00DC4B5A" w:rsidRDefault="00AC7F5D" w:rsidP="009A6614">
            <w:pPr>
              <w:keepNext/>
              <w:spacing w:after="0" w:line="240" w:lineRule="auto"/>
              <w:rPr>
                <w:rFonts w:ascii="Times New Roman" w:hAnsi="Times New Roman" w:cs="Times New Roman"/>
                <w:sz w:val="24"/>
                <w:szCs w:val="24"/>
              </w:rPr>
            </w:pPr>
            <w:r w:rsidRPr="00DC4B5A">
              <w:rPr>
                <w:rFonts w:ascii="Times New Roman" w:hAnsi="Times New Roman" w:cs="Times New Roman"/>
                <w:sz w:val="24"/>
                <w:szCs w:val="24"/>
              </w:rPr>
              <w:t>0.009*</w:t>
            </w:r>
          </w:p>
        </w:tc>
      </w:tr>
    </w:tbl>
    <w:p w14:paraId="302CAB39" w14:textId="77777777" w:rsidR="009A6614" w:rsidRPr="00DC4B5A" w:rsidRDefault="009A6614" w:rsidP="009A6614">
      <w:pPr>
        <w:autoSpaceDE w:val="0"/>
        <w:autoSpaceDN w:val="0"/>
        <w:adjustRightInd w:val="0"/>
        <w:spacing w:after="0" w:line="240" w:lineRule="auto"/>
        <w:jc w:val="lowKashida"/>
        <w:rPr>
          <w:i/>
          <w:iCs/>
          <w:color w:val="44546A" w:themeColor="text2"/>
          <w:sz w:val="24"/>
          <w:szCs w:val="24"/>
        </w:rPr>
      </w:pPr>
      <w:r w:rsidRPr="00DC4B5A">
        <w:rPr>
          <w:i/>
          <w:iCs/>
          <w:color w:val="44546A" w:themeColor="text2"/>
          <w:sz w:val="24"/>
          <w:szCs w:val="24"/>
        </w:rPr>
        <w:t>(*): Statistically significant, (**): Highly effective, (NSAIDs): Non-steroidal anti-inflammatory drugs, (WBCs): White blood cells, (LDL): Low-density lipoproteins, (HDL): High-density lipoprotein, (ESR): Erythrocyte sedimentation rate, (FOBT): Fecal occult blood test.</w:t>
      </w:r>
    </w:p>
    <w:p w14:paraId="30F417DF" w14:textId="77777777" w:rsidR="00AC7F5D" w:rsidRPr="00DC4B5A" w:rsidRDefault="00AC7F5D" w:rsidP="00AC7F5D">
      <w:pPr>
        <w:autoSpaceDE w:val="0"/>
        <w:autoSpaceDN w:val="0"/>
        <w:adjustRightInd w:val="0"/>
        <w:spacing w:after="0" w:line="240" w:lineRule="auto"/>
        <w:jc w:val="lowKashida"/>
        <w:rPr>
          <w:rFonts w:ascii="Times New Roman" w:hAnsi="Times New Roman" w:cs="Times New Roman"/>
          <w:b/>
          <w:bCs/>
          <w:sz w:val="24"/>
          <w:szCs w:val="24"/>
        </w:rPr>
      </w:pPr>
    </w:p>
    <w:p w14:paraId="1AB0BC54" w14:textId="4CED9E0D" w:rsidR="00416649" w:rsidRDefault="00416649" w:rsidP="00416649">
      <w:pPr>
        <w:pStyle w:val="Caption"/>
        <w:keepNext/>
      </w:pPr>
      <w:r>
        <w:t xml:space="preserve">Tab </w:t>
      </w:r>
      <w:fldSimple w:instr=" SEQ Table \* ARABIC ">
        <w:r w:rsidR="00D75AE6">
          <w:rPr>
            <w:noProof/>
          </w:rPr>
          <w:t>3</w:t>
        </w:r>
      </w:fldSimple>
      <w:r>
        <w:t xml:space="preserve">. </w:t>
      </w:r>
      <w:r w:rsidRPr="00416649">
        <w:t>Comparison between the studied groups regarding endoscopic data</w:t>
      </w:r>
      <w:r>
        <w:t>.</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3.Comparison between the studied groups regarding endoscopic data"/>
        <w:tblDescription w:val="Data is represented by n (%). (*): Statistically significant, ‎(H. pylori): Helicobacter pylori‎."/>
      </w:tblPr>
      <w:tblGrid>
        <w:gridCol w:w="2628"/>
        <w:gridCol w:w="2160"/>
        <w:gridCol w:w="2970"/>
        <w:gridCol w:w="1350"/>
      </w:tblGrid>
      <w:tr w:rsidR="00AC7F5D" w:rsidRPr="00DC4B5A" w14:paraId="7EC35CCB" w14:textId="77777777" w:rsidTr="00DC086E">
        <w:trPr>
          <w:trHeight w:val="46"/>
        </w:trPr>
        <w:tc>
          <w:tcPr>
            <w:tcW w:w="2628" w:type="dxa"/>
            <w:tcBorders>
              <w:top w:val="single" w:sz="4" w:space="0" w:color="auto"/>
              <w:bottom w:val="single" w:sz="4" w:space="0" w:color="auto"/>
            </w:tcBorders>
          </w:tcPr>
          <w:p w14:paraId="3D1C3DA6"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Parameter </w:t>
            </w:r>
            <w:r w:rsidRPr="00DC4B5A">
              <w:rPr>
                <w:rFonts w:ascii="Times New Roman" w:hAnsi="Times New Roman" w:cs="Times New Roman"/>
                <w:b/>
                <w:bCs/>
                <w:sz w:val="24"/>
                <w:szCs w:val="24"/>
                <w:cs/>
              </w:rPr>
              <w:t>‎</w:t>
            </w:r>
          </w:p>
        </w:tc>
        <w:tc>
          <w:tcPr>
            <w:tcW w:w="2160" w:type="dxa"/>
            <w:tcBorders>
              <w:top w:val="single" w:sz="4" w:space="0" w:color="auto"/>
              <w:bottom w:val="single" w:sz="4" w:space="0" w:color="auto"/>
            </w:tcBorders>
          </w:tcPr>
          <w:p w14:paraId="7F75E6BD"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Group 1 (n=48)</w:t>
            </w:r>
          </w:p>
        </w:tc>
        <w:tc>
          <w:tcPr>
            <w:tcW w:w="2970" w:type="dxa"/>
            <w:tcBorders>
              <w:top w:val="single" w:sz="4" w:space="0" w:color="auto"/>
              <w:bottom w:val="single" w:sz="4" w:space="0" w:color="auto"/>
            </w:tcBorders>
          </w:tcPr>
          <w:p w14:paraId="6921CDE7"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Group 2 (n=33)</w:t>
            </w:r>
          </w:p>
        </w:tc>
        <w:tc>
          <w:tcPr>
            <w:tcW w:w="1350" w:type="dxa"/>
            <w:tcBorders>
              <w:top w:val="single" w:sz="4" w:space="0" w:color="auto"/>
              <w:bottom w:val="single" w:sz="4" w:space="0" w:color="auto"/>
            </w:tcBorders>
          </w:tcPr>
          <w:p w14:paraId="50E510D3"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i/>
                <w:iCs/>
                <w:sz w:val="24"/>
                <w:szCs w:val="24"/>
              </w:rPr>
              <w:t>p</w:t>
            </w:r>
            <w:r w:rsidRPr="00DC4B5A">
              <w:rPr>
                <w:rFonts w:ascii="Times New Roman" w:hAnsi="Times New Roman" w:cs="Times New Roman"/>
                <w:sz w:val="24"/>
                <w:szCs w:val="24"/>
              </w:rPr>
              <w:t>-value</w:t>
            </w:r>
          </w:p>
        </w:tc>
      </w:tr>
      <w:tr w:rsidR="00AC7F5D" w:rsidRPr="00DC4B5A" w14:paraId="70D3A361" w14:textId="77777777" w:rsidTr="00DC086E">
        <w:tc>
          <w:tcPr>
            <w:tcW w:w="2628" w:type="dxa"/>
            <w:tcBorders>
              <w:top w:val="single" w:sz="4" w:space="0" w:color="auto"/>
            </w:tcBorders>
          </w:tcPr>
          <w:p w14:paraId="27CBD866" w14:textId="77777777" w:rsidR="00AC7F5D" w:rsidRPr="00DC4B5A" w:rsidRDefault="00AC7F5D" w:rsidP="00DC086E">
            <w:pPr>
              <w:spacing w:after="0" w:line="240" w:lineRule="auto"/>
              <w:jc w:val="lowKashida"/>
              <w:rPr>
                <w:rFonts w:ascii="Times New Roman" w:hAnsi="Times New Roman" w:cs="Times New Roman"/>
                <w:b/>
                <w:bCs/>
                <w:sz w:val="24"/>
                <w:szCs w:val="24"/>
                <w:lang w:val="fr-FR"/>
              </w:rPr>
            </w:pPr>
            <w:proofErr w:type="spellStart"/>
            <w:proofErr w:type="gramStart"/>
            <w:r w:rsidRPr="00DC4B5A">
              <w:rPr>
                <w:rFonts w:ascii="Times New Roman" w:hAnsi="Times New Roman" w:cs="Times New Roman"/>
                <w:b/>
                <w:bCs/>
                <w:sz w:val="24"/>
                <w:szCs w:val="24"/>
                <w:lang w:val="fr-FR"/>
              </w:rPr>
              <w:t>Esophagus</w:t>
            </w:r>
            <w:proofErr w:type="spellEnd"/>
            <w:r w:rsidRPr="00DC4B5A">
              <w:rPr>
                <w:rFonts w:ascii="Times New Roman" w:hAnsi="Times New Roman" w:cs="Times New Roman"/>
                <w:b/>
                <w:bCs/>
                <w:sz w:val="24"/>
                <w:szCs w:val="24"/>
                <w:lang w:val="fr-FR"/>
              </w:rPr>
              <w:t>:</w:t>
            </w:r>
            <w:proofErr w:type="gramEnd"/>
          </w:p>
          <w:p w14:paraId="5239963F" w14:textId="77777777" w:rsidR="00AC7F5D" w:rsidRPr="00DC4B5A" w:rsidRDefault="00AC7F5D" w:rsidP="00DC086E">
            <w:pPr>
              <w:spacing w:after="0" w:line="240" w:lineRule="auto"/>
              <w:jc w:val="lowKashida"/>
              <w:rPr>
                <w:rFonts w:ascii="Times New Roman" w:hAnsi="Times New Roman" w:cs="Times New Roman"/>
                <w:sz w:val="24"/>
                <w:szCs w:val="24"/>
                <w:lang w:val="fr-FR"/>
              </w:rPr>
            </w:pPr>
            <w:r w:rsidRPr="00DC4B5A">
              <w:rPr>
                <w:rFonts w:ascii="Times New Roman" w:hAnsi="Times New Roman" w:cs="Times New Roman"/>
                <w:sz w:val="24"/>
                <w:szCs w:val="24"/>
                <w:lang w:val="fr-FR"/>
              </w:rPr>
              <w:t xml:space="preserve">Normal </w:t>
            </w:r>
          </w:p>
          <w:p w14:paraId="0645DCE3" w14:textId="77777777" w:rsidR="00AC7F5D" w:rsidRPr="00DC4B5A" w:rsidRDefault="00AC7F5D" w:rsidP="00DC086E">
            <w:pPr>
              <w:spacing w:after="0" w:line="240" w:lineRule="auto"/>
              <w:jc w:val="lowKashida"/>
              <w:rPr>
                <w:rFonts w:ascii="Times New Roman" w:hAnsi="Times New Roman" w:cs="Times New Roman"/>
                <w:sz w:val="24"/>
                <w:szCs w:val="24"/>
                <w:lang w:val="fr-FR"/>
              </w:rPr>
            </w:pPr>
            <w:proofErr w:type="spellStart"/>
            <w:r w:rsidRPr="00DC4B5A">
              <w:rPr>
                <w:rFonts w:ascii="Times New Roman" w:hAnsi="Times New Roman" w:cs="Times New Roman"/>
                <w:sz w:val="24"/>
                <w:szCs w:val="24"/>
                <w:lang w:val="fr-FR"/>
              </w:rPr>
              <w:t>Esophagitis</w:t>
            </w:r>
            <w:proofErr w:type="spellEnd"/>
          </w:p>
        </w:tc>
        <w:tc>
          <w:tcPr>
            <w:tcW w:w="2160" w:type="dxa"/>
            <w:tcBorders>
              <w:top w:val="single" w:sz="4" w:space="0" w:color="auto"/>
            </w:tcBorders>
          </w:tcPr>
          <w:p w14:paraId="41379674" w14:textId="77777777" w:rsidR="00AC7F5D" w:rsidRPr="00DC4B5A" w:rsidRDefault="00AC7F5D" w:rsidP="00DC086E">
            <w:pPr>
              <w:spacing w:after="0" w:line="240" w:lineRule="auto"/>
              <w:jc w:val="lowKashida"/>
              <w:rPr>
                <w:rFonts w:ascii="Times New Roman" w:hAnsi="Times New Roman" w:cs="Times New Roman"/>
                <w:sz w:val="24"/>
                <w:szCs w:val="24"/>
                <w:lang w:val="fr-FR"/>
              </w:rPr>
            </w:pPr>
          </w:p>
          <w:p w14:paraId="0C93BD81"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44 (91.7%)</w:t>
            </w:r>
          </w:p>
          <w:p w14:paraId="1AD9BDC8"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 (8.3%)</w:t>
            </w:r>
          </w:p>
        </w:tc>
        <w:tc>
          <w:tcPr>
            <w:tcW w:w="2970" w:type="dxa"/>
            <w:tcBorders>
              <w:top w:val="single" w:sz="4" w:space="0" w:color="auto"/>
            </w:tcBorders>
          </w:tcPr>
          <w:p w14:paraId="2E5252D0" w14:textId="77777777" w:rsidR="00AC7F5D" w:rsidRPr="00DC4B5A" w:rsidRDefault="00AC7F5D" w:rsidP="00DC086E">
            <w:pPr>
              <w:spacing w:after="0" w:line="240" w:lineRule="auto"/>
              <w:jc w:val="lowKashida"/>
              <w:rPr>
                <w:rFonts w:ascii="Times New Roman" w:hAnsi="Times New Roman" w:cs="Times New Roman"/>
                <w:sz w:val="24"/>
                <w:szCs w:val="24"/>
              </w:rPr>
            </w:pPr>
          </w:p>
          <w:p w14:paraId="273FAF09"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33 (100%)</w:t>
            </w:r>
          </w:p>
          <w:p w14:paraId="512AABF5"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tc>
        <w:tc>
          <w:tcPr>
            <w:tcW w:w="1350" w:type="dxa"/>
            <w:tcBorders>
              <w:top w:val="single" w:sz="4" w:space="0" w:color="auto"/>
            </w:tcBorders>
          </w:tcPr>
          <w:p w14:paraId="6D13BEFA" w14:textId="77777777" w:rsidR="00AC7F5D" w:rsidRPr="00DC4B5A" w:rsidRDefault="00AC7F5D" w:rsidP="00DC086E">
            <w:pPr>
              <w:spacing w:after="0" w:line="240" w:lineRule="auto"/>
              <w:jc w:val="lowKashida"/>
              <w:rPr>
                <w:rFonts w:ascii="Times New Roman" w:hAnsi="Times New Roman" w:cs="Times New Roman"/>
                <w:sz w:val="24"/>
                <w:szCs w:val="24"/>
              </w:rPr>
            </w:pPr>
          </w:p>
          <w:p w14:paraId="29926905"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0.37</w:t>
            </w:r>
          </w:p>
        </w:tc>
      </w:tr>
      <w:tr w:rsidR="00AC7F5D" w:rsidRPr="00DC4B5A" w14:paraId="318986A3" w14:textId="77777777" w:rsidTr="00DC086E">
        <w:tc>
          <w:tcPr>
            <w:tcW w:w="2628" w:type="dxa"/>
            <w:shd w:val="clear" w:color="auto" w:fill="FFFFFF" w:themeFill="background1"/>
          </w:tcPr>
          <w:p w14:paraId="022FB3C8"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Stomach:</w:t>
            </w:r>
          </w:p>
          <w:p w14:paraId="7B10B6BA"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Normal</w:t>
            </w:r>
          </w:p>
          <w:p w14:paraId="4B3EEAD1"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Chronic gastritis</w:t>
            </w:r>
          </w:p>
          <w:p w14:paraId="47C33E66"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Small gastric ulcer</w:t>
            </w:r>
          </w:p>
          <w:p w14:paraId="283DAD2B" w14:textId="77777777" w:rsidR="00AC7F5D" w:rsidRPr="00DC4B5A" w:rsidRDefault="00AC7F5D" w:rsidP="00DC086E">
            <w:pPr>
              <w:spacing w:after="0" w:line="240" w:lineRule="auto"/>
              <w:jc w:val="lowKashida"/>
              <w:rPr>
                <w:rFonts w:ascii="Times New Roman" w:hAnsi="Times New Roman" w:cs="Times New Roman"/>
                <w:sz w:val="24"/>
                <w:szCs w:val="24"/>
                <w:lang w:val="fr-FR"/>
              </w:rPr>
            </w:pPr>
            <w:r w:rsidRPr="00DC4B5A">
              <w:rPr>
                <w:rFonts w:ascii="Times New Roman" w:hAnsi="Times New Roman" w:cs="Times New Roman"/>
                <w:sz w:val="24"/>
                <w:szCs w:val="24"/>
                <w:lang w:val="fr-FR"/>
              </w:rPr>
              <w:t xml:space="preserve">Large </w:t>
            </w:r>
            <w:proofErr w:type="spellStart"/>
            <w:r w:rsidRPr="00DC4B5A">
              <w:rPr>
                <w:rFonts w:ascii="Times New Roman" w:hAnsi="Times New Roman" w:cs="Times New Roman"/>
                <w:sz w:val="24"/>
                <w:szCs w:val="24"/>
                <w:lang w:val="fr-FR"/>
              </w:rPr>
              <w:t>gastric</w:t>
            </w:r>
            <w:proofErr w:type="spellEnd"/>
            <w:r w:rsidRPr="00DC4B5A">
              <w:rPr>
                <w:rFonts w:ascii="Times New Roman" w:hAnsi="Times New Roman" w:cs="Times New Roman"/>
                <w:sz w:val="24"/>
                <w:szCs w:val="24"/>
                <w:lang w:val="fr-FR"/>
              </w:rPr>
              <w:t xml:space="preserve"> </w:t>
            </w:r>
            <w:proofErr w:type="spellStart"/>
            <w:r w:rsidRPr="00DC4B5A">
              <w:rPr>
                <w:rFonts w:ascii="Times New Roman" w:hAnsi="Times New Roman" w:cs="Times New Roman"/>
                <w:sz w:val="24"/>
                <w:szCs w:val="24"/>
                <w:lang w:val="fr-FR"/>
              </w:rPr>
              <w:t>ulcer</w:t>
            </w:r>
            <w:proofErr w:type="spellEnd"/>
            <w:r w:rsidRPr="00DC4B5A">
              <w:rPr>
                <w:rFonts w:ascii="Times New Roman" w:hAnsi="Times New Roman" w:cs="Times New Roman"/>
                <w:sz w:val="24"/>
                <w:szCs w:val="24"/>
                <w:lang w:val="fr-FR"/>
              </w:rPr>
              <w:t xml:space="preserve"> </w:t>
            </w:r>
          </w:p>
          <w:p w14:paraId="6129037D" w14:textId="77777777" w:rsidR="00AC7F5D" w:rsidRPr="00DC4B5A" w:rsidRDefault="00AC7F5D" w:rsidP="00DC086E">
            <w:pPr>
              <w:spacing w:after="0" w:line="240" w:lineRule="auto"/>
              <w:jc w:val="lowKashida"/>
              <w:rPr>
                <w:rFonts w:ascii="Times New Roman" w:hAnsi="Times New Roman" w:cs="Times New Roman"/>
                <w:sz w:val="24"/>
                <w:szCs w:val="24"/>
                <w:lang w:val="fr-FR"/>
              </w:rPr>
            </w:pPr>
            <w:r w:rsidRPr="00DC4B5A">
              <w:rPr>
                <w:rFonts w:ascii="Times New Roman" w:hAnsi="Times New Roman" w:cs="Times New Roman"/>
                <w:sz w:val="24"/>
                <w:szCs w:val="24"/>
                <w:lang w:val="fr-FR"/>
              </w:rPr>
              <w:t xml:space="preserve">H. pylori </w:t>
            </w:r>
            <w:proofErr w:type="spellStart"/>
            <w:r w:rsidRPr="00DC4B5A">
              <w:rPr>
                <w:rFonts w:ascii="Times New Roman" w:hAnsi="Times New Roman" w:cs="Times New Roman"/>
                <w:sz w:val="24"/>
                <w:szCs w:val="24"/>
                <w:lang w:val="fr-FR"/>
              </w:rPr>
              <w:t>gastritis</w:t>
            </w:r>
            <w:proofErr w:type="spellEnd"/>
          </w:p>
          <w:p w14:paraId="7D77CD70" w14:textId="77777777" w:rsidR="00AC7F5D" w:rsidRPr="00DC4B5A" w:rsidRDefault="00AC7F5D" w:rsidP="00DC086E">
            <w:pPr>
              <w:spacing w:after="0" w:line="240" w:lineRule="auto"/>
              <w:jc w:val="lowKashida"/>
              <w:rPr>
                <w:rFonts w:ascii="Times New Roman" w:hAnsi="Times New Roman" w:cs="Times New Roman"/>
                <w:sz w:val="24"/>
                <w:szCs w:val="24"/>
                <w:lang w:val="fr-FR"/>
              </w:rPr>
            </w:pPr>
            <w:r w:rsidRPr="00DC4B5A">
              <w:rPr>
                <w:rFonts w:ascii="Times New Roman" w:hAnsi="Times New Roman" w:cs="Times New Roman"/>
                <w:sz w:val="24"/>
                <w:szCs w:val="24"/>
                <w:lang w:val="fr-FR"/>
              </w:rPr>
              <w:t xml:space="preserve">Erosive </w:t>
            </w:r>
            <w:proofErr w:type="spellStart"/>
            <w:r w:rsidRPr="00DC4B5A">
              <w:rPr>
                <w:rFonts w:ascii="Times New Roman" w:hAnsi="Times New Roman" w:cs="Times New Roman"/>
                <w:sz w:val="24"/>
                <w:szCs w:val="24"/>
                <w:lang w:val="fr-FR"/>
              </w:rPr>
              <w:t>gastritis</w:t>
            </w:r>
            <w:proofErr w:type="spellEnd"/>
            <w:r w:rsidRPr="00DC4B5A">
              <w:rPr>
                <w:rFonts w:ascii="Times New Roman" w:hAnsi="Times New Roman" w:cs="Times New Roman"/>
                <w:sz w:val="24"/>
                <w:szCs w:val="24"/>
                <w:lang w:val="fr-FR"/>
              </w:rPr>
              <w:t xml:space="preserve"> </w:t>
            </w:r>
          </w:p>
          <w:p w14:paraId="78114BA1" w14:textId="77777777" w:rsidR="00AC7F5D" w:rsidRPr="00DC4B5A" w:rsidRDefault="00AC7F5D" w:rsidP="00DC086E">
            <w:pPr>
              <w:spacing w:after="0" w:line="240" w:lineRule="auto"/>
              <w:jc w:val="lowKashida"/>
              <w:rPr>
                <w:rFonts w:ascii="Times New Roman" w:hAnsi="Times New Roman" w:cs="Times New Roman"/>
                <w:sz w:val="24"/>
                <w:szCs w:val="24"/>
                <w:lang w:val="fr-FR"/>
              </w:rPr>
            </w:pPr>
            <w:r w:rsidRPr="00DC4B5A">
              <w:rPr>
                <w:rFonts w:ascii="Times New Roman" w:hAnsi="Times New Roman" w:cs="Times New Roman"/>
                <w:sz w:val="24"/>
                <w:szCs w:val="24"/>
                <w:lang w:val="fr-FR"/>
              </w:rPr>
              <w:t xml:space="preserve">Malignancy </w:t>
            </w:r>
          </w:p>
        </w:tc>
        <w:tc>
          <w:tcPr>
            <w:tcW w:w="2160" w:type="dxa"/>
          </w:tcPr>
          <w:p w14:paraId="4A8F48C3" w14:textId="77777777" w:rsidR="00AC7F5D" w:rsidRPr="00DC4B5A" w:rsidRDefault="00AC7F5D" w:rsidP="00DC086E">
            <w:pPr>
              <w:spacing w:after="0" w:line="240" w:lineRule="auto"/>
              <w:jc w:val="lowKashida"/>
              <w:rPr>
                <w:rFonts w:ascii="Times New Roman" w:hAnsi="Times New Roman" w:cs="Times New Roman"/>
                <w:sz w:val="24"/>
                <w:szCs w:val="24"/>
                <w:lang w:val="fr-FR"/>
              </w:rPr>
            </w:pPr>
          </w:p>
          <w:p w14:paraId="75E7429E"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11 (22.9%)</w:t>
            </w:r>
          </w:p>
          <w:p w14:paraId="43F3A92D"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19 (39.6%)</w:t>
            </w:r>
          </w:p>
          <w:p w14:paraId="75ADEDE6"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 (4.2%)</w:t>
            </w:r>
          </w:p>
          <w:p w14:paraId="2C8C867E"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p w14:paraId="26106605"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9 (18.7%)</w:t>
            </w:r>
          </w:p>
          <w:p w14:paraId="5E2683EA"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7 (14.6%)</w:t>
            </w:r>
          </w:p>
          <w:p w14:paraId="069F8765"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tc>
        <w:tc>
          <w:tcPr>
            <w:tcW w:w="2970" w:type="dxa"/>
          </w:tcPr>
          <w:p w14:paraId="3119E9EF" w14:textId="77777777" w:rsidR="00AC7F5D" w:rsidRPr="00DC4B5A" w:rsidRDefault="00AC7F5D" w:rsidP="00DC086E">
            <w:pPr>
              <w:spacing w:after="0" w:line="240" w:lineRule="auto"/>
              <w:jc w:val="lowKashida"/>
              <w:rPr>
                <w:rFonts w:ascii="Times New Roman" w:hAnsi="Times New Roman" w:cs="Times New Roman"/>
                <w:sz w:val="24"/>
                <w:szCs w:val="24"/>
              </w:rPr>
            </w:pPr>
          </w:p>
          <w:p w14:paraId="4A305129"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 (6.1%)</w:t>
            </w:r>
          </w:p>
          <w:p w14:paraId="3AA67BD8"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11 (33.3%)</w:t>
            </w:r>
          </w:p>
          <w:p w14:paraId="1FE9E12A"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p w14:paraId="6A6FDDF9"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 (12.1%)</w:t>
            </w:r>
          </w:p>
          <w:p w14:paraId="60A391DD"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10 (30.3%)</w:t>
            </w:r>
          </w:p>
          <w:p w14:paraId="7E1FC783"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 (12.1%)</w:t>
            </w:r>
          </w:p>
          <w:p w14:paraId="2435F2F0"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 (6.1%)</w:t>
            </w:r>
          </w:p>
        </w:tc>
        <w:tc>
          <w:tcPr>
            <w:tcW w:w="1350" w:type="dxa"/>
          </w:tcPr>
          <w:p w14:paraId="44B5AEE3" w14:textId="77777777" w:rsidR="00AC7F5D" w:rsidRPr="00DC4B5A" w:rsidRDefault="00AC7F5D" w:rsidP="00DC086E">
            <w:pPr>
              <w:spacing w:after="0" w:line="240" w:lineRule="auto"/>
              <w:jc w:val="lowKashida"/>
              <w:rPr>
                <w:rFonts w:ascii="Times New Roman" w:hAnsi="Times New Roman" w:cs="Times New Roman"/>
                <w:sz w:val="24"/>
                <w:szCs w:val="24"/>
              </w:rPr>
            </w:pPr>
          </w:p>
          <w:p w14:paraId="0903222B" w14:textId="77777777" w:rsidR="00AC7F5D" w:rsidRPr="00DC4B5A" w:rsidRDefault="00AC7F5D" w:rsidP="00DC086E">
            <w:pPr>
              <w:spacing w:after="0" w:line="240" w:lineRule="auto"/>
              <w:jc w:val="lowKashida"/>
              <w:rPr>
                <w:rFonts w:ascii="Times New Roman" w:hAnsi="Times New Roman" w:cs="Times New Roman"/>
                <w:sz w:val="24"/>
                <w:szCs w:val="24"/>
              </w:rPr>
            </w:pPr>
          </w:p>
          <w:p w14:paraId="58428E15" w14:textId="77777777" w:rsidR="00AC7F5D" w:rsidRPr="00DC4B5A" w:rsidRDefault="00AC7F5D" w:rsidP="00DC086E">
            <w:pPr>
              <w:spacing w:after="0" w:line="240" w:lineRule="auto"/>
              <w:jc w:val="lowKashida"/>
              <w:rPr>
                <w:rFonts w:ascii="Times New Roman" w:hAnsi="Times New Roman" w:cs="Times New Roman"/>
                <w:sz w:val="24"/>
                <w:szCs w:val="24"/>
              </w:rPr>
            </w:pPr>
          </w:p>
          <w:p w14:paraId="0C5199E4"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0.012*</w:t>
            </w:r>
          </w:p>
        </w:tc>
      </w:tr>
      <w:tr w:rsidR="00AC7F5D" w:rsidRPr="00DC4B5A" w14:paraId="1C293AFC" w14:textId="77777777" w:rsidTr="00DC086E">
        <w:tc>
          <w:tcPr>
            <w:tcW w:w="2628" w:type="dxa"/>
            <w:tcBorders>
              <w:bottom w:val="single" w:sz="4" w:space="0" w:color="auto"/>
            </w:tcBorders>
          </w:tcPr>
          <w:p w14:paraId="03FEE7A5" w14:textId="77777777" w:rsidR="00AC7F5D" w:rsidRPr="00DC4B5A" w:rsidRDefault="00AC7F5D"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Duodenum:</w:t>
            </w:r>
          </w:p>
          <w:p w14:paraId="650962E8"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Normal</w:t>
            </w:r>
          </w:p>
          <w:p w14:paraId="34244070"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Duodenitis</w:t>
            </w:r>
          </w:p>
          <w:p w14:paraId="6DC8E093"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Large duodenal ulcer</w:t>
            </w:r>
          </w:p>
        </w:tc>
        <w:tc>
          <w:tcPr>
            <w:tcW w:w="2160" w:type="dxa"/>
            <w:tcBorders>
              <w:bottom w:val="single" w:sz="4" w:space="0" w:color="auto"/>
            </w:tcBorders>
          </w:tcPr>
          <w:p w14:paraId="4E5C6A14" w14:textId="77777777" w:rsidR="00AC7F5D" w:rsidRPr="00DC4B5A" w:rsidRDefault="00AC7F5D" w:rsidP="00DC086E">
            <w:pPr>
              <w:spacing w:after="0" w:line="240" w:lineRule="auto"/>
              <w:jc w:val="lowKashida"/>
              <w:rPr>
                <w:rFonts w:ascii="Times New Roman" w:hAnsi="Times New Roman" w:cs="Times New Roman"/>
                <w:sz w:val="24"/>
                <w:szCs w:val="24"/>
              </w:rPr>
            </w:pPr>
          </w:p>
          <w:p w14:paraId="4A5E52B6"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47 (97.9%)</w:t>
            </w:r>
          </w:p>
          <w:p w14:paraId="1F97FAF8"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 (2.1%)</w:t>
            </w:r>
          </w:p>
          <w:p w14:paraId="2483B052"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tc>
        <w:tc>
          <w:tcPr>
            <w:tcW w:w="2970" w:type="dxa"/>
            <w:tcBorders>
              <w:bottom w:val="single" w:sz="4" w:space="0" w:color="auto"/>
            </w:tcBorders>
          </w:tcPr>
          <w:p w14:paraId="6B10046A" w14:textId="77777777" w:rsidR="00AC7F5D" w:rsidRPr="00DC4B5A" w:rsidRDefault="00AC7F5D" w:rsidP="00DC086E">
            <w:pPr>
              <w:spacing w:after="0" w:line="240" w:lineRule="auto"/>
              <w:jc w:val="lowKashida"/>
              <w:rPr>
                <w:rFonts w:ascii="Times New Roman" w:hAnsi="Times New Roman" w:cs="Times New Roman"/>
                <w:sz w:val="24"/>
                <w:szCs w:val="24"/>
              </w:rPr>
            </w:pPr>
          </w:p>
          <w:p w14:paraId="60865369"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31 (93.9%)</w:t>
            </w:r>
          </w:p>
          <w:p w14:paraId="1C3ADB8F"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p w14:paraId="1905AC75" w14:textId="77777777" w:rsidR="00AC7F5D" w:rsidRPr="00DC4B5A" w:rsidRDefault="00AC7F5D"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 (6.1%)</w:t>
            </w:r>
          </w:p>
        </w:tc>
        <w:tc>
          <w:tcPr>
            <w:tcW w:w="1350" w:type="dxa"/>
            <w:tcBorders>
              <w:bottom w:val="single" w:sz="4" w:space="0" w:color="auto"/>
            </w:tcBorders>
          </w:tcPr>
          <w:p w14:paraId="09B5BE21" w14:textId="77777777" w:rsidR="00AC7F5D" w:rsidRPr="00DC4B5A" w:rsidRDefault="00AC7F5D" w:rsidP="00DC086E">
            <w:pPr>
              <w:spacing w:after="0" w:line="240" w:lineRule="auto"/>
              <w:jc w:val="lowKashida"/>
              <w:rPr>
                <w:rFonts w:ascii="Times New Roman" w:hAnsi="Times New Roman" w:cs="Times New Roman"/>
                <w:sz w:val="24"/>
                <w:szCs w:val="24"/>
              </w:rPr>
            </w:pPr>
          </w:p>
          <w:p w14:paraId="1C4B9F41" w14:textId="77777777" w:rsidR="00AC7F5D" w:rsidRPr="00DC4B5A" w:rsidRDefault="00AC7F5D" w:rsidP="00416649">
            <w:pPr>
              <w:keepNext/>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0.136</w:t>
            </w:r>
          </w:p>
        </w:tc>
      </w:tr>
    </w:tbl>
    <w:p w14:paraId="4A29357E" w14:textId="77777777" w:rsidR="00416649" w:rsidRPr="00416649" w:rsidRDefault="00416649" w:rsidP="00416649">
      <w:pPr>
        <w:autoSpaceDE w:val="0"/>
        <w:autoSpaceDN w:val="0"/>
        <w:adjustRightInd w:val="0"/>
        <w:spacing w:after="0" w:line="240" w:lineRule="auto"/>
        <w:jc w:val="lowKashida"/>
        <w:rPr>
          <w:i/>
          <w:iCs/>
          <w:color w:val="44546A" w:themeColor="text2"/>
          <w:sz w:val="18"/>
          <w:szCs w:val="18"/>
          <w:cs/>
        </w:rPr>
      </w:pPr>
      <w:bookmarkStart w:id="6" w:name="_Hlk155698638"/>
      <w:r w:rsidRPr="00416649">
        <w:rPr>
          <w:i/>
          <w:iCs/>
          <w:color w:val="44546A" w:themeColor="text2"/>
          <w:sz w:val="18"/>
          <w:szCs w:val="18"/>
        </w:rPr>
        <w:t xml:space="preserve">Data is represented by n (%). (*): Statistically significant, </w:t>
      </w:r>
      <w:r w:rsidRPr="00416649">
        <w:rPr>
          <w:i/>
          <w:iCs/>
          <w:color w:val="44546A" w:themeColor="text2"/>
          <w:sz w:val="18"/>
          <w:szCs w:val="18"/>
          <w:cs/>
        </w:rPr>
        <w:t>‎</w:t>
      </w:r>
      <w:r w:rsidRPr="00416649">
        <w:rPr>
          <w:i/>
          <w:iCs/>
          <w:color w:val="44546A" w:themeColor="text2"/>
          <w:sz w:val="18"/>
          <w:szCs w:val="18"/>
        </w:rPr>
        <w:t>(H. pylori): Helicobacter pylori</w:t>
      </w:r>
      <w:r w:rsidRPr="00416649">
        <w:rPr>
          <w:i/>
          <w:iCs/>
          <w:color w:val="44546A" w:themeColor="text2"/>
          <w:sz w:val="18"/>
          <w:szCs w:val="18"/>
          <w:cs/>
        </w:rPr>
        <w:t>‎.</w:t>
      </w:r>
    </w:p>
    <w:bookmarkEnd w:id="6"/>
    <w:p w14:paraId="3DFE4D6A" w14:textId="630D943F" w:rsidR="00403720" w:rsidRPr="00DC4B5A" w:rsidRDefault="005E172B" w:rsidP="002B2058">
      <w:pPr>
        <w:spacing w:before="100" w:after="100" w:line="240" w:lineRule="auto"/>
        <w:ind w:firstLine="180"/>
        <w:jc w:val="lowKashida"/>
        <w:rPr>
          <w:rFonts w:ascii="Times New Roman" w:hAnsi="Times New Roman" w:cs="Times New Roman"/>
          <w:color w:val="000000" w:themeColor="text1"/>
          <w:sz w:val="24"/>
          <w:szCs w:val="24"/>
        </w:rPr>
      </w:pPr>
      <w:r w:rsidRPr="00DC4B5A">
        <w:rPr>
          <w:rFonts w:ascii="Times New Roman" w:hAnsi="Times New Roman" w:cs="Times New Roman"/>
          <w:sz w:val="24"/>
          <w:szCs w:val="24"/>
        </w:rPr>
        <w:t xml:space="preserve">There was a statistically significant relationship between </w:t>
      </w:r>
      <w:r w:rsidRPr="00DC4B5A">
        <w:rPr>
          <w:rFonts w:ascii="Times New Roman" w:hAnsi="Times New Roman" w:cs="Times New Roman"/>
          <w:i/>
          <w:iCs/>
          <w:sz w:val="24"/>
          <w:szCs w:val="24"/>
        </w:rPr>
        <w:t>H. pylori</w:t>
      </w:r>
      <w:r w:rsidRPr="00DC4B5A">
        <w:rPr>
          <w:rFonts w:ascii="Times New Roman" w:hAnsi="Times New Roman" w:cs="Times New Roman"/>
          <w:sz w:val="24"/>
          <w:szCs w:val="24"/>
        </w:rPr>
        <w:t xml:space="preserve"> gastritis and serum creatinine, transferrin saturation, and advanced stages of CKD. Specifically, serum creatinine was higher</w:t>
      </w:r>
      <w:r w:rsidR="00B7625B" w:rsidRPr="00DC4B5A">
        <w:rPr>
          <w:rFonts w:ascii="Times New Roman" w:hAnsi="Times New Roman" w:cs="Times New Roman"/>
          <w:sz w:val="24"/>
          <w:szCs w:val="24"/>
        </w:rPr>
        <w:t>,</w:t>
      </w:r>
      <w:r w:rsidRPr="00DC4B5A">
        <w:rPr>
          <w:rFonts w:ascii="Times New Roman" w:hAnsi="Times New Roman" w:cs="Times New Roman"/>
          <w:sz w:val="24"/>
          <w:szCs w:val="24"/>
        </w:rPr>
        <w:t xml:space="preserve"> and transferrin saturation was lower in patients with </w:t>
      </w:r>
      <w:r w:rsidRPr="00DC4B5A">
        <w:rPr>
          <w:rFonts w:ascii="Times New Roman" w:hAnsi="Times New Roman" w:cs="Times New Roman"/>
          <w:i/>
          <w:iCs/>
          <w:sz w:val="24"/>
          <w:szCs w:val="24"/>
        </w:rPr>
        <w:t>H. pylori</w:t>
      </w:r>
      <w:r w:rsidRPr="00DC4B5A">
        <w:rPr>
          <w:rFonts w:ascii="Times New Roman" w:hAnsi="Times New Roman" w:cs="Times New Roman"/>
          <w:sz w:val="24"/>
          <w:szCs w:val="24"/>
        </w:rPr>
        <w:t xml:space="preserve"> gastritis. Additionally, 21% of patients with H. pylori gastritis had advanced CKD. There was no statistically significant relationship between </w:t>
      </w:r>
      <w:r w:rsidRPr="00DC4B5A">
        <w:rPr>
          <w:rFonts w:ascii="Times New Roman" w:hAnsi="Times New Roman" w:cs="Times New Roman"/>
          <w:i/>
          <w:iCs/>
          <w:sz w:val="24"/>
          <w:szCs w:val="24"/>
        </w:rPr>
        <w:t>H. pylori</w:t>
      </w:r>
      <w:r w:rsidRPr="00DC4B5A">
        <w:rPr>
          <w:rFonts w:ascii="Times New Roman" w:hAnsi="Times New Roman" w:cs="Times New Roman"/>
          <w:sz w:val="24"/>
          <w:szCs w:val="24"/>
        </w:rPr>
        <w:t xml:space="preserve"> gastritis and other parameters (Table 4). </w:t>
      </w:r>
      <w:r w:rsidRPr="00DC4B5A">
        <w:rPr>
          <w:rFonts w:ascii="Times New Roman" w:hAnsi="Times New Roman" w:cs="Times New Roman"/>
          <w:color w:val="000000" w:themeColor="text1"/>
          <w:sz w:val="24"/>
          <w:szCs w:val="24"/>
        </w:rPr>
        <w:t>Fig</w:t>
      </w:r>
      <w:r w:rsidR="00617C9E" w:rsidRPr="00DC4B5A">
        <w:rPr>
          <w:rFonts w:ascii="Times New Roman" w:hAnsi="Times New Roman" w:cs="Times New Roman"/>
          <w:color w:val="000000" w:themeColor="text1"/>
          <w:sz w:val="24"/>
          <w:szCs w:val="24"/>
        </w:rPr>
        <w:t>.</w:t>
      </w:r>
      <w:r w:rsidRPr="00DC4B5A">
        <w:rPr>
          <w:rFonts w:ascii="Times New Roman" w:hAnsi="Times New Roman" w:cs="Times New Roman"/>
          <w:color w:val="000000" w:themeColor="text1"/>
          <w:sz w:val="24"/>
          <w:szCs w:val="24"/>
        </w:rPr>
        <w:t xml:space="preserve">1 shows the relationship between serum creatinine levels and H. pylori </w:t>
      </w:r>
      <w:r w:rsidRPr="00DC4B5A">
        <w:rPr>
          <w:rFonts w:ascii="Times New Roman" w:hAnsi="Times New Roman" w:cs="Times New Roman"/>
          <w:color w:val="000000" w:themeColor="text1"/>
          <w:sz w:val="24"/>
          <w:szCs w:val="24"/>
          <w:cs/>
        </w:rPr>
        <w:t>‎</w:t>
      </w:r>
      <w:r w:rsidRPr="00DC4B5A">
        <w:rPr>
          <w:rFonts w:ascii="Times New Roman" w:hAnsi="Times New Roman" w:cs="Times New Roman"/>
          <w:color w:val="000000" w:themeColor="text1"/>
          <w:sz w:val="24"/>
          <w:szCs w:val="24"/>
        </w:rPr>
        <w:t>gastritis (p=0.012)</w:t>
      </w:r>
      <w:r w:rsidRPr="00DC4B5A">
        <w:rPr>
          <w:rFonts w:ascii="Times New Roman" w:hAnsi="Times New Roman" w:cs="Times New Roman"/>
          <w:color w:val="000000" w:themeColor="text1"/>
          <w:sz w:val="24"/>
          <w:szCs w:val="24"/>
          <w:cs/>
        </w:rPr>
        <w:t>‎</w:t>
      </w:r>
      <w:r w:rsidRPr="00DC4B5A">
        <w:rPr>
          <w:rFonts w:ascii="Times New Roman" w:hAnsi="Times New Roman" w:cs="Times New Roman"/>
          <w:color w:val="000000" w:themeColor="text1"/>
          <w:sz w:val="24"/>
          <w:szCs w:val="24"/>
        </w:rPr>
        <w:t>.</w:t>
      </w:r>
    </w:p>
    <w:p w14:paraId="46FBCC93" w14:textId="2F5CE4EE" w:rsidR="00416649" w:rsidRDefault="00416649" w:rsidP="00416649">
      <w:pPr>
        <w:pStyle w:val="Caption"/>
        <w:keepNext/>
      </w:pPr>
      <w:r>
        <w:t xml:space="preserve">Tab </w:t>
      </w:r>
      <w:fldSimple w:instr=" SEQ Table \* ARABIC ">
        <w:r w:rsidR="00D75AE6">
          <w:rPr>
            <w:noProof/>
          </w:rPr>
          <w:t>4</w:t>
        </w:r>
      </w:fldSimple>
      <w:r>
        <w:t xml:space="preserve">. </w:t>
      </w:r>
      <w:r w:rsidRPr="00416649">
        <w:t>Risk factors associated with Helicobacter pylori gastritis</w:t>
      </w:r>
      <w:r>
        <w:t>.</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4) Risk factors associated with Helicobacter pylori gastritis:"/>
        <w:tblDescription w:val="(*): Statistically significant, (**): Statistically highly significant, (NSAIDs): Non-steroidal anti-inflammatory drugs, (FOBT): Fecal occult blood test, (CKD): Chronic kidney disease."/>
      </w:tblPr>
      <w:tblGrid>
        <w:gridCol w:w="4388"/>
        <w:gridCol w:w="1842"/>
        <w:gridCol w:w="2127"/>
        <w:gridCol w:w="1178"/>
      </w:tblGrid>
      <w:tr w:rsidR="00BD0F9C" w:rsidRPr="00DC4B5A" w14:paraId="54C746B5" w14:textId="77777777" w:rsidTr="00DC086E">
        <w:tc>
          <w:tcPr>
            <w:tcW w:w="4388" w:type="dxa"/>
            <w:vMerge w:val="restart"/>
            <w:tcBorders>
              <w:top w:val="single" w:sz="4" w:space="0" w:color="auto"/>
              <w:bottom w:val="single" w:sz="4" w:space="0" w:color="auto"/>
            </w:tcBorders>
          </w:tcPr>
          <w:p w14:paraId="15945507"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b/>
                <w:bCs/>
                <w:sz w:val="24"/>
                <w:szCs w:val="24"/>
              </w:rPr>
              <w:t>Parameter</w:t>
            </w:r>
            <w:r w:rsidRPr="00DC4B5A">
              <w:rPr>
                <w:rFonts w:ascii="Times New Roman" w:hAnsi="Times New Roman" w:cs="Times New Roman"/>
                <w:sz w:val="24"/>
                <w:szCs w:val="24"/>
              </w:rPr>
              <w:t xml:space="preserve"> </w:t>
            </w:r>
          </w:p>
        </w:tc>
        <w:tc>
          <w:tcPr>
            <w:tcW w:w="3969" w:type="dxa"/>
            <w:gridSpan w:val="2"/>
            <w:tcBorders>
              <w:top w:val="single" w:sz="4" w:space="0" w:color="auto"/>
              <w:bottom w:val="single" w:sz="4" w:space="0" w:color="auto"/>
            </w:tcBorders>
          </w:tcPr>
          <w:p w14:paraId="768EA68F" w14:textId="77777777" w:rsidR="00BD0F9C" w:rsidRPr="00DC4B5A" w:rsidRDefault="00BD0F9C" w:rsidP="00DC086E">
            <w:pPr>
              <w:spacing w:after="0" w:line="240" w:lineRule="auto"/>
              <w:jc w:val="center"/>
              <w:rPr>
                <w:rFonts w:ascii="Times New Roman" w:hAnsi="Times New Roman" w:cs="Times New Roman"/>
                <w:b/>
                <w:bCs/>
                <w:sz w:val="24"/>
                <w:szCs w:val="24"/>
              </w:rPr>
            </w:pPr>
            <w:r w:rsidRPr="00DC4B5A">
              <w:rPr>
                <w:rFonts w:ascii="Times New Roman" w:hAnsi="Times New Roman" w:cs="Times New Roman"/>
                <w:b/>
                <w:bCs/>
                <w:sz w:val="24"/>
                <w:szCs w:val="24"/>
              </w:rPr>
              <w:t>H pylori Gastritis</w:t>
            </w:r>
          </w:p>
        </w:tc>
        <w:tc>
          <w:tcPr>
            <w:tcW w:w="1178" w:type="dxa"/>
            <w:vMerge w:val="restart"/>
            <w:tcBorders>
              <w:top w:val="single" w:sz="4" w:space="0" w:color="auto"/>
            </w:tcBorders>
          </w:tcPr>
          <w:p w14:paraId="5998C4EB"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i/>
                <w:iCs/>
                <w:sz w:val="24"/>
                <w:szCs w:val="24"/>
              </w:rPr>
              <w:t>p</w:t>
            </w:r>
            <w:r w:rsidRPr="00DC4B5A">
              <w:rPr>
                <w:rFonts w:ascii="Times New Roman" w:hAnsi="Times New Roman" w:cs="Times New Roman"/>
                <w:sz w:val="24"/>
                <w:szCs w:val="24"/>
              </w:rPr>
              <w:t>-value</w:t>
            </w:r>
          </w:p>
        </w:tc>
      </w:tr>
      <w:tr w:rsidR="00BD0F9C" w:rsidRPr="00DC4B5A" w14:paraId="07A25405" w14:textId="77777777" w:rsidTr="00DC086E">
        <w:tc>
          <w:tcPr>
            <w:tcW w:w="4388" w:type="dxa"/>
            <w:vMerge/>
            <w:tcBorders>
              <w:bottom w:val="single" w:sz="4" w:space="0" w:color="auto"/>
            </w:tcBorders>
          </w:tcPr>
          <w:p w14:paraId="7BF077B3" w14:textId="77777777" w:rsidR="00BD0F9C" w:rsidRPr="00DC4B5A" w:rsidRDefault="00BD0F9C" w:rsidP="00DC086E">
            <w:pPr>
              <w:spacing w:after="0" w:line="240" w:lineRule="auto"/>
              <w:jc w:val="lowKashida"/>
              <w:rPr>
                <w:rFonts w:ascii="Times New Roman" w:hAnsi="Times New Roman" w:cs="Times New Roman"/>
                <w:sz w:val="24"/>
                <w:szCs w:val="24"/>
              </w:rPr>
            </w:pPr>
          </w:p>
        </w:tc>
        <w:tc>
          <w:tcPr>
            <w:tcW w:w="1842" w:type="dxa"/>
            <w:tcBorders>
              <w:top w:val="single" w:sz="4" w:space="0" w:color="auto"/>
              <w:bottom w:val="single" w:sz="4" w:space="0" w:color="auto"/>
            </w:tcBorders>
          </w:tcPr>
          <w:p w14:paraId="532D0816"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Absent (n=13)</w:t>
            </w:r>
          </w:p>
        </w:tc>
        <w:tc>
          <w:tcPr>
            <w:tcW w:w="2127" w:type="dxa"/>
            <w:tcBorders>
              <w:top w:val="single" w:sz="4" w:space="0" w:color="auto"/>
              <w:bottom w:val="single" w:sz="4" w:space="0" w:color="auto"/>
            </w:tcBorders>
          </w:tcPr>
          <w:p w14:paraId="019C09CA"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Present (n=19)</w:t>
            </w:r>
          </w:p>
        </w:tc>
        <w:tc>
          <w:tcPr>
            <w:tcW w:w="1178" w:type="dxa"/>
            <w:vMerge/>
            <w:tcBorders>
              <w:bottom w:val="single" w:sz="4" w:space="0" w:color="auto"/>
            </w:tcBorders>
          </w:tcPr>
          <w:p w14:paraId="5A303D08" w14:textId="77777777" w:rsidR="00BD0F9C" w:rsidRPr="00DC4B5A" w:rsidRDefault="00BD0F9C" w:rsidP="00DC086E">
            <w:pPr>
              <w:spacing w:after="0" w:line="240" w:lineRule="auto"/>
              <w:jc w:val="lowKashida"/>
              <w:rPr>
                <w:rFonts w:ascii="Times New Roman" w:hAnsi="Times New Roman" w:cs="Times New Roman"/>
                <w:sz w:val="24"/>
                <w:szCs w:val="24"/>
              </w:rPr>
            </w:pPr>
          </w:p>
        </w:tc>
      </w:tr>
      <w:tr w:rsidR="00BD0F9C" w:rsidRPr="00DC4B5A" w14:paraId="28E3FC24" w14:textId="77777777" w:rsidTr="00DC086E">
        <w:tc>
          <w:tcPr>
            <w:tcW w:w="4388" w:type="dxa"/>
            <w:tcBorders>
              <w:top w:val="single" w:sz="4" w:space="0" w:color="auto"/>
            </w:tcBorders>
          </w:tcPr>
          <w:p w14:paraId="797E0946"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Male sex</w:t>
            </w:r>
          </w:p>
        </w:tc>
        <w:tc>
          <w:tcPr>
            <w:tcW w:w="1842" w:type="dxa"/>
            <w:tcBorders>
              <w:top w:val="single" w:sz="4" w:space="0" w:color="auto"/>
            </w:tcBorders>
          </w:tcPr>
          <w:p w14:paraId="7336AAE0"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9 (69.2%)</w:t>
            </w:r>
          </w:p>
        </w:tc>
        <w:tc>
          <w:tcPr>
            <w:tcW w:w="2127" w:type="dxa"/>
            <w:tcBorders>
              <w:top w:val="single" w:sz="4" w:space="0" w:color="auto"/>
            </w:tcBorders>
          </w:tcPr>
          <w:p w14:paraId="13465BAC"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14 (73.7%)</w:t>
            </w:r>
          </w:p>
        </w:tc>
        <w:tc>
          <w:tcPr>
            <w:tcW w:w="1178" w:type="dxa"/>
            <w:tcBorders>
              <w:top w:val="single" w:sz="4" w:space="0" w:color="auto"/>
            </w:tcBorders>
          </w:tcPr>
          <w:p w14:paraId="0D37988C"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0.763</w:t>
            </w:r>
          </w:p>
        </w:tc>
      </w:tr>
      <w:tr w:rsidR="00BD0F9C" w:rsidRPr="00DC4B5A" w14:paraId="46316865" w14:textId="77777777" w:rsidTr="00DC086E">
        <w:tc>
          <w:tcPr>
            <w:tcW w:w="4388" w:type="dxa"/>
          </w:tcPr>
          <w:p w14:paraId="4D4CBD48"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Age (years)</w:t>
            </w:r>
            <w:r w:rsidRPr="00DC4B5A">
              <w:rPr>
                <w:rFonts w:ascii="Times New Roman" w:hAnsi="Times New Roman" w:cs="Times New Roman"/>
                <w:b/>
                <w:bCs/>
                <w:sz w:val="24"/>
                <w:szCs w:val="24"/>
                <w:cs/>
              </w:rPr>
              <w:t>‎</w:t>
            </w:r>
          </w:p>
        </w:tc>
        <w:tc>
          <w:tcPr>
            <w:tcW w:w="1842" w:type="dxa"/>
          </w:tcPr>
          <w:p w14:paraId="14064295"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56.54 ± 11.27</w:t>
            </w:r>
          </w:p>
        </w:tc>
        <w:tc>
          <w:tcPr>
            <w:tcW w:w="2127" w:type="dxa"/>
          </w:tcPr>
          <w:p w14:paraId="4F351649"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60.89 ± 16.67</w:t>
            </w:r>
          </w:p>
        </w:tc>
        <w:tc>
          <w:tcPr>
            <w:tcW w:w="1178" w:type="dxa"/>
          </w:tcPr>
          <w:p w14:paraId="42A4C549"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0.385</w:t>
            </w:r>
          </w:p>
        </w:tc>
      </w:tr>
      <w:tr w:rsidR="00BD0F9C" w:rsidRPr="00DC4B5A" w14:paraId="3074FCCA" w14:textId="77777777" w:rsidTr="00DC086E">
        <w:tc>
          <w:tcPr>
            <w:tcW w:w="4388" w:type="dxa"/>
          </w:tcPr>
          <w:p w14:paraId="707ED397"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Body mass index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(kg/m</w:t>
            </w:r>
            <w:r w:rsidRPr="00DC4B5A">
              <w:rPr>
                <w:rFonts w:ascii="Times New Roman" w:hAnsi="Times New Roman" w:cs="Times New Roman"/>
                <w:b/>
                <w:bCs/>
                <w:sz w:val="24"/>
                <w:szCs w:val="24"/>
                <w:vertAlign w:val="superscript"/>
              </w:rPr>
              <w:t>2</w:t>
            </w:r>
            <w:r w:rsidRPr="00DC4B5A">
              <w:rPr>
                <w:rFonts w:ascii="Times New Roman" w:hAnsi="Times New Roman" w:cs="Times New Roman"/>
                <w:b/>
                <w:bCs/>
                <w:sz w:val="24"/>
                <w:szCs w:val="24"/>
              </w:rPr>
              <w:t>)</w:t>
            </w:r>
            <w:r w:rsidRPr="00DC4B5A">
              <w:rPr>
                <w:rFonts w:ascii="Times New Roman" w:hAnsi="Times New Roman" w:cs="Times New Roman"/>
                <w:b/>
                <w:bCs/>
                <w:sz w:val="24"/>
                <w:szCs w:val="24"/>
                <w:cs/>
              </w:rPr>
              <w:t>‎</w:t>
            </w:r>
          </w:p>
        </w:tc>
        <w:tc>
          <w:tcPr>
            <w:tcW w:w="1842" w:type="dxa"/>
          </w:tcPr>
          <w:p w14:paraId="4C882D15"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24.77 ± 4.25</w:t>
            </w:r>
          </w:p>
        </w:tc>
        <w:tc>
          <w:tcPr>
            <w:tcW w:w="2127" w:type="dxa"/>
          </w:tcPr>
          <w:p w14:paraId="1F3667C1"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26.89 ± 5.71</w:t>
            </w:r>
          </w:p>
        </w:tc>
        <w:tc>
          <w:tcPr>
            <w:tcW w:w="1178" w:type="dxa"/>
          </w:tcPr>
          <w:p w14:paraId="05372AE3"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0.263</w:t>
            </w:r>
          </w:p>
        </w:tc>
      </w:tr>
      <w:tr w:rsidR="00BD0F9C" w:rsidRPr="00DC4B5A" w14:paraId="733043A3" w14:textId="77777777" w:rsidTr="00DC086E">
        <w:tc>
          <w:tcPr>
            <w:tcW w:w="4388" w:type="dxa"/>
          </w:tcPr>
          <w:p w14:paraId="13129F50"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Hypertension </w:t>
            </w:r>
          </w:p>
        </w:tc>
        <w:tc>
          <w:tcPr>
            <w:tcW w:w="1842" w:type="dxa"/>
          </w:tcPr>
          <w:p w14:paraId="4C766FF1"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7 (53.8%)</w:t>
            </w:r>
          </w:p>
        </w:tc>
        <w:tc>
          <w:tcPr>
            <w:tcW w:w="2127" w:type="dxa"/>
          </w:tcPr>
          <w:p w14:paraId="76B14D02"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16 (84.2%)</w:t>
            </w:r>
          </w:p>
        </w:tc>
        <w:tc>
          <w:tcPr>
            <w:tcW w:w="1178" w:type="dxa"/>
          </w:tcPr>
          <w:p w14:paraId="0AE44B7A"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0.109</w:t>
            </w:r>
          </w:p>
        </w:tc>
      </w:tr>
      <w:tr w:rsidR="00BD0F9C" w:rsidRPr="00DC4B5A" w14:paraId="0DFB0AD4" w14:textId="77777777" w:rsidTr="00DC086E">
        <w:tc>
          <w:tcPr>
            <w:tcW w:w="4388" w:type="dxa"/>
          </w:tcPr>
          <w:p w14:paraId="1D9FA686"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Diabetes</w:t>
            </w:r>
          </w:p>
        </w:tc>
        <w:tc>
          <w:tcPr>
            <w:tcW w:w="1842" w:type="dxa"/>
          </w:tcPr>
          <w:p w14:paraId="10C42226"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 (38.5%)</w:t>
            </w:r>
          </w:p>
        </w:tc>
        <w:tc>
          <w:tcPr>
            <w:tcW w:w="2127" w:type="dxa"/>
          </w:tcPr>
          <w:p w14:paraId="4F5EB983"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12 (63.2%)</w:t>
            </w:r>
          </w:p>
        </w:tc>
        <w:tc>
          <w:tcPr>
            <w:tcW w:w="1178" w:type="dxa"/>
          </w:tcPr>
          <w:p w14:paraId="7FFFA8C8"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0.169</w:t>
            </w:r>
          </w:p>
        </w:tc>
      </w:tr>
      <w:tr w:rsidR="00BD0F9C" w:rsidRPr="00DC4B5A" w14:paraId="0E92E72B" w14:textId="77777777" w:rsidTr="00DC086E">
        <w:tc>
          <w:tcPr>
            <w:tcW w:w="4388" w:type="dxa"/>
          </w:tcPr>
          <w:p w14:paraId="72DB1864"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Aspirin </w:t>
            </w:r>
          </w:p>
        </w:tc>
        <w:tc>
          <w:tcPr>
            <w:tcW w:w="1842" w:type="dxa"/>
          </w:tcPr>
          <w:p w14:paraId="5A43A911"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4 (30.8%)</w:t>
            </w:r>
          </w:p>
        </w:tc>
        <w:tc>
          <w:tcPr>
            <w:tcW w:w="2127" w:type="dxa"/>
          </w:tcPr>
          <w:p w14:paraId="70B9CB03"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 (5.3%)</w:t>
            </w:r>
          </w:p>
        </w:tc>
        <w:tc>
          <w:tcPr>
            <w:tcW w:w="1178" w:type="dxa"/>
          </w:tcPr>
          <w:p w14:paraId="22AE2A21"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0.132</w:t>
            </w:r>
          </w:p>
        </w:tc>
      </w:tr>
      <w:tr w:rsidR="00BD0F9C" w:rsidRPr="00DC4B5A" w14:paraId="25A0968C" w14:textId="77777777" w:rsidTr="00DC086E">
        <w:tc>
          <w:tcPr>
            <w:tcW w:w="4388" w:type="dxa"/>
          </w:tcPr>
          <w:p w14:paraId="34BB126C"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NSAID</w:t>
            </w:r>
          </w:p>
        </w:tc>
        <w:tc>
          <w:tcPr>
            <w:tcW w:w="1842" w:type="dxa"/>
          </w:tcPr>
          <w:p w14:paraId="07BE7CC0"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6 (46.2%)</w:t>
            </w:r>
          </w:p>
        </w:tc>
        <w:tc>
          <w:tcPr>
            <w:tcW w:w="2127" w:type="dxa"/>
          </w:tcPr>
          <w:p w14:paraId="31C4781D"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 (26.3%)</w:t>
            </w:r>
          </w:p>
        </w:tc>
        <w:tc>
          <w:tcPr>
            <w:tcW w:w="1178" w:type="dxa"/>
          </w:tcPr>
          <w:p w14:paraId="5940CA5F"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0.283</w:t>
            </w:r>
          </w:p>
        </w:tc>
      </w:tr>
      <w:tr w:rsidR="00BD0F9C" w:rsidRPr="00DC4B5A" w14:paraId="2B77AB7E" w14:textId="77777777" w:rsidTr="00DC086E">
        <w:tc>
          <w:tcPr>
            <w:tcW w:w="4388" w:type="dxa"/>
          </w:tcPr>
          <w:p w14:paraId="1CBC5240"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Clopidogrel </w:t>
            </w:r>
          </w:p>
        </w:tc>
        <w:tc>
          <w:tcPr>
            <w:tcW w:w="1842" w:type="dxa"/>
          </w:tcPr>
          <w:p w14:paraId="7FAC2F79"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 (38.5%)</w:t>
            </w:r>
          </w:p>
        </w:tc>
        <w:tc>
          <w:tcPr>
            <w:tcW w:w="2127" w:type="dxa"/>
          </w:tcPr>
          <w:p w14:paraId="0BA62714"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tc>
        <w:tc>
          <w:tcPr>
            <w:tcW w:w="1178" w:type="dxa"/>
          </w:tcPr>
          <w:p w14:paraId="0035CFF5"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0.006*</w:t>
            </w:r>
          </w:p>
        </w:tc>
      </w:tr>
      <w:tr w:rsidR="00BD0F9C" w:rsidRPr="00DC4B5A" w14:paraId="13481A50" w14:textId="77777777" w:rsidTr="00DC086E">
        <w:tc>
          <w:tcPr>
            <w:tcW w:w="4388" w:type="dxa"/>
          </w:tcPr>
          <w:p w14:paraId="28FAD12D"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Oral anticoagulants</w:t>
            </w:r>
          </w:p>
        </w:tc>
        <w:tc>
          <w:tcPr>
            <w:tcW w:w="1842" w:type="dxa"/>
          </w:tcPr>
          <w:p w14:paraId="39376964"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tc>
        <w:tc>
          <w:tcPr>
            <w:tcW w:w="2127" w:type="dxa"/>
          </w:tcPr>
          <w:p w14:paraId="1DD2E417"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tc>
        <w:tc>
          <w:tcPr>
            <w:tcW w:w="1178" w:type="dxa"/>
          </w:tcPr>
          <w:p w14:paraId="3E851A20"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&gt;0.999</w:t>
            </w:r>
          </w:p>
        </w:tc>
      </w:tr>
      <w:tr w:rsidR="00BD0F9C" w:rsidRPr="00DC4B5A" w14:paraId="116500B2" w14:textId="77777777" w:rsidTr="00DC086E">
        <w:tc>
          <w:tcPr>
            <w:tcW w:w="4388" w:type="dxa"/>
          </w:tcPr>
          <w:p w14:paraId="50263CFD"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Steroid </w:t>
            </w:r>
          </w:p>
        </w:tc>
        <w:tc>
          <w:tcPr>
            <w:tcW w:w="1842" w:type="dxa"/>
          </w:tcPr>
          <w:p w14:paraId="65FE8C27"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 (7.7%)</w:t>
            </w:r>
          </w:p>
        </w:tc>
        <w:tc>
          <w:tcPr>
            <w:tcW w:w="2127" w:type="dxa"/>
          </w:tcPr>
          <w:p w14:paraId="715390A0"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 (10.5%)</w:t>
            </w:r>
          </w:p>
        </w:tc>
        <w:tc>
          <w:tcPr>
            <w:tcW w:w="1178" w:type="dxa"/>
          </w:tcPr>
          <w:p w14:paraId="2DE04FE0" w14:textId="77777777" w:rsidR="00BD0F9C" w:rsidRPr="00DC4B5A" w:rsidRDefault="00BD0F9C" w:rsidP="00DC086E">
            <w:pPr>
              <w:spacing w:after="0" w:line="240" w:lineRule="auto"/>
              <w:jc w:val="lowKashida"/>
              <w:rPr>
                <w:rFonts w:ascii="Times New Roman" w:hAnsi="Times New Roman" w:cs="Times New Roman"/>
                <w:sz w:val="24"/>
                <w:szCs w:val="24"/>
                <w:rtl/>
                <w:lang w:bidi="ar-EG"/>
              </w:rPr>
            </w:pPr>
            <w:r w:rsidRPr="00DC4B5A">
              <w:rPr>
                <w:rFonts w:ascii="Times New Roman" w:hAnsi="Times New Roman" w:cs="Times New Roman"/>
                <w:sz w:val="24"/>
                <w:szCs w:val="24"/>
                <w:lang w:bidi="ar-EG"/>
              </w:rPr>
              <w:t>&gt;0.999</w:t>
            </w:r>
          </w:p>
        </w:tc>
      </w:tr>
      <w:tr w:rsidR="00BD0F9C" w:rsidRPr="00DC4B5A" w14:paraId="3B6EC2AD" w14:textId="77777777" w:rsidTr="00DC086E">
        <w:tc>
          <w:tcPr>
            <w:tcW w:w="4388" w:type="dxa"/>
          </w:tcPr>
          <w:p w14:paraId="6AD8689B"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FOBT </w:t>
            </w:r>
          </w:p>
        </w:tc>
        <w:tc>
          <w:tcPr>
            <w:tcW w:w="1842" w:type="dxa"/>
          </w:tcPr>
          <w:p w14:paraId="0B31E824"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 (38.5%)</w:t>
            </w:r>
          </w:p>
        </w:tc>
        <w:tc>
          <w:tcPr>
            <w:tcW w:w="2127" w:type="dxa"/>
          </w:tcPr>
          <w:p w14:paraId="14A35ADD"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8 (42.1%)</w:t>
            </w:r>
          </w:p>
        </w:tc>
        <w:tc>
          <w:tcPr>
            <w:tcW w:w="1178" w:type="dxa"/>
          </w:tcPr>
          <w:p w14:paraId="59E18316"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0.837</w:t>
            </w:r>
          </w:p>
        </w:tc>
      </w:tr>
      <w:tr w:rsidR="00BD0F9C" w:rsidRPr="00DC4B5A" w14:paraId="327B94E6" w14:textId="77777777" w:rsidTr="00DC086E">
        <w:tc>
          <w:tcPr>
            <w:tcW w:w="4388" w:type="dxa"/>
          </w:tcPr>
          <w:p w14:paraId="232F3EF7"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Creatinine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(mg/dL)</w:t>
            </w:r>
            <w:r w:rsidRPr="00DC4B5A">
              <w:rPr>
                <w:rFonts w:ascii="Times New Roman" w:hAnsi="Times New Roman" w:cs="Times New Roman"/>
                <w:b/>
                <w:bCs/>
                <w:sz w:val="24"/>
                <w:szCs w:val="24"/>
                <w:cs/>
              </w:rPr>
              <w:t>‎</w:t>
            </w:r>
          </w:p>
        </w:tc>
        <w:tc>
          <w:tcPr>
            <w:tcW w:w="1842" w:type="dxa"/>
          </w:tcPr>
          <w:p w14:paraId="668F5495"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0.85 (0.76 – 1.6)</w:t>
            </w:r>
          </w:p>
        </w:tc>
        <w:tc>
          <w:tcPr>
            <w:tcW w:w="2127" w:type="dxa"/>
          </w:tcPr>
          <w:p w14:paraId="23ACC394"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1.11 (0.76 – 12)</w:t>
            </w:r>
          </w:p>
        </w:tc>
        <w:tc>
          <w:tcPr>
            <w:tcW w:w="1178" w:type="dxa"/>
          </w:tcPr>
          <w:p w14:paraId="35D7CA60"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0.012*</w:t>
            </w:r>
          </w:p>
        </w:tc>
      </w:tr>
      <w:tr w:rsidR="00BD0F9C" w:rsidRPr="00DC4B5A" w14:paraId="2D6A0BAE" w14:textId="77777777" w:rsidTr="00DC086E">
        <w:tc>
          <w:tcPr>
            <w:tcW w:w="4388" w:type="dxa"/>
          </w:tcPr>
          <w:p w14:paraId="4A0C1518"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Urea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(mg/dL)</w:t>
            </w:r>
            <w:r w:rsidRPr="00DC4B5A">
              <w:rPr>
                <w:rFonts w:ascii="Times New Roman" w:hAnsi="Times New Roman" w:cs="Times New Roman"/>
                <w:b/>
                <w:bCs/>
                <w:sz w:val="24"/>
                <w:szCs w:val="24"/>
                <w:cs/>
              </w:rPr>
              <w:t>‎</w:t>
            </w:r>
          </w:p>
        </w:tc>
        <w:tc>
          <w:tcPr>
            <w:tcW w:w="1842" w:type="dxa"/>
          </w:tcPr>
          <w:p w14:paraId="4C9215E1"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33.5 (19.8 – 73)</w:t>
            </w:r>
          </w:p>
        </w:tc>
        <w:tc>
          <w:tcPr>
            <w:tcW w:w="2127" w:type="dxa"/>
          </w:tcPr>
          <w:p w14:paraId="1B5E429D"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33.45 (22.2 – 74.5)</w:t>
            </w:r>
          </w:p>
        </w:tc>
        <w:tc>
          <w:tcPr>
            <w:tcW w:w="1178" w:type="dxa"/>
          </w:tcPr>
          <w:p w14:paraId="0A2E4DC4"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0.659</w:t>
            </w:r>
          </w:p>
        </w:tc>
      </w:tr>
      <w:tr w:rsidR="00BD0F9C" w:rsidRPr="00DC4B5A" w14:paraId="67608D17" w14:textId="77777777" w:rsidTr="00DC086E">
        <w:tc>
          <w:tcPr>
            <w:tcW w:w="4388" w:type="dxa"/>
          </w:tcPr>
          <w:p w14:paraId="584EE3E2"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Hemoglobin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(g/dL)</w:t>
            </w:r>
            <w:r w:rsidRPr="00DC4B5A">
              <w:rPr>
                <w:rFonts w:ascii="Times New Roman" w:hAnsi="Times New Roman" w:cs="Times New Roman"/>
                <w:b/>
                <w:bCs/>
                <w:sz w:val="24"/>
                <w:szCs w:val="24"/>
                <w:cs/>
              </w:rPr>
              <w:t>‎</w:t>
            </w:r>
          </w:p>
        </w:tc>
        <w:tc>
          <w:tcPr>
            <w:tcW w:w="1842" w:type="dxa"/>
          </w:tcPr>
          <w:p w14:paraId="65892E7D"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9.46 ± 0.89</w:t>
            </w:r>
          </w:p>
        </w:tc>
        <w:tc>
          <w:tcPr>
            <w:tcW w:w="2127" w:type="dxa"/>
          </w:tcPr>
          <w:p w14:paraId="5AC965FF"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9.92 ± 1.04</w:t>
            </w:r>
          </w:p>
        </w:tc>
        <w:tc>
          <w:tcPr>
            <w:tcW w:w="1178" w:type="dxa"/>
          </w:tcPr>
          <w:p w14:paraId="7B5AD9C0"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0.207</w:t>
            </w:r>
          </w:p>
        </w:tc>
      </w:tr>
      <w:tr w:rsidR="00BD0F9C" w:rsidRPr="00DC4B5A" w14:paraId="6156D8CD" w14:textId="77777777" w:rsidTr="00DC086E">
        <w:tc>
          <w:tcPr>
            <w:tcW w:w="4388" w:type="dxa"/>
          </w:tcPr>
          <w:p w14:paraId="7E118C62"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Ferritin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(ng/mL)</w:t>
            </w:r>
            <w:r w:rsidRPr="00DC4B5A">
              <w:rPr>
                <w:rFonts w:ascii="Times New Roman" w:hAnsi="Times New Roman" w:cs="Times New Roman"/>
                <w:b/>
                <w:bCs/>
                <w:sz w:val="24"/>
                <w:szCs w:val="24"/>
                <w:cs/>
              </w:rPr>
              <w:t>‎</w:t>
            </w:r>
          </w:p>
        </w:tc>
        <w:tc>
          <w:tcPr>
            <w:tcW w:w="1842" w:type="dxa"/>
          </w:tcPr>
          <w:p w14:paraId="0243946D"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99 (10.9 – 280)</w:t>
            </w:r>
          </w:p>
        </w:tc>
        <w:tc>
          <w:tcPr>
            <w:tcW w:w="2127" w:type="dxa"/>
          </w:tcPr>
          <w:p w14:paraId="75A1C0C8"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156 (13 – 1210)</w:t>
            </w:r>
          </w:p>
        </w:tc>
        <w:tc>
          <w:tcPr>
            <w:tcW w:w="1178" w:type="dxa"/>
          </w:tcPr>
          <w:p w14:paraId="596DB8C9"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0.139</w:t>
            </w:r>
          </w:p>
        </w:tc>
      </w:tr>
      <w:tr w:rsidR="00BD0F9C" w:rsidRPr="00DC4B5A" w14:paraId="07FC94C3" w14:textId="77777777" w:rsidTr="00DC086E">
        <w:tc>
          <w:tcPr>
            <w:tcW w:w="4388" w:type="dxa"/>
          </w:tcPr>
          <w:p w14:paraId="5BC80BE2"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Transferrin saturation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w:t>
            </w:r>
            <w:r w:rsidRPr="00DC4B5A">
              <w:rPr>
                <w:rFonts w:ascii="Times New Roman" w:hAnsi="Times New Roman" w:cs="Times New Roman"/>
                <w:b/>
                <w:bCs/>
                <w:sz w:val="24"/>
                <w:szCs w:val="24"/>
                <w:cs/>
              </w:rPr>
              <w:t>‎</w:t>
            </w:r>
          </w:p>
        </w:tc>
        <w:tc>
          <w:tcPr>
            <w:tcW w:w="1842" w:type="dxa"/>
          </w:tcPr>
          <w:p w14:paraId="247CCE05"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18 (10 – 20)</w:t>
            </w:r>
          </w:p>
        </w:tc>
        <w:tc>
          <w:tcPr>
            <w:tcW w:w="2127" w:type="dxa"/>
          </w:tcPr>
          <w:p w14:paraId="62F86563"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10 (8 – 20)</w:t>
            </w:r>
          </w:p>
        </w:tc>
        <w:tc>
          <w:tcPr>
            <w:tcW w:w="1178" w:type="dxa"/>
          </w:tcPr>
          <w:p w14:paraId="6E56836B"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0.021*</w:t>
            </w:r>
          </w:p>
        </w:tc>
      </w:tr>
      <w:tr w:rsidR="00BD0F9C" w:rsidRPr="00DC4B5A" w14:paraId="0FEF7782" w14:textId="77777777" w:rsidTr="00DC086E">
        <w:tc>
          <w:tcPr>
            <w:tcW w:w="4388" w:type="dxa"/>
          </w:tcPr>
          <w:p w14:paraId="7FE3BE19"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Serum iron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(µg/dL)</w:t>
            </w:r>
          </w:p>
        </w:tc>
        <w:tc>
          <w:tcPr>
            <w:tcW w:w="1842" w:type="dxa"/>
          </w:tcPr>
          <w:p w14:paraId="5F00CD4D"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36.86 (26 – 72.6)</w:t>
            </w:r>
          </w:p>
        </w:tc>
        <w:tc>
          <w:tcPr>
            <w:tcW w:w="2127" w:type="dxa"/>
          </w:tcPr>
          <w:p w14:paraId="3CD0E581"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56 (14.69–430)</w:t>
            </w:r>
          </w:p>
        </w:tc>
        <w:tc>
          <w:tcPr>
            <w:tcW w:w="1178" w:type="dxa"/>
          </w:tcPr>
          <w:p w14:paraId="35015A3C"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0.129</w:t>
            </w:r>
          </w:p>
        </w:tc>
      </w:tr>
      <w:tr w:rsidR="00BD0F9C" w:rsidRPr="00DC4B5A" w14:paraId="62CEDB2F" w14:textId="77777777" w:rsidTr="00DC086E">
        <w:tc>
          <w:tcPr>
            <w:tcW w:w="4388" w:type="dxa"/>
            <w:tcBorders>
              <w:bottom w:val="single" w:sz="4" w:space="0" w:color="auto"/>
            </w:tcBorders>
          </w:tcPr>
          <w:p w14:paraId="70C8632E" w14:textId="77777777" w:rsidR="00BD0F9C" w:rsidRPr="00DC4B5A" w:rsidRDefault="00BD0F9C"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CKD:</w:t>
            </w:r>
          </w:p>
          <w:p w14:paraId="5291DB50"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2</w:t>
            </w:r>
          </w:p>
          <w:p w14:paraId="409772CA"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3A</w:t>
            </w:r>
          </w:p>
          <w:p w14:paraId="0D1B8A59"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3B</w:t>
            </w:r>
          </w:p>
          <w:p w14:paraId="74973F70"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4</w:t>
            </w:r>
          </w:p>
          <w:p w14:paraId="696993FC"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5</w:t>
            </w:r>
          </w:p>
        </w:tc>
        <w:tc>
          <w:tcPr>
            <w:tcW w:w="1842" w:type="dxa"/>
            <w:tcBorders>
              <w:bottom w:val="single" w:sz="4" w:space="0" w:color="auto"/>
            </w:tcBorders>
          </w:tcPr>
          <w:p w14:paraId="125F24C2" w14:textId="77777777" w:rsidR="00BD0F9C" w:rsidRPr="00DC4B5A" w:rsidRDefault="00BD0F9C" w:rsidP="00DC086E">
            <w:pPr>
              <w:spacing w:after="0" w:line="240" w:lineRule="auto"/>
              <w:jc w:val="lowKashida"/>
              <w:rPr>
                <w:rFonts w:ascii="Times New Roman" w:hAnsi="Times New Roman" w:cs="Times New Roman"/>
                <w:sz w:val="24"/>
                <w:szCs w:val="24"/>
              </w:rPr>
            </w:pPr>
          </w:p>
          <w:p w14:paraId="6711E3C4"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11 (84.6%)</w:t>
            </w:r>
          </w:p>
          <w:p w14:paraId="345BC65F"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 (15.4%)</w:t>
            </w:r>
          </w:p>
          <w:p w14:paraId="3FD60121"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p w14:paraId="0FF627EE"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p w14:paraId="7166A03D"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tc>
        <w:tc>
          <w:tcPr>
            <w:tcW w:w="2127" w:type="dxa"/>
            <w:tcBorders>
              <w:bottom w:val="single" w:sz="4" w:space="0" w:color="auto"/>
            </w:tcBorders>
          </w:tcPr>
          <w:p w14:paraId="091E28A5" w14:textId="77777777" w:rsidR="00BD0F9C" w:rsidRPr="00DC4B5A" w:rsidRDefault="00BD0F9C" w:rsidP="00DC086E">
            <w:pPr>
              <w:spacing w:after="0" w:line="240" w:lineRule="auto"/>
              <w:jc w:val="lowKashida"/>
              <w:rPr>
                <w:rFonts w:ascii="Times New Roman" w:hAnsi="Times New Roman" w:cs="Times New Roman"/>
                <w:sz w:val="24"/>
                <w:szCs w:val="24"/>
              </w:rPr>
            </w:pPr>
          </w:p>
          <w:p w14:paraId="6509E561"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9 (47.4%)</w:t>
            </w:r>
          </w:p>
          <w:p w14:paraId="47B1B738"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6 (31.6%)</w:t>
            </w:r>
          </w:p>
          <w:p w14:paraId="07CEB84A"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 (0%)</w:t>
            </w:r>
          </w:p>
          <w:p w14:paraId="2080934D" w14:textId="77777777" w:rsidR="00BD0F9C" w:rsidRPr="00DC4B5A" w:rsidRDefault="00BD0F9C"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2 (10.5%)</w:t>
            </w:r>
          </w:p>
          <w:p w14:paraId="7F9FAF16" w14:textId="77777777" w:rsidR="00BD0F9C" w:rsidRPr="00DC4B5A" w:rsidRDefault="00BD0F9C" w:rsidP="00DC086E">
            <w:pPr>
              <w:spacing w:after="0" w:line="240" w:lineRule="auto"/>
              <w:jc w:val="lowKashida"/>
              <w:rPr>
                <w:rFonts w:ascii="Times New Roman" w:hAnsi="Times New Roman" w:cs="Times New Roman"/>
                <w:sz w:val="24"/>
                <w:szCs w:val="24"/>
                <w:rtl/>
                <w:lang w:bidi="ar-EG"/>
              </w:rPr>
            </w:pPr>
            <w:r w:rsidRPr="00DC4B5A">
              <w:rPr>
                <w:rFonts w:ascii="Times New Roman" w:hAnsi="Times New Roman" w:cs="Times New Roman"/>
                <w:sz w:val="24"/>
                <w:szCs w:val="24"/>
              </w:rPr>
              <w:t>2 (10.5%)</w:t>
            </w:r>
          </w:p>
        </w:tc>
        <w:tc>
          <w:tcPr>
            <w:tcW w:w="1178" w:type="dxa"/>
            <w:tcBorders>
              <w:bottom w:val="single" w:sz="4" w:space="0" w:color="auto"/>
            </w:tcBorders>
          </w:tcPr>
          <w:p w14:paraId="2C0CCF16" w14:textId="77777777" w:rsidR="00BD0F9C" w:rsidRPr="00DC4B5A" w:rsidRDefault="00BD0F9C" w:rsidP="00DC086E">
            <w:pPr>
              <w:spacing w:after="0" w:line="240" w:lineRule="auto"/>
              <w:jc w:val="lowKashida"/>
              <w:rPr>
                <w:rFonts w:ascii="Times New Roman" w:hAnsi="Times New Roman" w:cs="Times New Roman"/>
                <w:sz w:val="24"/>
                <w:szCs w:val="24"/>
              </w:rPr>
            </w:pPr>
          </w:p>
          <w:p w14:paraId="02714EA5" w14:textId="77777777" w:rsidR="00BD0F9C" w:rsidRPr="00DC4B5A" w:rsidRDefault="00BD0F9C" w:rsidP="00DC086E">
            <w:pPr>
              <w:spacing w:after="0" w:line="240" w:lineRule="auto"/>
              <w:jc w:val="lowKashida"/>
              <w:rPr>
                <w:rFonts w:ascii="Times New Roman" w:hAnsi="Times New Roman" w:cs="Times New Roman"/>
                <w:sz w:val="24"/>
                <w:szCs w:val="24"/>
              </w:rPr>
            </w:pPr>
          </w:p>
          <w:p w14:paraId="4FE2C6A3" w14:textId="77777777" w:rsidR="00BD0F9C" w:rsidRPr="00DC4B5A" w:rsidRDefault="00BD0F9C" w:rsidP="00DC086E">
            <w:pPr>
              <w:spacing w:after="0" w:line="240" w:lineRule="auto"/>
              <w:jc w:val="lowKashida"/>
              <w:rPr>
                <w:rFonts w:ascii="Times New Roman" w:hAnsi="Times New Roman" w:cs="Times New Roman"/>
                <w:sz w:val="24"/>
                <w:szCs w:val="24"/>
              </w:rPr>
            </w:pPr>
          </w:p>
          <w:p w14:paraId="49EB4BFC" w14:textId="77777777" w:rsidR="00BD0F9C" w:rsidRPr="00DC4B5A" w:rsidRDefault="00BD0F9C" w:rsidP="00416649">
            <w:pPr>
              <w:keepNext/>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0.034*</w:t>
            </w:r>
          </w:p>
        </w:tc>
      </w:tr>
    </w:tbl>
    <w:p w14:paraId="43E200AB" w14:textId="77777777" w:rsidR="00416649" w:rsidRPr="00416649" w:rsidRDefault="00416649" w:rsidP="00416649">
      <w:pPr>
        <w:autoSpaceDE w:val="0"/>
        <w:autoSpaceDN w:val="0"/>
        <w:adjustRightInd w:val="0"/>
        <w:spacing w:after="0" w:line="240" w:lineRule="auto"/>
        <w:jc w:val="lowKashida"/>
        <w:rPr>
          <w:i/>
          <w:iCs/>
          <w:color w:val="44546A" w:themeColor="text2"/>
          <w:sz w:val="18"/>
          <w:szCs w:val="18"/>
        </w:rPr>
      </w:pPr>
      <w:r w:rsidRPr="00416649">
        <w:rPr>
          <w:i/>
          <w:iCs/>
          <w:color w:val="44546A" w:themeColor="text2"/>
          <w:sz w:val="18"/>
          <w:szCs w:val="18"/>
        </w:rPr>
        <w:t>(*): Statistically significant, (**): Statistically highly significant, (NSAIDs): Non-steroidal anti-inflammatory drugs, (FOBT): Fecal occult blood test,</w:t>
      </w:r>
      <w:r w:rsidRPr="00416649">
        <w:rPr>
          <w:i/>
          <w:iCs/>
          <w:color w:val="44546A" w:themeColor="text2"/>
          <w:sz w:val="18"/>
          <w:szCs w:val="18"/>
          <w:cs/>
        </w:rPr>
        <w:t xml:space="preserve"> </w:t>
      </w:r>
      <w:r w:rsidRPr="00416649">
        <w:rPr>
          <w:i/>
          <w:iCs/>
          <w:color w:val="44546A" w:themeColor="text2"/>
          <w:sz w:val="18"/>
          <w:szCs w:val="18"/>
        </w:rPr>
        <w:t>(CKD): Chronic kidney disease.</w:t>
      </w:r>
    </w:p>
    <w:p w14:paraId="19393FC9" w14:textId="77777777" w:rsidR="00416649" w:rsidRDefault="00BD0F9C" w:rsidP="00416649">
      <w:pPr>
        <w:keepNext/>
        <w:spacing w:before="100" w:after="100" w:line="240" w:lineRule="auto"/>
        <w:jc w:val="center"/>
      </w:pPr>
      <w:r w:rsidRPr="00DC4B5A">
        <w:rPr>
          <w:rFonts w:ascii="Times New Roman" w:hAnsi="Times New Roman" w:cs="Times New Roman"/>
          <w:noProof/>
          <w:sz w:val="24"/>
          <w:szCs w:val="24"/>
        </w:rPr>
        <mc:AlternateContent>
          <mc:Choice Requires="cx1">
            <w:drawing>
              <wp:inline distT="0" distB="0" distL="0" distR="0" wp14:anchorId="0F93FDA5" wp14:editId="44F178B8">
                <wp:extent cx="3746427" cy="2267712"/>
                <wp:effectExtent l="0" t="0" r="6985" b="18415"/>
                <wp:docPr id="1" name="Chart 1" descr="Fig. 1 Boxplot showing the relationship between serum creatinine and H. pylori gastritis (p=0.012)."/>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0F93FDA5" wp14:editId="44F178B8">
                <wp:extent cx="3746427" cy="2267712"/>
                <wp:effectExtent l="0" t="0" r="6985" b="18415"/>
                <wp:docPr id="1" name="Chart 1" descr="Fig. 1 Boxplot showing the relationship between serum creatinine and H. pylori gastritis (p=0.01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descr="Fig. 1 Boxplot showing the relationship between serum creatinine and H. pylori gastritis (p=0.012)."/>
                        <pic:cNvPicPr>
                          <a:picLocks noGrp="1" noRot="1" noChangeAspect="1" noMove="1" noResize="1" noEditPoints="1" noAdjustHandles="1" noChangeArrowheads="1" noChangeShapeType="1"/>
                        </pic:cNvPicPr>
                      </pic:nvPicPr>
                      <pic:blipFill>
                        <a:blip r:embed="rId11"/>
                        <a:stretch>
                          <a:fillRect/>
                        </a:stretch>
                      </pic:blipFill>
                      <pic:spPr>
                        <a:xfrm>
                          <a:off x="0" y="0"/>
                          <a:ext cx="3745865" cy="2267585"/>
                        </a:xfrm>
                        <a:prstGeom prst="rect">
                          <a:avLst/>
                        </a:prstGeom>
                      </pic:spPr>
                    </pic:pic>
                  </a:graphicData>
                </a:graphic>
              </wp:inline>
            </w:drawing>
          </mc:Fallback>
        </mc:AlternateContent>
      </w:r>
    </w:p>
    <w:p w14:paraId="4A7DB4FA" w14:textId="7B9CDDE0" w:rsidR="00416649" w:rsidRPr="00416649" w:rsidRDefault="00416649" w:rsidP="00416649">
      <w:pPr>
        <w:pStyle w:val="Caption"/>
        <w:jc w:val="center"/>
        <w:rPr>
          <w:b/>
          <w:bCs/>
        </w:rPr>
      </w:pPr>
      <w:r>
        <w:t xml:space="preserve">Fig </w:t>
      </w:r>
      <w:fldSimple w:instr=" SEQ Figure \* ARABIC ">
        <w:r w:rsidR="00D75AE6">
          <w:rPr>
            <w:noProof/>
          </w:rPr>
          <w:t>1</w:t>
        </w:r>
      </w:fldSimple>
      <w:r>
        <w:t xml:space="preserve">. </w:t>
      </w:r>
      <w:r w:rsidRPr="00416649">
        <w:t>Boxplot showing the relationship between serum creatinine and H. pylori gastritis (p=0.012).</w:t>
      </w:r>
    </w:p>
    <w:p w14:paraId="5FECC11C" w14:textId="1AFD0F1A" w:rsidR="00403720" w:rsidRPr="00DC4B5A" w:rsidRDefault="005E172B" w:rsidP="002B2058">
      <w:pPr>
        <w:spacing w:before="100" w:after="100" w:line="240" w:lineRule="auto"/>
        <w:ind w:firstLine="180"/>
        <w:jc w:val="lowKashida"/>
        <w:rPr>
          <w:rFonts w:ascii="Times New Roman" w:hAnsi="Times New Roman" w:cs="Times New Roman"/>
          <w:color w:val="000000" w:themeColor="text1"/>
          <w:sz w:val="24"/>
          <w:szCs w:val="24"/>
        </w:rPr>
      </w:pPr>
      <w:r w:rsidRPr="00DC4B5A">
        <w:rPr>
          <w:rFonts w:ascii="Times New Roman" w:hAnsi="Times New Roman" w:cs="Times New Roman"/>
          <w:color w:val="000000" w:themeColor="text1"/>
          <w:sz w:val="24"/>
          <w:szCs w:val="24"/>
        </w:rPr>
        <w:t>There was a statistically significant relationship between the presence of erosive gastritis and age, serum creatinine, hemoglobin, serum iron, and advanced stages of CKD. Hemoglobin and serum iron levels were lower in the erosive gastritis group than in the non-erosive gastritis group. There was no significant relationship between erosive gastritis and other parameters (Table 5).</w:t>
      </w:r>
      <w:r w:rsidRPr="00DC4B5A">
        <w:rPr>
          <w:rFonts w:ascii="Times New Roman" w:hAnsi="Times New Roman" w:cs="Times New Roman"/>
          <w:sz w:val="24"/>
          <w:szCs w:val="24"/>
        </w:rPr>
        <w:t xml:space="preserve"> Fig</w:t>
      </w:r>
      <w:r w:rsidR="00617C9E" w:rsidRPr="00DC4B5A">
        <w:rPr>
          <w:rFonts w:ascii="Times New Roman" w:hAnsi="Times New Roman" w:cs="Times New Roman"/>
          <w:sz w:val="24"/>
          <w:szCs w:val="24"/>
        </w:rPr>
        <w:t>.</w:t>
      </w:r>
      <w:r w:rsidRPr="00DC4B5A">
        <w:rPr>
          <w:rFonts w:ascii="Times New Roman" w:hAnsi="Times New Roman" w:cs="Times New Roman"/>
          <w:sz w:val="24"/>
          <w:szCs w:val="24"/>
        </w:rPr>
        <w:t xml:space="preserve">2 shows the relationship between serum creatinine levels and erosive </w:t>
      </w:r>
      <w:r w:rsidRPr="00DC4B5A">
        <w:rPr>
          <w:rFonts w:ascii="Times New Roman" w:hAnsi="Times New Roman" w:cs="Times New Roman"/>
          <w:sz w:val="24"/>
          <w:szCs w:val="24"/>
          <w:cs/>
        </w:rPr>
        <w:t>‎</w:t>
      </w:r>
      <w:r w:rsidRPr="00DC4B5A">
        <w:rPr>
          <w:rFonts w:ascii="Times New Roman" w:hAnsi="Times New Roman" w:cs="Times New Roman"/>
          <w:sz w:val="24"/>
          <w:szCs w:val="24"/>
        </w:rPr>
        <w:t>gastritis (p=0.009)</w:t>
      </w:r>
      <w:r w:rsidRPr="00DC4B5A">
        <w:rPr>
          <w:rFonts w:ascii="Times New Roman" w:hAnsi="Times New Roman" w:cs="Times New Roman"/>
          <w:sz w:val="24"/>
          <w:szCs w:val="24"/>
          <w:cs/>
        </w:rPr>
        <w:t>‎.</w:t>
      </w:r>
    </w:p>
    <w:p w14:paraId="1E2FA37D" w14:textId="77777777" w:rsidR="00140D5D" w:rsidRDefault="00140D5D" w:rsidP="00610FDE">
      <w:pPr>
        <w:spacing w:line="240" w:lineRule="auto"/>
        <w:jc w:val="lowKashida"/>
        <w:rPr>
          <w:rFonts w:ascii="Times New Roman" w:hAnsi="Times New Roman" w:cs="Times New Roman"/>
          <w:b/>
          <w:bCs/>
          <w:sz w:val="24"/>
          <w:szCs w:val="24"/>
        </w:rPr>
      </w:pPr>
      <w:bookmarkStart w:id="7" w:name="_Hlk155699159"/>
    </w:p>
    <w:bookmarkEnd w:id="7"/>
    <w:p w14:paraId="39613CDA" w14:textId="3DE29275" w:rsidR="00973C8D" w:rsidRPr="00973C8D" w:rsidRDefault="00973C8D" w:rsidP="00973C8D">
      <w:pPr>
        <w:pStyle w:val="Caption"/>
        <w:keepNext/>
        <w:rPr>
          <w:b/>
          <w:bCs/>
        </w:rPr>
      </w:pPr>
      <w:r>
        <w:t xml:space="preserve">Table </w:t>
      </w:r>
      <w:fldSimple w:instr=" SEQ Table \* ARABIC ">
        <w:r w:rsidR="00D75AE6">
          <w:rPr>
            <w:noProof/>
          </w:rPr>
          <w:t>5</w:t>
        </w:r>
      </w:fldSimple>
      <w:r>
        <w:t>.</w:t>
      </w:r>
      <w:r w:rsidRPr="00973C8D">
        <w:rPr>
          <w:b/>
          <w:bCs/>
        </w:rPr>
        <w:t xml:space="preserve"> Risk factors </w:t>
      </w:r>
      <w:r>
        <w:rPr>
          <w:b/>
          <w:bCs/>
        </w:rPr>
        <w:t>related to</w:t>
      </w:r>
      <w:r w:rsidRPr="00973C8D">
        <w:rPr>
          <w:b/>
          <w:bCs/>
        </w:rPr>
        <w:t xml:space="preserve"> erosive gastritis</w:t>
      </w:r>
      <w:r>
        <w:rPr>
          <w:b/>
          <w:bCs/>
        </w:rPr>
        <w:t>.</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5. Risk factors related to erosive gastritis."/>
        <w:tblDescription w:val="(*): Statistically significant, (**): Statistically highly significant, (NSAIDs): Non-steroidal anti-inflammatory drugs, (FOBT): Fecal occult blood test, (CKD): Chronic kidney disease."/>
      </w:tblPr>
      <w:tblGrid>
        <w:gridCol w:w="4105"/>
        <w:gridCol w:w="2125"/>
        <w:gridCol w:w="2126"/>
        <w:gridCol w:w="1269"/>
      </w:tblGrid>
      <w:tr w:rsidR="00610FDE" w:rsidRPr="00DC4B5A" w14:paraId="5FE1F3A1" w14:textId="77777777" w:rsidTr="00DC086E">
        <w:tc>
          <w:tcPr>
            <w:tcW w:w="4105" w:type="dxa"/>
            <w:vMerge w:val="restart"/>
            <w:tcBorders>
              <w:top w:val="single" w:sz="4" w:space="0" w:color="auto"/>
              <w:bottom w:val="single" w:sz="4" w:space="0" w:color="auto"/>
            </w:tcBorders>
          </w:tcPr>
          <w:p w14:paraId="46AAD0D1" w14:textId="77777777" w:rsidR="00610FDE" w:rsidRPr="00DC4B5A" w:rsidRDefault="00610FDE"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b/>
                <w:bCs/>
                <w:sz w:val="24"/>
                <w:szCs w:val="24"/>
              </w:rPr>
              <w:t>Parameter</w:t>
            </w:r>
            <w:r w:rsidRPr="00DC4B5A">
              <w:rPr>
                <w:rFonts w:ascii="Times New Roman" w:hAnsi="Times New Roman" w:cs="Times New Roman"/>
                <w:sz w:val="24"/>
                <w:szCs w:val="24"/>
              </w:rPr>
              <w:t xml:space="preserve"> </w:t>
            </w:r>
          </w:p>
        </w:tc>
        <w:tc>
          <w:tcPr>
            <w:tcW w:w="4251" w:type="dxa"/>
            <w:gridSpan w:val="2"/>
            <w:tcBorders>
              <w:top w:val="single" w:sz="4" w:space="0" w:color="auto"/>
              <w:bottom w:val="single" w:sz="4" w:space="0" w:color="auto"/>
            </w:tcBorders>
          </w:tcPr>
          <w:p w14:paraId="2219ACC8" w14:textId="77777777" w:rsidR="00610FDE" w:rsidRPr="00DC4B5A" w:rsidRDefault="00610FDE" w:rsidP="00DC086E">
            <w:pPr>
              <w:spacing w:after="0" w:line="240" w:lineRule="auto"/>
              <w:jc w:val="center"/>
              <w:rPr>
                <w:rFonts w:ascii="Times New Roman" w:hAnsi="Times New Roman" w:cs="Times New Roman"/>
                <w:b/>
                <w:bCs/>
                <w:sz w:val="24"/>
                <w:szCs w:val="24"/>
              </w:rPr>
            </w:pPr>
            <w:r w:rsidRPr="00DC4B5A">
              <w:rPr>
                <w:rFonts w:ascii="Times New Roman" w:hAnsi="Times New Roman" w:cs="Times New Roman"/>
                <w:b/>
                <w:bCs/>
                <w:sz w:val="24"/>
                <w:szCs w:val="24"/>
              </w:rPr>
              <w:t>Erosive gastritis</w:t>
            </w:r>
          </w:p>
        </w:tc>
        <w:tc>
          <w:tcPr>
            <w:tcW w:w="1269" w:type="dxa"/>
            <w:vMerge w:val="restart"/>
            <w:tcBorders>
              <w:top w:val="single" w:sz="4" w:space="0" w:color="auto"/>
              <w:bottom w:val="single" w:sz="4" w:space="0" w:color="auto"/>
            </w:tcBorders>
          </w:tcPr>
          <w:p w14:paraId="4E0639BD"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i/>
                <w:iCs/>
                <w:sz w:val="24"/>
                <w:szCs w:val="24"/>
              </w:rPr>
              <w:t>p</w:t>
            </w:r>
            <w:r w:rsidRPr="00DC4B5A">
              <w:rPr>
                <w:rFonts w:ascii="Times New Roman" w:hAnsi="Times New Roman" w:cs="Times New Roman"/>
                <w:sz w:val="24"/>
                <w:szCs w:val="24"/>
              </w:rPr>
              <w:t>-value</w:t>
            </w:r>
          </w:p>
        </w:tc>
      </w:tr>
      <w:tr w:rsidR="00610FDE" w:rsidRPr="00DC4B5A" w14:paraId="270561C1" w14:textId="77777777" w:rsidTr="00DC086E">
        <w:tc>
          <w:tcPr>
            <w:tcW w:w="4105" w:type="dxa"/>
            <w:vMerge/>
            <w:tcBorders>
              <w:top w:val="single" w:sz="4" w:space="0" w:color="auto"/>
              <w:bottom w:val="single" w:sz="4" w:space="0" w:color="auto"/>
            </w:tcBorders>
          </w:tcPr>
          <w:p w14:paraId="7A4C5DDF" w14:textId="77777777" w:rsidR="00610FDE" w:rsidRPr="00DC4B5A" w:rsidRDefault="00610FDE" w:rsidP="00DC086E">
            <w:pPr>
              <w:spacing w:after="0" w:line="240" w:lineRule="auto"/>
              <w:jc w:val="lowKashida"/>
              <w:rPr>
                <w:rFonts w:ascii="Times New Roman" w:hAnsi="Times New Roman" w:cs="Times New Roman"/>
                <w:sz w:val="24"/>
                <w:szCs w:val="24"/>
              </w:rPr>
            </w:pPr>
          </w:p>
        </w:tc>
        <w:tc>
          <w:tcPr>
            <w:tcW w:w="2125" w:type="dxa"/>
            <w:tcBorders>
              <w:top w:val="single" w:sz="4" w:space="0" w:color="auto"/>
              <w:bottom w:val="single" w:sz="4" w:space="0" w:color="auto"/>
            </w:tcBorders>
          </w:tcPr>
          <w:p w14:paraId="5EBA33EA" w14:textId="77777777" w:rsidR="00610FDE" w:rsidRPr="00DC4B5A" w:rsidRDefault="00610FDE" w:rsidP="00DC086E">
            <w:pPr>
              <w:spacing w:after="0" w:line="240" w:lineRule="auto"/>
              <w:jc w:val="center"/>
              <w:rPr>
                <w:rFonts w:ascii="Times New Roman" w:hAnsi="Times New Roman" w:cs="Times New Roman"/>
                <w:b/>
                <w:bCs/>
                <w:sz w:val="24"/>
                <w:szCs w:val="24"/>
              </w:rPr>
            </w:pPr>
            <w:r w:rsidRPr="00DC4B5A">
              <w:rPr>
                <w:rFonts w:ascii="Times New Roman" w:hAnsi="Times New Roman" w:cs="Times New Roman"/>
                <w:b/>
                <w:bCs/>
                <w:sz w:val="24"/>
                <w:szCs w:val="24"/>
              </w:rPr>
              <w:t>Absent (n=13)</w:t>
            </w:r>
          </w:p>
        </w:tc>
        <w:tc>
          <w:tcPr>
            <w:tcW w:w="2126" w:type="dxa"/>
            <w:tcBorders>
              <w:top w:val="single" w:sz="4" w:space="0" w:color="auto"/>
              <w:bottom w:val="single" w:sz="4" w:space="0" w:color="auto"/>
            </w:tcBorders>
          </w:tcPr>
          <w:p w14:paraId="2866743F" w14:textId="77777777" w:rsidR="00610FDE" w:rsidRPr="00DC4B5A" w:rsidRDefault="00610FDE" w:rsidP="00DC086E">
            <w:pPr>
              <w:spacing w:after="0" w:line="240" w:lineRule="auto"/>
              <w:jc w:val="center"/>
              <w:rPr>
                <w:rFonts w:ascii="Times New Roman" w:hAnsi="Times New Roman" w:cs="Times New Roman"/>
                <w:b/>
                <w:bCs/>
                <w:sz w:val="24"/>
                <w:szCs w:val="24"/>
              </w:rPr>
            </w:pPr>
            <w:r w:rsidRPr="00DC4B5A">
              <w:rPr>
                <w:rFonts w:ascii="Times New Roman" w:hAnsi="Times New Roman" w:cs="Times New Roman"/>
                <w:b/>
                <w:bCs/>
                <w:sz w:val="24"/>
                <w:szCs w:val="24"/>
              </w:rPr>
              <w:t>Present (n=11)</w:t>
            </w:r>
          </w:p>
        </w:tc>
        <w:tc>
          <w:tcPr>
            <w:tcW w:w="1269" w:type="dxa"/>
            <w:vMerge/>
            <w:tcBorders>
              <w:top w:val="single" w:sz="4" w:space="0" w:color="auto"/>
              <w:bottom w:val="single" w:sz="4" w:space="0" w:color="auto"/>
            </w:tcBorders>
          </w:tcPr>
          <w:p w14:paraId="7D865F5D" w14:textId="77777777" w:rsidR="00610FDE" w:rsidRPr="00DC4B5A" w:rsidRDefault="00610FDE" w:rsidP="00DC086E">
            <w:pPr>
              <w:spacing w:after="0" w:line="240" w:lineRule="auto"/>
              <w:jc w:val="center"/>
              <w:rPr>
                <w:rFonts w:ascii="Times New Roman" w:hAnsi="Times New Roman" w:cs="Times New Roman"/>
                <w:sz w:val="24"/>
                <w:szCs w:val="24"/>
              </w:rPr>
            </w:pPr>
          </w:p>
        </w:tc>
      </w:tr>
      <w:tr w:rsidR="00610FDE" w:rsidRPr="00DC4B5A" w14:paraId="5D8FF043" w14:textId="77777777" w:rsidTr="00DC086E">
        <w:tc>
          <w:tcPr>
            <w:tcW w:w="4105" w:type="dxa"/>
            <w:tcBorders>
              <w:top w:val="single" w:sz="4" w:space="0" w:color="auto"/>
            </w:tcBorders>
          </w:tcPr>
          <w:p w14:paraId="14840368"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Male sex</w:t>
            </w:r>
          </w:p>
        </w:tc>
        <w:tc>
          <w:tcPr>
            <w:tcW w:w="2125" w:type="dxa"/>
            <w:tcBorders>
              <w:top w:val="single" w:sz="4" w:space="0" w:color="auto"/>
            </w:tcBorders>
          </w:tcPr>
          <w:p w14:paraId="27835B8A"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9 (69.2%)</w:t>
            </w:r>
          </w:p>
        </w:tc>
        <w:tc>
          <w:tcPr>
            <w:tcW w:w="2126" w:type="dxa"/>
            <w:tcBorders>
              <w:top w:val="single" w:sz="4" w:space="0" w:color="auto"/>
            </w:tcBorders>
          </w:tcPr>
          <w:p w14:paraId="755B7DCB"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4 (36.4%)</w:t>
            </w:r>
          </w:p>
        </w:tc>
        <w:tc>
          <w:tcPr>
            <w:tcW w:w="1269" w:type="dxa"/>
            <w:tcBorders>
              <w:top w:val="single" w:sz="4" w:space="0" w:color="auto"/>
            </w:tcBorders>
          </w:tcPr>
          <w:p w14:paraId="51F5CB95"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0.107</w:t>
            </w:r>
          </w:p>
        </w:tc>
      </w:tr>
      <w:tr w:rsidR="00610FDE" w:rsidRPr="00DC4B5A" w14:paraId="160A6060" w14:textId="77777777" w:rsidTr="00DC086E">
        <w:tc>
          <w:tcPr>
            <w:tcW w:w="4105" w:type="dxa"/>
          </w:tcPr>
          <w:p w14:paraId="76013213"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Age (years)</w:t>
            </w:r>
            <w:r w:rsidRPr="00DC4B5A">
              <w:rPr>
                <w:rFonts w:ascii="Times New Roman" w:hAnsi="Times New Roman" w:cs="Times New Roman"/>
                <w:b/>
                <w:bCs/>
                <w:sz w:val="24"/>
                <w:szCs w:val="24"/>
                <w:cs/>
              </w:rPr>
              <w:t>‎</w:t>
            </w:r>
          </w:p>
        </w:tc>
        <w:tc>
          <w:tcPr>
            <w:tcW w:w="2125" w:type="dxa"/>
          </w:tcPr>
          <w:p w14:paraId="26EAE6C9"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56.54 ± 11.27</w:t>
            </w:r>
          </w:p>
        </w:tc>
        <w:tc>
          <w:tcPr>
            <w:tcW w:w="2126" w:type="dxa"/>
          </w:tcPr>
          <w:p w14:paraId="1CA46571"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65.64 ± 3.47</w:t>
            </w:r>
          </w:p>
        </w:tc>
        <w:tc>
          <w:tcPr>
            <w:tcW w:w="1269" w:type="dxa"/>
          </w:tcPr>
          <w:p w14:paraId="69D47145"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0.015*</w:t>
            </w:r>
          </w:p>
        </w:tc>
      </w:tr>
      <w:tr w:rsidR="00610FDE" w:rsidRPr="00DC4B5A" w14:paraId="5DBDDDBF" w14:textId="77777777" w:rsidTr="00DC086E">
        <w:tc>
          <w:tcPr>
            <w:tcW w:w="4105" w:type="dxa"/>
          </w:tcPr>
          <w:p w14:paraId="27200377"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Body mass index</w:t>
            </w:r>
            <w:r w:rsidRPr="00DC4B5A">
              <w:rPr>
                <w:rFonts w:ascii="Times New Roman" w:hAnsi="Times New Roman" w:cs="Times New Roman"/>
                <w:b/>
                <w:bCs/>
                <w:sz w:val="24"/>
                <w:szCs w:val="24"/>
                <w:cs/>
              </w:rPr>
              <w:t xml:space="preserve">‎ </w:t>
            </w:r>
            <w:r w:rsidRPr="00DC4B5A">
              <w:rPr>
                <w:rFonts w:ascii="Times New Roman" w:hAnsi="Times New Roman" w:cs="Times New Roman"/>
                <w:b/>
                <w:bCs/>
                <w:sz w:val="24"/>
                <w:szCs w:val="24"/>
              </w:rPr>
              <w:t>(kg/m</w:t>
            </w:r>
            <w:r w:rsidRPr="00DC4B5A">
              <w:rPr>
                <w:rFonts w:ascii="Times New Roman" w:hAnsi="Times New Roman" w:cs="Times New Roman"/>
                <w:b/>
                <w:bCs/>
                <w:sz w:val="24"/>
                <w:szCs w:val="24"/>
                <w:vertAlign w:val="superscript"/>
              </w:rPr>
              <w:t>2</w:t>
            </w:r>
            <w:r w:rsidRPr="00DC4B5A">
              <w:rPr>
                <w:rFonts w:ascii="Times New Roman" w:hAnsi="Times New Roman" w:cs="Times New Roman"/>
                <w:b/>
                <w:bCs/>
                <w:sz w:val="24"/>
                <w:szCs w:val="24"/>
              </w:rPr>
              <w:t>)</w:t>
            </w:r>
            <w:r w:rsidRPr="00DC4B5A">
              <w:rPr>
                <w:rFonts w:ascii="Times New Roman" w:hAnsi="Times New Roman" w:cs="Times New Roman"/>
                <w:b/>
                <w:bCs/>
                <w:sz w:val="24"/>
                <w:szCs w:val="24"/>
                <w:cs/>
              </w:rPr>
              <w:t>‎</w:t>
            </w:r>
          </w:p>
        </w:tc>
        <w:tc>
          <w:tcPr>
            <w:tcW w:w="2125" w:type="dxa"/>
          </w:tcPr>
          <w:p w14:paraId="1231B5BD"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24.77 ± 4.25</w:t>
            </w:r>
          </w:p>
        </w:tc>
        <w:tc>
          <w:tcPr>
            <w:tcW w:w="2126" w:type="dxa"/>
          </w:tcPr>
          <w:p w14:paraId="1815CE68"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23.41 ± 3.61</w:t>
            </w:r>
          </w:p>
        </w:tc>
        <w:tc>
          <w:tcPr>
            <w:tcW w:w="1269" w:type="dxa"/>
          </w:tcPr>
          <w:p w14:paraId="179C2ED8"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0.412</w:t>
            </w:r>
          </w:p>
        </w:tc>
      </w:tr>
      <w:tr w:rsidR="00610FDE" w:rsidRPr="00DC4B5A" w14:paraId="299DD5D2" w14:textId="77777777" w:rsidTr="00DC086E">
        <w:tc>
          <w:tcPr>
            <w:tcW w:w="4105" w:type="dxa"/>
          </w:tcPr>
          <w:p w14:paraId="57F0DAF3"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Hypertension </w:t>
            </w:r>
          </w:p>
        </w:tc>
        <w:tc>
          <w:tcPr>
            <w:tcW w:w="2125" w:type="dxa"/>
          </w:tcPr>
          <w:p w14:paraId="4E0C9210"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7 (53.8%)</w:t>
            </w:r>
          </w:p>
        </w:tc>
        <w:tc>
          <w:tcPr>
            <w:tcW w:w="2126" w:type="dxa"/>
          </w:tcPr>
          <w:p w14:paraId="534C5E55"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9 (81.8%)</w:t>
            </w:r>
          </w:p>
        </w:tc>
        <w:tc>
          <w:tcPr>
            <w:tcW w:w="1269" w:type="dxa"/>
          </w:tcPr>
          <w:p w14:paraId="33CBB9A6"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0.211</w:t>
            </w:r>
          </w:p>
        </w:tc>
      </w:tr>
      <w:tr w:rsidR="00610FDE" w:rsidRPr="00DC4B5A" w14:paraId="39532FE2" w14:textId="77777777" w:rsidTr="00DC086E">
        <w:tc>
          <w:tcPr>
            <w:tcW w:w="4105" w:type="dxa"/>
          </w:tcPr>
          <w:p w14:paraId="27209BD4"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Diabetes</w:t>
            </w:r>
          </w:p>
        </w:tc>
        <w:tc>
          <w:tcPr>
            <w:tcW w:w="2125" w:type="dxa"/>
          </w:tcPr>
          <w:p w14:paraId="2906D2E2"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 (38.5%)</w:t>
            </w:r>
          </w:p>
        </w:tc>
        <w:tc>
          <w:tcPr>
            <w:tcW w:w="2126" w:type="dxa"/>
          </w:tcPr>
          <w:p w14:paraId="05D4EACB"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 (45.5%)</w:t>
            </w:r>
          </w:p>
        </w:tc>
        <w:tc>
          <w:tcPr>
            <w:tcW w:w="1269" w:type="dxa"/>
          </w:tcPr>
          <w:p w14:paraId="5440142F"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0.729</w:t>
            </w:r>
          </w:p>
        </w:tc>
      </w:tr>
      <w:tr w:rsidR="00610FDE" w:rsidRPr="00DC4B5A" w14:paraId="0796FBF1" w14:textId="77777777" w:rsidTr="00DC086E">
        <w:tc>
          <w:tcPr>
            <w:tcW w:w="4105" w:type="dxa"/>
          </w:tcPr>
          <w:p w14:paraId="4760BEA7"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Aspirin </w:t>
            </w:r>
          </w:p>
        </w:tc>
        <w:tc>
          <w:tcPr>
            <w:tcW w:w="2125" w:type="dxa"/>
          </w:tcPr>
          <w:p w14:paraId="657EE66E"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4 (30.8%)</w:t>
            </w:r>
          </w:p>
        </w:tc>
        <w:tc>
          <w:tcPr>
            <w:tcW w:w="2126" w:type="dxa"/>
          </w:tcPr>
          <w:p w14:paraId="505AFB07"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 (45.5%)</w:t>
            </w:r>
          </w:p>
        </w:tc>
        <w:tc>
          <w:tcPr>
            <w:tcW w:w="1269" w:type="dxa"/>
          </w:tcPr>
          <w:p w14:paraId="4D5D190E"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0.675</w:t>
            </w:r>
          </w:p>
        </w:tc>
      </w:tr>
      <w:tr w:rsidR="00610FDE" w:rsidRPr="00DC4B5A" w14:paraId="1E2C8663" w14:textId="77777777" w:rsidTr="00DC086E">
        <w:tc>
          <w:tcPr>
            <w:tcW w:w="4105" w:type="dxa"/>
          </w:tcPr>
          <w:p w14:paraId="464BF576"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NSAIDs</w:t>
            </w:r>
          </w:p>
        </w:tc>
        <w:tc>
          <w:tcPr>
            <w:tcW w:w="2125" w:type="dxa"/>
          </w:tcPr>
          <w:p w14:paraId="6B149073"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6 (46.2%)</w:t>
            </w:r>
          </w:p>
        </w:tc>
        <w:tc>
          <w:tcPr>
            <w:tcW w:w="2126" w:type="dxa"/>
          </w:tcPr>
          <w:p w14:paraId="0EF66ACA"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7 (63.6%)</w:t>
            </w:r>
          </w:p>
        </w:tc>
        <w:tc>
          <w:tcPr>
            <w:tcW w:w="1269" w:type="dxa"/>
          </w:tcPr>
          <w:p w14:paraId="1E6B8726"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0.392</w:t>
            </w:r>
          </w:p>
        </w:tc>
      </w:tr>
      <w:tr w:rsidR="00610FDE" w:rsidRPr="00DC4B5A" w14:paraId="75BBE10F" w14:textId="77777777" w:rsidTr="00DC086E">
        <w:tc>
          <w:tcPr>
            <w:tcW w:w="4105" w:type="dxa"/>
          </w:tcPr>
          <w:p w14:paraId="2D2C45AE"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Clopidogrel </w:t>
            </w:r>
          </w:p>
        </w:tc>
        <w:tc>
          <w:tcPr>
            <w:tcW w:w="2125" w:type="dxa"/>
          </w:tcPr>
          <w:p w14:paraId="1679E327"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 (38.5%)</w:t>
            </w:r>
          </w:p>
        </w:tc>
        <w:tc>
          <w:tcPr>
            <w:tcW w:w="2126" w:type="dxa"/>
          </w:tcPr>
          <w:p w14:paraId="5D0C18D2"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 (9.1%)</w:t>
            </w:r>
          </w:p>
        </w:tc>
        <w:tc>
          <w:tcPr>
            <w:tcW w:w="1269" w:type="dxa"/>
          </w:tcPr>
          <w:p w14:paraId="34211F55"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0.166</w:t>
            </w:r>
          </w:p>
        </w:tc>
      </w:tr>
      <w:tr w:rsidR="00610FDE" w:rsidRPr="00DC4B5A" w14:paraId="3A5D412E" w14:textId="77777777" w:rsidTr="00DC086E">
        <w:tc>
          <w:tcPr>
            <w:tcW w:w="4105" w:type="dxa"/>
          </w:tcPr>
          <w:p w14:paraId="43B5ECD7"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Oral anticoagulants</w:t>
            </w:r>
          </w:p>
        </w:tc>
        <w:tc>
          <w:tcPr>
            <w:tcW w:w="2125" w:type="dxa"/>
          </w:tcPr>
          <w:p w14:paraId="354BDFA1"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 (0%)</w:t>
            </w:r>
          </w:p>
        </w:tc>
        <w:tc>
          <w:tcPr>
            <w:tcW w:w="2126" w:type="dxa"/>
          </w:tcPr>
          <w:p w14:paraId="3ACEF011"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 (27.3%)</w:t>
            </w:r>
          </w:p>
        </w:tc>
        <w:tc>
          <w:tcPr>
            <w:tcW w:w="1269" w:type="dxa"/>
          </w:tcPr>
          <w:p w14:paraId="2FDC8814"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0.082</w:t>
            </w:r>
          </w:p>
        </w:tc>
      </w:tr>
      <w:tr w:rsidR="00610FDE" w:rsidRPr="00DC4B5A" w14:paraId="454151E8" w14:textId="77777777" w:rsidTr="00DC086E">
        <w:tc>
          <w:tcPr>
            <w:tcW w:w="4105" w:type="dxa"/>
          </w:tcPr>
          <w:p w14:paraId="269A5A5A"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Steroid </w:t>
            </w:r>
          </w:p>
        </w:tc>
        <w:tc>
          <w:tcPr>
            <w:tcW w:w="2125" w:type="dxa"/>
          </w:tcPr>
          <w:p w14:paraId="0A8903F8"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 (7.7%)</w:t>
            </w:r>
          </w:p>
        </w:tc>
        <w:tc>
          <w:tcPr>
            <w:tcW w:w="2126" w:type="dxa"/>
          </w:tcPr>
          <w:p w14:paraId="4569E955"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 (18.2%)</w:t>
            </w:r>
          </w:p>
        </w:tc>
        <w:tc>
          <w:tcPr>
            <w:tcW w:w="1269" w:type="dxa"/>
          </w:tcPr>
          <w:p w14:paraId="0B292A1D"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0.576</w:t>
            </w:r>
          </w:p>
        </w:tc>
      </w:tr>
      <w:tr w:rsidR="00610FDE" w:rsidRPr="00DC4B5A" w14:paraId="5C3162CE" w14:textId="77777777" w:rsidTr="00DC086E">
        <w:tc>
          <w:tcPr>
            <w:tcW w:w="4105" w:type="dxa"/>
          </w:tcPr>
          <w:p w14:paraId="75F01409"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FOBT </w:t>
            </w:r>
          </w:p>
        </w:tc>
        <w:tc>
          <w:tcPr>
            <w:tcW w:w="2125" w:type="dxa"/>
          </w:tcPr>
          <w:p w14:paraId="163D868C"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5 (38.5%)</w:t>
            </w:r>
          </w:p>
        </w:tc>
        <w:tc>
          <w:tcPr>
            <w:tcW w:w="2126" w:type="dxa"/>
          </w:tcPr>
          <w:p w14:paraId="515F6447"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8 (72.7%)</w:t>
            </w:r>
          </w:p>
        </w:tc>
        <w:tc>
          <w:tcPr>
            <w:tcW w:w="1269" w:type="dxa"/>
          </w:tcPr>
          <w:p w14:paraId="5396D334"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0.093</w:t>
            </w:r>
          </w:p>
        </w:tc>
      </w:tr>
      <w:tr w:rsidR="00610FDE" w:rsidRPr="00DC4B5A" w14:paraId="68082E12" w14:textId="77777777" w:rsidTr="00DC086E">
        <w:tc>
          <w:tcPr>
            <w:tcW w:w="4105" w:type="dxa"/>
          </w:tcPr>
          <w:p w14:paraId="6DA86EC5"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Creatinine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(mg/dL)</w:t>
            </w:r>
            <w:r w:rsidRPr="00DC4B5A">
              <w:rPr>
                <w:rFonts w:ascii="Times New Roman" w:hAnsi="Times New Roman" w:cs="Times New Roman"/>
                <w:b/>
                <w:bCs/>
                <w:sz w:val="24"/>
                <w:szCs w:val="24"/>
                <w:cs/>
              </w:rPr>
              <w:t>‎</w:t>
            </w:r>
          </w:p>
        </w:tc>
        <w:tc>
          <w:tcPr>
            <w:tcW w:w="2125" w:type="dxa"/>
          </w:tcPr>
          <w:p w14:paraId="71AE7805"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0.85 (0.76 – 1.63)</w:t>
            </w:r>
          </w:p>
        </w:tc>
        <w:tc>
          <w:tcPr>
            <w:tcW w:w="2126" w:type="dxa"/>
          </w:tcPr>
          <w:p w14:paraId="4D3F4CC7"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1.45 (0.79 – 10.17)</w:t>
            </w:r>
          </w:p>
        </w:tc>
        <w:tc>
          <w:tcPr>
            <w:tcW w:w="1269" w:type="dxa"/>
          </w:tcPr>
          <w:p w14:paraId="10715CF7"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0.009*</w:t>
            </w:r>
          </w:p>
        </w:tc>
      </w:tr>
      <w:tr w:rsidR="00610FDE" w:rsidRPr="00DC4B5A" w14:paraId="0BB15E82" w14:textId="77777777" w:rsidTr="00DC086E">
        <w:tc>
          <w:tcPr>
            <w:tcW w:w="4105" w:type="dxa"/>
          </w:tcPr>
          <w:p w14:paraId="1CDC472D"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Urea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(mg/dL)</w:t>
            </w:r>
            <w:r w:rsidRPr="00DC4B5A">
              <w:rPr>
                <w:rFonts w:ascii="Times New Roman" w:hAnsi="Times New Roman" w:cs="Times New Roman"/>
                <w:b/>
                <w:bCs/>
                <w:sz w:val="24"/>
                <w:szCs w:val="24"/>
                <w:cs/>
              </w:rPr>
              <w:t>‎</w:t>
            </w:r>
          </w:p>
        </w:tc>
        <w:tc>
          <w:tcPr>
            <w:tcW w:w="2125" w:type="dxa"/>
          </w:tcPr>
          <w:p w14:paraId="49A34CA2"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33.5 (19.8 – 73.27)</w:t>
            </w:r>
          </w:p>
        </w:tc>
        <w:tc>
          <w:tcPr>
            <w:tcW w:w="2126" w:type="dxa"/>
          </w:tcPr>
          <w:p w14:paraId="18BFC10A"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40.2 (16.8 – 140.9)</w:t>
            </w:r>
          </w:p>
        </w:tc>
        <w:tc>
          <w:tcPr>
            <w:tcW w:w="1269" w:type="dxa"/>
          </w:tcPr>
          <w:p w14:paraId="0F5D5C7A"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0.258</w:t>
            </w:r>
          </w:p>
        </w:tc>
      </w:tr>
      <w:tr w:rsidR="00610FDE" w:rsidRPr="00DC4B5A" w14:paraId="3FF27FF8" w14:textId="77777777" w:rsidTr="00DC086E">
        <w:tc>
          <w:tcPr>
            <w:tcW w:w="4105" w:type="dxa"/>
          </w:tcPr>
          <w:p w14:paraId="2E835ED2"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Hemoglobin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(g/dL)</w:t>
            </w:r>
            <w:r w:rsidRPr="00DC4B5A">
              <w:rPr>
                <w:rFonts w:ascii="Times New Roman" w:hAnsi="Times New Roman" w:cs="Times New Roman"/>
                <w:b/>
                <w:bCs/>
                <w:sz w:val="24"/>
                <w:szCs w:val="24"/>
                <w:cs/>
              </w:rPr>
              <w:t>‎</w:t>
            </w:r>
          </w:p>
        </w:tc>
        <w:tc>
          <w:tcPr>
            <w:tcW w:w="2125" w:type="dxa"/>
          </w:tcPr>
          <w:p w14:paraId="00D95D9C"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9.46 ± 0.89</w:t>
            </w:r>
          </w:p>
        </w:tc>
        <w:tc>
          <w:tcPr>
            <w:tcW w:w="2126" w:type="dxa"/>
          </w:tcPr>
          <w:p w14:paraId="2DE8C971"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7.89 ± 1.13</w:t>
            </w:r>
          </w:p>
        </w:tc>
        <w:tc>
          <w:tcPr>
            <w:tcW w:w="1269" w:type="dxa"/>
          </w:tcPr>
          <w:p w14:paraId="5684CE7D"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0.002*</w:t>
            </w:r>
          </w:p>
        </w:tc>
      </w:tr>
      <w:tr w:rsidR="00610FDE" w:rsidRPr="00DC4B5A" w14:paraId="6C2F1746" w14:textId="77777777" w:rsidTr="00DC086E">
        <w:tc>
          <w:tcPr>
            <w:tcW w:w="4105" w:type="dxa"/>
          </w:tcPr>
          <w:p w14:paraId="55241420"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Ferritin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(ng/mL)</w:t>
            </w:r>
            <w:r w:rsidRPr="00DC4B5A">
              <w:rPr>
                <w:rFonts w:ascii="Times New Roman" w:hAnsi="Times New Roman" w:cs="Times New Roman"/>
                <w:b/>
                <w:bCs/>
                <w:sz w:val="24"/>
                <w:szCs w:val="24"/>
                <w:cs/>
              </w:rPr>
              <w:t>‎</w:t>
            </w:r>
          </w:p>
        </w:tc>
        <w:tc>
          <w:tcPr>
            <w:tcW w:w="2125" w:type="dxa"/>
          </w:tcPr>
          <w:p w14:paraId="6424F0F4"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99 (10.9 – 280)</w:t>
            </w:r>
          </w:p>
        </w:tc>
        <w:tc>
          <w:tcPr>
            <w:tcW w:w="2126" w:type="dxa"/>
          </w:tcPr>
          <w:p w14:paraId="783CBEF7"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14.5 (7 – 1392)</w:t>
            </w:r>
          </w:p>
        </w:tc>
        <w:tc>
          <w:tcPr>
            <w:tcW w:w="1269" w:type="dxa"/>
          </w:tcPr>
          <w:p w14:paraId="4D771360"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0.839</w:t>
            </w:r>
          </w:p>
        </w:tc>
      </w:tr>
      <w:tr w:rsidR="00610FDE" w:rsidRPr="00DC4B5A" w14:paraId="6E4D06F3" w14:textId="77777777" w:rsidTr="00DC086E">
        <w:tc>
          <w:tcPr>
            <w:tcW w:w="4105" w:type="dxa"/>
          </w:tcPr>
          <w:p w14:paraId="659CCA9E"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 xml:space="preserve">Transferrin saturation </w:t>
            </w:r>
            <w:r w:rsidRPr="00DC4B5A">
              <w:rPr>
                <w:rFonts w:ascii="Times New Roman" w:hAnsi="Times New Roman" w:cs="Times New Roman"/>
                <w:b/>
                <w:bCs/>
                <w:sz w:val="24"/>
                <w:szCs w:val="24"/>
                <w:cs/>
              </w:rPr>
              <w:t>‎</w:t>
            </w:r>
            <w:r w:rsidRPr="00DC4B5A">
              <w:rPr>
                <w:rFonts w:ascii="Times New Roman" w:hAnsi="Times New Roman" w:cs="Times New Roman"/>
                <w:b/>
                <w:bCs/>
                <w:sz w:val="24"/>
                <w:szCs w:val="24"/>
              </w:rPr>
              <w:t>(%)</w:t>
            </w:r>
            <w:r w:rsidRPr="00DC4B5A">
              <w:rPr>
                <w:rFonts w:ascii="Times New Roman" w:hAnsi="Times New Roman" w:cs="Times New Roman"/>
                <w:b/>
                <w:bCs/>
                <w:sz w:val="24"/>
                <w:szCs w:val="24"/>
                <w:cs/>
              </w:rPr>
              <w:t>‎</w:t>
            </w:r>
          </w:p>
        </w:tc>
        <w:tc>
          <w:tcPr>
            <w:tcW w:w="2125" w:type="dxa"/>
          </w:tcPr>
          <w:p w14:paraId="4B1608B5"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10 (8 – 20)</w:t>
            </w:r>
          </w:p>
        </w:tc>
        <w:tc>
          <w:tcPr>
            <w:tcW w:w="2126" w:type="dxa"/>
          </w:tcPr>
          <w:p w14:paraId="2758E484"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9 (5.2 – 23)</w:t>
            </w:r>
          </w:p>
        </w:tc>
        <w:tc>
          <w:tcPr>
            <w:tcW w:w="1269" w:type="dxa"/>
          </w:tcPr>
          <w:p w14:paraId="184370DA"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0.308</w:t>
            </w:r>
          </w:p>
        </w:tc>
      </w:tr>
      <w:tr w:rsidR="00610FDE" w:rsidRPr="00DC4B5A" w14:paraId="18883F15" w14:textId="77777777" w:rsidTr="00DC086E">
        <w:tc>
          <w:tcPr>
            <w:tcW w:w="4105" w:type="dxa"/>
          </w:tcPr>
          <w:p w14:paraId="1C109B7B"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Serum iron (µg/dL)</w:t>
            </w:r>
          </w:p>
        </w:tc>
        <w:tc>
          <w:tcPr>
            <w:tcW w:w="2125" w:type="dxa"/>
          </w:tcPr>
          <w:p w14:paraId="44297342"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36.9 (26.25 – 72.6)</w:t>
            </w:r>
          </w:p>
        </w:tc>
        <w:tc>
          <w:tcPr>
            <w:tcW w:w="2126" w:type="dxa"/>
          </w:tcPr>
          <w:p w14:paraId="05377FF3"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25.1 (17.42–44.68)</w:t>
            </w:r>
          </w:p>
        </w:tc>
        <w:tc>
          <w:tcPr>
            <w:tcW w:w="1269" w:type="dxa"/>
          </w:tcPr>
          <w:p w14:paraId="3D344001"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0.002*</w:t>
            </w:r>
          </w:p>
        </w:tc>
      </w:tr>
      <w:tr w:rsidR="00610FDE" w:rsidRPr="00DC4B5A" w14:paraId="16B63FBA" w14:textId="77777777" w:rsidTr="00DC086E">
        <w:tc>
          <w:tcPr>
            <w:tcW w:w="4105" w:type="dxa"/>
            <w:tcBorders>
              <w:bottom w:val="single" w:sz="4" w:space="0" w:color="auto"/>
            </w:tcBorders>
          </w:tcPr>
          <w:p w14:paraId="3DE8BE81" w14:textId="77777777" w:rsidR="00610FDE" w:rsidRPr="00DC4B5A" w:rsidRDefault="00610FDE" w:rsidP="00DC086E">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CKD:</w:t>
            </w:r>
          </w:p>
          <w:p w14:paraId="24E12558" w14:textId="77777777" w:rsidR="00610FDE" w:rsidRPr="00DC4B5A" w:rsidRDefault="00610FDE"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2</w:t>
            </w:r>
          </w:p>
          <w:p w14:paraId="6C626992" w14:textId="77777777" w:rsidR="00610FDE" w:rsidRPr="00DC4B5A" w:rsidRDefault="00610FDE"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3A</w:t>
            </w:r>
          </w:p>
          <w:p w14:paraId="1679069E" w14:textId="77777777" w:rsidR="00610FDE" w:rsidRPr="00DC4B5A" w:rsidRDefault="00610FDE"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3B</w:t>
            </w:r>
          </w:p>
          <w:p w14:paraId="3BFFA98D" w14:textId="77777777" w:rsidR="00610FDE" w:rsidRPr="00DC4B5A" w:rsidRDefault="00610FDE"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4</w:t>
            </w:r>
          </w:p>
          <w:p w14:paraId="5A184B01" w14:textId="77777777" w:rsidR="00610FDE" w:rsidRPr="00DC4B5A" w:rsidRDefault="00610FDE" w:rsidP="00DC086E">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Stage 5</w:t>
            </w:r>
          </w:p>
        </w:tc>
        <w:tc>
          <w:tcPr>
            <w:tcW w:w="2125" w:type="dxa"/>
            <w:tcBorders>
              <w:bottom w:val="single" w:sz="4" w:space="0" w:color="auto"/>
            </w:tcBorders>
          </w:tcPr>
          <w:p w14:paraId="71025BD2" w14:textId="77777777" w:rsidR="00610FDE" w:rsidRPr="00DC4B5A" w:rsidRDefault="00610FDE" w:rsidP="00DC086E">
            <w:pPr>
              <w:spacing w:after="0" w:line="240" w:lineRule="auto"/>
              <w:jc w:val="center"/>
              <w:rPr>
                <w:rFonts w:ascii="Times New Roman" w:hAnsi="Times New Roman" w:cs="Times New Roman"/>
                <w:sz w:val="24"/>
                <w:szCs w:val="24"/>
              </w:rPr>
            </w:pPr>
          </w:p>
          <w:p w14:paraId="02898E2A"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11 (84.6%)</w:t>
            </w:r>
          </w:p>
          <w:p w14:paraId="721F92EF"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 (15.4%)</w:t>
            </w:r>
          </w:p>
          <w:p w14:paraId="4054C513"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 (0%)</w:t>
            </w:r>
          </w:p>
          <w:p w14:paraId="0F194A30"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 (0%)</w:t>
            </w:r>
          </w:p>
          <w:p w14:paraId="583FD692"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 (0%)</w:t>
            </w:r>
          </w:p>
        </w:tc>
        <w:tc>
          <w:tcPr>
            <w:tcW w:w="2126" w:type="dxa"/>
            <w:tcBorders>
              <w:bottom w:val="single" w:sz="4" w:space="0" w:color="auto"/>
            </w:tcBorders>
          </w:tcPr>
          <w:p w14:paraId="241795A7" w14:textId="77777777" w:rsidR="00610FDE" w:rsidRPr="00DC4B5A" w:rsidRDefault="00610FDE" w:rsidP="00DC086E">
            <w:pPr>
              <w:spacing w:after="0" w:line="240" w:lineRule="auto"/>
              <w:jc w:val="center"/>
              <w:rPr>
                <w:rFonts w:ascii="Times New Roman" w:hAnsi="Times New Roman" w:cs="Times New Roman"/>
                <w:sz w:val="24"/>
                <w:szCs w:val="24"/>
              </w:rPr>
            </w:pPr>
          </w:p>
          <w:p w14:paraId="37D4EFC0"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7 (63.6%)</w:t>
            </w:r>
          </w:p>
          <w:p w14:paraId="7EFE688C"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 (0%)</w:t>
            </w:r>
          </w:p>
          <w:p w14:paraId="00FDADDC"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 (0%)</w:t>
            </w:r>
          </w:p>
          <w:p w14:paraId="1F039316"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 (18.2%)</w:t>
            </w:r>
          </w:p>
          <w:p w14:paraId="672E7561" w14:textId="77777777" w:rsidR="00610FDE" w:rsidRPr="00DC4B5A" w:rsidRDefault="00610FDE" w:rsidP="00DC086E">
            <w:pPr>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2 (18.2%)</w:t>
            </w:r>
          </w:p>
        </w:tc>
        <w:tc>
          <w:tcPr>
            <w:tcW w:w="1269" w:type="dxa"/>
            <w:tcBorders>
              <w:bottom w:val="single" w:sz="4" w:space="0" w:color="auto"/>
            </w:tcBorders>
          </w:tcPr>
          <w:p w14:paraId="7C59ED07" w14:textId="77777777" w:rsidR="00610FDE" w:rsidRPr="00DC4B5A" w:rsidRDefault="00610FDE" w:rsidP="00DC086E">
            <w:pPr>
              <w:spacing w:after="0" w:line="240" w:lineRule="auto"/>
              <w:jc w:val="center"/>
              <w:rPr>
                <w:rFonts w:ascii="Times New Roman" w:hAnsi="Times New Roman" w:cs="Times New Roman"/>
                <w:sz w:val="24"/>
                <w:szCs w:val="24"/>
              </w:rPr>
            </w:pPr>
          </w:p>
          <w:p w14:paraId="20E72586" w14:textId="77777777" w:rsidR="00610FDE" w:rsidRPr="00DC4B5A" w:rsidRDefault="00610FDE" w:rsidP="00DC086E">
            <w:pPr>
              <w:spacing w:after="0" w:line="240" w:lineRule="auto"/>
              <w:jc w:val="center"/>
              <w:rPr>
                <w:rFonts w:ascii="Times New Roman" w:hAnsi="Times New Roman" w:cs="Times New Roman"/>
                <w:sz w:val="24"/>
                <w:szCs w:val="24"/>
              </w:rPr>
            </w:pPr>
          </w:p>
          <w:p w14:paraId="5E974272" w14:textId="77777777" w:rsidR="00610FDE" w:rsidRPr="00DC4B5A" w:rsidRDefault="00610FDE" w:rsidP="00DC086E">
            <w:pPr>
              <w:spacing w:after="0" w:line="240" w:lineRule="auto"/>
              <w:jc w:val="center"/>
              <w:rPr>
                <w:rFonts w:ascii="Times New Roman" w:hAnsi="Times New Roman" w:cs="Times New Roman"/>
                <w:sz w:val="24"/>
                <w:szCs w:val="24"/>
              </w:rPr>
            </w:pPr>
          </w:p>
          <w:p w14:paraId="6BDCF52A" w14:textId="77777777" w:rsidR="00610FDE" w:rsidRPr="00DC4B5A" w:rsidRDefault="00610FDE" w:rsidP="00973C8D">
            <w:pPr>
              <w:keepNext/>
              <w:spacing w:after="0" w:line="240" w:lineRule="auto"/>
              <w:jc w:val="center"/>
              <w:rPr>
                <w:rFonts w:ascii="Times New Roman" w:hAnsi="Times New Roman" w:cs="Times New Roman"/>
                <w:sz w:val="24"/>
                <w:szCs w:val="24"/>
              </w:rPr>
            </w:pPr>
            <w:r w:rsidRPr="00DC4B5A">
              <w:rPr>
                <w:rFonts w:ascii="Times New Roman" w:hAnsi="Times New Roman" w:cs="Times New Roman"/>
                <w:sz w:val="24"/>
                <w:szCs w:val="24"/>
              </w:rPr>
              <w:t>0.042*</w:t>
            </w:r>
          </w:p>
        </w:tc>
      </w:tr>
    </w:tbl>
    <w:p w14:paraId="4BAA1D73" w14:textId="77777777" w:rsidR="00973C8D" w:rsidRPr="00973C8D" w:rsidRDefault="00973C8D" w:rsidP="00973C8D">
      <w:pPr>
        <w:spacing w:line="240" w:lineRule="auto"/>
        <w:jc w:val="lowKashida"/>
        <w:rPr>
          <w:i/>
          <w:iCs/>
          <w:color w:val="44546A" w:themeColor="text2"/>
          <w:sz w:val="18"/>
          <w:szCs w:val="18"/>
        </w:rPr>
      </w:pPr>
      <w:r w:rsidRPr="00973C8D">
        <w:rPr>
          <w:i/>
          <w:iCs/>
          <w:color w:val="44546A" w:themeColor="text2"/>
          <w:sz w:val="18"/>
          <w:szCs w:val="18"/>
        </w:rPr>
        <w:t>(*): Statistically significant, (**): Statistically highly significant, (NSAIDs): Non-steroidal anti-inflammatory drugs, (FOBT): Fecal occult blood test, (CKD): Chronic kidney disease.</w:t>
      </w:r>
    </w:p>
    <w:p w14:paraId="5523EEFC" w14:textId="77777777" w:rsidR="00610FDE" w:rsidRPr="00DC4B5A" w:rsidRDefault="00610FDE" w:rsidP="00610FDE">
      <w:pPr>
        <w:spacing w:line="240" w:lineRule="auto"/>
        <w:jc w:val="lowKashida"/>
        <w:rPr>
          <w:rFonts w:ascii="Times New Roman" w:hAnsi="Times New Roman" w:cs="Times New Roman"/>
          <w:b/>
          <w:bCs/>
          <w:sz w:val="24"/>
          <w:szCs w:val="24"/>
        </w:rPr>
      </w:pPr>
    </w:p>
    <w:p w14:paraId="7CF7B8EC" w14:textId="77777777" w:rsidR="00973C8D" w:rsidRDefault="00610FDE" w:rsidP="00973C8D">
      <w:pPr>
        <w:keepNext/>
        <w:spacing w:line="240" w:lineRule="auto"/>
        <w:jc w:val="center"/>
      </w:pPr>
      <w:r w:rsidRPr="00DC4B5A">
        <w:rPr>
          <w:rFonts w:ascii="Times New Roman" w:hAnsi="Times New Roman" w:cs="Times New Roman"/>
          <w:noProof/>
          <w:sz w:val="24"/>
          <w:szCs w:val="24"/>
        </w:rPr>
        <mc:AlternateContent>
          <mc:Choice Requires="cx1">
            <w:drawing>
              <wp:inline distT="0" distB="0" distL="0" distR="0" wp14:anchorId="6F4EAF28" wp14:editId="110E70A5">
                <wp:extent cx="4112187" cy="2487168"/>
                <wp:effectExtent l="0" t="0" r="3175" b="8890"/>
                <wp:docPr id="2" name="Chart 2" descr="Figure 2. Boxplot showing the relationship between serum creatinine and erosive gastritis (p=0.009)."/>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6F4EAF28" wp14:editId="110E70A5">
                <wp:extent cx="4112187" cy="2487168"/>
                <wp:effectExtent l="0" t="0" r="3175" b="8890"/>
                <wp:docPr id="2" name="Chart 2" descr="Figure 2. Boxplot showing the relationship between serum creatinine and erosive gastritis (p=0.009)."/>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2" descr="Figure 2. Boxplot showing the relationship between serum creatinine and erosive gastritis (p=0.009)."/>
                        <pic:cNvPicPr>
                          <a:picLocks noGrp="1" noRot="1" noChangeAspect="1" noMove="1" noResize="1" noEditPoints="1" noAdjustHandles="1" noChangeArrowheads="1" noChangeShapeType="1"/>
                        </pic:cNvPicPr>
                      </pic:nvPicPr>
                      <pic:blipFill>
                        <a:blip r:embed="rId13"/>
                        <a:stretch>
                          <a:fillRect/>
                        </a:stretch>
                      </pic:blipFill>
                      <pic:spPr>
                        <a:xfrm>
                          <a:off x="0" y="0"/>
                          <a:ext cx="4111625" cy="2486660"/>
                        </a:xfrm>
                        <a:prstGeom prst="rect">
                          <a:avLst/>
                        </a:prstGeom>
                      </pic:spPr>
                    </pic:pic>
                  </a:graphicData>
                </a:graphic>
              </wp:inline>
            </w:drawing>
          </mc:Fallback>
        </mc:AlternateContent>
      </w:r>
    </w:p>
    <w:p w14:paraId="0DB40D49" w14:textId="40A8D2C6" w:rsidR="00973C8D" w:rsidRPr="00973C8D" w:rsidRDefault="00973C8D" w:rsidP="00973C8D">
      <w:pPr>
        <w:pStyle w:val="Caption"/>
        <w:jc w:val="center"/>
      </w:pPr>
      <w:r>
        <w:t xml:space="preserve">Fig </w:t>
      </w:r>
      <w:fldSimple w:instr=" SEQ Figure \* ARABIC ">
        <w:r w:rsidR="00D75AE6">
          <w:rPr>
            <w:noProof/>
          </w:rPr>
          <w:t>2</w:t>
        </w:r>
      </w:fldSimple>
      <w:r>
        <w:t xml:space="preserve">. </w:t>
      </w:r>
      <w:r w:rsidRPr="00973C8D">
        <w:t>Boxplot showing the relationship between serum creatinine and erosive gastritis (p=0.009).</w:t>
      </w:r>
    </w:p>
    <w:p w14:paraId="18B934B4" w14:textId="77777777" w:rsidR="00403720" w:rsidRPr="00DC4B5A" w:rsidRDefault="005E172B" w:rsidP="005765D7">
      <w:pPr>
        <w:spacing w:before="100" w:after="10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Discussion</w:t>
      </w:r>
    </w:p>
    <w:p w14:paraId="14279597" w14:textId="1355E1AA" w:rsidR="00403720" w:rsidRPr="00DC4B5A" w:rsidRDefault="005E172B" w:rsidP="002B2058">
      <w:pPr>
        <w:spacing w:before="100" w:after="100" w:line="240" w:lineRule="auto"/>
        <w:ind w:firstLine="180"/>
        <w:jc w:val="lowKashida"/>
        <w:rPr>
          <w:rFonts w:ascii="Times New Roman" w:hAnsi="Times New Roman" w:cs="Times New Roman"/>
          <w:sz w:val="24"/>
          <w:szCs w:val="24"/>
        </w:rPr>
      </w:pPr>
      <w:r w:rsidRPr="00DC4B5A">
        <w:rPr>
          <w:rFonts w:ascii="Times New Roman" w:hAnsi="Times New Roman" w:cs="Times New Roman"/>
          <w:sz w:val="24"/>
          <w:szCs w:val="24"/>
        </w:rPr>
        <w:t>In this study, we evaluated the presence of upper gastrointestinal lesions in CKD patients with IDA</w:t>
      </w:r>
      <w:r w:rsidR="004B0C74" w:rsidRPr="00DC4B5A">
        <w:rPr>
          <w:rFonts w:ascii="Times New Roman" w:hAnsi="Times New Roman" w:cs="Times New Roman"/>
          <w:sz w:val="24"/>
          <w:szCs w:val="24"/>
        </w:rPr>
        <w:t xml:space="preserve"> </w:t>
      </w:r>
      <w:r w:rsidRPr="00DC4B5A">
        <w:rPr>
          <w:rFonts w:ascii="Times New Roman" w:hAnsi="Times New Roman" w:cs="Times New Roman"/>
          <w:sz w:val="24"/>
          <w:szCs w:val="24"/>
        </w:rPr>
        <w:t>using EGD</w:t>
      </w:r>
      <w:r w:rsidR="00DC4B5A">
        <w:rPr>
          <w:rFonts w:ascii="Times New Roman" w:hAnsi="Times New Roman" w:cs="Times New Roman"/>
          <w:sz w:val="24"/>
          <w:szCs w:val="24"/>
        </w:rPr>
        <w:t>,</w:t>
      </w:r>
      <w:r w:rsidRPr="00DC4B5A">
        <w:rPr>
          <w:rFonts w:ascii="Times New Roman" w:hAnsi="Times New Roman" w:cs="Times New Roman"/>
          <w:sz w:val="24"/>
          <w:szCs w:val="24"/>
        </w:rPr>
        <w:t xml:space="preserve"> followed by biopsy and histopathological examination. The current study revealed a high prevalence of upper gastrointestinal lesions in asymptomatic CKD patients with IDA. We did not depend on fecal occult blood testing results as </w:t>
      </w:r>
      <w:r w:rsidR="00B7625B" w:rsidRPr="00DC4B5A">
        <w:rPr>
          <w:rFonts w:ascii="Times New Roman" w:hAnsi="Times New Roman" w:cs="Times New Roman"/>
          <w:sz w:val="24"/>
          <w:szCs w:val="24"/>
        </w:rPr>
        <w:t>they have</w:t>
      </w:r>
      <w:r w:rsidRPr="00DC4B5A">
        <w:rPr>
          <w:rFonts w:ascii="Times New Roman" w:hAnsi="Times New Roman" w:cs="Times New Roman"/>
          <w:sz w:val="24"/>
          <w:szCs w:val="24"/>
        </w:rPr>
        <w:t xml:space="preserve"> low diagnostic value in evaluating causes of IDA with CKD [7].</w:t>
      </w:r>
    </w:p>
    <w:p w14:paraId="4DA27E2C" w14:textId="51B9F50A" w:rsidR="00403720" w:rsidRPr="00444677" w:rsidRDefault="005E172B" w:rsidP="002B2058">
      <w:pPr>
        <w:spacing w:before="100" w:after="100" w:line="240" w:lineRule="auto"/>
        <w:ind w:firstLine="180"/>
        <w:jc w:val="lowKashida"/>
        <w:rPr>
          <w:rFonts w:ascii="Times New Roman" w:eastAsia="Times New Roman" w:hAnsi="Times New Roman" w:cs="Times New Roman"/>
          <w:sz w:val="24"/>
          <w:szCs w:val="24"/>
        </w:rPr>
      </w:pPr>
      <w:r w:rsidRPr="00DC4B5A">
        <w:rPr>
          <w:rFonts w:ascii="Times New Roman" w:hAnsi="Times New Roman" w:cs="Times New Roman"/>
          <w:sz w:val="24"/>
          <w:szCs w:val="24"/>
        </w:rPr>
        <w:t xml:space="preserve">Chronic gastritis, </w:t>
      </w:r>
      <w:r w:rsidRPr="00DC4B5A">
        <w:rPr>
          <w:rFonts w:ascii="Times New Roman" w:eastAsia="Times New Roman" w:hAnsi="Times New Roman" w:cs="Times New Roman"/>
          <w:i/>
          <w:iCs/>
          <w:sz w:val="24"/>
          <w:szCs w:val="24"/>
        </w:rPr>
        <w:t>H. pylori</w:t>
      </w:r>
      <w:r w:rsidR="00B7625B" w:rsidRPr="00DC4B5A">
        <w:rPr>
          <w:rFonts w:ascii="Times New Roman" w:eastAsia="Times New Roman" w:hAnsi="Times New Roman" w:cs="Times New Roman"/>
          <w:i/>
          <w:iCs/>
          <w:sz w:val="24"/>
          <w:szCs w:val="24"/>
        </w:rPr>
        <w:t xml:space="preserve"> gastritis</w:t>
      </w:r>
      <w:r w:rsidRPr="00DC4B5A">
        <w:rPr>
          <w:rFonts w:ascii="Times New Roman" w:hAnsi="Times New Roman" w:cs="Times New Roman"/>
          <w:sz w:val="24"/>
          <w:szCs w:val="24"/>
        </w:rPr>
        <w:t>, and erosive gastritis were the most frequently identified lesions</w:t>
      </w:r>
      <w:r w:rsidR="00B7625B" w:rsidRPr="00DC4B5A">
        <w:rPr>
          <w:rFonts w:ascii="Times New Roman" w:hAnsi="Times New Roman" w:cs="Times New Roman"/>
          <w:sz w:val="24"/>
          <w:szCs w:val="24"/>
        </w:rPr>
        <w:t>,</w:t>
      </w:r>
      <w:r w:rsidRPr="00DC4B5A">
        <w:rPr>
          <w:rFonts w:ascii="Times New Roman" w:hAnsi="Times New Roman" w:cs="Times New Roman"/>
          <w:sz w:val="24"/>
          <w:szCs w:val="24"/>
        </w:rPr>
        <w:t xml:space="preserve"> with prevalences of </w:t>
      </w:r>
      <w:r w:rsidRPr="00DC4B5A">
        <w:rPr>
          <w:rFonts w:ascii="Times New Roman" w:hAnsi="Times New Roman" w:cs="Times New Roman"/>
          <w:sz w:val="24"/>
          <w:szCs w:val="24"/>
          <w:cs/>
        </w:rPr>
        <w:t>‎</w:t>
      </w:r>
      <w:r w:rsidRPr="00DC4B5A">
        <w:rPr>
          <w:rFonts w:ascii="Times New Roman" w:hAnsi="Times New Roman" w:cs="Times New Roman"/>
          <w:sz w:val="24"/>
          <w:szCs w:val="24"/>
        </w:rPr>
        <w:t>37.04%</w:t>
      </w:r>
      <w:r w:rsidRPr="00DC4B5A">
        <w:rPr>
          <w:rFonts w:ascii="Times New Roman" w:hAnsi="Times New Roman" w:cs="Times New Roman"/>
          <w:sz w:val="24"/>
          <w:szCs w:val="24"/>
          <w:cs/>
        </w:rPr>
        <w:t xml:space="preserve">‎, </w:t>
      </w:r>
      <w:r w:rsidRPr="00DC4B5A">
        <w:rPr>
          <w:rFonts w:ascii="Times New Roman" w:hAnsi="Times New Roman" w:cs="Times New Roman"/>
          <w:sz w:val="24"/>
          <w:szCs w:val="24"/>
        </w:rPr>
        <w:t xml:space="preserve">23.46%, </w:t>
      </w:r>
      <w:r w:rsidRPr="00DC4B5A">
        <w:rPr>
          <w:rFonts w:ascii="Times New Roman" w:hAnsi="Times New Roman" w:cs="Times New Roman"/>
          <w:sz w:val="24"/>
          <w:szCs w:val="24"/>
          <w:cs/>
        </w:rPr>
        <w:t>and</w:t>
      </w:r>
      <w:r w:rsidRPr="00DC4B5A">
        <w:rPr>
          <w:rFonts w:ascii="Times New Roman" w:hAnsi="Times New Roman" w:cs="Times New Roman"/>
          <w:sz w:val="24"/>
          <w:szCs w:val="24"/>
        </w:rPr>
        <w:t xml:space="preserve"> 13.58%, respectively. According to our results, the stomach was the most frequent lesion site. This is </w:t>
      </w:r>
      <w:r w:rsidR="00B7625B" w:rsidRPr="00DC4B5A">
        <w:rPr>
          <w:rFonts w:ascii="Times New Roman" w:hAnsi="Times New Roman" w:cs="Times New Roman"/>
          <w:sz w:val="24"/>
          <w:szCs w:val="24"/>
        </w:rPr>
        <w:t>like</w:t>
      </w:r>
      <w:r w:rsidRPr="00DC4B5A">
        <w:rPr>
          <w:rFonts w:ascii="Times New Roman" w:hAnsi="Times New Roman" w:cs="Times New Roman"/>
          <w:sz w:val="24"/>
          <w:szCs w:val="24"/>
        </w:rPr>
        <w:t xml:space="preserve"> previous studies that ascertained that gastric lesions were the most frequent lesion in CKD patients</w:t>
      </w:r>
      <w:r w:rsidR="00B7625B" w:rsidRPr="00DC4B5A">
        <w:rPr>
          <w:rFonts w:ascii="Times New Roman" w:hAnsi="Times New Roman" w:cs="Times New Roman"/>
          <w:sz w:val="24"/>
          <w:szCs w:val="24"/>
        </w:rPr>
        <w:t>,</w:t>
      </w:r>
      <w:r w:rsidR="00140D5D">
        <w:rPr>
          <w:rFonts w:ascii="Times New Roman" w:hAnsi="Times New Roman" w:cs="Times New Roman"/>
          <w:sz w:val="24"/>
          <w:szCs w:val="24"/>
        </w:rPr>
        <w:t xml:space="preserve"> such</w:t>
      </w:r>
      <w:r w:rsidRPr="00DC4B5A">
        <w:rPr>
          <w:rFonts w:ascii="Times New Roman" w:hAnsi="Times New Roman" w:cs="Times New Roman"/>
          <w:sz w:val="24"/>
          <w:szCs w:val="24"/>
        </w:rPr>
        <w:t xml:space="preserve"> as in </w:t>
      </w:r>
      <w:r w:rsidR="00140D5D">
        <w:rPr>
          <w:rFonts w:ascii="Times New Roman" w:hAnsi="Times New Roman" w:cs="Times New Roman"/>
          <w:sz w:val="24"/>
          <w:szCs w:val="24"/>
        </w:rPr>
        <w:t xml:space="preserve">the </w:t>
      </w:r>
      <w:proofErr w:type="spellStart"/>
      <w:r w:rsidRPr="00DC4B5A">
        <w:rPr>
          <w:rFonts w:ascii="Times New Roman" w:eastAsia="Times New Roman" w:hAnsi="Times New Roman" w:cs="Times New Roman"/>
          <w:sz w:val="24"/>
          <w:szCs w:val="24"/>
        </w:rPr>
        <w:t>Odhaib</w:t>
      </w:r>
      <w:proofErr w:type="spellEnd"/>
      <w:r w:rsidRPr="00DC4B5A">
        <w:rPr>
          <w:rFonts w:ascii="Times New Roman" w:eastAsia="Times New Roman" w:hAnsi="Times New Roman" w:cs="Times New Roman"/>
          <w:sz w:val="24"/>
          <w:szCs w:val="24"/>
        </w:rPr>
        <w:t xml:space="preserve"> </w:t>
      </w:r>
      <w:r w:rsidR="00444677">
        <w:rPr>
          <w:rFonts w:ascii="Times New Roman" w:eastAsia="Times New Roman" w:hAnsi="Times New Roman" w:cs="Times New Roman"/>
          <w:sz w:val="24"/>
          <w:szCs w:val="24"/>
        </w:rPr>
        <w:t>et al.</w:t>
      </w:r>
      <w:r w:rsidR="00140D5D">
        <w:rPr>
          <w:rFonts w:ascii="Times New Roman" w:eastAsia="Times New Roman" w:hAnsi="Times New Roman" w:cs="Times New Roman"/>
          <w:sz w:val="24"/>
          <w:szCs w:val="24"/>
        </w:rPr>
        <w:t xml:space="preserve"> study</w:t>
      </w:r>
      <w:r w:rsidRPr="00DC4B5A">
        <w:rPr>
          <w:rFonts w:ascii="Times New Roman" w:eastAsia="Times New Roman" w:hAnsi="Times New Roman" w:cs="Times New Roman"/>
          <w:sz w:val="24"/>
          <w:szCs w:val="24"/>
        </w:rPr>
        <w:t xml:space="preserve"> </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8</w:t>
      </w:r>
      <w:r w:rsidRPr="00DC4B5A">
        <w:rPr>
          <w:rFonts w:ascii="Times New Roman" w:hAnsi="Times New Roman" w:cs="Times New Roman"/>
          <w:sz w:val="24"/>
          <w:szCs w:val="24"/>
        </w:rPr>
        <w:t>]</w:t>
      </w:r>
      <w:r w:rsidR="00B7625B"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 xml:space="preserve"> </w:t>
      </w:r>
      <w:r w:rsidR="00AC59F9">
        <w:rPr>
          <w:rFonts w:ascii="Times New Roman" w:eastAsia="Times New Roman" w:hAnsi="Times New Roman" w:cs="Times New Roman"/>
          <w:sz w:val="24"/>
          <w:szCs w:val="24"/>
        </w:rPr>
        <w:t>which</w:t>
      </w:r>
      <w:r w:rsidRPr="00DC4B5A">
        <w:rPr>
          <w:rFonts w:ascii="Times New Roman" w:eastAsia="Times New Roman" w:hAnsi="Times New Roman" w:cs="Times New Roman"/>
          <w:sz w:val="24"/>
          <w:szCs w:val="24"/>
        </w:rPr>
        <w:t xml:space="preserve"> found atrophic gastritis in 24% of cases and peptic ulcer in 20% of cases and Usta et al. </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9</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 xml:space="preserve">, who reported gastritis in 62.3%, and erosive gastritis in 38.7% of cases. This can be explained by the fact that the kidneys play an </w:t>
      </w:r>
      <w:r w:rsidR="00B7625B" w:rsidRPr="00DC4B5A">
        <w:rPr>
          <w:rFonts w:ascii="Times New Roman" w:eastAsia="Times New Roman" w:hAnsi="Times New Roman" w:cs="Times New Roman"/>
          <w:sz w:val="24"/>
          <w:szCs w:val="24"/>
        </w:rPr>
        <w:t>essential</w:t>
      </w:r>
      <w:r w:rsidRPr="00DC4B5A">
        <w:rPr>
          <w:rFonts w:ascii="Times New Roman" w:eastAsia="Times New Roman" w:hAnsi="Times New Roman" w:cs="Times New Roman"/>
          <w:sz w:val="24"/>
          <w:szCs w:val="24"/>
        </w:rPr>
        <w:t xml:space="preserve"> role in the metabolism of gastrin hormone, which tends to increase in CKD, causing relaxation of the pyloric sphincter and irritation of the gastric mucosa by bile</w:t>
      </w:r>
      <w:r w:rsidRPr="00DC4B5A">
        <w:rPr>
          <w:rFonts w:ascii="Times New Roman" w:eastAsia="Times New Roman" w:hAnsi="Times New Roman" w:cs="Times New Roman"/>
          <w:color w:val="FF0000"/>
          <w:sz w:val="24"/>
          <w:szCs w:val="24"/>
        </w:rPr>
        <w:t xml:space="preserve"> </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10</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 Furthermore, CKD patients suffer from accumulated uremic toxins, infection by H. pylori</w:t>
      </w:r>
      <w:r w:rsidRPr="00DC4B5A">
        <w:rPr>
          <w:rFonts w:ascii="Times New Roman" w:eastAsia="Times New Roman" w:hAnsi="Times New Roman" w:cs="Times New Roman"/>
          <w:sz w:val="24"/>
          <w:szCs w:val="24"/>
          <w:cs/>
        </w:rPr>
        <w:t>‎</w:t>
      </w:r>
      <w:r w:rsidRPr="00DC4B5A">
        <w:rPr>
          <w:rFonts w:ascii="Times New Roman" w:eastAsia="Times New Roman" w:hAnsi="Times New Roman" w:cs="Times New Roman"/>
          <w:sz w:val="24"/>
          <w:szCs w:val="24"/>
        </w:rPr>
        <w:t xml:space="preserve">, and dysregulated gastrointestinal motility </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11</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w:t>
      </w:r>
    </w:p>
    <w:p w14:paraId="6DCF404A" w14:textId="77777777" w:rsidR="00403720" w:rsidRPr="00DC4B5A" w:rsidRDefault="005E172B" w:rsidP="002B2058">
      <w:pPr>
        <w:spacing w:before="100" w:after="100" w:line="240" w:lineRule="auto"/>
        <w:ind w:firstLine="180"/>
        <w:jc w:val="lowKashida"/>
        <w:rPr>
          <w:rFonts w:ascii="Times New Roman" w:eastAsia="Times New Roman" w:hAnsi="Times New Roman" w:cs="Times New Roman"/>
          <w:color w:val="000000" w:themeColor="text1"/>
          <w:sz w:val="24"/>
          <w:szCs w:val="24"/>
        </w:rPr>
      </w:pPr>
      <w:r w:rsidRPr="00DC4B5A">
        <w:rPr>
          <w:rFonts w:ascii="Times New Roman" w:eastAsia="Times New Roman" w:hAnsi="Times New Roman" w:cs="Times New Roman"/>
          <w:sz w:val="24"/>
          <w:szCs w:val="24"/>
        </w:rPr>
        <w:t xml:space="preserve">Additionally, patients in group 2 (CKD stages 3-5) had a higher prevalence of gastric lesions than in group 1 (CKD stages 1-2), and peptic ulcers were more abundant in group 2. </w:t>
      </w:r>
      <w:r w:rsidRPr="00DC4B5A">
        <w:rPr>
          <w:rFonts w:ascii="Times New Roman" w:eastAsia="Times New Roman" w:hAnsi="Times New Roman" w:cs="Times New Roman"/>
          <w:color w:val="000000" w:themeColor="text1"/>
          <w:sz w:val="24"/>
          <w:szCs w:val="24"/>
        </w:rPr>
        <w:t xml:space="preserve">Patients in group 2 exhibited a higher occurrence of gastric lesions due to their increased consumption of NSAIDs, which could exacerbate gastric lesions </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12</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 xml:space="preserve">. Furthermore, ESR levels were notably elevated in group 2, indicating an active inflammatory state that contributes to the development of transmural inflammation in the mucous membranes of the digestive system </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13</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w:t>
      </w:r>
    </w:p>
    <w:p w14:paraId="7C3FE642" w14:textId="20CC62FB" w:rsidR="00403720" w:rsidRPr="00DC4B5A" w:rsidRDefault="005E172B" w:rsidP="002B2058">
      <w:pPr>
        <w:spacing w:before="100" w:after="100" w:line="240" w:lineRule="auto"/>
        <w:ind w:firstLine="180"/>
        <w:jc w:val="lowKashida"/>
        <w:rPr>
          <w:rFonts w:ascii="Times New Roman" w:eastAsia="Times New Roman" w:hAnsi="Times New Roman" w:cs="Times New Roman"/>
          <w:sz w:val="24"/>
          <w:szCs w:val="24"/>
        </w:rPr>
      </w:pPr>
      <w:r w:rsidRPr="00DC4B5A">
        <w:rPr>
          <w:rFonts w:ascii="Times New Roman" w:eastAsia="Times New Roman" w:hAnsi="Times New Roman" w:cs="Times New Roman"/>
          <w:sz w:val="24"/>
          <w:szCs w:val="24"/>
        </w:rPr>
        <w:t>In this study, about 23.46 % of asymptomatic patients with IDA and CKD had confirmed H. pylori gastritis.</w:t>
      </w:r>
      <w:r w:rsidR="002B2058" w:rsidRPr="00DC4B5A">
        <w:rPr>
          <w:rFonts w:ascii="Times New Roman" w:eastAsia="Times New Roman" w:hAnsi="Times New Roman" w:cs="Times New Roman"/>
          <w:sz w:val="24"/>
          <w:szCs w:val="24"/>
        </w:rPr>
        <w:t xml:space="preserve"> </w:t>
      </w:r>
      <w:r w:rsidRPr="00DC4B5A">
        <w:rPr>
          <w:rFonts w:ascii="Times New Roman" w:eastAsia="Times New Roman" w:hAnsi="Times New Roman" w:cs="Times New Roman"/>
          <w:sz w:val="24"/>
          <w:szCs w:val="24"/>
        </w:rPr>
        <w:t xml:space="preserve">After analyzing the risk factors associated with H. pylori gastritis, we discovered that higher serum creatinine levels and CKD stages 4-5 were linked to H. pylori gastritis. This finding corresponds with the findings of Wang </w:t>
      </w:r>
      <w:r w:rsidR="00B7625B" w:rsidRPr="00DC4B5A">
        <w:rPr>
          <w:rFonts w:ascii="Times New Roman" w:eastAsia="Times New Roman" w:hAnsi="Times New Roman" w:cs="Times New Roman"/>
          <w:sz w:val="24"/>
          <w:szCs w:val="24"/>
        </w:rPr>
        <w:t>et al.</w:t>
      </w:r>
      <w:r w:rsidRPr="00DC4B5A">
        <w:rPr>
          <w:rFonts w:ascii="Times New Roman" w:eastAsia="Times New Roman" w:hAnsi="Times New Roman" w:cs="Times New Roman"/>
          <w:sz w:val="24"/>
          <w:szCs w:val="24"/>
        </w:rPr>
        <w:t xml:space="preserve"> </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14</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 xml:space="preserve">. This connection is attributed to the lower levels of tight junction proteins (zonula occludens-1, </w:t>
      </w:r>
      <w:proofErr w:type="spellStart"/>
      <w:r w:rsidRPr="00DC4B5A">
        <w:rPr>
          <w:rFonts w:ascii="Times New Roman" w:eastAsia="Times New Roman" w:hAnsi="Times New Roman" w:cs="Times New Roman"/>
          <w:sz w:val="24"/>
          <w:szCs w:val="24"/>
        </w:rPr>
        <w:t>occludin</w:t>
      </w:r>
      <w:proofErr w:type="spellEnd"/>
      <w:r w:rsidRPr="00DC4B5A">
        <w:rPr>
          <w:rFonts w:ascii="Times New Roman" w:eastAsia="Times New Roman" w:hAnsi="Times New Roman" w:cs="Times New Roman"/>
          <w:sz w:val="24"/>
          <w:szCs w:val="24"/>
        </w:rPr>
        <w:t xml:space="preserve">, and claudin-1) in CKD patients, which disrupt the integrity of the mucosal barrier, enabling a higher influx of H. pylori organisms into the epithelial cells </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15</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 xml:space="preserve">. </w:t>
      </w:r>
      <w:r w:rsidRPr="00DC4B5A">
        <w:rPr>
          <w:rFonts w:ascii="Times New Roman" w:eastAsia="Times New Roman" w:hAnsi="Times New Roman" w:cs="Times New Roman"/>
          <w:color w:val="000000" w:themeColor="text1"/>
          <w:sz w:val="24"/>
          <w:szCs w:val="24"/>
        </w:rPr>
        <w:t xml:space="preserve"> Additional risk factors associated with H. pylori gastritis included low transferrin saturation, which aligns with the results reported by </w:t>
      </w:r>
      <w:proofErr w:type="spellStart"/>
      <w:r w:rsidRPr="00DC4B5A">
        <w:rPr>
          <w:rFonts w:ascii="Times New Roman" w:eastAsia="Times New Roman" w:hAnsi="Times New Roman" w:cs="Times New Roman"/>
          <w:color w:val="000000" w:themeColor="text1"/>
          <w:sz w:val="24"/>
          <w:szCs w:val="24"/>
        </w:rPr>
        <w:t>Demerdash</w:t>
      </w:r>
      <w:proofErr w:type="spellEnd"/>
      <w:r w:rsidRPr="00DC4B5A">
        <w:rPr>
          <w:rFonts w:ascii="Times New Roman" w:eastAsia="Times New Roman" w:hAnsi="Times New Roman" w:cs="Times New Roman"/>
          <w:color w:val="000000" w:themeColor="text1"/>
          <w:sz w:val="24"/>
          <w:szCs w:val="24"/>
        </w:rPr>
        <w:t xml:space="preserve"> et al. </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16</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 xml:space="preserve"> in a previous study. Generally, low transferrin saturation and iron deficiency may serve as risk factors for H. pylori infection and as consequences of H. pylori infection. Patients experiencing iron deficiency and low transferrin saturation often exhibit a weakened immunological response to invading organisms, particularly in T-cell immunity </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17</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 xml:space="preserve">. Furthermore, experimental animals with iron deficiency displayed more virulent H. pylori strains </w:t>
      </w:r>
      <w:r w:rsidR="00B7625B" w:rsidRPr="00DC4B5A">
        <w:rPr>
          <w:rFonts w:ascii="Times New Roman" w:eastAsia="Times New Roman" w:hAnsi="Times New Roman" w:cs="Times New Roman"/>
          <w:color w:val="000000" w:themeColor="text1"/>
          <w:sz w:val="24"/>
          <w:szCs w:val="24"/>
        </w:rPr>
        <w:t>with</w:t>
      </w:r>
      <w:r w:rsidRPr="00DC4B5A">
        <w:rPr>
          <w:rFonts w:ascii="Times New Roman" w:eastAsia="Times New Roman" w:hAnsi="Times New Roman" w:cs="Times New Roman"/>
          <w:color w:val="000000" w:themeColor="text1"/>
          <w:sz w:val="24"/>
          <w:szCs w:val="24"/>
        </w:rPr>
        <w:t xml:space="preserve"> increased synthesis and activity of the cag type IV secretion system. This</w:t>
      </w:r>
      <w:r w:rsidR="00B7625B" w:rsidRPr="00DC4B5A">
        <w:rPr>
          <w:rFonts w:ascii="Times New Roman" w:eastAsia="Times New Roman" w:hAnsi="Times New Roman" w:cs="Times New Roman"/>
          <w:color w:val="000000" w:themeColor="text1"/>
          <w:sz w:val="24"/>
          <w:szCs w:val="24"/>
        </w:rPr>
        <w:t>, in turn,</w:t>
      </w:r>
      <w:r w:rsidRPr="00DC4B5A">
        <w:rPr>
          <w:rFonts w:ascii="Times New Roman" w:eastAsia="Times New Roman" w:hAnsi="Times New Roman" w:cs="Times New Roman"/>
          <w:color w:val="000000" w:themeColor="text1"/>
          <w:sz w:val="24"/>
          <w:szCs w:val="24"/>
        </w:rPr>
        <w:t xml:space="preserve"> led to gastritis and an elevated risk of developing gastric carcinoma </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18</w:t>
      </w:r>
      <w:r w:rsidRPr="00DC4B5A">
        <w:rPr>
          <w:rFonts w:ascii="Times New Roman" w:hAnsi="Times New Roman" w:cs="Times New Roman"/>
          <w:sz w:val="24"/>
          <w:szCs w:val="24"/>
        </w:rPr>
        <w:t>]</w:t>
      </w:r>
      <w:r w:rsidRPr="00DC4B5A">
        <w:rPr>
          <w:rFonts w:ascii="Times New Roman" w:eastAsia="Times New Roman" w:hAnsi="Times New Roman" w:cs="Times New Roman"/>
          <w:color w:val="000000" w:themeColor="text1"/>
          <w:sz w:val="24"/>
          <w:szCs w:val="24"/>
        </w:rPr>
        <w:t>.</w:t>
      </w:r>
    </w:p>
    <w:p w14:paraId="3A717181" w14:textId="5BFE0196" w:rsidR="00403720" w:rsidRPr="00DC4B5A" w:rsidRDefault="005E172B" w:rsidP="007035AE">
      <w:pPr>
        <w:spacing w:before="100" w:after="100" w:line="240" w:lineRule="auto"/>
        <w:ind w:firstLine="180"/>
        <w:jc w:val="lowKashida"/>
        <w:rPr>
          <w:rFonts w:ascii="Times New Roman" w:eastAsia="Times New Roman" w:hAnsi="Times New Roman" w:cs="Times New Roman"/>
          <w:sz w:val="24"/>
          <w:szCs w:val="24"/>
        </w:rPr>
      </w:pPr>
      <w:r w:rsidRPr="00DC4B5A">
        <w:rPr>
          <w:rFonts w:ascii="Times New Roman" w:eastAsia="Times New Roman" w:hAnsi="Times New Roman" w:cs="Times New Roman"/>
          <w:sz w:val="24"/>
          <w:szCs w:val="24"/>
        </w:rPr>
        <w:t xml:space="preserve">In this study, approximately 13.6% of asymptomatic patients with both IDA and CKD were confirmed to have erosive gastritis. A prior study by Thomas et al. </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19</w:t>
      </w:r>
      <w:r w:rsidRPr="00DC4B5A">
        <w:rPr>
          <w:rFonts w:ascii="Times New Roman" w:hAnsi="Times New Roman" w:cs="Times New Roman"/>
          <w:sz w:val="24"/>
          <w:szCs w:val="24"/>
        </w:rPr>
        <w:t>]</w:t>
      </w:r>
      <w:r w:rsidRPr="00DC4B5A">
        <w:rPr>
          <w:rFonts w:ascii="Times New Roman" w:eastAsia="Times New Roman" w:hAnsi="Times New Roman" w:cs="Times New Roman"/>
          <w:sz w:val="24"/>
          <w:szCs w:val="24"/>
        </w:rPr>
        <w:t xml:space="preserve"> similarly identified erosive gastritis as the most prevalent observation among CKD patients. Risk factors linked to erosive gastritis include older age, elevated serum creatinine levels, reduced hemoglobin levels, decreased serum iron levels, and advanced stages of CKD (as stages 4 and 5 each constituted 18.2% of the erosive gastritis group).</w:t>
      </w:r>
    </w:p>
    <w:p w14:paraId="2D1C41B3" w14:textId="77777777" w:rsidR="00403720" w:rsidRPr="00DC4B5A" w:rsidRDefault="005E172B" w:rsidP="005765D7">
      <w:pPr>
        <w:spacing w:line="240" w:lineRule="auto"/>
        <w:jc w:val="lowKashida"/>
        <w:rPr>
          <w:rFonts w:ascii="Times New Roman" w:eastAsia="Times New Roman" w:hAnsi="Times New Roman" w:cs="Times New Roman"/>
          <w:b/>
          <w:bCs/>
          <w:sz w:val="24"/>
          <w:szCs w:val="24"/>
        </w:rPr>
      </w:pPr>
      <w:r w:rsidRPr="00DC4B5A">
        <w:rPr>
          <w:rFonts w:ascii="Times New Roman" w:eastAsia="Times New Roman" w:hAnsi="Times New Roman" w:cs="Times New Roman"/>
          <w:b/>
          <w:bCs/>
          <w:sz w:val="24"/>
          <w:szCs w:val="24"/>
        </w:rPr>
        <w:t>Conclusion</w:t>
      </w:r>
    </w:p>
    <w:p w14:paraId="30112FB8" w14:textId="415171F0" w:rsidR="00403720" w:rsidRDefault="005E172B" w:rsidP="007035AE">
      <w:pPr>
        <w:spacing w:line="240" w:lineRule="auto"/>
        <w:ind w:firstLine="180"/>
        <w:jc w:val="lowKashida"/>
        <w:rPr>
          <w:rFonts w:ascii="Times New Roman" w:hAnsi="Times New Roman" w:cs="Times New Roman"/>
          <w:sz w:val="24"/>
          <w:szCs w:val="24"/>
        </w:rPr>
      </w:pPr>
      <w:r w:rsidRPr="00DC4B5A">
        <w:rPr>
          <w:rFonts w:ascii="Times New Roman" w:eastAsia="Times New Roman" w:hAnsi="Times New Roman" w:cs="Times New Roman"/>
          <w:sz w:val="24"/>
          <w:szCs w:val="24"/>
        </w:rPr>
        <w:t>Endoscopic gastrointestinal lesions are common in asymptomatic CKD patients with IDA.</w:t>
      </w:r>
      <w:r w:rsidRPr="00DC4B5A">
        <w:rPr>
          <w:rFonts w:ascii="Times New Roman" w:hAnsi="Times New Roman" w:cs="Times New Roman"/>
          <w:sz w:val="24"/>
          <w:szCs w:val="24"/>
        </w:rPr>
        <w:t xml:space="preserve"> </w:t>
      </w:r>
      <w:r w:rsidR="00DC4B5A">
        <w:rPr>
          <w:rFonts w:ascii="Times New Roman" w:eastAsia="Times New Roman" w:hAnsi="Times New Roman" w:cs="Times New Roman"/>
          <w:sz w:val="24"/>
          <w:szCs w:val="24"/>
        </w:rPr>
        <w:t xml:space="preserve">This study's most frequent pathological findings were chronic gastritis, H. pylori gastritis, and erosive </w:t>
      </w:r>
      <w:r w:rsidR="006F65CA">
        <w:rPr>
          <w:rFonts w:ascii="Times New Roman" w:eastAsia="Times New Roman" w:hAnsi="Times New Roman" w:cs="Times New Roman"/>
          <w:sz w:val="24"/>
          <w:szCs w:val="24"/>
        </w:rPr>
        <w:t>gastritis</w:t>
      </w:r>
      <w:r w:rsidR="006F65CA">
        <w:rPr>
          <w:rFonts w:ascii="Times New Roman" w:eastAsia="Times New Roman" w:hAnsi="Times New Roman" w:cs="Times New Roman" w:hint="cs"/>
          <w:sz w:val="24"/>
          <w:szCs w:val="24"/>
          <w:cs/>
        </w:rPr>
        <w:t>‎</w:t>
      </w:r>
      <w:r w:rsidR="006F65CA">
        <w:rPr>
          <w:rFonts w:ascii="Times New Roman" w:eastAsia="Times New Roman" w:hAnsi="Times New Roman" w:cs="Times New Roman"/>
          <w:sz w:val="24"/>
          <w:szCs w:val="24"/>
        </w:rPr>
        <w:t>.</w:t>
      </w:r>
      <w:r w:rsidRPr="00DC4B5A">
        <w:rPr>
          <w:rFonts w:ascii="Times New Roman" w:eastAsia="Times New Roman" w:hAnsi="Times New Roman" w:cs="Times New Roman"/>
          <w:sz w:val="24"/>
          <w:szCs w:val="24"/>
        </w:rPr>
        <w:t xml:space="preserve"> Finally, the severity of CKD increased the prevalence</w:t>
      </w:r>
      <w:r w:rsidRPr="00DC4B5A">
        <w:rPr>
          <w:rFonts w:ascii="Times New Roman" w:eastAsia="Calibri" w:hAnsi="Times New Roman" w:cs="Times New Roman"/>
          <w:sz w:val="24"/>
          <w:szCs w:val="24"/>
        </w:rPr>
        <w:t xml:space="preserve"> of severe gastrointestinal lesions, </w:t>
      </w:r>
      <w:r w:rsidRPr="00DC4B5A">
        <w:rPr>
          <w:rFonts w:ascii="Times New Roman" w:eastAsia="Calibri" w:hAnsi="Times New Roman" w:cs="Times New Roman"/>
          <w:sz w:val="24"/>
          <w:szCs w:val="24"/>
          <w:cs/>
        </w:rPr>
        <w:t xml:space="preserve">and large gastric </w:t>
      </w:r>
      <w:r w:rsidRPr="00DC4B5A">
        <w:rPr>
          <w:rFonts w:ascii="Times New Roman" w:eastAsia="Calibri" w:hAnsi="Times New Roman" w:cs="Times New Roman"/>
          <w:sz w:val="24"/>
          <w:szCs w:val="24"/>
        </w:rPr>
        <w:t>and</w:t>
      </w:r>
      <w:r w:rsidRPr="00DC4B5A">
        <w:rPr>
          <w:rFonts w:ascii="Times New Roman" w:eastAsia="Calibri" w:hAnsi="Times New Roman" w:cs="Times New Roman"/>
          <w:sz w:val="24"/>
          <w:szCs w:val="24"/>
          <w:cs/>
        </w:rPr>
        <w:t xml:space="preserve"> </w:t>
      </w:r>
      <w:r w:rsidRPr="00DC4B5A">
        <w:rPr>
          <w:rFonts w:ascii="Times New Roman" w:hAnsi="Times New Roman" w:cs="Times New Roman"/>
          <w:sz w:val="24"/>
          <w:szCs w:val="24"/>
        </w:rPr>
        <w:t xml:space="preserve">duodenal </w:t>
      </w:r>
      <w:r w:rsidRPr="00DC4B5A">
        <w:rPr>
          <w:rFonts w:ascii="Times New Roman" w:eastAsia="Calibri" w:hAnsi="Times New Roman" w:cs="Times New Roman"/>
          <w:sz w:val="24"/>
          <w:szCs w:val="24"/>
          <w:cs/>
        </w:rPr>
        <w:t>ulcers</w:t>
      </w:r>
      <w:r w:rsidRPr="00DC4B5A">
        <w:rPr>
          <w:rFonts w:ascii="Times New Roman" w:hAnsi="Times New Roman" w:cs="Times New Roman"/>
          <w:sz w:val="24"/>
          <w:szCs w:val="24"/>
        </w:rPr>
        <w:t xml:space="preserve"> occurred in 4.9% and 2.5% of patients</w:t>
      </w:r>
      <w:r w:rsidRPr="00DC4B5A">
        <w:rPr>
          <w:rFonts w:ascii="Times New Roman" w:eastAsia="Calibri" w:hAnsi="Times New Roman" w:cs="Times New Roman"/>
          <w:sz w:val="24"/>
          <w:szCs w:val="24"/>
          <w:cs/>
        </w:rPr>
        <w:t xml:space="preserve"> </w:t>
      </w:r>
      <w:r w:rsidRPr="00DC4B5A">
        <w:rPr>
          <w:rFonts w:ascii="Times New Roman" w:eastAsia="Calibri" w:hAnsi="Times New Roman" w:cs="Times New Roman"/>
          <w:sz w:val="24"/>
          <w:szCs w:val="24"/>
        </w:rPr>
        <w:t xml:space="preserve">with </w:t>
      </w:r>
      <w:r w:rsidRPr="00DC4B5A">
        <w:rPr>
          <w:rFonts w:ascii="Times New Roman" w:hAnsi="Times New Roman" w:cs="Times New Roman"/>
          <w:sz w:val="24"/>
          <w:szCs w:val="24"/>
        </w:rPr>
        <w:t>eGFR &lt; 60 ml/min/1.73 m</w:t>
      </w:r>
      <w:r w:rsidRPr="00DC4B5A">
        <w:rPr>
          <w:rFonts w:ascii="Times New Roman" w:hAnsi="Times New Roman" w:cs="Times New Roman"/>
          <w:sz w:val="24"/>
          <w:szCs w:val="24"/>
          <w:vertAlign w:val="superscript"/>
        </w:rPr>
        <w:t>2</w:t>
      </w:r>
      <w:r w:rsidRPr="00DC4B5A">
        <w:rPr>
          <w:rFonts w:ascii="Times New Roman" w:hAnsi="Times New Roman" w:cs="Times New Roman"/>
          <w:sz w:val="24"/>
          <w:szCs w:val="24"/>
        </w:rPr>
        <w:t>, respectively.</w:t>
      </w:r>
    </w:p>
    <w:p w14:paraId="61532474" w14:textId="77777777" w:rsidR="00D061E0" w:rsidRPr="00D061E0" w:rsidRDefault="00D061E0" w:rsidP="00D061E0">
      <w:pPr>
        <w:spacing w:line="240" w:lineRule="auto"/>
        <w:ind w:firstLine="180"/>
        <w:jc w:val="lowKashida"/>
        <w:rPr>
          <w:rFonts w:ascii="Times New Roman" w:hAnsi="Times New Roman" w:cs="Times New Roman"/>
          <w:b/>
          <w:bCs/>
          <w:sz w:val="24"/>
          <w:szCs w:val="24"/>
        </w:rPr>
      </w:pPr>
      <w:r w:rsidRPr="00D061E0">
        <w:rPr>
          <w:rFonts w:ascii="Times New Roman" w:hAnsi="Times New Roman" w:cs="Times New Roman"/>
          <w:b/>
          <w:bCs/>
          <w:sz w:val="24"/>
          <w:szCs w:val="24"/>
        </w:rPr>
        <w:t>Footnotes.</w:t>
      </w:r>
    </w:p>
    <w:p w14:paraId="4DAA651C" w14:textId="343E07DD" w:rsidR="00D061E0" w:rsidRPr="00D061E0" w:rsidRDefault="00D061E0" w:rsidP="00044535">
      <w:pPr>
        <w:spacing w:line="240" w:lineRule="auto"/>
        <w:ind w:firstLine="180"/>
        <w:jc w:val="lowKashida"/>
        <w:rPr>
          <w:rFonts w:ascii="Times New Roman" w:hAnsi="Times New Roman" w:cs="Times New Roman"/>
          <w:sz w:val="24"/>
          <w:szCs w:val="24"/>
        </w:rPr>
      </w:pPr>
      <w:r w:rsidRPr="00D061E0">
        <w:rPr>
          <w:rFonts w:ascii="Times New Roman" w:hAnsi="Times New Roman" w:cs="Times New Roman"/>
          <w:b/>
          <w:bCs/>
          <w:sz w:val="24"/>
          <w:szCs w:val="24"/>
        </w:rPr>
        <w:t>Peer-Reviewers:</w:t>
      </w:r>
      <w:r w:rsidRPr="00D061E0">
        <w:rPr>
          <w:rFonts w:ascii="Times New Roman" w:hAnsi="Times New Roman" w:cs="Times New Roman"/>
          <w:sz w:val="24"/>
          <w:szCs w:val="24"/>
        </w:rPr>
        <w:t xml:space="preserve"> </w:t>
      </w:r>
      <w:r w:rsidR="00044535">
        <w:rPr>
          <w:rFonts w:ascii="Times New Roman" w:hAnsi="Times New Roman" w:cs="Times New Roman"/>
          <w:sz w:val="24"/>
          <w:szCs w:val="24"/>
        </w:rPr>
        <w:t>Tamer Goda</w:t>
      </w:r>
      <w:r w:rsidRPr="00D061E0">
        <w:rPr>
          <w:rFonts w:ascii="Times New Roman" w:hAnsi="Times New Roman" w:cs="Times New Roman"/>
          <w:sz w:val="24"/>
          <w:szCs w:val="24"/>
        </w:rPr>
        <w:t xml:space="preserve"> (</w:t>
      </w:r>
      <w:r w:rsidR="00044535">
        <w:rPr>
          <w:rFonts w:ascii="Times New Roman" w:hAnsi="Times New Roman" w:cs="Times New Roman"/>
          <w:sz w:val="24"/>
          <w:szCs w:val="24"/>
        </w:rPr>
        <w:t xml:space="preserve">assistant </w:t>
      </w:r>
      <w:r w:rsidRPr="00D061E0">
        <w:rPr>
          <w:rFonts w:ascii="Times New Roman" w:hAnsi="Times New Roman" w:cs="Times New Roman"/>
          <w:sz w:val="24"/>
          <w:szCs w:val="24"/>
        </w:rPr>
        <w:t xml:space="preserve">professor of internal medicine), </w:t>
      </w:r>
      <w:r w:rsidR="00044535">
        <w:rPr>
          <w:rFonts w:ascii="Times New Roman" w:hAnsi="Times New Roman" w:cs="Times New Roman"/>
          <w:sz w:val="24"/>
          <w:szCs w:val="24"/>
        </w:rPr>
        <w:t>Bassam Mansour Salama (Assistant professor of tropical medicine), Samah Soliman</w:t>
      </w:r>
      <w:r w:rsidRPr="00D061E0">
        <w:rPr>
          <w:rFonts w:ascii="Times New Roman" w:hAnsi="Times New Roman" w:cs="Times New Roman"/>
          <w:sz w:val="24"/>
          <w:szCs w:val="24"/>
        </w:rPr>
        <w:t xml:space="preserve"> (</w:t>
      </w:r>
      <w:r w:rsidR="00044535">
        <w:rPr>
          <w:rFonts w:ascii="Times New Roman" w:hAnsi="Times New Roman" w:cs="Times New Roman"/>
          <w:sz w:val="24"/>
          <w:szCs w:val="24"/>
        </w:rPr>
        <w:t>A</w:t>
      </w:r>
      <w:r w:rsidR="00044535" w:rsidRPr="00044535">
        <w:rPr>
          <w:rFonts w:ascii="Times New Roman" w:hAnsi="Times New Roman" w:cs="Times New Roman"/>
          <w:sz w:val="24"/>
          <w:szCs w:val="24"/>
        </w:rPr>
        <w:t xml:space="preserve">ssistant </w:t>
      </w:r>
      <w:r w:rsidR="00044535" w:rsidRPr="00D061E0">
        <w:rPr>
          <w:rFonts w:ascii="Times New Roman" w:hAnsi="Times New Roman" w:cs="Times New Roman"/>
          <w:sz w:val="24"/>
          <w:szCs w:val="24"/>
        </w:rPr>
        <w:t>professor of tropical medicine</w:t>
      </w:r>
      <w:r w:rsidRPr="00D061E0">
        <w:rPr>
          <w:rFonts w:ascii="Times New Roman" w:hAnsi="Times New Roman" w:cs="Times New Roman"/>
          <w:sz w:val="24"/>
          <w:szCs w:val="24"/>
        </w:rPr>
        <w:t>).</w:t>
      </w:r>
    </w:p>
    <w:p w14:paraId="1CF5BD63" w14:textId="2C0F1F9C" w:rsidR="00D061E0" w:rsidRPr="00D061E0" w:rsidRDefault="00D061E0" w:rsidP="00D061E0">
      <w:pPr>
        <w:spacing w:line="240" w:lineRule="auto"/>
        <w:ind w:firstLine="180"/>
        <w:jc w:val="lowKashida"/>
        <w:rPr>
          <w:rFonts w:ascii="Times New Roman" w:hAnsi="Times New Roman" w:cs="Times New Roman"/>
          <w:sz w:val="24"/>
          <w:szCs w:val="24"/>
        </w:rPr>
      </w:pPr>
      <w:r w:rsidRPr="00D061E0">
        <w:rPr>
          <w:rFonts w:ascii="Times New Roman" w:hAnsi="Times New Roman" w:cs="Times New Roman"/>
          <w:b/>
          <w:bCs/>
          <w:sz w:val="24"/>
          <w:szCs w:val="24"/>
        </w:rPr>
        <w:t>E- Editor:</w:t>
      </w:r>
      <w:r w:rsidRPr="00D061E0">
        <w:rPr>
          <w:rFonts w:ascii="Times New Roman" w:hAnsi="Times New Roman" w:cs="Times New Roman"/>
          <w:sz w:val="24"/>
          <w:szCs w:val="24"/>
        </w:rPr>
        <w:t xml:space="preserve"> Salem Youssef Mohamed, Osama Ahmed Khalil</w:t>
      </w:r>
      <w:r>
        <w:rPr>
          <w:rFonts w:ascii="Times New Roman" w:hAnsi="Times New Roman" w:cs="Times New Roman"/>
          <w:sz w:val="24"/>
          <w:szCs w:val="24"/>
        </w:rPr>
        <w:t xml:space="preserve">, Mohamed </w:t>
      </w:r>
      <w:r w:rsidR="00877C93">
        <w:rPr>
          <w:rFonts w:ascii="Times New Roman" w:hAnsi="Times New Roman" w:cs="Times New Roman"/>
          <w:sz w:val="24"/>
          <w:szCs w:val="24"/>
        </w:rPr>
        <w:t>Hassan</w:t>
      </w:r>
      <w:r>
        <w:rPr>
          <w:rFonts w:ascii="Times New Roman" w:hAnsi="Times New Roman" w:cs="Times New Roman"/>
          <w:sz w:val="24"/>
          <w:szCs w:val="24"/>
        </w:rPr>
        <w:t xml:space="preserve"> </w:t>
      </w:r>
      <w:r w:rsidR="00877C93">
        <w:rPr>
          <w:rFonts w:ascii="Times New Roman" w:hAnsi="Times New Roman" w:cs="Times New Roman"/>
          <w:sz w:val="24"/>
          <w:szCs w:val="24"/>
        </w:rPr>
        <w:t>Ali</w:t>
      </w:r>
      <w:r>
        <w:rPr>
          <w:rFonts w:ascii="Times New Roman" w:hAnsi="Times New Roman" w:cs="Times New Roman"/>
          <w:sz w:val="24"/>
          <w:szCs w:val="24"/>
        </w:rPr>
        <w:t xml:space="preserve"> </w:t>
      </w:r>
      <w:r w:rsidR="00877C93">
        <w:rPr>
          <w:rFonts w:ascii="Times New Roman" w:hAnsi="Times New Roman" w:cs="Times New Roman"/>
          <w:sz w:val="24"/>
          <w:szCs w:val="24"/>
        </w:rPr>
        <w:t>E</w:t>
      </w:r>
      <w:r>
        <w:rPr>
          <w:rFonts w:ascii="Times New Roman" w:hAnsi="Times New Roman" w:cs="Times New Roman"/>
          <w:sz w:val="24"/>
          <w:szCs w:val="24"/>
        </w:rPr>
        <w:t>mara.</w:t>
      </w:r>
    </w:p>
    <w:p w14:paraId="1A6F4D1E" w14:textId="77777777" w:rsidR="00D061E0" w:rsidRPr="00D061E0" w:rsidRDefault="00D061E0" w:rsidP="00D061E0">
      <w:pPr>
        <w:spacing w:line="240" w:lineRule="auto"/>
        <w:ind w:firstLine="180"/>
        <w:jc w:val="lowKashida"/>
        <w:rPr>
          <w:rFonts w:ascii="Times New Roman" w:hAnsi="Times New Roman" w:cs="Times New Roman"/>
          <w:sz w:val="24"/>
          <w:szCs w:val="24"/>
        </w:rPr>
      </w:pPr>
      <w:r w:rsidRPr="00D061E0">
        <w:rPr>
          <w:rFonts w:ascii="Times New Roman" w:hAnsi="Times New Roman" w:cs="Times New Roman"/>
          <w:b/>
          <w:bCs/>
          <w:sz w:val="24"/>
          <w:szCs w:val="24"/>
        </w:rPr>
        <w:t>Copyright ©.</w:t>
      </w:r>
      <w:r w:rsidRPr="00D061E0">
        <w:rPr>
          <w:rFonts w:ascii="Times New Roman"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3AEE3CAF" w14:textId="77777777" w:rsidR="00D061E0" w:rsidRPr="00D061E0" w:rsidRDefault="00D061E0" w:rsidP="00D061E0">
      <w:pPr>
        <w:spacing w:line="240" w:lineRule="auto"/>
        <w:ind w:firstLine="180"/>
        <w:jc w:val="lowKashida"/>
        <w:rPr>
          <w:rFonts w:ascii="Times New Roman" w:hAnsi="Times New Roman" w:cs="Times New Roman"/>
          <w:sz w:val="24"/>
          <w:szCs w:val="24"/>
        </w:rPr>
      </w:pPr>
      <w:r w:rsidRPr="00D061E0">
        <w:rPr>
          <w:rFonts w:ascii="Times New Roman" w:hAnsi="Times New Roman" w:cs="Times New Roman"/>
          <w:b/>
          <w:bCs/>
          <w:sz w:val="24"/>
          <w:szCs w:val="24"/>
        </w:rPr>
        <w:t>Disclaimer:</w:t>
      </w:r>
      <w:r w:rsidRPr="00D061E0">
        <w:rPr>
          <w:rFonts w:ascii="Times New Roman"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41BAE7A2" w14:textId="77777777" w:rsidR="0035187B" w:rsidRDefault="00D061E0" w:rsidP="000238FC">
      <w:pPr>
        <w:spacing w:line="240" w:lineRule="auto"/>
        <w:ind w:firstLine="180"/>
        <w:jc w:val="lowKashida"/>
        <w:rPr>
          <w:rFonts w:ascii="Times New Roman" w:hAnsi="Times New Roman" w:cs="Times New Roman"/>
          <w:sz w:val="24"/>
          <w:szCs w:val="24"/>
        </w:rPr>
      </w:pPr>
      <w:r w:rsidRPr="00D061E0">
        <w:rPr>
          <w:rFonts w:ascii="Times New Roman" w:hAnsi="Times New Roman" w:cs="Times New Roman"/>
          <w:b/>
          <w:bCs/>
          <w:sz w:val="24"/>
          <w:szCs w:val="24"/>
        </w:rPr>
        <w:t>Ethics Approval and Consent to Participate</w:t>
      </w:r>
      <w:r w:rsidRPr="00D061E0">
        <w:rPr>
          <w:rFonts w:ascii="Times New Roman" w:hAnsi="Times New Roman" w:cs="Times New Roman"/>
          <w:sz w:val="24"/>
          <w:szCs w:val="24"/>
        </w:rPr>
        <w:t>: All procedures followed were by the ethical standards of the responsible committee on human experimentation (Institutional Review Board (IRB)” (</w:t>
      </w:r>
      <w:r w:rsidR="000238FC" w:rsidRPr="000238FC">
        <w:rPr>
          <w:rFonts w:ascii="Times New Roman" w:hAnsi="Times New Roman" w:cs="Times New Roman"/>
          <w:sz w:val="24"/>
          <w:szCs w:val="24"/>
        </w:rPr>
        <w:t>ZU-IRB #9145</w:t>
      </w:r>
      <w:r w:rsidRPr="00D061E0">
        <w:rPr>
          <w:rFonts w:ascii="Times New Roman" w:hAnsi="Times New Roman" w:cs="Times New Roman"/>
          <w:sz w:val="24"/>
          <w:szCs w:val="24"/>
        </w:rPr>
        <w:t xml:space="preserve">) of </w:t>
      </w:r>
      <w:r w:rsidR="000238FC">
        <w:rPr>
          <w:rFonts w:ascii="Times New Roman" w:hAnsi="Times New Roman" w:cs="Times New Roman"/>
          <w:sz w:val="24"/>
          <w:szCs w:val="24"/>
        </w:rPr>
        <w:t xml:space="preserve">Zagazig </w:t>
      </w:r>
      <w:r w:rsidR="000238FC" w:rsidRPr="00D061E0">
        <w:rPr>
          <w:rFonts w:ascii="Times New Roman" w:hAnsi="Times New Roman" w:cs="Times New Roman"/>
          <w:sz w:val="24"/>
          <w:szCs w:val="24"/>
        </w:rPr>
        <w:t>University</w:t>
      </w:r>
      <w:r w:rsidRPr="00D061E0">
        <w:rPr>
          <w:rFonts w:ascii="Times New Roman" w:hAnsi="Times New Roman" w:cs="Times New Roman"/>
          <w:sz w:val="24"/>
          <w:szCs w:val="24"/>
        </w:rPr>
        <w:t xml:space="preserve"> and with the Helsinki Declaration of 1964 and later versions.</w:t>
      </w:r>
    </w:p>
    <w:p w14:paraId="299BA33E" w14:textId="77777777" w:rsidR="0035187B" w:rsidRPr="0035187B" w:rsidRDefault="0035187B" w:rsidP="0035187B">
      <w:pPr>
        <w:spacing w:line="240" w:lineRule="auto"/>
        <w:ind w:firstLine="180"/>
        <w:jc w:val="lowKashida"/>
        <w:rPr>
          <w:rFonts w:ascii="Times New Roman" w:hAnsi="Times New Roman" w:cs="Times New Roman"/>
          <w:sz w:val="24"/>
          <w:szCs w:val="24"/>
        </w:rPr>
      </w:pPr>
      <w:r w:rsidRPr="0035187B">
        <w:rPr>
          <w:rFonts w:ascii="Times New Roman" w:hAnsi="Times New Roman" w:cs="Times New Roman"/>
          <w:b/>
          <w:sz w:val="24"/>
          <w:szCs w:val="24"/>
        </w:rPr>
        <w:t>Trial registration number</w:t>
      </w:r>
      <w:r w:rsidRPr="0035187B">
        <w:rPr>
          <w:rFonts w:ascii="Times New Roman" w:hAnsi="Times New Roman" w:cs="Times New Roman"/>
          <w:sz w:val="24"/>
          <w:szCs w:val="24"/>
        </w:rPr>
        <w:t xml:space="preserve"> ClinicalTrials.gov NCT05240677, date of registration: 2 February 2022.</w:t>
      </w:r>
    </w:p>
    <w:p w14:paraId="2F0407FE" w14:textId="77777777" w:rsidR="00D061E0" w:rsidRPr="00D061E0" w:rsidRDefault="00D061E0" w:rsidP="00D061E0">
      <w:pPr>
        <w:spacing w:line="240" w:lineRule="auto"/>
        <w:ind w:firstLine="180"/>
        <w:jc w:val="lowKashida"/>
        <w:rPr>
          <w:rFonts w:ascii="Times New Roman" w:hAnsi="Times New Roman" w:cs="Times New Roman"/>
          <w:sz w:val="24"/>
          <w:szCs w:val="24"/>
        </w:rPr>
      </w:pPr>
      <w:r w:rsidRPr="00D061E0">
        <w:rPr>
          <w:rFonts w:ascii="Times New Roman" w:hAnsi="Times New Roman" w:cs="Times New Roman"/>
          <w:b/>
          <w:bCs/>
          <w:sz w:val="24"/>
          <w:szCs w:val="24"/>
        </w:rPr>
        <w:t>Consent for publication</w:t>
      </w:r>
      <w:r w:rsidRPr="00D061E0">
        <w:rPr>
          <w:rFonts w:ascii="Times New Roman" w:hAnsi="Times New Roman" w:cs="Times New Roman"/>
          <w:sz w:val="24"/>
          <w:szCs w:val="24"/>
        </w:rPr>
        <w:t>: All patients included in this research gave written informed permission to publish the data contained within this study.</w:t>
      </w:r>
    </w:p>
    <w:p w14:paraId="48B37350" w14:textId="77777777" w:rsidR="00D061E0" w:rsidRPr="00D061E0" w:rsidRDefault="00D061E0" w:rsidP="00D061E0">
      <w:pPr>
        <w:spacing w:line="240" w:lineRule="auto"/>
        <w:ind w:firstLine="180"/>
        <w:jc w:val="lowKashida"/>
        <w:rPr>
          <w:rFonts w:ascii="Times New Roman" w:hAnsi="Times New Roman" w:cs="Times New Roman"/>
          <w:sz w:val="24"/>
          <w:szCs w:val="24"/>
        </w:rPr>
      </w:pPr>
      <w:r w:rsidRPr="00D061E0">
        <w:rPr>
          <w:rFonts w:ascii="Times New Roman" w:hAnsi="Times New Roman" w:cs="Times New Roman"/>
          <w:b/>
          <w:bCs/>
          <w:sz w:val="24"/>
          <w:szCs w:val="24"/>
        </w:rPr>
        <w:t>Availability of data and materials:</w:t>
      </w:r>
      <w:r w:rsidRPr="00D061E0">
        <w:rPr>
          <w:rFonts w:ascii="Times New Roman" w:hAnsi="Times New Roman" w:cs="Times New Roman"/>
          <w:sz w:val="24"/>
          <w:szCs w:val="24"/>
        </w:rPr>
        <w:t xml:space="preserve"> The datasets used or analyzed during the current study are available from the corresponding author upon reasonable request.</w:t>
      </w:r>
    </w:p>
    <w:p w14:paraId="275BAE50" w14:textId="77777777" w:rsidR="00D061E0" w:rsidRPr="00D061E0" w:rsidRDefault="00D061E0" w:rsidP="00D061E0">
      <w:pPr>
        <w:spacing w:line="240" w:lineRule="auto"/>
        <w:ind w:firstLine="180"/>
        <w:jc w:val="lowKashida"/>
        <w:rPr>
          <w:rFonts w:ascii="Times New Roman" w:hAnsi="Times New Roman" w:cs="Times New Roman"/>
          <w:sz w:val="24"/>
          <w:szCs w:val="24"/>
        </w:rPr>
      </w:pPr>
      <w:r w:rsidRPr="00D061E0">
        <w:rPr>
          <w:rFonts w:ascii="Times New Roman" w:hAnsi="Times New Roman" w:cs="Times New Roman"/>
          <w:b/>
          <w:bCs/>
          <w:sz w:val="24"/>
          <w:szCs w:val="24"/>
        </w:rPr>
        <w:t>Competing interests</w:t>
      </w:r>
      <w:r w:rsidRPr="00D061E0">
        <w:rPr>
          <w:rFonts w:ascii="Times New Roman" w:hAnsi="Times New Roman" w:cs="Times New Roman"/>
          <w:sz w:val="24"/>
          <w:szCs w:val="24"/>
        </w:rPr>
        <w:t>: The authors declare that they have no competing interests.</w:t>
      </w:r>
    </w:p>
    <w:p w14:paraId="033AFC45" w14:textId="77777777" w:rsidR="00D061E0" w:rsidRPr="00D061E0" w:rsidRDefault="00D061E0" w:rsidP="00D061E0">
      <w:pPr>
        <w:spacing w:line="240" w:lineRule="auto"/>
        <w:ind w:firstLine="180"/>
        <w:jc w:val="lowKashida"/>
        <w:rPr>
          <w:rFonts w:ascii="Times New Roman" w:hAnsi="Times New Roman" w:cs="Times New Roman"/>
          <w:sz w:val="24"/>
          <w:szCs w:val="24"/>
        </w:rPr>
      </w:pPr>
      <w:r w:rsidRPr="00D061E0">
        <w:rPr>
          <w:rFonts w:ascii="Times New Roman" w:hAnsi="Times New Roman" w:cs="Times New Roman"/>
          <w:b/>
          <w:bCs/>
          <w:sz w:val="24"/>
          <w:szCs w:val="24"/>
        </w:rPr>
        <w:t>Funding</w:t>
      </w:r>
      <w:r w:rsidRPr="00D061E0">
        <w:rPr>
          <w:rFonts w:ascii="Times New Roman" w:hAnsi="Times New Roman" w:cs="Times New Roman"/>
          <w:sz w:val="24"/>
          <w:szCs w:val="24"/>
        </w:rPr>
        <w:t>: This study had no funding from any resource.</w:t>
      </w:r>
    </w:p>
    <w:p w14:paraId="44A4533C" w14:textId="41121CF1" w:rsidR="00403720" w:rsidRPr="00DC4B5A" w:rsidRDefault="00162A10" w:rsidP="005765D7">
      <w:pPr>
        <w:spacing w:after="0" w:line="240" w:lineRule="auto"/>
        <w:jc w:val="lowKashida"/>
        <w:rPr>
          <w:rFonts w:ascii="Times New Roman" w:hAnsi="Times New Roman" w:cs="Times New Roman"/>
          <w:b/>
          <w:bCs/>
          <w:sz w:val="24"/>
          <w:szCs w:val="24"/>
        </w:rPr>
      </w:pPr>
      <w:r w:rsidRPr="00DC4B5A">
        <w:rPr>
          <w:rFonts w:ascii="Times New Roman" w:hAnsi="Times New Roman" w:cs="Times New Roman"/>
          <w:b/>
          <w:bCs/>
          <w:sz w:val="24"/>
          <w:szCs w:val="24"/>
        </w:rPr>
        <w:t>Authors’ contributions</w:t>
      </w:r>
    </w:p>
    <w:p w14:paraId="6F1A090C" w14:textId="4BE8433B" w:rsidR="00403720" w:rsidRPr="00DC4B5A" w:rsidRDefault="005E172B" w:rsidP="005765D7">
      <w:pPr>
        <w:spacing w:after="0" w:line="240" w:lineRule="auto"/>
        <w:jc w:val="lowKashida"/>
        <w:rPr>
          <w:rFonts w:ascii="Times New Roman" w:hAnsi="Times New Roman" w:cs="Times New Roman"/>
          <w:sz w:val="24"/>
          <w:szCs w:val="24"/>
        </w:rPr>
      </w:pPr>
      <w:r w:rsidRPr="00DC4B5A">
        <w:rPr>
          <w:rFonts w:ascii="Times New Roman" w:hAnsi="Times New Roman" w:cs="Times New Roman"/>
          <w:sz w:val="24"/>
          <w:szCs w:val="24"/>
        </w:rPr>
        <w:t xml:space="preserve">The study was conceptualized and designed by </w:t>
      </w:r>
      <w:r w:rsidR="009A43B7" w:rsidRPr="00DC4B5A">
        <w:rPr>
          <w:rFonts w:ascii="Times New Roman" w:eastAsia="Times New Roman" w:hAnsi="Times New Roman" w:cs="Times New Roman"/>
          <w:sz w:val="24"/>
          <w:szCs w:val="24"/>
        </w:rPr>
        <w:t>Walid Ahmed Ragab Abdelhamid</w:t>
      </w:r>
      <w:r w:rsidRPr="00DC4B5A">
        <w:rPr>
          <w:rFonts w:ascii="Times New Roman" w:hAnsi="Times New Roman" w:cs="Times New Roman"/>
          <w:sz w:val="24"/>
          <w:szCs w:val="24"/>
        </w:rPr>
        <w:t xml:space="preserve"> and </w:t>
      </w:r>
      <w:r w:rsidR="009A43B7" w:rsidRPr="00DC4B5A">
        <w:rPr>
          <w:rFonts w:ascii="Times New Roman" w:eastAsia="Times New Roman" w:hAnsi="Times New Roman" w:cs="Times New Roman"/>
          <w:sz w:val="24"/>
          <w:szCs w:val="24"/>
        </w:rPr>
        <w:t xml:space="preserve">Mahmoud Ahmed </w:t>
      </w:r>
      <w:proofErr w:type="spellStart"/>
      <w:r w:rsidR="009A43B7" w:rsidRPr="00DC4B5A">
        <w:rPr>
          <w:rFonts w:ascii="Times New Roman" w:eastAsia="Times New Roman" w:hAnsi="Times New Roman" w:cs="Times New Roman"/>
          <w:sz w:val="24"/>
          <w:szCs w:val="24"/>
        </w:rPr>
        <w:t>Sharafeddin</w:t>
      </w:r>
      <w:proofErr w:type="spellEnd"/>
      <w:r w:rsidRPr="00DC4B5A">
        <w:rPr>
          <w:rFonts w:ascii="Times New Roman" w:hAnsi="Times New Roman" w:cs="Times New Roman"/>
          <w:sz w:val="24"/>
          <w:szCs w:val="24"/>
        </w:rPr>
        <w:t xml:space="preserve">. </w:t>
      </w:r>
      <w:r w:rsidR="00B7625B" w:rsidRPr="00DC4B5A">
        <w:rPr>
          <w:rFonts w:ascii="Times New Roman" w:hAnsi="Times New Roman" w:cs="Times New Roman"/>
          <w:sz w:val="24"/>
          <w:szCs w:val="24"/>
        </w:rPr>
        <w:t xml:space="preserve">Walid Ahmed Ragab Abdelhamid, Said Abdel Baky Gad, and Mahmoud Ahmed </w:t>
      </w:r>
      <w:proofErr w:type="spellStart"/>
      <w:r w:rsidR="00B7625B" w:rsidRPr="00DC4B5A">
        <w:rPr>
          <w:rFonts w:ascii="Times New Roman" w:hAnsi="Times New Roman" w:cs="Times New Roman"/>
          <w:sz w:val="24"/>
          <w:szCs w:val="24"/>
        </w:rPr>
        <w:t>Sharafeddin</w:t>
      </w:r>
      <w:proofErr w:type="spellEnd"/>
      <w:r w:rsidR="00B7625B" w:rsidRPr="00DC4B5A">
        <w:rPr>
          <w:rFonts w:ascii="Times New Roman" w:hAnsi="Times New Roman" w:cs="Times New Roman"/>
          <w:sz w:val="24"/>
          <w:szCs w:val="24"/>
        </w:rPr>
        <w:t xml:space="preserve"> collected and compiled data</w:t>
      </w:r>
      <w:r w:rsidRPr="00DC4B5A">
        <w:rPr>
          <w:rFonts w:ascii="Times New Roman" w:hAnsi="Times New Roman" w:cs="Times New Roman"/>
          <w:sz w:val="24"/>
          <w:szCs w:val="24"/>
        </w:rPr>
        <w:t xml:space="preserve">. </w:t>
      </w:r>
      <w:r w:rsidR="00512F1A" w:rsidRPr="00DC4B5A">
        <w:rPr>
          <w:rFonts w:ascii="Times New Roman" w:eastAsia="Times New Roman" w:hAnsi="Times New Roman" w:cs="Times New Roman"/>
          <w:sz w:val="24"/>
          <w:szCs w:val="24"/>
        </w:rPr>
        <w:t xml:space="preserve">Mahmoud Ahmed </w:t>
      </w:r>
      <w:proofErr w:type="spellStart"/>
      <w:r w:rsidR="00512F1A" w:rsidRPr="00DC4B5A">
        <w:rPr>
          <w:rFonts w:ascii="Times New Roman" w:eastAsia="Times New Roman" w:hAnsi="Times New Roman" w:cs="Times New Roman"/>
          <w:sz w:val="24"/>
          <w:szCs w:val="24"/>
        </w:rPr>
        <w:t>Sharafeddin</w:t>
      </w:r>
      <w:proofErr w:type="spellEnd"/>
      <w:r w:rsidRPr="00DC4B5A">
        <w:rPr>
          <w:rFonts w:ascii="Times New Roman" w:hAnsi="Times New Roman" w:cs="Times New Roman"/>
          <w:sz w:val="24"/>
          <w:szCs w:val="24"/>
        </w:rPr>
        <w:t xml:space="preserve"> conducted the statistical analysis, while </w:t>
      </w:r>
      <w:r w:rsidR="00512F1A" w:rsidRPr="00DC4B5A">
        <w:rPr>
          <w:rFonts w:ascii="Times New Roman" w:eastAsia="Times New Roman" w:hAnsi="Times New Roman" w:cs="Times New Roman"/>
          <w:sz w:val="24"/>
          <w:szCs w:val="24"/>
        </w:rPr>
        <w:t>Walid Ahmed Ragab Abdelhamid</w:t>
      </w:r>
      <w:r w:rsidRPr="00DC4B5A">
        <w:rPr>
          <w:rFonts w:ascii="Times New Roman" w:hAnsi="Times New Roman" w:cs="Times New Roman"/>
          <w:sz w:val="24"/>
          <w:szCs w:val="24"/>
        </w:rPr>
        <w:t xml:space="preserve"> drafted the manuscript. </w:t>
      </w:r>
      <w:r w:rsidR="00512F1A" w:rsidRPr="00DC4B5A">
        <w:rPr>
          <w:rFonts w:ascii="Times New Roman" w:eastAsia="Times New Roman" w:hAnsi="Times New Roman" w:cs="Times New Roman"/>
          <w:sz w:val="24"/>
          <w:szCs w:val="24"/>
        </w:rPr>
        <w:t>Said Abdel Baky Gad</w:t>
      </w:r>
      <w:r w:rsidRPr="00DC4B5A">
        <w:rPr>
          <w:rFonts w:ascii="Times New Roman" w:hAnsi="Times New Roman" w:cs="Times New Roman"/>
          <w:sz w:val="24"/>
          <w:szCs w:val="24"/>
        </w:rPr>
        <w:t xml:space="preserve"> and </w:t>
      </w:r>
      <w:r w:rsidR="00512F1A" w:rsidRPr="00DC4B5A">
        <w:rPr>
          <w:rFonts w:ascii="Times New Roman" w:eastAsia="Times New Roman" w:hAnsi="Times New Roman" w:cs="Times New Roman"/>
          <w:sz w:val="24"/>
          <w:szCs w:val="24"/>
        </w:rPr>
        <w:t xml:space="preserve">Mahmoud Ahmed </w:t>
      </w:r>
      <w:proofErr w:type="spellStart"/>
      <w:r w:rsidR="00512F1A" w:rsidRPr="00DC4B5A">
        <w:rPr>
          <w:rFonts w:ascii="Times New Roman" w:eastAsia="Times New Roman" w:hAnsi="Times New Roman" w:cs="Times New Roman"/>
          <w:sz w:val="24"/>
          <w:szCs w:val="24"/>
        </w:rPr>
        <w:t>Sharafeddin</w:t>
      </w:r>
      <w:proofErr w:type="spellEnd"/>
      <w:r w:rsidRPr="00DC4B5A">
        <w:rPr>
          <w:rFonts w:ascii="Times New Roman" w:hAnsi="Times New Roman" w:cs="Times New Roman"/>
          <w:sz w:val="24"/>
          <w:szCs w:val="24"/>
        </w:rPr>
        <w:t xml:space="preserve"> provided significant intellectual input throughout the project, contributing to comments and revisions. All authors reviewed and approved the final manuscript.</w:t>
      </w:r>
    </w:p>
    <w:p w14:paraId="47F6B61A" w14:textId="77777777" w:rsidR="005765D7" w:rsidRPr="00DC4B5A" w:rsidRDefault="005765D7" w:rsidP="005765D7">
      <w:pPr>
        <w:spacing w:after="0" w:line="240" w:lineRule="auto"/>
        <w:jc w:val="lowKashida"/>
        <w:rPr>
          <w:rFonts w:ascii="Times New Roman" w:eastAsia="Times New Roman" w:hAnsi="Times New Roman" w:cs="Times New Roman"/>
          <w:b/>
          <w:bCs/>
          <w:sz w:val="24"/>
          <w:szCs w:val="24"/>
        </w:rPr>
      </w:pPr>
      <w:r w:rsidRPr="00DC4B5A">
        <w:rPr>
          <w:rFonts w:ascii="Times New Roman" w:eastAsia="Times New Roman" w:hAnsi="Times New Roman" w:cs="Times New Roman"/>
          <w:b/>
          <w:bCs/>
          <w:sz w:val="24"/>
          <w:szCs w:val="24"/>
        </w:rPr>
        <w:t>References</w:t>
      </w:r>
    </w:p>
    <w:p w14:paraId="5C39C4BF"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Sugahara M, Tanaka T, </w:t>
      </w:r>
      <w:proofErr w:type="spellStart"/>
      <w:r w:rsidRPr="00DC4B5A">
        <w:rPr>
          <w:rFonts w:ascii="Times New Roman" w:eastAsia="Times New Roman" w:hAnsi="Times New Roman" w:cs="Times New Roman"/>
          <w:sz w:val="24"/>
          <w:szCs w:val="24"/>
          <w:lang w:val="en-GB"/>
        </w:rPr>
        <w:t>Nangaku</w:t>
      </w:r>
      <w:proofErr w:type="spellEnd"/>
      <w:r w:rsidRPr="00DC4B5A">
        <w:rPr>
          <w:rFonts w:ascii="Times New Roman" w:eastAsia="Times New Roman" w:hAnsi="Times New Roman" w:cs="Times New Roman"/>
          <w:sz w:val="24"/>
          <w:szCs w:val="24"/>
          <w:lang w:val="en-GB"/>
        </w:rPr>
        <w:t xml:space="preserve"> M. Prolyl hydroxylase domain inhibitors as a novel therapeutic approach against anemia in chronic kidney disease. Kidney Int 2017;92(2):306-312. </w:t>
      </w:r>
      <w:hyperlink r:id="rId14">
        <w:r w:rsidRPr="00DC4B5A">
          <w:rPr>
            <w:rFonts w:ascii="Times New Roman" w:eastAsia="Times New Roman" w:hAnsi="Times New Roman" w:cs="Times New Roman"/>
            <w:color w:val="1155CC"/>
            <w:sz w:val="24"/>
            <w:szCs w:val="24"/>
            <w:u w:val="single"/>
            <w:lang w:val="en-GB"/>
          </w:rPr>
          <w:t>https://doi.org/10.1016/j.kint.2017.02.035</w:t>
        </w:r>
      </w:hyperlink>
      <w:r w:rsidRPr="00DC4B5A">
        <w:rPr>
          <w:rFonts w:ascii="Times New Roman" w:eastAsia="Times New Roman" w:hAnsi="Times New Roman" w:cs="Times New Roman"/>
          <w:sz w:val="24"/>
          <w:szCs w:val="24"/>
          <w:lang w:val="en-GB"/>
        </w:rPr>
        <w:t>.</w:t>
      </w:r>
    </w:p>
    <w:p w14:paraId="2F3DC102" w14:textId="2BF095A6"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García Agudo R, Aoufi Rabih S, González Carro P, et al. Gastrointestinal lesions in chronic kidney disease patients with </w:t>
      </w:r>
      <w:r w:rsidR="00DC4B5A">
        <w:rPr>
          <w:rFonts w:ascii="Times New Roman" w:eastAsia="Times New Roman" w:hAnsi="Times New Roman" w:cs="Times New Roman"/>
          <w:sz w:val="24"/>
          <w:szCs w:val="24"/>
          <w:lang w:val="en-GB"/>
        </w:rPr>
        <w:t>anemia</w:t>
      </w:r>
      <w:r w:rsidRPr="00DC4B5A">
        <w:rPr>
          <w:rFonts w:ascii="Times New Roman" w:eastAsia="Times New Roman" w:hAnsi="Times New Roman" w:cs="Times New Roman"/>
          <w:sz w:val="24"/>
          <w:szCs w:val="24"/>
          <w:lang w:val="en-GB"/>
        </w:rPr>
        <w:t xml:space="preserve">. </w:t>
      </w:r>
      <w:proofErr w:type="spellStart"/>
      <w:r w:rsidRPr="00DC4B5A">
        <w:rPr>
          <w:rFonts w:ascii="Times New Roman" w:eastAsia="Times New Roman" w:hAnsi="Times New Roman" w:cs="Times New Roman"/>
          <w:sz w:val="24"/>
          <w:szCs w:val="24"/>
          <w:lang w:val="en-GB"/>
        </w:rPr>
        <w:t>Nefrologia</w:t>
      </w:r>
      <w:proofErr w:type="spellEnd"/>
      <w:r w:rsidRPr="00DC4B5A">
        <w:rPr>
          <w:rFonts w:ascii="Times New Roman" w:eastAsia="Times New Roman" w:hAnsi="Times New Roman" w:cs="Times New Roman"/>
          <w:sz w:val="24"/>
          <w:szCs w:val="24"/>
          <w:lang w:val="en-GB"/>
        </w:rPr>
        <w:t xml:space="preserve"> (Engl Ed) 2019;39(1):50-57. </w:t>
      </w:r>
      <w:hyperlink r:id="rId15">
        <w:r w:rsidRPr="00DC4B5A">
          <w:rPr>
            <w:rFonts w:ascii="Times New Roman" w:eastAsia="Times New Roman" w:hAnsi="Times New Roman" w:cs="Times New Roman"/>
            <w:color w:val="1155CC"/>
            <w:sz w:val="24"/>
            <w:szCs w:val="24"/>
            <w:u w:val="single"/>
            <w:lang w:val="en-GB"/>
          </w:rPr>
          <w:t>https://doi.org/10.1016/j.nefro.2018.05.010</w:t>
        </w:r>
      </w:hyperlink>
      <w:r w:rsidRPr="00DC4B5A">
        <w:rPr>
          <w:rFonts w:ascii="Times New Roman" w:eastAsia="Times New Roman" w:hAnsi="Times New Roman" w:cs="Times New Roman"/>
          <w:sz w:val="24"/>
          <w:szCs w:val="24"/>
          <w:lang w:val="en-GB"/>
        </w:rPr>
        <w:t>.</w:t>
      </w:r>
    </w:p>
    <w:p w14:paraId="6F223999"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Batchelor EK, </w:t>
      </w:r>
      <w:proofErr w:type="spellStart"/>
      <w:r w:rsidRPr="00DC4B5A">
        <w:rPr>
          <w:rFonts w:ascii="Times New Roman" w:eastAsia="Times New Roman" w:hAnsi="Times New Roman" w:cs="Times New Roman"/>
          <w:sz w:val="24"/>
          <w:szCs w:val="24"/>
          <w:lang w:val="en-GB"/>
        </w:rPr>
        <w:t>Kapitsinou</w:t>
      </w:r>
      <w:proofErr w:type="spellEnd"/>
      <w:r w:rsidRPr="00DC4B5A">
        <w:rPr>
          <w:rFonts w:ascii="Times New Roman" w:eastAsia="Times New Roman" w:hAnsi="Times New Roman" w:cs="Times New Roman"/>
          <w:sz w:val="24"/>
          <w:szCs w:val="24"/>
          <w:lang w:val="en-GB"/>
        </w:rPr>
        <w:t xml:space="preserve"> P, Pergola PE, </w:t>
      </w:r>
      <w:proofErr w:type="spellStart"/>
      <w:r w:rsidRPr="00DC4B5A">
        <w:rPr>
          <w:rFonts w:ascii="Times New Roman" w:eastAsia="Times New Roman" w:hAnsi="Times New Roman" w:cs="Times New Roman"/>
          <w:sz w:val="24"/>
          <w:szCs w:val="24"/>
          <w:lang w:val="en-GB"/>
        </w:rPr>
        <w:t>Kovesdy</w:t>
      </w:r>
      <w:proofErr w:type="spellEnd"/>
      <w:r w:rsidRPr="00DC4B5A">
        <w:rPr>
          <w:rFonts w:ascii="Times New Roman" w:eastAsia="Times New Roman" w:hAnsi="Times New Roman" w:cs="Times New Roman"/>
          <w:sz w:val="24"/>
          <w:szCs w:val="24"/>
          <w:lang w:val="en-GB"/>
        </w:rPr>
        <w:t xml:space="preserve"> CP, Jalal DI. Iron Deficiency in Chronic Kidney Disease: Updates on Pathophysiology, Diagnosis, and Treatment. J Am Soc Nephrol 2020;31(3):456-468. </w:t>
      </w:r>
      <w:hyperlink r:id="rId16">
        <w:r w:rsidRPr="00DC4B5A">
          <w:rPr>
            <w:rFonts w:ascii="Times New Roman" w:eastAsia="Times New Roman" w:hAnsi="Times New Roman" w:cs="Times New Roman"/>
            <w:color w:val="1155CC"/>
            <w:sz w:val="24"/>
            <w:szCs w:val="24"/>
            <w:u w:val="single"/>
            <w:lang w:val="en-GB"/>
          </w:rPr>
          <w:t>https://doi.org/10.1681/asn.2019020213</w:t>
        </w:r>
      </w:hyperlink>
      <w:r w:rsidRPr="00DC4B5A">
        <w:rPr>
          <w:rFonts w:ascii="Times New Roman" w:eastAsia="Times New Roman" w:hAnsi="Times New Roman" w:cs="Times New Roman"/>
          <w:sz w:val="24"/>
          <w:szCs w:val="24"/>
          <w:lang w:val="en-GB"/>
        </w:rPr>
        <w:t>.</w:t>
      </w:r>
    </w:p>
    <w:p w14:paraId="0F08948D" w14:textId="1BC3103E" w:rsidR="00F04D93" w:rsidRPr="00DC4B5A" w:rsidRDefault="005E46CC"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proofErr w:type="spellStart"/>
      <w:r w:rsidRPr="00DC4B5A">
        <w:rPr>
          <w:rFonts w:ascii="Times New Roman" w:eastAsia="Times New Roman" w:hAnsi="Times New Roman" w:cs="Times New Roman"/>
          <w:sz w:val="24"/>
          <w:szCs w:val="24"/>
          <w:lang w:val="en-GB"/>
        </w:rPr>
        <w:t>Malekmakan</w:t>
      </w:r>
      <w:proofErr w:type="spellEnd"/>
      <w:r w:rsidRPr="00DC4B5A">
        <w:rPr>
          <w:rFonts w:ascii="Times New Roman" w:eastAsia="Times New Roman" w:hAnsi="Times New Roman" w:cs="Times New Roman"/>
          <w:sz w:val="24"/>
          <w:szCs w:val="24"/>
          <w:lang w:val="en-GB"/>
        </w:rPr>
        <w:t xml:space="preserve"> L, </w:t>
      </w:r>
      <w:proofErr w:type="spellStart"/>
      <w:r w:rsidRPr="00DC4B5A">
        <w:rPr>
          <w:rFonts w:ascii="Times New Roman" w:eastAsia="Times New Roman" w:hAnsi="Times New Roman" w:cs="Times New Roman"/>
          <w:sz w:val="24"/>
          <w:szCs w:val="24"/>
          <w:lang w:val="en-GB"/>
        </w:rPr>
        <w:t>Pakfetrat</w:t>
      </w:r>
      <w:proofErr w:type="spellEnd"/>
      <w:r w:rsidRPr="00DC4B5A">
        <w:rPr>
          <w:rFonts w:ascii="Times New Roman" w:eastAsia="Times New Roman" w:hAnsi="Times New Roman" w:cs="Times New Roman"/>
          <w:sz w:val="24"/>
          <w:szCs w:val="24"/>
          <w:lang w:val="en-GB"/>
        </w:rPr>
        <w:t xml:space="preserve"> M, Roozbeh J</w:t>
      </w:r>
      <w:r w:rsidR="00F04D93" w:rsidRPr="00DC4B5A">
        <w:rPr>
          <w:rFonts w:ascii="Times New Roman" w:eastAsia="Times New Roman" w:hAnsi="Times New Roman" w:cs="Times New Roman"/>
          <w:sz w:val="24"/>
          <w:szCs w:val="24"/>
          <w:lang w:val="en-GB"/>
        </w:rPr>
        <w:t xml:space="preserve">, Tadayon T, Moini M, Goodarzian M. Endoscopic findings in </w:t>
      </w:r>
      <w:proofErr w:type="spellStart"/>
      <w:r w:rsidR="00F04D93" w:rsidRPr="00DC4B5A">
        <w:rPr>
          <w:rFonts w:ascii="Times New Roman" w:eastAsia="Times New Roman" w:hAnsi="Times New Roman" w:cs="Times New Roman"/>
          <w:sz w:val="24"/>
          <w:szCs w:val="24"/>
          <w:lang w:val="en-GB"/>
        </w:rPr>
        <w:t>hemodialysis</w:t>
      </w:r>
      <w:proofErr w:type="spellEnd"/>
      <w:r w:rsidR="00F04D93" w:rsidRPr="00DC4B5A">
        <w:rPr>
          <w:rFonts w:ascii="Times New Roman" w:eastAsia="Times New Roman" w:hAnsi="Times New Roman" w:cs="Times New Roman"/>
          <w:sz w:val="24"/>
          <w:szCs w:val="24"/>
          <w:lang w:val="en-GB"/>
        </w:rPr>
        <w:t xml:space="preserve"> patients upon workup for kidney transplantation. Saudi J Kidney Dis </w:t>
      </w:r>
      <w:proofErr w:type="spellStart"/>
      <w:r w:rsidR="00F04D93" w:rsidRPr="00DC4B5A">
        <w:rPr>
          <w:rFonts w:ascii="Times New Roman" w:eastAsia="Times New Roman" w:hAnsi="Times New Roman" w:cs="Times New Roman"/>
          <w:sz w:val="24"/>
          <w:szCs w:val="24"/>
          <w:lang w:val="en-GB"/>
        </w:rPr>
        <w:t>Transpl</w:t>
      </w:r>
      <w:proofErr w:type="spellEnd"/>
      <w:r w:rsidR="00F04D93" w:rsidRPr="00DC4B5A">
        <w:rPr>
          <w:rFonts w:ascii="Times New Roman" w:eastAsia="Times New Roman" w:hAnsi="Times New Roman" w:cs="Times New Roman"/>
          <w:sz w:val="24"/>
          <w:szCs w:val="24"/>
          <w:lang w:val="en-GB"/>
        </w:rPr>
        <w:t xml:space="preserve"> 2020;31(2):388-394. </w:t>
      </w:r>
      <w:hyperlink r:id="rId17">
        <w:r w:rsidR="00F04D93" w:rsidRPr="00DC4B5A">
          <w:rPr>
            <w:rFonts w:ascii="Times New Roman" w:eastAsia="Times New Roman" w:hAnsi="Times New Roman" w:cs="Times New Roman"/>
            <w:color w:val="1155CC"/>
            <w:sz w:val="24"/>
            <w:szCs w:val="24"/>
            <w:u w:val="single"/>
            <w:lang w:val="en-GB"/>
          </w:rPr>
          <w:t>https://doi.org/10.4103/1319-2442.284013</w:t>
        </w:r>
      </w:hyperlink>
      <w:r w:rsidR="00F04D93" w:rsidRPr="00DC4B5A">
        <w:rPr>
          <w:rFonts w:ascii="Times New Roman" w:eastAsia="Times New Roman" w:hAnsi="Times New Roman" w:cs="Times New Roman"/>
          <w:sz w:val="24"/>
          <w:szCs w:val="24"/>
          <w:lang w:val="en-GB"/>
        </w:rPr>
        <w:t>.</w:t>
      </w:r>
    </w:p>
    <w:p w14:paraId="5737A356" w14:textId="2B53E121"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Locatelli F, Bárány P, Covic A, et al. </w:t>
      </w:r>
      <w:r w:rsidR="0053201E" w:rsidRPr="00DC4B5A">
        <w:rPr>
          <w:rFonts w:ascii="Times New Roman" w:eastAsia="Times New Roman" w:hAnsi="Times New Roman" w:cs="Times New Roman"/>
          <w:sz w:val="24"/>
          <w:szCs w:val="24"/>
          <w:lang w:val="en-GB"/>
        </w:rPr>
        <w:t>kidney disease</w:t>
      </w:r>
      <w:r w:rsidRPr="00DC4B5A">
        <w:rPr>
          <w:rFonts w:ascii="Times New Roman" w:eastAsia="Times New Roman" w:hAnsi="Times New Roman" w:cs="Times New Roman"/>
          <w:sz w:val="24"/>
          <w:szCs w:val="24"/>
          <w:lang w:val="en-GB"/>
        </w:rPr>
        <w:t>: Improving Global Outcomes guidelines on anaemia management in chronic kidney disease: a European Renal Best Practice position statement. Nephrol Dial Transplant 2013;28(6):1346-1359.</w:t>
      </w:r>
      <w:r w:rsidRPr="00DC4B5A">
        <w:rPr>
          <w:rFonts w:ascii="Times New Roman" w:eastAsia="Times New Roman" w:hAnsi="Times New Roman" w:cs="Times New Roman"/>
          <w:sz w:val="24"/>
          <w:szCs w:val="24"/>
          <w:lang w:val="en-GB" w:bidi="ar-EG"/>
        </w:rPr>
        <w:t xml:space="preserve"> </w:t>
      </w:r>
      <w:hyperlink r:id="rId18" w:history="1">
        <w:r w:rsidRPr="00DC4B5A">
          <w:rPr>
            <w:rFonts w:ascii="Times New Roman" w:eastAsia="Times New Roman" w:hAnsi="Times New Roman" w:cs="Times New Roman"/>
            <w:color w:val="0000FF"/>
            <w:sz w:val="24"/>
            <w:szCs w:val="24"/>
            <w:u w:val="single"/>
            <w:lang w:val="en-GB"/>
          </w:rPr>
          <w:t>https://doi.org/10.1093/ndt/gft033</w:t>
        </w:r>
      </w:hyperlink>
      <w:r w:rsidRPr="00DC4B5A">
        <w:rPr>
          <w:rFonts w:ascii="Times New Roman" w:eastAsia="Times New Roman" w:hAnsi="Times New Roman" w:cs="Times New Roman"/>
          <w:sz w:val="24"/>
          <w:szCs w:val="24"/>
          <w:lang w:val="en-GB"/>
        </w:rPr>
        <w:t>.</w:t>
      </w:r>
    </w:p>
    <w:p w14:paraId="0C820A57"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Stauffer ME, Fan T. Prevalence of Anemia in Chronic Kidney Disease in the United States. </w:t>
      </w:r>
      <w:proofErr w:type="spellStart"/>
      <w:r w:rsidRPr="00DC4B5A">
        <w:rPr>
          <w:rFonts w:ascii="Times New Roman" w:eastAsia="Times New Roman" w:hAnsi="Times New Roman" w:cs="Times New Roman"/>
          <w:sz w:val="24"/>
          <w:szCs w:val="24"/>
          <w:lang w:val="en-GB"/>
        </w:rPr>
        <w:t>PloS</w:t>
      </w:r>
      <w:proofErr w:type="spellEnd"/>
      <w:r w:rsidRPr="00DC4B5A">
        <w:rPr>
          <w:rFonts w:ascii="Times New Roman" w:eastAsia="Times New Roman" w:hAnsi="Times New Roman" w:cs="Times New Roman"/>
          <w:sz w:val="24"/>
          <w:szCs w:val="24"/>
          <w:lang w:val="en-GB"/>
        </w:rPr>
        <w:t xml:space="preserve"> ONE 2014;9(1</w:t>
      </w:r>
      <w:proofErr w:type="gramStart"/>
      <w:r w:rsidRPr="00DC4B5A">
        <w:rPr>
          <w:rFonts w:ascii="Times New Roman" w:eastAsia="Times New Roman" w:hAnsi="Times New Roman" w:cs="Times New Roman"/>
          <w:sz w:val="24"/>
          <w:szCs w:val="24"/>
          <w:lang w:val="en-GB"/>
        </w:rPr>
        <w:t>):e</w:t>
      </w:r>
      <w:proofErr w:type="gramEnd"/>
      <w:r w:rsidRPr="00DC4B5A">
        <w:rPr>
          <w:rFonts w:ascii="Times New Roman" w:eastAsia="Times New Roman" w:hAnsi="Times New Roman" w:cs="Times New Roman"/>
          <w:sz w:val="24"/>
          <w:szCs w:val="24"/>
          <w:lang w:val="en-GB"/>
        </w:rPr>
        <w:t xml:space="preserve">84943. </w:t>
      </w:r>
      <w:hyperlink r:id="rId19">
        <w:r w:rsidRPr="00DC4B5A">
          <w:rPr>
            <w:rFonts w:ascii="Times New Roman" w:eastAsia="Times New Roman" w:hAnsi="Times New Roman" w:cs="Times New Roman"/>
            <w:color w:val="1155CC"/>
            <w:sz w:val="24"/>
            <w:szCs w:val="24"/>
            <w:u w:val="single"/>
            <w:lang w:val="en-GB"/>
          </w:rPr>
          <w:t>https://doi.org/10.1371/journal.pone.0084943</w:t>
        </w:r>
      </w:hyperlink>
      <w:r w:rsidRPr="00DC4B5A">
        <w:rPr>
          <w:rFonts w:ascii="Times New Roman" w:eastAsia="Times New Roman" w:hAnsi="Times New Roman" w:cs="Times New Roman"/>
          <w:sz w:val="24"/>
          <w:szCs w:val="24"/>
          <w:lang w:val="en-GB"/>
        </w:rPr>
        <w:t>.</w:t>
      </w:r>
    </w:p>
    <w:p w14:paraId="73D354E3"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Lee MW, </w:t>
      </w:r>
      <w:proofErr w:type="spellStart"/>
      <w:r w:rsidRPr="00DC4B5A">
        <w:rPr>
          <w:rFonts w:ascii="Times New Roman" w:eastAsia="Times New Roman" w:hAnsi="Times New Roman" w:cs="Times New Roman"/>
          <w:sz w:val="24"/>
          <w:szCs w:val="24"/>
          <w:lang w:val="en-GB"/>
        </w:rPr>
        <w:t>Pourmorady</w:t>
      </w:r>
      <w:proofErr w:type="spellEnd"/>
      <w:r w:rsidRPr="00DC4B5A">
        <w:rPr>
          <w:rFonts w:ascii="Times New Roman" w:eastAsia="Times New Roman" w:hAnsi="Times New Roman" w:cs="Times New Roman"/>
          <w:sz w:val="24"/>
          <w:szCs w:val="24"/>
          <w:lang w:val="en-GB"/>
        </w:rPr>
        <w:t xml:space="preserve"> JS, Laine L. Use of </w:t>
      </w:r>
      <w:proofErr w:type="spellStart"/>
      <w:r w:rsidRPr="00DC4B5A">
        <w:rPr>
          <w:rFonts w:ascii="Times New Roman" w:eastAsia="Times New Roman" w:hAnsi="Times New Roman" w:cs="Times New Roman"/>
          <w:sz w:val="24"/>
          <w:szCs w:val="24"/>
          <w:lang w:val="en-GB"/>
        </w:rPr>
        <w:t>Fecal</w:t>
      </w:r>
      <w:proofErr w:type="spellEnd"/>
      <w:r w:rsidRPr="00DC4B5A">
        <w:rPr>
          <w:rFonts w:ascii="Times New Roman" w:eastAsia="Times New Roman" w:hAnsi="Times New Roman" w:cs="Times New Roman"/>
          <w:sz w:val="24"/>
          <w:szCs w:val="24"/>
          <w:lang w:val="en-GB"/>
        </w:rPr>
        <w:t xml:space="preserve"> Occult Blood Testing as a Diagnostic Tool for Clinical Indications. Am J Gastroenterol 2020;115(5):662-670. </w:t>
      </w:r>
      <w:hyperlink r:id="rId20">
        <w:r w:rsidRPr="00DC4B5A">
          <w:rPr>
            <w:rFonts w:ascii="Times New Roman" w:eastAsia="Times New Roman" w:hAnsi="Times New Roman" w:cs="Times New Roman"/>
            <w:color w:val="1155CC"/>
            <w:sz w:val="24"/>
            <w:szCs w:val="24"/>
            <w:u w:val="single"/>
            <w:lang w:val="en-GB"/>
          </w:rPr>
          <w:t>https://doi.org/10.14309/ajg.0000000000000495</w:t>
        </w:r>
      </w:hyperlink>
      <w:r w:rsidRPr="00DC4B5A">
        <w:rPr>
          <w:rFonts w:ascii="Times New Roman" w:eastAsia="Times New Roman" w:hAnsi="Times New Roman" w:cs="Times New Roman"/>
          <w:sz w:val="24"/>
          <w:szCs w:val="24"/>
          <w:lang w:val="en-GB"/>
        </w:rPr>
        <w:t>.</w:t>
      </w:r>
    </w:p>
    <w:p w14:paraId="0D6C8BE4"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proofErr w:type="spellStart"/>
      <w:r w:rsidRPr="00DC4B5A">
        <w:rPr>
          <w:rFonts w:ascii="Times New Roman" w:eastAsia="Times New Roman" w:hAnsi="Times New Roman" w:cs="Times New Roman"/>
          <w:sz w:val="24"/>
          <w:szCs w:val="24"/>
          <w:lang w:val="en-GB"/>
        </w:rPr>
        <w:t>Odhaib</w:t>
      </w:r>
      <w:proofErr w:type="spellEnd"/>
      <w:r w:rsidRPr="00DC4B5A">
        <w:rPr>
          <w:rFonts w:ascii="Times New Roman" w:eastAsia="Times New Roman" w:hAnsi="Times New Roman" w:cs="Times New Roman"/>
          <w:sz w:val="24"/>
          <w:szCs w:val="24"/>
          <w:lang w:val="en-GB"/>
        </w:rPr>
        <w:t xml:space="preserve"> SA, Mohammed MJ, Hammadi S. Efficacy of Gastrointestinal Endoscopy in 398 Patients </w:t>
      </w:r>
      <w:proofErr w:type="gramStart"/>
      <w:r w:rsidRPr="00DC4B5A">
        <w:rPr>
          <w:rFonts w:ascii="Times New Roman" w:eastAsia="Times New Roman" w:hAnsi="Times New Roman" w:cs="Times New Roman"/>
          <w:sz w:val="24"/>
          <w:szCs w:val="24"/>
          <w:lang w:val="en-GB"/>
        </w:rPr>
        <w:t>With</w:t>
      </w:r>
      <w:proofErr w:type="gramEnd"/>
      <w:r w:rsidRPr="00DC4B5A">
        <w:rPr>
          <w:rFonts w:ascii="Times New Roman" w:eastAsia="Times New Roman" w:hAnsi="Times New Roman" w:cs="Times New Roman"/>
          <w:sz w:val="24"/>
          <w:szCs w:val="24"/>
          <w:lang w:val="en-GB"/>
        </w:rPr>
        <w:t xml:space="preserve"> Iron Deficiency Anemia Who Lack Gastrointestinal Symptoms: Basrah Experience. </w:t>
      </w:r>
      <w:proofErr w:type="spellStart"/>
      <w:r w:rsidRPr="00DC4B5A">
        <w:rPr>
          <w:rFonts w:ascii="Times New Roman" w:eastAsia="Times New Roman" w:hAnsi="Times New Roman" w:cs="Times New Roman"/>
          <w:sz w:val="24"/>
          <w:szCs w:val="24"/>
          <w:lang w:val="en-GB"/>
        </w:rPr>
        <w:t>Cureus</w:t>
      </w:r>
      <w:proofErr w:type="spellEnd"/>
      <w:r w:rsidRPr="00DC4B5A">
        <w:rPr>
          <w:rFonts w:ascii="Times New Roman" w:eastAsia="Times New Roman" w:hAnsi="Times New Roman" w:cs="Times New Roman"/>
          <w:sz w:val="24"/>
          <w:szCs w:val="24"/>
          <w:lang w:val="en-GB"/>
        </w:rPr>
        <w:t xml:space="preserve"> 2020;12(7</w:t>
      </w:r>
      <w:proofErr w:type="gramStart"/>
      <w:r w:rsidRPr="00DC4B5A">
        <w:rPr>
          <w:rFonts w:ascii="Times New Roman" w:eastAsia="Times New Roman" w:hAnsi="Times New Roman" w:cs="Times New Roman"/>
          <w:sz w:val="24"/>
          <w:szCs w:val="24"/>
          <w:lang w:val="en-GB"/>
        </w:rPr>
        <w:t>):e</w:t>
      </w:r>
      <w:proofErr w:type="gramEnd"/>
      <w:r w:rsidRPr="00DC4B5A">
        <w:rPr>
          <w:rFonts w:ascii="Times New Roman" w:eastAsia="Times New Roman" w:hAnsi="Times New Roman" w:cs="Times New Roman"/>
          <w:sz w:val="24"/>
          <w:szCs w:val="24"/>
          <w:lang w:val="en-GB"/>
        </w:rPr>
        <w:t xml:space="preserve">9206. </w:t>
      </w:r>
      <w:hyperlink r:id="rId21">
        <w:r w:rsidRPr="00DC4B5A">
          <w:rPr>
            <w:rFonts w:ascii="Times New Roman" w:eastAsia="Times New Roman" w:hAnsi="Times New Roman" w:cs="Times New Roman"/>
            <w:color w:val="1155CC"/>
            <w:sz w:val="24"/>
            <w:szCs w:val="24"/>
            <w:u w:val="single"/>
            <w:lang w:val="en-GB"/>
          </w:rPr>
          <w:t>https://doi.org/10.7759/cureus.9206</w:t>
        </w:r>
      </w:hyperlink>
      <w:r w:rsidRPr="00DC4B5A">
        <w:rPr>
          <w:rFonts w:ascii="Times New Roman" w:eastAsia="Times New Roman" w:hAnsi="Times New Roman" w:cs="Times New Roman"/>
          <w:sz w:val="24"/>
          <w:szCs w:val="24"/>
          <w:lang w:val="en-GB"/>
        </w:rPr>
        <w:t>.</w:t>
      </w:r>
    </w:p>
    <w:p w14:paraId="183F7462" w14:textId="677CB7E2"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Usta M, Ersoy A, Ayar Y, et al. Comparison of endoscopic and pathological findings of the upper gastrointestinal tract in transplant candidate patients undergoing </w:t>
      </w:r>
      <w:proofErr w:type="spellStart"/>
      <w:r w:rsidRPr="00DC4B5A">
        <w:rPr>
          <w:rFonts w:ascii="Times New Roman" w:eastAsia="Times New Roman" w:hAnsi="Times New Roman" w:cs="Times New Roman"/>
          <w:sz w:val="24"/>
          <w:szCs w:val="24"/>
          <w:lang w:val="en-GB"/>
        </w:rPr>
        <w:t>hemodialysis</w:t>
      </w:r>
      <w:proofErr w:type="spellEnd"/>
      <w:r w:rsidRPr="00DC4B5A">
        <w:rPr>
          <w:rFonts w:ascii="Times New Roman" w:eastAsia="Times New Roman" w:hAnsi="Times New Roman" w:cs="Times New Roman"/>
          <w:sz w:val="24"/>
          <w:szCs w:val="24"/>
          <w:lang w:val="en-GB"/>
        </w:rPr>
        <w:t xml:space="preserve"> or peritoneal dialysis treatment: a review of literature. BMC Nephrol 2020;21(1):444. </w:t>
      </w:r>
      <w:hyperlink r:id="rId22">
        <w:r w:rsidRPr="00DC4B5A">
          <w:rPr>
            <w:rFonts w:ascii="Times New Roman" w:eastAsia="Times New Roman" w:hAnsi="Times New Roman" w:cs="Times New Roman"/>
            <w:color w:val="1155CC"/>
            <w:sz w:val="24"/>
            <w:szCs w:val="24"/>
            <w:u w:val="single"/>
            <w:lang w:val="en-GB"/>
          </w:rPr>
          <w:t>https://doi.org/10.1186/s12882-020-02108-w</w:t>
        </w:r>
      </w:hyperlink>
      <w:r w:rsidRPr="00DC4B5A">
        <w:rPr>
          <w:rFonts w:ascii="Times New Roman" w:eastAsia="Times New Roman" w:hAnsi="Times New Roman" w:cs="Times New Roman"/>
          <w:sz w:val="24"/>
          <w:szCs w:val="24"/>
          <w:lang w:val="en-GB"/>
        </w:rPr>
        <w:t>.</w:t>
      </w:r>
    </w:p>
    <w:p w14:paraId="5560A32D"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proofErr w:type="spellStart"/>
      <w:r w:rsidRPr="00DC4B5A">
        <w:rPr>
          <w:rFonts w:ascii="Times New Roman" w:eastAsia="Times New Roman" w:hAnsi="Times New Roman" w:cs="Times New Roman"/>
          <w:sz w:val="24"/>
          <w:szCs w:val="24"/>
          <w:lang w:val="en-GB"/>
        </w:rPr>
        <w:t>Verbeure</w:t>
      </w:r>
      <w:proofErr w:type="spellEnd"/>
      <w:r w:rsidRPr="00DC4B5A">
        <w:rPr>
          <w:rFonts w:ascii="Times New Roman" w:eastAsia="Times New Roman" w:hAnsi="Times New Roman" w:cs="Times New Roman"/>
          <w:sz w:val="24"/>
          <w:szCs w:val="24"/>
          <w:lang w:val="en-GB"/>
        </w:rPr>
        <w:t xml:space="preserve"> W, van Goor H, Mori H, van Beek AP, Tack J, van Dijk PR. The Role of </w:t>
      </w:r>
      <w:proofErr w:type="spellStart"/>
      <w:r w:rsidRPr="00DC4B5A">
        <w:rPr>
          <w:rFonts w:ascii="Times New Roman" w:eastAsia="Times New Roman" w:hAnsi="Times New Roman" w:cs="Times New Roman"/>
          <w:sz w:val="24"/>
          <w:szCs w:val="24"/>
          <w:lang w:val="en-GB"/>
        </w:rPr>
        <w:t>Gasotransmitters</w:t>
      </w:r>
      <w:proofErr w:type="spellEnd"/>
      <w:r w:rsidRPr="00DC4B5A">
        <w:rPr>
          <w:rFonts w:ascii="Times New Roman" w:eastAsia="Times New Roman" w:hAnsi="Times New Roman" w:cs="Times New Roman"/>
          <w:sz w:val="24"/>
          <w:szCs w:val="24"/>
          <w:lang w:val="en-GB"/>
        </w:rPr>
        <w:t xml:space="preserve"> in Gut Peptide Actions. Front </w:t>
      </w:r>
      <w:proofErr w:type="spellStart"/>
      <w:r w:rsidRPr="00DC4B5A">
        <w:rPr>
          <w:rFonts w:ascii="Times New Roman" w:eastAsia="Times New Roman" w:hAnsi="Times New Roman" w:cs="Times New Roman"/>
          <w:sz w:val="24"/>
          <w:szCs w:val="24"/>
          <w:lang w:val="en-GB"/>
        </w:rPr>
        <w:t>Pharmacol</w:t>
      </w:r>
      <w:proofErr w:type="spellEnd"/>
      <w:r w:rsidRPr="00DC4B5A">
        <w:rPr>
          <w:rFonts w:ascii="Times New Roman" w:eastAsia="Times New Roman" w:hAnsi="Times New Roman" w:cs="Times New Roman"/>
          <w:sz w:val="24"/>
          <w:szCs w:val="24"/>
          <w:lang w:val="en-GB"/>
        </w:rPr>
        <w:t xml:space="preserve"> </w:t>
      </w:r>
      <w:proofErr w:type="gramStart"/>
      <w:r w:rsidRPr="00DC4B5A">
        <w:rPr>
          <w:rFonts w:ascii="Times New Roman" w:eastAsia="Times New Roman" w:hAnsi="Times New Roman" w:cs="Times New Roman"/>
          <w:sz w:val="24"/>
          <w:szCs w:val="24"/>
          <w:lang w:val="en-GB"/>
        </w:rPr>
        <w:t>2021;12:720703</w:t>
      </w:r>
      <w:proofErr w:type="gramEnd"/>
      <w:r w:rsidRPr="00DC4B5A">
        <w:rPr>
          <w:rFonts w:ascii="Times New Roman" w:eastAsia="Times New Roman" w:hAnsi="Times New Roman" w:cs="Times New Roman"/>
          <w:sz w:val="24"/>
          <w:szCs w:val="24"/>
          <w:lang w:val="en-GB"/>
        </w:rPr>
        <w:t xml:space="preserve">. </w:t>
      </w:r>
      <w:hyperlink r:id="rId23">
        <w:r w:rsidRPr="00DC4B5A">
          <w:rPr>
            <w:rFonts w:ascii="Times New Roman" w:eastAsia="Times New Roman" w:hAnsi="Times New Roman" w:cs="Times New Roman"/>
            <w:color w:val="1155CC"/>
            <w:sz w:val="24"/>
            <w:szCs w:val="24"/>
            <w:u w:val="single"/>
            <w:lang w:val="en-GB"/>
          </w:rPr>
          <w:t>https://doi.org/10.3389/fphar.2021.720703</w:t>
        </w:r>
      </w:hyperlink>
      <w:r w:rsidRPr="00DC4B5A">
        <w:rPr>
          <w:rFonts w:ascii="Times New Roman" w:eastAsia="Times New Roman" w:hAnsi="Times New Roman" w:cs="Times New Roman"/>
          <w:sz w:val="24"/>
          <w:szCs w:val="24"/>
          <w:lang w:val="en-GB"/>
        </w:rPr>
        <w:t>.</w:t>
      </w:r>
    </w:p>
    <w:p w14:paraId="7760CB70"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Chrysoula P, Fotios N, Kostantina T. Severe gastric lesions due to Helicobacter pylori infection in two patients undergoing </w:t>
      </w:r>
      <w:proofErr w:type="spellStart"/>
      <w:r w:rsidRPr="00DC4B5A">
        <w:rPr>
          <w:rFonts w:ascii="Times New Roman" w:eastAsia="Times New Roman" w:hAnsi="Times New Roman" w:cs="Times New Roman"/>
          <w:sz w:val="24"/>
          <w:szCs w:val="24"/>
          <w:lang w:val="en-GB"/>
        </w:rPr>
        <w:t>hemodialysis</w:t>
      </w:r>
      <w:proofErr w:type="spellEnd"/>
      <w:r w:rsidRPr="00DC4B5A">
        <w:rPr>
          <w:rFonts w:ascii="Times New Roman" w:eastAsia="Times New Roman" w:hAnsi="Times New Roman" w:cs="Times New Roman"/>
          <w:sz w:val="24"/>
          <w:szCs w:val="24"/>
          <w:lang w:val="en-GB"/>
        </w:rPr>
        <w:t xml:space="preserve">. Ren Fail 2014;36(9):1471. </w:t>
      </w:r>
      <w:hyperlink r:id="rId24">
        <w:r w:rsidRPr="00DC4B5A">
          <w:rPr>
            <w:rFonts w:ascii="Times New Roman" w:eastAsia="Times New Roman" w:hAnsi="Times New Roman" w:cs="Times New Roman"/>
            <w:color w:val="1155CC"/>
            <w:sz w:val="24"/>
            <w:szCs w:val="24"/>
            <w:u w:val="single"/>
            <w:lang w:val="en-GB"/>
          </w:rPr>
          <w:t>https://doi.org/10.3109/0886022x.2014.943671</w:t>
        </w:r>
      </w:hyperlink>
      <w:r w:rsidRPr="00DC4B5A">
        <w:rPr>
          <w:rFonts w:ascii="Times New Roman" w:eastAsia="Times New Roman" w:hAnsi="Times New Roman" w:cs="Times New Roman"/>
          <w:sz w:val="24"/>
          <w:szCs w:val="24"/>
          <w:lang w:val="en-GB"/>
        </w:rPr>
        <w:t>.</w:t>
      </w:r>
    </w:p>
    <w:p w14:paraId="57697C93"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García-</w:t>
      </w:r>
      <w:proofErr w:type="spellStart"/>
      <w:r w:rsidRPr="00DC4B5A">
        <w:rPr>
          <w:rFonts w:ascii="Times New Roman" w:eastAsia="Times New Roman" w:hAnsi="Times New Roman" w:cs="Times New Roman"/>
          <w:sz w:val="24"/>
          <w:szCs w:val="24"/>
          <w:lang w:val="en-GB"/>
        </w:rPr>
        <w:t>Rayado</w:t>
      </w:r>
      <w:proofErr w:type="spellEnd"/>
      <w:r w:rsidRPr="00DC4B5A">
        <w:rPr>
          <w:rFonts w:ascii="Times New Roman" w:eastAsia="Times New Roman" w:hAnsi="Times New Roman" w:cs="Times New Roman"/>
          <w:sz w:val="24"/>
          <w:szCs w:val="24"/>
          <w:lang w:val="en-GB"/>
        </w:rPr>
        <w:t xml:space="preserve"> G, Navarro M, Lanas A. NSAID induced gastrointestinal damage and designing GI-sparing NSAIDs. Expert Rev Clin </w:t>
      </w:r>
      <w:proofErr w:type="spellStart"/>
      <w:r w:rsidRPr="00DC4B5A">
        <w:rPr>
          <w:rFonts w:ascii="Times New Roman" w:eastAsia="Times New Roman" w:hAnsi="Times New Roman" w:cs="Times New Roman"/>
          <w:sz w:val="24"/>
          <w:szCs w:val="24"/>
          <w:lang w:val="en-GB"/>
        </w:rPr>
        <w:t>Pharmacol</w:t>
      </w:r>
      <w:proofErr w:type="spellEnd"/>
      <w:r w:rsidRPr="00DC4B5A">
        <w:rPr>
          <w:rFonts w:ascii="Times New Roman" w:eastAsia="Times New Roman" w:hAnsi="Times New Roman" w:cs="Times New Roman"/>
          <w:sz w:val="24"/>
          <w:szCs w:val="24"/>
          <w:lang w:val="en-GB"/>
        </w:rPr>
        <w:t xml:space="preserve"> 2018;11(10):1031-1343. </w:t>
      </w:r>
      <w:hyperlink r:id="rId25">
        <w:r w:rsidRPr="00DC4B5A">
          <w:rPr>
            <w:rFonts w:ascii="Times New Roman" w:eastAsia="Times New Roman" w:hAnsi="Times New Roman" w:cs="Times New Roman"/>
            <w:color w:val="1155CC"/>
            <w:sz w:val="24"/>
            <w:szCs w:val="24"/>
            <w:u w:val="single"/>
            <w:lang w:val="en-GB"/>
          </w:rPr>
          <w:t>https://doi.org/10.1080/17512433.2018.1516143</w:t>
        </w:r>
      </w:hyperlink>
      <w:r w:rsidRPr="00DC4B5A">
        <w:rPr>
          <w:rFonts w:ascii="Times New Roman" w:eastAsia="Times New Roman" w:hAnsi="Times New Roman" w:cs="Times New Roman"/>
          <w:sz w:val="24"/>
          <w:szCs w:val="24"/>
          <w:lang w:val="en-GB"/>
        </w:rPr>
        <w:t>.</w:t>
      </w:r>
    </w:p>
    <w:p w14:paraId="04DCFB08"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Santacoloma Osorio M, Camilo Giraldo G. Gastrointestinal manifestations of chronic kidney disease. Rev Colomb </w:t>
      </w:r>
      <w:proofErr w:type="spellStart"/>
      <w:r w:rsidRPr="00DC4B5A">
        <w:rPr>
          <w:rFonts w:ascii="Times New Roman" w:eastAsia="Times New Roman" w:hAnsi="Times New Roman" w:cs="Times New Roman"/>
          <w:sz w:val="24"/>
          <w:szCs w:val="24"/>
          <w:lang w:val="en-GB"/>
        </w:rPr>
        <w:t>Nefrol</w:t>
      </w:r>
      <w:proofErr w:type="spellEnd"/>
      <w:r w:rsidRPr="00DC4B5A">
        <w:rPr>
          <w:rFonts w:ascii="Times New Roman" w:eastAsia="Times New Roman" w:hAnsi="Times New Roman" w:cs="Times New Roman"/>
          <w:sz w:val="24"/>
          <w:szCs w:val="24"/>
          <w:lang w:val="en-GB"/>
        </w:rPr>
        <w:t xml:space="preserve"> 2017;4(1):17-26. </w:t>
      </w:r>
      <w:hyperlink r:id="rId26">
        <w:r w:rsidRPr="00DC4B5A">
          <w:rPr>
            <w:rFonts w:ascii="Times New Roman" w:eastAsia="Times New Roman" w:hAnsi="Times New Roman" w:cs="Times New Roman"/>
            <w:color w:val="1155CC"/>
            <w:sz w:val="24"/>
            <w:szCs w:val="24"/>
            <w:u w:val="single"/>
            <w:lang w:val="en-GB"/>
          </w:rPr>
          <w:t>https://doi.org/10.22265/acnef.4.1.266</w:t>
        </w:r>
      </w:hyperlink>
      <w:r w:rsidRPr="00DC4B5A">
        <w:rPr>
          <w:rFonts w:ascii="Times New Roman" w:eastAsia="Times New Roman" w:hAnsi="Times New Roman" w:cs="Times New Roman"/>
          <w:sz w:val="24"/>
          <w:szCs w:val="24"/>
          <w:lang w:val="en-GB"/>
        </w:rPr>
        <w:t>.</w:t>
      </w:r>
    </w:p>
    <w:p w14:paraId="2C971D67"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Wang X, Jia Z, Zhang Y, Kou C, Jiang J. Association of Helicobacter pylori infection with estimated glomerular filtration rate in a Chinese population. Infect Genet </w:t>
      </w:r>
      <w:proofErr w:type="spellStart"/>
      <w:r w:rsidRPr="00DC4B5A">
        <w:rPr>
          <w:rFonts w:ascii="Times New Roman" w:eastAsia="Times New Roman" w:hAnsi="Times New Roman" w:cs="Times New Roman"/>
          <w:sz w:val="24"/>
          <w:szCs w:val="24"/>
          <w:lang w:val="en-GB"/>
        </w:rPr>
        <w:t>Evol</w:t>
      </w:r>
      <w:proofErr w:type="spellEnd"/>
      <w:r w:rsidRPr="00DC4B5A">
        <w:rPr>
          <w:rFonts w:ascii="Times New Roman" w:eastAsia="Times New Roman" w:hAnsi="Times New Roman" w:cs="Times New Roman"/>
          <w:sz w:val="24"/>
          <w:szCs w:val="24"/>
          <w:lang w:val="en-GB"/>
        </w:rPr>
        <w:t xml:space="preserve"> </w:t>
      </w:r>
      <w:proofErr w:type="gramStart"/>
      <w:r w:rsidRPr="00DC4B5A">
        <w:rPr>
          <w:rFonts w:ascii="Times New Roman" w:eastAsia="Times New Roman" w:hAnsi="Times New Roman" w:cs="Times New Roman"/>
          <w:sz w:val="24"/>
          <w:szCs w:val="24"/>
          <w:lang w:val="en-GB"/>
        </w:rPr>
        <w:t>2021;96:105102</w:t>
      </w:r>
      <w:proofErr w:type="gramEnd"/>
      <w:r w:rsidRPr="00DC4B5A">
        <w:rPr>
          <w:rFonts w:ascii="Times New Roman" w:eastAsia="Times New Roman" w:hAnsi="Times New Roman" w:cs="Times New Roman"/>
          <w:sz w:val="24"/>
          <w:szCs w:val="24"/>
          <w:lang w:val="en-GB"/>
        </w:rPr>
        <w:t xml:space="preserve">. </w:t>
      </w:r>
      <w:hyperlink r:id="rId27">
        <w:r w:rsidRPr="00DC4B5A">
          <w:rPr>
            <w:rFonts w:ascii="Times New Roman" w:eastAsia="Times New Roman" w:hAnsi="Times New Roman" w:cs="Times New Roman"/>
            <w:color w:val="1155CC"/>
            <w:sz w:val="24"/>
            <w:szCs w:val="24"/>
            <w:u w:val="single"/>
            <w:lang w:val="en-GB"/>
          </w:rPr>
          <w:t>https://doi.org/10.1016/j.meegid.2021.105102</w:t>
        </w:r>
      </w:hyperlink>
      <w:r w:rsidRPr="00DC4B5A">
        <w:rPr>
          <w:rFonts w:ascii="Times New Roman" w:eastAsia="Times New Roman" w:hAnsi="Times New Roman" w:cs="Times New Roman"/>
          <w:sz w:val="24"/>
          <w:szCs w:val="24"/>
          <w:lang w:val="en-GB"/>
        </w:rPr>
        <w:t>.</w:t>
      </w:r>
    </w:p>
    <w:p w14:paraId="3C4FB470"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proofErr w:type="spellStart"/>
      <w:r w:rsidRPr="00DC4B5A">
        <w:rPr>
          <w:rFonts w:ascii="Times New Roman" w:eastAsia="Times New Roman" w:hAnsi="Times New Roman" w:cs="Times New Roman"/>
          <w:sz w:val="24"/>
          <w:szCs w:val="24"/>
          <w:lang w:val="en-GB"/>
        </w:rPr>
        <w:t>Turshudzhyan</w:t>
      </w:r>
      <w:proofErr w:type="spellEnd"/>
      <w:r w:rsidRPr="00DC4B5A">
        <w:rPr>
          <w:rFonts w:ascii="Times New Roman" w:eastAsia="Times New Roman" w:hAnsi="Times New Roman" w:cs="Times New Roman"/>
          <w:sz w:val="24"/>
          <w:szCs w:val="24"/>
          <w:lang w:val="en-GB"/>
        </w:rPr>
        <w:t xml:space="preserve"> A, </w:t>
      </w:r>
      <w:proofErr w:type="spellStart"/>
      <w:r w:rsidRPr="00DC4B5A">
        <w:rPr>
          <w:rFonts w:ascii="Times New Roman" w:eastAsia="Times New Roman" w:hAnsi="Times New Roman" w:cs="Times New Roman"/>
          <w:sz w:val="24"/>
          <w:szCs w:val="24"/>
          <w:lang w:val="en-GB"/>
        </w:rPr>
        <w:t>Inyangetor</w:t>
      </w:r>
      <w:proofErr w:type="spellEnd"/>
      <w:r w:rsidRPr="00DC4B5A">
        <w:rPr>
          <w:rFonts w:ascii="Times New Roman" w:eastAsia="Times New Roman" w:hAnsi="Times New Roman" w:cs="Times New Roman"/>
          <w:sz w:val="24"/>
          <w:szCs w:val="24"/>
          <w:lang w:val="en-GB"/>
        </w:rPr>
        <w:t xml:space="preserve"> D. Uremic and Post-Transplant Gastropathy in Patients </w:t>
      </w:r>
      <w:proofErr w:type="gramStart"/>
      <w:r w:rsidRPr="00DC4B5A">
        <w:rPr>
          <w:rFonts w:ascii="Times New Roman" w:eastAsia="Times New Roman" w:hAnsi="Times New Roman" w:cs="Times New Roman"/>
          <w:sz w:val="24"/>
          <w:szCs w:val="24"/>
          <w:lang w:val="en-GB"/>
        </w:rPr>
        <w:t>With</w:t>
      </w:r>
      <w:proofErr w:type="gramEnd"/>
      <w:r w:rsidRPr="00DC4B5A">
        <w:rPr>
          <w:rFonts w:ascii="Times New Roman" w:eastAsia="Times New Roman" w:hAnsi="Times New Roman" w:cs="Times New Roman"/>
          <w:sz w:val="24"/>
          <w:szCs w:val="24"/>
          <w:lang w:val="en-GB"/>
        </w:rPr>
        <w:t xml:space="preserve"> Chronic Kidney Disease and End-Stage Renal Disease. </w:t>
      </w:r>
      <w:proofErr w:type="spellStart"/>
      <w:r w:rsidRPr="00DC4B5A">
        <w:rPr>
          <w:rFonts w:ascii="Times New Roman" w:eastAsia="Times New Roman" w:hAnsi="Times New Roman" w:cs="Times New Roman"/>
          <w:sz w:val="24"/>
          <w:szCs w:val="24"/>
          <w:lang w:val="en-GB"/>
        </w:rPr>
        <w:t>Cureus</w:t>
      </w:r>
      <w:proofErr w:type="spellEnd"/>
      <w:r w:rsidRPr="00DC4B5A">
        <w:rPr>
          <w:rFonts w:ascii="Times New Roman" w:eastAsia="Times New Roman" w:hAnsi="Times New Roman" w:cs="Times New Roman"/>
          <w:sz w:val="24"/>
          <w:szCs w:val="24"/>
          <w:lang w:val="en-GB"/>
        </w:rPr>
        <w:t xml:space="preserve"> 2020;12(9</w:t>
      </w:r>
      <w:proofErr w:type="gramStart"/>
      <w:r w:rsidRPr="00DC4B5A">
        <w:rPr>
          <w:rFonts w:ascii="Times New Roman" w:eastAsia="Times New Roman" w:hAnsi="Times New Roman" w:cs="Times New Roman"/>
          <w:sz w:val="24"/>
          <w:szCs w:val="24"/>
          <w:lang w:val="en-GB"/>
        </w:rPr>
        <w:t>):e</w:t>
      </w:r>
      <w:proofErr w:type="gramEnd"/>
      <w:r w:rsidRPr="00DC4B5A">
        <w:rPr>
          <w:rFonts w:ascii="Times New Roman" w:eastAsia="Times New Roman" w:hAnsi="Times New Roman" w:cs="Times New Roman"/>
          <w:sz w:val="24"/>
          <w:szCs w:val="24"/>
          <w:lang w:val="en-GB"/>
        </w:rPr>
        <w:t xml:space="preserve">10578. </w:t>
      </w:r>
      <w:hyperlink r:id="rId28">
        <w:r w:rsidRPr="00DC4B5A">
          <w:rPr>
            <w:rFonts w:ascii="Times New Roman" w:eastAsia="Times New Roman" w:hAnsi="Times New Roman" w:cs="Times New Roman"/>
            <w:color w:val="1155CC"/>
            <w:sz w:val="24"/>
            <w:szCs w:val="24"/>
            <w:u w:val="single"/>
            <w:lang w:val="en-GB"/>
          </w:rPr>
          <w:t>https://doi.org/10.7759/cureus.10578</w:t>
        </w:r>
      </w:hyperlink>
      <w:r w:rsidRPr="00DC4B5A">
        <w:rPr>
          <w:rFonts w:ascii="Times New Roman" w:eastAsia="Times New Roman" w:hAnsi="Times New Roman" w:cs="Times New Roman"/>
          <w:sz w:val="24"/>
          <w:szCs w:val="24"/>
          <w:lang w:val="en-GB"/>
        </w:rPr>
        <w:t>.</w:t>
      </w:r>
    </w:p>
    <w:p w14:paraId="58C9F31E"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proofErr w:type="spellStart"/>
      <w:r w:rsidRPr="00DC4B5A">
        <w:rPr>
          <w:rFonts w:ascii="Times New Roman" w:eastAsia="Times New Roman" w:hAnsi="Times New Roman" w:cs="Times New Roman"/>
          <w:sz w:val="24"/>
          <w:szCs w:val="24"/>
          <w:lang w:val="en-GB"/>
        </w:rPr>
        <w:t>Demerdash</w:t>
      </w:r>
      <w:proofErr w:type="spellEnd"/>
      <w:r w:rsidRPr="00DC4B5A">
        <w:rPr>
          <w:rFonts w:ascii="Times New Roman" w:eastAsia="Times New Roman" w:hAnsi="Times New Roman" w:cs="Times New Roman"/>
          <w:sz w:val="24"/>
          <w:szCs w:val="24"/>
          <w:lang w:val="en-GB"/>
        </w:rPr>
        <w:t xml:space="preserve"> DME, Ibrahim H, Hassan DM, Moustafa H, Tawfik NM. Helicobacter pylori associated to unexplained or refractory iron deficiency anemia: an Egyptian single-</w:t>
      </w:r>
      <w:proofErr w:type="spellStart"/>
      <w:r w:rsidRPr="00DC4B5A">
        <w:rPr>
          <w:rFonts w:ascii="Times New Roman" w:eastAsia="Times New Roman" w:hAnsi="Times New Roman" w:cs="Times New Roman"/>
          <w:sz w:val="24"/>
          <w:szCs w:val="24"/>
          <w:lang w:val="en-GB"/>
        </w:rPr>
        <w:t>center</w:t>
      </w:r>
      <w:proofErr w:type="spellEnd"/>
      <w:r w:rsidRPr="00DC4B5A">
        <w:rPr>
          <w:rFonts w:ascii="Times New Roman" w:eastAsia="Times New Roman" w:hAnsi="Times New Roman" w:cs="Times New Roman"/>
          <w:sz w:val="24"/>
          <w:szCs w:val="24"/>
          <w:lang w:val="en-GB"/>
        </w:rPr>
        <w:t xml:space="preserve"> experience. </w:t>
      </w:r>
      <w:proofErr w:type="spellStart"/>
      <w:r w:rsidRPr="00DC4B5A">
        <w:rPr>
          <w:rFonts w:ascii="Times New Roman" w:eastAsia="Times New Roman" w:hAnsi="Times New Roman" w:cs="Times New Roman"/>
          <w:sz w:val="24"/>
          <w:szCs w:val="24"/>
          <w:lang w:val="en-GB"/>
        </w:rPr>
        <w:t>Hematol</w:t>
      </w:r>
      <w:proofErr w:type="spellEnd"/>
      <w:r w:rsidRPr="00DC4B5A">
        <w:rPr>
          <w:rFonts w:ascii="Times New Roman" w:eastAsia="Times New Roman" w:hAnsi="Times New Roman" w:cs="Times New Roman"/>
          <w:sz w:val="24"/>
          <w:szCs w:val="24"/>
          <w:lang w:val="en-GB"/>
        </w:rPr>
        <w:t xml:space="preserve"> </w:t>
      </w:r>
      <w:proofErr w:type="spellStart"/>
      <w:r w:rsidRPr="00DC4B5A">
        <w:rPr>
          <w:rFonts w:ascii="Times New Roman" w:eastAsia="Times New Roman" w:hAnsi="Times New Roman" w:cs="Times New Roman"/>
          <w:sz w:val="24"/>
          <w:szCs w:val="24"/>
          <w:lang w:val="en-GB"/>
        </w:rPr>
        <w:t>Transfus</w:t>
      </w:r>
      <w:proofErr w:type="spellEnd"/>
      <w:r w:rsidRPr="00DC4B5A">
        <w:rPr>
          <w:rFonts w:ascii="Times New Roman" w:eastAsia="Times New Roman" w:hAnsi="Times New Roman" w:cs="Times New Roman"/>
          <w:sz w:val="24"/>
          <w:szCs w:val="24"/>
          <w:lang w:val="en-GB"/>
        </w:rPr>
        <w:t xml:space="preserve"> Cell The 2018;40(3):219-225. </w:t>
      </w:r>
      <w:hyperlink r:id="rId29">
        <w:r w:rsidRPr="00DC4B5A">
          <w:rPr>
            <w:rFonts w:ascii="Times New Roman" w:eastAsia="Times New Roman" w:hAnsi="Times New Roman" w:cs="Times New Roman"/>
            <w:color w:val="1155CC"/>
            <w:sz w:val="24"/>
            <w:szCs w:val="24"/>
            <w:u w:val="single"/>
            <w:lang w:val="en-GB"/>
          </w:rPr>
          <w:t>https://doi.org/10.1016/j.htct.2018.02.001</w:t>
        </w:r>
      </w:hyperlink>
      <w:r w:rsidRPr="00DC4B5A">
        <w:rPr>
          <w:rFonts w:ascii="Times New Roman" w:eastAsia="Times New Roman" w:hAnsi="Times New Roman" w:cs="Times New Roman"/>
          <w:sz w:val="24"/>
          <w:szCs w:val="24"/>
          <w:lang w:val="en-GB"/>
        </w:rPr>
        <w:t>.</w:t>
      </w:r>
    </w:p>
    <w:p w14:paraId="5680BC36"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Musallam KM, Taher AT. Iron deficiency beyond erythropoiesis: should we be concerned? Curr Med Res </w:t>
      </w:r>
      <w:proofErr w:type="spellStart"/>
      <w:r w:rsidRPr="00DC4B5A">
        <w:rPr>
          <w:rFonts w:ascii="Times New Roman" w:eastAsia="Times New Roman" w:hAnsi="Times New Roman" w:cs="Times New Roman"/>
          <w:sz w:val="24"/>
          <w:szCs w:val="24"/>
          <w:lang w:val="en-GB"/>
        </w:rPr>
        <w:t>Opin</w:t>
      </w:r>
      <w:proofErr w:type="spellEnd"/>
      <w:r w:rsidRPr="00DC4B5A">
        <w:rPr>
          <w:rFonts w:ascii="Times New Roman" w:eastAsia="Times New Roman" w:hAnsi="Times New Roman" w:cs="Times New Roman"/>
          <w:sz w:val="24"/>
          <w:szCs w:val="24"/>
          <w:lang w:val="en-GB"/>
        </w:rPr>
        <w:t xml:space="preserve"> 2018;34(1):81-93. </w:t>
      </w:r>
      <w:hyperlink r:id="rId30">
        <w:r w:rsidRPr="00DC4B5A">
          <w:rPr>
            <w:rFonts w:ascii="Times New Roman" w:eastAsia="Times New Roman" w:hAnsi="Times New Roman" w:cs="Times New Roman"/>
            <w:color w:val="1155CC"/>
            <w:sz w:val="24"/>
            <w:szCs w:val="24"/>
            <w:u w:val="single"/>
            <w:lang w:val="en-GB"/>
          </w:rPr>
          <w:t>https://doi.org/10.1080/03007995.2017.1394833</w:t>
        </w:r>
      </w:hyperlink>
      <w:r w:rsidRPr="00DC4B5A">
        <w:rPr>
          <w:rFonts w:ascii="Times New Roman" w:eastAsia="Times New Roman" w:hAnsi="Times New Roman" w:cs="Times New Roman"/>
          <w:sz w:val="24"/>
          <w:szCs w:val="24"/>
          <w:lang w:val="en-GB"/>
        </w:rPr>
        <w:t>.</w:t>
      </w:r>
    </w:p>
    <w:p w14:paraId="23C13631" w14:textId="77777777"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Noto JM, Peek RM. Helicobacter pylori and </w:t>
      </w:r>
      <w:proofErr w:type="spellStart"/>
      <w:r w:rsidRPr="00DC4B5A">
        <w:rPr>
          <w:rFonts w:ascii="Times New Roman" w:eastAsia="Times New Roman" w:hAnsi="Times New Roman" w:cs="Times New Roman"/>
          <w:sz w:val="24"/>
          <w:szCs w:val="24"/>
          <w:lang w:val="en-GB"/>
        </w:rPr>
        <w:t>CagA</w:t>
      </w:r>
      <w:proofErr w:type="spellEnd"/>
      <w:r w:rsidRPr="00DC4B5A">
        <w:rPr>
          <w:rFonts w:ascii="Times New Roman" w:eastAsia="Times New Roman" w:hAnsi="Times New Roman" w:cs="Times New Roman"/>
          <w:sz w:val="24"/>
          <w:szCs w:val="24"/>
          <w:lang w:val="en-GB"/>
        </w:rPr>
        <w:t xml:space="preserve"> under conditions of iron deficiency. Gut Microbes 2015;6(6):377-381. </w:t>
      </w:r>
      <w:hyperlink r:id="rId31">
        <w:r w:rsidRPr="00DC4B5A">
          <w:rPr>
            <w:rFonts w:ascii="Times New Roman" w:eastAsia="Times New Roman" w:hAnsi="Times New Roman" w:cs="Times New Roman"/>
            <w:color w:val="1155CC"/>
            <w:sz w:val="24"/>
            <w:szCs w:val="24"/>
            <w:u w:val="single"/>
            <w:lang w:val="en-GB"/>
          </w:rPr>
          <w:t>https://doi.org/10.1080/19490976.2015.1105426</w:t>
        </w:r>
      </w:hyperlink>
      <w:r w:rsidRPr="00DC4B5A">
        <w:rPr>
          <w:rFonts w:ascii="Times New Roman" w:eastAsia="Times New Roman" w:hAnsi="Times New Roman" w:cs="Times New Roman"/>
          <w:sz w:val="24"/>
          <w:szCs w:val="24"/>
          <w:lang w:val="en-GB"/>
        </w:rPr>
        <w:t>.</w:t>
      </w:r>
    </w:p>
    <w:p w14:paraId="4648AFB8" w14:textId="32E34383" w:rsidR="00F04D93" w:rsidRPr="00DC4B5A" w:rsidRDefault="00F04D93" w:rsidP="00416A8A">
      <w:pPr>
        <w:numPr>
          <w:ilvl w:val="0"/>
          <w:numId w:val="2"/>
        </w:numPr>
        <w:spacing w:after="0" w:line="240" w:lineRule="auto"/>
        <w:ind w:left="360"/>
        <w:jc w:val="lowKashida"/>
        <w:rPr>
          <w:rFonts w:ascii="Times New Roman" w:eastAsia="Times New Roman" w:hAnsi="Times New Roman" w:cs="Times New Roman"/>
          <w:sz w:val="24"/>
          <w:szCs w:val="24"/>
          <w:lang w:val="en-GB"/>
        </w:rPr>
      </w:pPr>
      <w:r w:rsidRPr="00DC4B5A">
        <w:rPr>
          <w:rFonts w:ascii="Times New Roman" w:eastAsia="Times New Roman" w:hAnsi="Times New Roman" w:cs="Times New Roman"/>
          <w:sz w:val="24"/>
          <w:szCs w:val="24"/>
          <w:lang w:val="en-GB"/>
        </w:rPr>
        <w:t xml:space="preserve">Thomas R, </w:t>
      </w:r>
      <w:proofErr w:type="spellStart"/>
      <w:r w:rsidRPr="00DC4B5A">
        <w:rPr>
          <w:rFonts w:ascii="Times New Roman" w:eastAsia="Times New Roman" w:hAnsi="Times New Roman" w:cs="Times New Roman"/>
          <w:sz w:val="24"/>
          <w:szCs w:val="24"/>
          <w:lang w:val="en-GB"/>
        </w:rPr>
        <w:t>Panackal</w:t>
      </w:r>
      <w:proofErr w:type="spellEnd"/>
      <w:r w:rsidRPr="00DC4B5A">
        <w:rPr>
          <w:rFonts w:ascii="Times New Roman" w:eastAsia="Times New Roman" w:hAnsi="Times New Roman" w:cs="Times New Roman"/>
          <w:sz w:val="24"/>
          <w:szCs w:val="24"/>
          <w:lang w:val="en-GB"/>
        </w:rPr>
        <w:t xml:space="preserve"> C, John M, et al. Gastrointestinal Complications in Patients with Chronic Kidney Disease—A 5-Year Retrospective Study from a Tertiary Referral </w:t>
      </w:r>
      <w:proofErr w:type="spellStart"/>
      <w:r w:rsidRPr="00DC4B5A">
        <w:rPr>
          <w:rFonts w:ascii="Times New Roman" w:eastAsia="Times New Roman" w:hAnsi="Times New Roman" w:cs="Times New Roman"/>
          <w:sz w:val="24"/>
          <w:szCs w:val="24"/>
          <w:lang w:val="en-GB"/>
        </w:rPr>
        <w:t>Center</w:t>
      </w:r>
      <w:proofErr w:type="spellEnd"/>
      <w:r w:rsidRPr="00DC4B5A">
        <w:rPr>
          <w:rFonts w:ascii="Times New Roman" w:eastAsia="Times New Roman" w:hAnsi="Times New Roman" w:cs="Times New Roman"/>
          <w:sz w:val="24"/>
          <w:szCs w:val="24"/>
          <w:lang w:val="en-GB"/>
        </w:rPr>
        <w:t xml:space="preserve">. Ren Fail 2012;35(1):49-55. </w:t>
      </w:r>
      <w:hyperlink r:id="rId32">
        <w:r w:rsidRPr="00DC4B5A">
          <w:rPr>
            <w:rFonts w:ascii="Times New Roman" w:eastAsia="Times New Roman" w:hAnsi="Times New Roman" w:cs="Times New Roman"/>
            <w:color w:val="1155CC"/>
            <w:sz w:val="24"/>
            <w:szCs w:val="24"/>
            <w:u w:val="single"/>
            <w:lang w:val="en-GB"/>
          </w:rPr>
          <w:t>https://doi.org/10.3109/0886022x.2012.731998</w:t>
        </w:r>
      </w:hyperlink>
      <w:r w:rsidRPr="00DC4B5A">
        <w:rPr>
          <w:rFonts w:ascii="Times New Roman" w:eastAsia="Times New Roman" w:hAnsi="Times New Roman" w:cs="Times New Roman"/>
          <w:sz w:val="24"/>
          <w:szCs w:val="24"/>
          <w:lang w:val="en-GB"/>
        </w:rPr>
        <w:t>.</w:t>
      </w:r>
    </w:p>
    <w:sectPr w:rsidR="00F04D93" w:rsidRPr="00DC4B5A" w:rsidSect="005E26AF">
      <w:headerReference w:type="default" r:id="rId33"/>
      <w:footerReference w:type="default" r:id="rId34"/>
      <w:pgSz w:w="12240" w:h="15840"/>
      <w:pgMar w:top="1440" w:right="1440" w:bottom="1440" w:left="1440" w:header="720" w:footer="720"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BFF9" w14:textId="77777777" w:rsidR="00546C3D" w:rsidRDefault="00546C3D">
      <w:pPr>
        <w:spacing w:line="240" w:lineRule="auto"/>
      </w:pPr>
      <w:r>
        <w:separator/>
      </w:r>
    </w:p>
  </w:endnote>
  <w:endnote w:type="continuationSeparator" w:id="0">
    <w:p w14:paraId="3B0123DD" w14:textId="77777777" w:rsidR="00546C3D" w:rsidRDefault="00546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058911"/>
      <w:docPartObj>
        <w:docPartGallery w:val="Page Numbers (Bottom of Page)"/>
        <w:docPartUnique/>
      </w:docPartObj>
    </w:sdtPr>
    <w:sdtContent>
      <w:sdt>
        <w:sdtPr>
          <w:rPr>
            <w:rFonts w:ascii="Calibri" w:eastAsia="Calibri" w:hAnsi="Calibri" w:cs="Arial"/>
          </w:rPr>
          <w:id w:val="705601247"/>
          <w:docPartObj>
            <w:docPartGallery w:val="Page Numbers (Bottom of Page)"/>
            <w:docPartUnique/>
          </w:docPartObj>
        </w:sdtPr>
        <w:sdtContent>
          <w:sdt>
            <w:sdtPr>
              <w:rPr>
                <w:rFonts w:ascii="Calibri" w:eastAsia="Times New Roman" w:hAnsi="Calibri" w:cs="Times New Roman"/>
                <w:sz w:val="28"/>
                <w:szCs w:val="28"/>
              </w:rPr>
              <w:id w:val="-1146124694"/>
              <w:docPartObj>
                <w:docPartGallery w:val="Page Numbers (Bottom of Page)"/>
                <w:docPartUnique/>
              </w:docPartObj>
            </w:sdtPr>
            <w:sdtContent>
              <w:p w14:paraId="632CB190" w14:textId="1E7C6B72" w:rsidR="006F65CA" w:rsidRPr="006F65CA" w:rsidRDefault="00AF2C6C" w:rsidP="00AF2C6C">
                <w:pPr>
                  <w:pBdr>
                    <w:top w:val="thinThickSmallGap" w:sz="24" w:space="1" w:color="823B0B"/>
                  </w:pBdr>
                  <w:tabs>
                    <w:tab w:val="center" w:pos="4320"/>
                    <w:tab w:val="right" w:pos="8640"/>
                  </w:tabs>
                  <w:spacing w:after="240" w:line="256" w:lineRule="auto"/>
                  <w:ind w:firstLine="357"/>
                  <w:rPr>
                    <w:rFonts w:ascii="Calibri" w:eastAsia="Times New Roman" w:hAnsi="Calibri" w:cs="Times New Roman"/>
                    <w:noProof/>
                    <w:sz w:val="28"/>
                    <w:szCs w:val="28"/>
                  </w:rPr>
                </w:pPr>
                <w:r w:rsidRPr="00AF2C6C">
                  <w:rPr>
                    <w:rFonts w:ascii="Calibri" w:eastAsia="Calibri" w:hAnsi="Calibri" w:cs="Arial"/>
                    <w:color w:val="000000"/>
                  </w:rPr>
                  <w:t>Ragab</w:t>
                </w:r>
                <w:r w:rsidR="006F65CA" w:rsidRPr="006F65CA">
                  <w:rPr>
                    <w:rFonts w:ascii="Calibri" w:eastAsia="Calibri" w:hAnsi="Calibri" w:cs="Arial"/>
                    <w:color w:val="000000"/>
                  </w:rPr>
                  <w:t xml:space="preserve"> </w:t>
                </w:r>
                <w:r>
                  <w:rPr>
                    <w:rFonts w:ascii="Calibri" w:eastAsia="Calibri" w:hAnsi="Calibri" w:cs="Arial"/>
                    <w:color w:val="000000"/>
                  </w:rPr>
                  <w:t>WA</w:t>
                </w:r>
                <w:r w:rsidR="006F65CA" w:rsidRPr="006F65CA">
                  <w:rPr>
                    <w:rFonts w:ascii="Calibri" w:eastAsia="Times New Roman" w:hAnsi="Calibri" w:cs="Times New Roman"/>
                    <w:sz w:val="28"/>
                    <w:szCs w:val="28"/>
                  </w:rPr>
                  <w:t xml:space="preserve"> </w:t>
                </w:r>
                <w:r w:rsidR="006F65CA" w:rsidRPr="006F65CA">
                  <w:rPr>
                    <w:rFonts w:ascii="Calibri" w:eastAsia="Calibri" w:hAnsi="Calibri" w:cs="Arial"/>
                  </w:rPr>
                  <w:t>et al.2023</w:t>
                </w:r>
                <w:r w:rsidR="006F65CA" w:rsidRPr="006F65CA">
                  <w:rPr>
                    <w:rFonts w:ascii="Calibri Light" w:eastAsia="Times New Roman" w:hAnsi="Calibri Light" w:cs="Times New Roman"/>
                  </w:rPr>
                  <w:ptab w:relativeTo="margin" w:alignment="right" w:leader="none"/>
                </w:r>
                <w:r w:rsidR="006F65CA" w:rsidRPr="006F65CA">
                  <w:rPr>
                    <w:rFonts w:ascii="Calibri" w:eastAsia="Times New Roman" w:hAnsi="Calibri" w:cs="Arial"/>
                  </w:rPr>
                  <w:fldChar w:fldCharType="begin"/>
                </w:r>
                <w:r w:rsidR="006F65CA" w:rsidRPr="006F65CA">
                  <w:rPr>
                    <w:rFonts w:ascii="Calibri" w:eastAsia="Calibri" w:hAnsi="Calibri" w:cs="Arial"/>
                  </w:rPr>
                  <w:instrText xml:space="preserve"> PAGE   \* MERGEFORMAT </w:instrText>
                </w:r>
                <w:r w:rsidR="006F65CA" w:rsidRPr="006F65CA">
                  <w:rPr>
                    <w:rFonts w:ascii="Calibri" w:eastAsia="Times New Roman" w:hAnsi="Calibri" w:cs="Arial"/>
                  </w:rPr>
                  <w:fldChar w:fldCharType="separate"/>
                </w:r>
                <w:r w:rsidR="006F65CA" w:rsidRPr="006F65CA">
                  <w:rPr>
                    <w:rFonts w:ascii="Calibri" w:eastAsia="Times New Roman" w:hAnsi="Calibri" w:cs="Arial"/>
                  </w:rPr>
                  <w:t>127</w:t>
                </w:r>
                <w:r w:rsidR="006F65CA" w:rsidRPr="006F65CA">
                  <w:rPr>
                    <w:rFonts w:ascii="Calibri Light" w:eastAsia="Times New Roman" w:hAnsi="Calibri Light" w:cs="Times New Roman"/>
                    <w:noProof/>
                  </w:rPr>
                  <w:fldChar w:fldCharType="end"/>
                </w:r>
              </w:p>
            </w:sdtContent>
          </w:sdt>
          <w:p w14:paraId="4C8A2B5F" w14:textId="15BFFAF6" w:rsidR="004E3625" w:rsidRDefault="00000000" w:rsidP="006F65CA">
            <w:pPr>
              <w:tabs>
                <w:tab w:val="center" w:pos="4320"/>
                <w:tab w:val="right" w:pos="8640"/>
              </w:tabs>
              <w:spacing w:after="0" w:line="240" w:lineRule="auto"/>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3F42" w14:textId="77777777" w:rsidR="00546C3D" w:rsidRDefault="00546C3D">
      <w:pPr>
        <w:spacing w:after="0"/>
      </w:pPr>
      <w:r>
        <w:separator/>
      </w:r>
    </w:p>
  </w:footnote>
  <w:footnote w:type="continuationSeparator" w:id="0">
    <w:p w14:paraId="2DFA0883" w14:textId="77777777" w:rsidR="00546C3D" w:rsidRDefault="00546C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2E54" w14:textId="77777777" w:rsidR="006F65CA" w:rsidRPr="006F65CA" w:rsidRDefault="006F65CA" w:rsidP="006F65CA">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6F65CA">
      <w:rPr>
        <w:rFonts w:ascii="Cambria" w:eastAsia="Times New Roman" w:hAnsi="Cambria" w:cs="Times New Roman"/>
        <w:sz w:val="18"/>
        <w:szCs w:val="18"/>
      </w:rPr>
      <w:t>African journal of gastroenterology and hepatology</w:t>
    </w:r>
    <w:r w:rsidRPr="006F65CA">
      <w:rPr>
        <w:rFonts w:ascii="Cambria" w:eastAsia="Times New Roman" w:hAnsi="Cambria" w:cs="Times New Roman"/>
        <w:sz w:val="18"/>
        <w:szCs w:val="18"/>
      </w:rPr>
      <w:tab/>
    </w:r>
    <w:r w:rsidRPr="006F65CA">
      <w:rPr>
        <w:rFonts w:ascii="Calibri Light" w:eastAsia="Times New Roman" w:hAnsi="Calibri Light" w:cs="Times New Roman"/>
        <w:noProof/>
        <w:sz w:val="32"/>
        <w:szCs w:val="32"/>
      </w:rPr>
      <w:drawing>
        <wp:inline distT="0" distB="0" distL="0" distR="0" wp14:anchorId="2C17D725" wp14:editId="29A57950">
          <wp:extent cx="1449070" cy="212725"/>
          <wp:effectExtent l="0" t="0" r="0" b="0"/>
          <wp:docPr id="607957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12725"/>
                  </a:xfrm>
                  <a:prstGeom prst="rect">
                    <a:avLst/>
                  </a:prstGeom>
                  <a:noFill/>
                  <a:ln>
                    <a:noFill/>
                  </a:ln>
                </pic:spPr>
              </pic:pic>
            </a:graphicData>
          </a:graphic>
        </wp:inline>
      </w:drawing>
    </w:r>
  </w:p>
  <w:p w14:paraId="6463F93F" w14:textId="77777777" w:rsidR="006F65CA" w:rsidRPr="006F65CA" w:rsidRDefault="006F65CA" w:rsidP="006F65CA">
    <w:pPr>
      <w:tabs>
        <w:tab w:val="center" w:pos="4680"/>
        <w:tab w:val="right" w:pos="9360"/>
      </w:tabs>
      <w:spacing w:after="0" w:line="240" w:lineRule="auto"/>
      <w:rPr>
        <w:rFonts w:ascii="Calibri" w:eastAsia="Calibri" w:hAnsi="Calibri" w:cs="Arial"/>
      </w:rPr>
    </w:pPr>
    <w:r w:rsidRPr="006F65CA">
      <w:rPr>
        <w:rFonts w:ascii="Calibri" w:eastAsia="Calibri" w:hAnsi="Calibri" w:cs="Arial"/>
        <w:noProof/>
      </w:rPr>
      <mc:AlternateContent>
        <mc:Choice Requires="wps">
          <w:drawing>
            <wp:anchor distT="0" distB="0" distL="114300" distR="114300" simplePos="0" relativeHeight="251659264" behindDoc="0" locked="0" layoutInCell="1" allowOverlap="1" wp14:anchorId="4C2BC7DB" wp14:editId="469EF593">
              <wp:simplePos x="0" y="0"/>
              <wp:positionH relativeFrom="margin">
                <wp:posOffset>26035</wp:posOffset>
              </wp:positionH>
              <wp:positionV relativeFrom="page">
                <wp:posOffset>1033780</wp:posOffset>
              </wp:positionV>
              <wp:extent cx="1277620" cy="300355"/>
              <wp:effectExtent l="0" t="0" r="17780" b="23495"/>
              <wp:wrapNone/>
              <wp:docPr id="34800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67183E60" w14:textId="77777777" w:rsidR="006F65CA" w:rsidRDefault="006F65CA" w:rsidP="006F65CA">
                          <w:pPr>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BC7DB"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67183E60" w14:textId="77777777" w:rsidR="006F65CA" w:rsidRDefault="006F65CA" w:rsidP="006F65CA">
                    <w:pPr>
                      <w:rPr>
                        <w:sz w:val="24"/>
                        <w:szCs w:val="24"/>
                      </w:rPr>
                    </w:pPr>
                    <w:r>
                      <w:rPr>
                        <w:sz w:val="24"/>
                        <w:szCs w:val="24"/>
                      </w:rPr>
                      <w:t>Original research</w:t>
                    </w:r>
                  </w:p>
                </w:txbxContent>
              </v:textbox>
              <w10:wrap anchorx="margin" anchory="page"/>
            </v:shape>
          </w:pict>
        </mc:Fallback>
      </mc:AlternateContent>
    </w:r>
  </w:p>
  <w:p w14:paraId="6A5DD095" w14:textId="77777777" w:rsidR="006F65CA" w:rsidRPr="006F65CA" w:rsidRDefault="006F65CA" w:rsidP="006F65CA">
    <w:pPr>
      <w:tabs>
        <w:tab w:val="center" w:pos="4320"/>
        <w:tab w:val="right" w:pos="8640"/>
      </w:tabs>
      <w:spacing w:after="0" w:line="240" w:lineRule="auto"/>
      <w:rPr>
        <w:rFonts w:ascii="Calibri" w:eastAsia="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17E2"/>
    <w:multiLevelType w:val="multilevel"/>
    <w:tmpl w:val="EAD0F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B8B55F5"/>
    <w:multiLevelType w:val="multilevel"/>
    <w:tmpl w:val="4B8B55F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79475220">
    <w:abstractNumId w:val="1"/>
  </w:num>
  <w:num w:numId="2" w16cid:durableId="92479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DYwMjO3NDM1MTZR0lEKTi0uzszPAykwN6kFADLrhkItAAAA"/>
  </w:docVars>
  <w:rsids>
    <w:rsidRoot w:val="00B2471E"/>
    <w:rsid w:val="00000CF6"/>
    <w:rsid w:val="00003C79"/>
    <w:rsid w:val="00003E5E"/>
    <w:rsid w:val="00005E20"/>
    <w:rsid w:val="0000643A"/>
    <w:rsid w:val="00007027"/>
    <w:rsid w:val="00007E40"/>
    <w:rsid w:val="0001750B"/>
    <w:rsid w:val="000176BB"/>
    <w:rsid w:val="00020F75"/>
    <w:rsid w:val="000236BA"/>
    <w:rsid w:val="000238FC"/>
    <w:rsid w:val="00024E1C"/>
    <w:rsid w:val="000274FA"/>
    <w:rsid w:val="0003003C"/>
    <w:rsid w:val="00031158"/>
    <w:rsid w:val="00032498"/>
    <w:rsid w:val="00040966"/>
    <w:rsid w:val="000420FD"/>
    <w:rsid w:val="00042904"/>
    <w:rsid w:val="00044535"/>
    <w:rsid w:val="000472E3"/>
    <w:rsid w:val="00053E61"/>
    <w:rsid w:val="000575C4"/>
    <w:rsid w:val="00057A4D"/>
    <w:rsid w:val="000643BD"/>
    <w:rsid w:val="0006773D"/>
    <w:rsid w:val="00073C84"/>
    <w:rsid w:val="000749BB"/>
    <w:rsid w:val="00080DC0"/>
    <w:rsid w:val="00087B36"/>
    <w:rsid w:val="00087CCC"/>
    <w:rsid w:val="0009185A"/>
    <w:rsid w:val="00091A91"/>
    <w:rsid w:val="000924C8"/>
    <w:rsid w:val="00094089"/>
    <w:rsid w:val="00094178"/>
    <w:rsid w:val="0009434F"/>
    <w:rsid w:val="000959B5"/>
    <w:rsid w:val="000A1727"/>
    <w:rsid w:val="000A29AD"/>
    <w:rsid w:val="000A302A"/>
    <w:rsid w:val="000A4750"/>
    <w:rsid w:val="000A6D4F"/>
    <w:rsid w:val="000B07D3"/>
    <w:rsid w:val="000B286A"/>
    <w:rsid w:val="000B2CD4"/>
    <w:rsid w:val="000B336D"/>
    <w:rsid w:val="000B5713"/>
    <w:rsid w:val="000C5D34"/>
    <w:rsid w:val="000D0AA5"/>
    <w:rsid w:val="000D0C5A"/>
    <w:rsid w:val="000D130B"/>
    <w:rsid w:val="000D31A1"/>
    <w:rsid w:val="000D6B13"/>
    <w:rsid w:val="000E36DC"/>
    <w:rsid w:val="000E4BF7"/>
    <w:rsid w:val="000E770C"/>
    <w:rsid w:val="000F271A"/>
    <w:rsid w:val="000F50D4"/>
    <w:rsid w:val="00101EB4"/>
    <w:rsid w:val="00104B5F"/>
    <w:rsid w:val="00107D5A"/>
    <w:rsid w:val="00110393"/>
    <w:rsid w:val="00113D2D"/>
    <w:rsid w:val="00115A37"/>
    <w:rsid w:val="00115E0E"/>
    <w:rsid w:val="001160A2"/>
    <w:rsid w:val="001201DB"/>
    <w:rsid w:val="00120F3F"/>
    <w:rsid w:val="00122733"/>
    <w:rsid w:val="00125EE9"/>
    <w:rsid w:val="00127654"/>
    <w:rsid w:val="001319CE"/>
    <w:rsid w:val="00132647"/>
    <w:rsid w:val="00133613"/>
    <w:rsid w:val="001337A7"/>
    <w:rsid w:val="00135C62"/>
    <w:rsid w:val="00136442"/>
    <w:rsid w:val="001376D6"/>
    <w:rsid w:val="00140182"/>
    <w:rsid w:val="00140636"/>
    <w:rsid w:val="00140A08"/>
    <w:rsid w:val="00140B53"/>
    <w:rsid w:val="00140D5D"/>
    <w:rsid w:val="001423AD"/>
    <w:rsid w:val="00144FEA"/>
    <w:rsid w:val="001466FB"/>
    <w:rsid w:val="00147B2A"/>
    <w:rsid w:val="00151975"/>
    <w:rsid w:val="001527F8"/>
    <w:rsid w:val="00154609"/>
    <w:rsid w:val="001548F8"/>
    <w:rsid w:val="0015711F"/>
    <w:rsid w:val="00160E1F"/>
    <w:rsid w:val="00161F72"/>
    <w:rsid w:val="00162A10"/>
    <w:rsid w:val="00163CA2"/>
    <w:rsid w:val="00165383"/>
    <w:rsid w:val="00167B8B"/>
    <w:rsid w:val="0017112A"/>
    <w:rsid w:val="00172A38"/>
    <w:rsid w:val="0017383C"/>
    <w:rsid w:val="001746CD"/>
    <w:rsid w:val="0017589E"/>
    <w:rsid w:val="00181666"/>
    <w:rsid w:val="00181C86"/>
    <w:rsid w:val="00186226"/>
    <w:rsid w:val="00187154"/>
    <w:rsid w:val="00187CC8"/>
    <w:rsid w:val="001902E0"/>
    <w:rsid w:val="00192F85"/>
    <w:rsid w:val="00193140"/>
    <w:rsid w:val="00193595"/>
    <w:rsid w:val="00193845"/>
    <w:rsid w:val="00194CC4"/>
    <w:rsid w:val="00195913"/>
    <w:rsid w:val="00195AA5"/>
    <w:rsid w:val="00197081"/>
    <w:rsid w:val="001A1F68"/>
    <w:rsid w:val="001A3653"/>
    <w:rsid w:val="001A7D8E"/>
    <w:rsid w:val="001B37F9"/>
    <w:rsid w:val="001B5C39"/>
    <w:rsid w:val="001B6123"/>
    <w:rsid w:val="001B640F"/>
    <w:rsid w:val="001B7E51"/>
    <w:rsid w:val="001C3A8E"/>
    <w:rsid w:val="001C3E6A"/>
    <w:rsid w:val="001C535B"/>
    <w:rsid w:val="001C5BC7"/>
    <w:rsid w:val="001C637C"/>
    <w:rsid w:val="001D2227"/>
    <w:rsid w:val="001D5E6F"/>
    <w:rsid w:val="001D63AD"/>
    <w:rsid w:val="001D7ED9"/>
    <w:rsid w:val="001E501F"/>
    <w:rsid w:val="001E55CC"/>
    <w:rsid w:val="001F045C"/>
    <w:rsid w:val="001F07A5"/>
    <w:rsid w:val="001F18F9"/>
    <w:rsid w:val="001F1D95"/>
    <w:rsid w:val="001F5767"/>
    <w:rsid w:val="001F7464"/>
    <w:rsid w:val="002007C0"/>
    <w:rsid w:val="00201945"/>
    <w:rsid w:val="0020232F"/>
    <w:rsid w:val="002044F5"/>
    <w:rsid w:val="002065D7"/>
    <w:rsid w:val="00210132"/>
    <w:rsid w:val="0021027D"/>
    <w:rsid w:val="00213199"/>
    <w:rsid w:val="00215976"/>
    <w:rsid w:val="002170A8"/>
    <w:rsid w:val="002176CC"/>
    <w:rsid w:val="00223E73"/>
    <w:rsid w:val="00227FD0"/>
    <w:rsid w:val="002308C1"/>
    <w:rsid w:val="00231E52"/>
    <w:rsid w:val="00232AB9"/>
    <w:rsid w:val="00235698"/>
    <w:rsid w:val="0023595E"/>
    <w:rsid w:val="002400DC"/>
    <w:rsid w:val="00241A0A"/>
    <w:rsid w:val="00243998"/>
    <w:rsid w:val="002464E8"/>
    <w:rsid w:val="00246D7F"/>
    <w:rsid w:val="0025173B"/>
    <w:rsid w:val="002527B8"/>
    <w:rsid w:val="00255980"/>
    <w:rsid w:val="00255F1B"/>
    <w:rsid w:val="00256300"/>
    <w:rsid w:val="002571FF"/>
    <w:rsid w:val="0026137E"/>
    <w:rsid w:val="00266E0F"/>
    <w:rsid w:val="00267888"/>
    <w:rsid w:val="00270AF0"/>
    <w:rsid w:val="00271F61"/>
    <w:rsid w:val="0027270D"/>
    <w:rsid w:val="002740E6"/>
    <w:rsid w:val="002742A0"/>
    <w:rsid w:val="00275991"/>
    <w:rsid w:val="002800DE"/>
    <w:rsid w:val="00282B2F"/>
    <w:rsid w:val="0028334A"/>
    <w:rsid w:val="00286E20"/>
    <w:rsid w:val="00291C0D"/>
    <w:rsid w:val="00294F62"/>
    <w:rsid w:val="0029571E"/>
    <w:rsid w:val="0029794E"/>
    <w:rsid w:val="00297D11"/>
    <w:rsid w:val="002A00A8"/>
    <w:rsid w:val="002A094C"/>
    <w:rsid w:val="002A3A17"/>
    <w:rsid w:val="002A4ED0"/>
    <w:rsid w:val="002A67FC"/>
    <w:rsid w:val="002A68D8"/>
    <w:rsid w:val="002A6C42"/>
    <w:rsid w:val="002B1619"/>
    <w:rsid w:val="002B2058"/>
    <w:rsid w:val="002B2FA0"/>
    <w:rsid w:val="002B3E54"/>
    <w:rsid w:val="002C1959"/>
    <w:rsid w:val="002C22A6"/>
    <w:rsid w:val="002C6572"/>
    <w:rsid w:val="002C6FF0"/>
    <w:rsid w:val="002D1DB6"/>
    <w:rsid w:val="002D3492"/>
    <w:rsid w:val="002E0F40"/>
    <w:rsid w:val="002E5B30"/>
    <w:rsid w:val="002E73CB"/>
    <w:rsid w:val="002F00F1"/>
    <w:rsid w:val="002F0758"/>
    <w:rsid w:val="002F284E"/>
    <w:rsid w:val="002F2F05"/>
    <w:rsid w:val="002F7A31"/>
    <w:rsid w:val="00300164"/>
    <w:rsid w:val="00300D70"/>
    <w:rsid w:val="0030220E"/>
    <w:rsid w:val="0030385A"/>
    <w:rsid w:val="003038CF"/>
    <w:rsid w:val="00303D9D"/>
    <w:rsid w:val="003051FA"/>
    <w:rsid w:val="00305267"/>
    <w:rsid w:val="003055BC"/>
    <w:rsid w:val="00311E8D"/>
    <w:rsid w:val="00314493"/>
    <w:rsid w:val="00321714"/>
    <w:rsid w:val="00322653"/>
    <w:rsid w:val="00323A17"/>
    <w:rsid w:val="00324AB3"/>
    <w:rsid w:val="003267F5"/>
    <w:rsid w:val="00326920"/>
    <w:rsid w:val="00326CB0"/>
    <w:rsid w:val="003321CC"/>
    <w:rsid w:val="00334A41"/>
    <w:rsid w:val="00334A76"/>
    <w:rsid w:val="0034002F"/>
    <w:rsid w:val="003439A7"/>
    <w:rsid w:val="0034436E"/>
    <w:rsid w:val="003446D1"/>
    <w:rsid w:val="0034478B"/>
    <w:rsid w:val="00344D5F"/>
    <w:rsid w:val="00346D4C"/>
    <w:rsid w:val="00346F3F"/>
    <w:rsid w:val="00350A4B"/>
    <w:rsid w:val="0035187B"/>
    <w:rsid w:val="00353768"/>
    <w:rsid w:val="00353DB0"/>
    <w:rsid w:val="00360400"/>
    <w:rsid w:val="00361BE8"/>
    <w:rsid w:val="00363E04"/>
    <w:rsid w:val="003713B8"/>
    <w:rsid w:val="003721F2"/>
    <w:rsid w:val="003826BD"/>
    <w:rsid w:val="00382D9D"/>
    <w:rsid w:val="003860C7"/>
    <w:rsid w:val="00390D2F"/>
    <w:rsid w:val="00396308"/>
    <w:rsid w:val="00396E03"/>
    <w:rsid w:val="003A2AD0"/>
    <w:rsid w:val="003A659A"/>
    <w:rsid w:val="003B0DD4"/>
    <w:rsid w:val="003B20D0"/>
    <w:rsid w:val="003B2A2E"/>
    <w:rsid w:val="003B70DE"/>
    <w:rsid w:val="003C4939"/>
    <w:rsid w:val="003C610B"/>
    <w:rsid w:val="003C6591"/>
    <w:rsid w:val="003C7694"/>
    <w:rsid w:val="003C7EC9"/>
    <w:rsid w:val="003D0E6E"/>
    <w:rsid w:val="003D132C"/>
    <w:rsid w:val="003D2FB8"/>
    <w:rsid w:val="003D31F0"/>
    <w:rsid w:val="003E5EE9"/>
    <w:rsid w:val="003E69B4"/>
    <w:rsid w:val="003F28FC"/>
    <w:rsid w:val="003F2CD5"/>
    <w:rsid w:val="003F3BAA"/>
    <w:rsid w:val="003F5308"/>
    <w:rsid w:val="003F5D8B"/>
    <w:rsid w:val="003F64A0"/>
    <w:rsid w:val="003F770B"/>
    <w:rsid w:val="00400216"/>
    <w:rsid w:val="004010FC"/>
    <w:rsid w:val="0040169A"/>
    <w:rsid w:val="0040257E"/>
    <w:rsid w:val="00403720"/>
    <w:rsid w:val="00403F38"/>
    <w:rsid w:val="0041189D"/>
    <w:rsid w:val="0041574A"/>
    <w:rsid w:val="00416649"/>
    <w:rsid w:val="00416A8A"/>
    <w:rsid w:val="00420D89"/>
    <w:rsid w:val="00430309"/>
    <w:rsid w:val="00432AC3"/>
    <w:rsid w:val="004367EE"/>
    <w:rsid w:val="004368C5"/>
    <w:rsid w:val="00436CED"/>
    <w:rsid w:val="00441496"/>
    <w:rsid w:val="00444677"/>
    <w:rsid w:val="00450A31"/>
    <w:rsid w:val="00454447"/>
    <w:rsid w:val="004612EF"/>
    <w:rsid w:val="00463BE1"/>
    <w:rsid w:val="004813DC"/>
    <w:rsid w:val="0048609C"/>
    <w:rsid w:val="00487C00"/>
    <w:rsid w:val="00495574"/>
    <w:rsid w:val="00497160"/>
    <w:rsid w:val="004A2AD8"/>
    <w:rsid w:val="004A35D8"/>
    <w:rsid w:val="004A3C2C"/>
    <w:rsid w:val="004A6087"/>
    <w:rsid w:val="004A6BA0"/>
    <w:rsid w:val="004B052A"/>
    <w:rsid w:val="004B0C74"/>
    <w:rsid w:val="004B36DE"/>
    <w:rsid w:val="004B3C70"/>
    <w:rsid w:val="004B42DA"/>
    <w:rsid w:val="004B72AB"/>
    <w:rsid w:val="004C4BAD"/>
    <w:rsid w:val="004D063C"/>
    <w:rsid w:val="004D1FB8"/>
    <w:rsid w:val="004D3AE5"/>
    <w:rsid w:val="004D5487"/>
    <w:rsid w:val="004D58E1"/>
    <w:rsid w:val="004D5D2B"/>
    <w:rsid w:val="004D5E19"/>
    <w:rsid w:val="004D63C8"/>
    <w:rsid w:val="004D6B31"/>
    <w:rsid w:val="004E3625"/>
    <w:rsid w:val="004E4AF6"/>
    <w:rsid w:val="004E5889"/>
    <w:rsid w:val="004E7638"/>
    <w:rsid w:val="004F10E1"/>
    <w:rsid w:val="004F241A"/>
    <w:rsid w:val="004F2637"/>
    <w:rsid w:val="004F4ECB"/>
    <w:rsid w:val="004F6ED6"/>
    <w:rsid w:val="004F6F06"/>
    <w:rsid w:val="00503351"/>
    <w:rsid w:val="00506EBB"/>
    <w:rsid w:val="005071B5"/>
    <w:rsid w:val="005101AB"/>
    <w:rsid w:val="00512F1A"/>
    <w:rsid w:val="005134F0"/>
    <w:rsid w:val="00517BC0"/>
    <w:rsid w:val="0052371C"/>
    <w:rsid w:val="005238F5"/>
    <w:rsid w:val="005301E1"/>
    <w:rsid w:val="0053201E"/>
    <w:rsid w:val="00540FAE"/>
    <w:rsid w:val="0054107F"/>
    <w:rsid w:val="00541D85"/>
    <w:rsid w:val="005421F8"/>
    <w:rsid w:val="0054289B"/>
    <w:rsid w:val="00546C3D"/>
    <w:rsid w:val="00553033"/>
    <w:rsid w:val="00553561"/>
    <w:rsid w:val="005535D7"/>
    <w:rsid w:val="00556B77"/>
    <w:rsid w:val="00557FF0"/>
    <w:rsid w:val="00562E53"/>
    <w:rsid w:val="00564F2C"/>
    <w:rsid w:val="00565596"/>
    <w:rsid w:val="005710B6"/>
    <w:rsid w:val="00571B93"/>
    <w:rsid w:val="00573845"/>
    <w:rsid w:val="005751E3"/>
    <w:rsid w:val="005765D7"/>
    <w:rsid w:val="0058220E"/>
    <w:rsid w:val="00584BF6"/>
    <w:rsid w:val="00594302"/>
    <w:rsid w:val="005947F6"/>
    <w:rsid w:val="005A21D2"/>
    <w:rsid w:val="005A29A0"/>
    <w:rsid w:val="005A3477"/>
    <w:rsid w:val="005A453F"/>
    <w:rsid w:val="005B19A5"/>
    <w:rsid w:val="005B218B"/>
    <w:rsid w:val="005B25BD"/>
    <w:rsid w:val="005B26F0"/>
    <w:rsid w:val="005B4D0E"/>
    <w:rsid w:val="005B6712"/>
    <w:rsid w:val="005C3384"/>
    <w:rsid w:val="005C67F9"/>
    <w:rsid w:val="005D4CC0"/>
    <w:rsid w:val="005E0FFE"/>
    <w:rsid w:val="005E172B"/>
    <w:rsid w:val="005E26AF"/>
    <w:rsid w:val="005E3D56"/>
    <w:rsid w:val="005E46CC"/>
    <w:rsid w:val="005F67C8"/>
    <w:rsid w:val="005F6869"/>
    <w:rsid w:val="006028DC"/>
    <w:rsid w:val="0060502D"/>
    <w:rsid w:val="00610FDE"/>
    <w:rsid w:val="0061395A"/>
    <w:rsid w:val="00617C9E"/>
    <w:rsid w:val="00622033"/>
    <w:rsid w:val="00624864"/>
    <w:rsid w:val="006256A8"/>
    <w:rsid w:val="00625C80"/>
    <w:rsid w:val="00626424"/>
    <w:rsid w:val="0062735C"/>
    <w:rsid w:val="00640206"/>
    <w:rsid w:val="0064038B"/>
    <w:rsid w:val="00640449"/>
    <w:rsid w:val="00640BF9"/>
    <w:rsid w:val="006447BD"/>
    <w:rsid w:val="00646122"/>
    <w:rsid w:val="00646BF2"/>
    <w:rsid w:val="00647739"/>
    <w:rsid w:val="00652101"/>
    <w:rsid w:val="006559B9"/>
    <w:rsid w:val="00657D75"/>
    <w:rsid w:val="006619C3"/>
    <w:rsid w:val="006630D5"/>
    <w:rsid w:val="0066398F"/>
    <w:rsid w:val="00663BEE"/>
    <w:rsid w:val="00667603"/>
    <w:rsid w:val="0067000B"/>
    <w:rsid w:val="00673BCD"/>
    <w:rsid w:val="00676968"/>
    <w:rsid w:val="00676F54"/>
    <w:rsid w:val="00677DE8"/>
    <w:rsid w:val="006824C6"/>
    <w:rsid w:val="00686FAC"/>
    <w:rsid w:val="0069056A"/>
    <w:rsid w:val="006921B6"/>
    <w:rsid w:val="00697C04"/>
    <w:rsid w:val="006A175D"/>
    <w:rsid w:val="006A21C6"/>
    <w:rsid w:val="006A2603"/>
    <w:rsid w:val="006A2E49"/>
    <w:rsid w:val="006A58ED"/>
    <w:rsid w:val="006A6B46"/>
    <w:rsid w:val="006A761C"/>
    <w:rsid w:val="006A7CCC"/>
    <w:rsid w:val="006B2141"/>
    <w:rsid w:val="006B2AAA"/>
    <w:rsid w:val="006B59E1"/>
    <w:rsid w:val="006C271F"/>
    <w:rsid w:val="006C2F45"/>
    <w:rsid w:val="006C6859"/>
    <w:rsid w:val="006D4F9C"/>
    <w:rsid w:val="006E6F37"/>
    <w:rsid w:val="006E7397"/>
    <w:rsid w:val="006F12F9"/>
    <w:rsid w:val="006F25C6"/>
    <w:rsid w:val="006F4BF6"/>
    <w:rsid w:val="006F65CA"/>
    <w:rsid w:val="00700302"/>
    <w:rsid w:val="007035AE"/>
    <w:rsid w:val="007035B9"/>
    <w:rsid w:val="007036F1"/>
    <w:rsid w:val="007057BD"/>
    <w:rsid w:val="00712DED"/>
    <w:rsid w:val="00714CB0"/>
    <w:rsid w:val="0071727C"/>
    <w:rsid w:val="00720B69"/>
    <w:rsid w:val="00731E1C"/>
    <w:rsid w:val="007338C8"/>
    <w:rsid w:val="00734176"/>
    <w:rsid w:val="00745D1D"/>
    <w:rsid w:val="0074798B"/>
    <w:rsid w:val="007503EA"/>
    <w:rsid w:val="00752EC3"/>
    <w:rsid w:val="00754B6D"/>
    <w:rsid w:val="00756106"/>
    <w:rsid w:val="00766469"/>
    <w:rsid w:val="00766707"/>
    <w:rsid w:val="00770E45"/>
    <w:rsid w:val="007728C6"/>
    <w:rsid w:val="0077493E"/>
    <w:rsid w:val="00775969"/>
    <w:rsid w:val="007767EB"/>
    <w:rsid w:val="007773F1"/>
    <w:rsid w:val="007807E2"/>
    <w:rsid w:val="00790A32"/>
    <w:rsid w:val="007925A0"/>
    <w:rsid w:val="00792859"/>
    <w:rsid w:val="00792BE4"/>
    <w:rsid w:val="0079422C"/>
    <w:rsid w:val="00795F67"/>
    <w:rsid w:val="007A05EB"/>
    <w:rsid w:val="007A2931"/>
    <w:rsid w:val="007A38B4"/>
    <w:rsid w:val="007A490B"/>
    <w:rsid w:val="007B3842"/>
    <w:rsid w:val="007B6E82"/>
    <w:rsid w:val="007B7368"/>
    <w:rsid w:val="007B7866"/>
    <w:rsid w:val="007D0AE9"/>
    <w:rsid w:val="007D1473"/>
    <w:rsid w:val="007D1947"/>
    <w:rsid w:val="007D1A7B"/>
    <w:rsid w:val="007D241D"/>
    <w:rsid w:val="007D7057"/>
    <w:rsid w:val="007D71B9"/>
    <w:rsid w:val="007D72F9"/>
    <w:rsid w:val="007E4CB9"/>
    <w:rsid w:val="007F0741"/>
    <w:rsid w:val="007F0AD5"/>
    <w:rsid w:val="007F2413"/>
    <w:rsid w:val="007F5D81"/>
    <w:rsid w:val="007F651D"/>
    <w:rsid w:val="00800149"/>
    <w:rsid w:val="00800FF8"/>
    <w:rsid w:val="00801BFE"/>
    <w:rsid w:val="00801F02"/>
    <w:rsid w:val="00806FF3"/>
    <w:rsid w:val="00811BFC"/>
    <w:rsid w:val="008203ED"/>
    <w:rsid w:val="00822C32"/>
    <w:rsid w:val="00823589"/>
    <w:rsid w:val="00826386"/>
    <w:rsid w:val="00827E52"/>
    <w:rsid w:val="00837126"/>
    <w:rsid w:val="00837865"/>
    <w:rsid w:val="00837935"/>
    <w:rsid w:val="008429F8"/>
    <w:rsid w:val="00845005"/>
    <w:rsid w:val="00845497"/>
    <w:rsid w:val="008470FA"/>
    <w:rsid w:val="00847A55"/>
    <w:rsid w:val="00853442"/>
    <w:rsid w:val="0085546F"/>
    <w:rsid w:val="00856759"/>
    <w:rsid w:val="00860C96"/>
    <w:rsid w:val="00862320"/>
    <w:rsid w:val="00862D4A"/>
    <w:rsid w:val="00863BD7"/>
    <w:rsid w:val="00865C9B"/>
    <w:rsid w:val="008668F4"/>
    <w:rsid w:val="00871A3D"/>
    <w:rsid w:val="00873A0D"/>
    <w:rsid w:val="00877C93"/>
    <w:rsid w:val="00882B17"/>
    <w:rsid w:val="00887156"/>
    <w:rsid w:val="008875CC"/>
    <w:rsid w:val="00887EED"/>
    <w:rsid w:val="0089509F"/>
    <w:rsid w:val="008A111D"/>
    <w:rsid w:val="008A31CE"/>
    <w:rsid w:val="008B095C"/>
    <w:rsid w:val="008B1207"/>
    <w:rsid w:val="008B323F"/>
    <w:rsid w:val="008B4A4F"/>
    <w:rsid w:val="008C2DE8"/>
    <w:rsid w:val="008C30E5"/>
    <w:rsid w:val="008C3AE6"/>
    <w:rsid w:val="008C4097"/>
    <w:rsid w:val="008C493C"/>
    <w:rsid w:val="008D10D9"/>
    <w:rsid w:val="008D62D8"/>
    <w:rsid w:val="008D78C4"/>
    <w:rsid w:val="008E04E0"/>
    <w:rsid w:val="008E0ECC"/>
    <w:rsid w:val="008E6C58"/>
    <w:rsid w:val="008E7D23"/>
    <w:rsid w:val="00900905"/>
    <w:rsid w:val="009018CE"/>
    <w:rsid w:val="00903E64"/>
    <w:rsid w:val="00907F6C"/>
    <w:rsid w:val="00914579"/>
    <w:rsid w:val="00915013"/>
    <w:rsid w:val="009152A2"/>
    <w:rsid w:val="00915419"/>
    <w:rsid w:val="00916217"/>
    <w:rsid w:val="00916A3D"/>
    <w:rsid w:val="00917E49"/>
    <w:rsid w:val="00922DBB"/>
    <w:rsid w:val="00930923"/>
    <w:rsid w:val="009315AE"/>
    <w:rsid w:val="0093278F"/>
    <w:rsid w:val="009329F6"/>
    <w:rsid w:val="0093412F"/>
    <w:rsid w:val="009342E7"/>
    <w:rsid w:val="009411D7"/>
    <w:rsid w:val="00945075"/>
    <w:rsid w:val="00946AB1"/>
    <w:rsid w:val="00946B92"/>
    <w:rsid w:val="00953783"/>
    <w:rsid w:val="009538C6"/>
    <w:rsid w:val="00954FB4"/>
    <w:rsid w:val="00960F6D"/>
    <w:rsid w:val="00961B1A"/>
    <w:rsid w:val="009637F7"/>
    <w:rsid w:val="00963ABE"/>
    <w:rsid w:val="009701D8"/>
    <w:rsid w:val="00970383"/>
    <w:rsid w:val="00970FC6"/>
    <w:rsid w:val="00971C98"/>
    <w:rsid w:val="00972C68"/>
    <w:rsid w:val="00973C8D"/>
    <w:rsid w:val="00975BD5"/>
    <w:rsid w:val="00976A70"/>
    <w:rsid w:val="00980C60"/>
    <w:rsid w:val="00982750"/>
    <w:rsid w:val="00985E1A"/>
    <w:rsid w:val="009872B3"/>
    <w:rsid w:val="00990BBE"/>
    <w:rsid w:val="00995554"/>
    <w:rsid w:val="00995AC7"/>
    <w:rsid w:val="009965FC"/>
    <w:rsid w:val="009A1542"/>
    <w:rsid w:val="009A4043"/>
    <w:rsid w:val="009A43B7"/>
    <w:rsid w:val="009A6614"/>
    <w:rsid w:val="009B23C2"/>
    <w:rsid w:val="009B256D"/>
    <w:rsid w:val="009B3E24"/>
    <w:rsid w:val="009B5064"/>
    <w:rsid w:val="009C1072"/>
    <w:rsid w:val="009C1373"/>
    <w:rsid w:val="009C3FC3"/>
    <w:rsid w:val="009C6C43"/>
    <w:rsid w:val="009C76D0"/>
    <w:rsid w:val="009D2D25"/>
    <w:rsid w:val="009D3EC8"/>
    <w:rsid w:val="009E1257"/>
    <w:rsid w:val="009E6443"/>
    <w:rsid w:val="009E7A79"/>
    <w:rsid w:val="009F2D22"/>
    <w:rsid w:val="009F4368"/>
    <w:rsid w:val="009F52D8"/>
    <w:rsid w:val="00A021D3"/>
    <w:rsid w:val="00A03098"/>
    <w:rsid w:val="00A06322"/>
    <w:rsid w:val="00A07724"/>
    <w:rsid w:val="00A07B86"/>
    <w:rsid w:val="00A1036B"/>
    <w:rsid w:val="00A10D21"/>
    <w:rsid w:val="00A11F5E"/>
    <w:rsid w:val="00A12783"/>
    <w:rsid w:val="00A216A5"/>
    <w:rsid w:val="00A23D78"/>
    <w:rsid w:val="00A25941"/>
    <w:rsid w:val="00A30434"/>
    <w:rsid w:val="00A319DC"/>
    <w:rsid w:val="00A31D41"/>
    <w:rsid w:val="00A362B0"/>
    <w:rsid w:val="00A40405"/>
    <w:rsid w:val="00A40A78"/>
    <w:rsid w:val="00A41E92"/>
    <w:rsid w:val="00A425F8"/>
    <w:rsid w:val="00A4290F"/>
    <w:rsid w:val="00A4404A"/>
    <w:rsid w:val="00A475DA"/>
    <w:rsid w:val="00A47BBF"/>
    <w:rsid w:val="00A5076C"/>
    <w:rsid w:val="00A526DB"/>
    <w:rsid w:val="00A52B15"/>
    <w:rsid w:val="00A55CA8"/>
    <w:rsid w:val="00A62D9E"/>
    <w:rsid w:val="00A6355C"/>
    <w:rsid w:val="00A655B2"/>
    <w:rsid w:val="00A66491"/>
    <w:rsid w:val="00A7073D"/>
    <w:rsid w:val="00A75D6D"/>
    <w:rsid w:val="00A76108"/>
    <w:rsid w:val="00A7678B"/>
    <w:rsid w:val="00A7788D"/>
    <w:rsid w:val="00A8239A"/>
    <w:rsid w:val="00A836EE"/>
    <w:rsid w:val="00A844C4"/>
    <w:rsid w:val="00A87138"/>
    <w:rsid w:val="00A900F4"/>
    <w:rsid w:val="00A90C28"/>
    <w:rsid w:val="00A97C0E"/>
    <w:rsid w:val="00AA0466"/>
    <w:rsid w:val="00AA62B6"/>
    <w:rsid w:val="00AA735B"/>
    <w:rsid w:val="00AB07BB"/>
    <w:rsid w:val="00AB3435"/>
    <w:rsid w:val="00AB6AA8"/>
    <w:rsid w:val="00AB75D8"/>
    <w:rsid w:val="00AB7C60"/>
    <w:rsid w:val="00AB7C80"/>
    <w:rsid w:val="00AC1C35"/>
    <w:rsid w:val="00AC504B"/>
    <w:rsid w:val="00AC59F9"/>
    <w:rsid w:val="00AC7F5D"/>
    <w:rsid w:val="00AD0040"/>
    <w:rsid w:val="00AD0C11"/>
    <w:rsid w:val="00AD1276"/>
    <w:rsid w:val="00AD151E"/>
    <w:rsid w:val="00AD1650"/>
    <w:rsid w:val="00AD2B97"/>
    <w:rsid w:val="00AD4E3F"/>
    <w:rsid w:val="00AD6902"/>
    <w:rsid w:val="00AD752A"/>
    <w:rsid w:val="00AD7D33"/>
    <w:rsid w:val="00AE16EF"/>
    <w:rsid w:val="00AE3E18"/>
    <w:rsid w:val="00AE49F2"/>
    <w:rsid w:val="00AE4FA7"/>
    <w:rsid w:val="00AE6BE7"/>
    <w:rsid w:val="00AF2833"/>
    <w:rsid w:val="00AF2C6C"/>
    <w:rsid w:val="00AF5587"/>
    <w:rsid w:val="00AF56FB"/>
    <w:rsid w:val="00AF583D"/>
    <w:rsid w:val="00B0083C"/>
    <w:rsid w:val="00B00967"/>
    <w:rsid w:val="00B00D1A"/>
    <w:rsid w:val="00B01341"/>
    <w:rsid w:val="00B01D4F"/>
    <w:rsid w:val="00B03E8B"/>
    <w:rsid w:val="00B06BBF"/>
    <w:rsid w:val="00B071CA"/>
    <w:rsid w:val="00B12E40"/>
    <w:rsid w:val="00B1669E"/>
    <w:rsid w:val="00B22249"/>
    <w:rsid w:val="00B22BAB"/>
    <w:rsid w:val="00B2471E"/>
    <w:rsid w:val="00B26859"/>
    <w:rsid w:val="00B313BB"/>
    <w:rsid w:val="00B32EE2"/>
    <w:rsid w:val="00B358F9"/>
    <w:rsid w:val="00B42233"/>
    <w:rsid w:val="00B4258E"/>
    <w:rsid w:val="00B453DE"/>
    <w:rsid w:val="00B47BAE"/>
    <w:rsid w:val="00B50B5B"/>
    <w:rsid w:val="00B54642"/>
    <w:rsid w:val="00B55F72"/>
    <w:rsid w:val="00B5600E"/>
    <w:rsid w:val="00B60203"/>
    <w:rsid w:val="00B6027C"/>
    <w:rsid w:val="00B60597"/>
    <w:rsid w:val="00B605A9"/>
    <w:rsid w:val="00B6127A"/>
    <w:rsid w:val="00B64214"/>
    <w:rsid w:val="00B71F2E"/>
    <w:rsid w:val="00B7209A"/>
    <w:rsid w:val="00B7506C"/>
    <w:rsid w:val="00B75F3D"/>
    <w:rsid w:val="00B7625B"/>
    <w:rsid w:val="00B76C66"/>
    <w:rsid w:val="00B773B6"/>
    <w:rsid w:val="00B840D8"/>
    <w:rsid w:val="00B85155"/>
    <w:rsid w:val="00B8546C"/>
    <w:rsid w:val="00B9353B"/>
    <w:rsid w:val="00B935B4"/>
    <w:rsid w:val="00B9666F"/>
    <w:rsid w:val="00BA4B07"/>
    <w:rsid w:val="00BB4A6D"/>
    <w:rsid w:val="00BC043F"/>
    <w:rsid w:val="00BC25AE"/>
    <w:rsid w:val="00BC7961"/>
    <w:rsid w:val="00BC7C48"/>
    <w:rsid w:val="00BD0F9C"/>
    <w:rsid w:val="00BD298F"/>
    <w:rsid w:val="00BD4E3F"/>
    <w:rsid w:val="00BD6F72"/>
    <w:rsid w:val="00BD7C6D"/>
    <w:rsid w:val="00BE1FF3"/>
    <w:rsid w:val="00BE24E5"/>
    <w:rsid w:val="00BE7A44"/>
    <w:rsid w:val="00BF14EE"/>
    <w:rsid w:val="00BF38D7"/>
    <w:rsid w:val="00BF42BC"/>
    <w:rsid w:val="00BF58E0"/>
    <w:rsid w:val="00BF716F"/>
    <w:rsid w:val="00BF73F5"/>
    <w:rsid w:val="00BF7887"/>
    <w:rsid w:val="00BF7B07"/>
    <w:rsid w:val="00C0213E"/>
    <w:rsid w:val="00C02718"/>
    <w:rsid w:val="00C0407A"/>
    <w:rsid w:val="00C077A6"/>
    <w:rsid w:val="00C104CC"/>
    <w:rsid w:val="00C11B94"/>
    <w:rsid w:val="00C17C52"/>
    <w:rsid w:val="00C20E24"/>
    <w:rsid w:val="00C21964"/>
    <w:rsid w:val="00C23899"/>
    <w:rsid w:val="00C24EB7"/>
    <w:rsid w:val="00C25CA3"/>
    <w:rsid w:val="00C279B0"/>
    <w:rsid w:val="00C317FC"/>
    <w:rsid w:val="00C329FB"/>
    <w:rsid w:val="00C345F7"/>
    <w:rsid w:val="00C4286B"/>
    <w:rsid w:val="00C44443"/>
    <w:rsid w:val="00C4517A"/>
    <w:rsid w:val="00C509ED"/>
    <w:rsid w:val="00C51040"/>
    <w:rsid w:val="00C52A33"/>
    <w:rsid w:val="00C557AB"/>
    <w:rsid w:val="00C574C6"/>
    <w:rsid w:val="00C622EF"/>
    <w:rsid w:val="00C63CAD"/>
    <w:rsid w:val="00C63F88"/>
    <w:rsid w:val="00C6479C"/>
    <w:rsid w:val="00C64F71"/>
    <w:rsid w:val="00C66DB0"/>
    <w:rsid w:val="00C67040"/>
    <w:rsid w:val="00C7084B"/>
    <w:rsid w:val="00C715DF"/>
    <w:rsid w:val="00C716C1"/>
    <w:rsid w:val="00C72947"/>
    <w:rsid w:val="00C74796"/>
    <w:rsid w:val="00C752B8"/>
    <w:rsid w:val="00C75C85"/>
    <w:rsid w:val="00C77136"/>
    <w:rsid w:val="00C82A3B"/>
    <w:rsid w:val="00C83C5F"/>
    <w:rsid w:val="00C86E8C"/>
    <w:rsid w:val="00C915FC"/>
    <w:rsid w:val="00CA5EA9"/>
    <w:rsid w:val="00CA70BD"/>
    <w:rsid w:val="00CA74F4"/>
    <w:rsid w:val="00CA7F44"/>
    <w:rsid w:val="00CB0667"/>
    <w:rsid w:val="00CB0815"/>
    <w:rsid w:val="00CB6044"/>
    <w:rsid w:val="00CB6856"/>
    <w:rsid w:val="00CB7270"/>
    <w:rsid w:val="00CC1EDB"/>
    <w:rsid w:val="00CC481A"/>
    <w:rsid w:val="00CD444C"/>
    <w:rsid w:val="00CD7CA5"/>
    <w:rsid w:val="00CD7DF2"/>
    <w:rsid w:val="00CE6435"/>
    <w:rsid w:val="00CF1333"/>
    <w:rsid w:val="00CF3677"/>
    <w:rsid w:val="00CF3C57"/>
    <w:rsid w:val="00CF5447"/>
    <w:rsid w:val="00CF7353"/>
    <w:rsid w:val="00CF7C0D"/>
    <w:rsid w:val="00D04418"/>
    <w:rsid w:val="00D061AF"/>
    <w:rsid w:val="00D061E0"/>
    <w:rsid w:val="00D1207D"/>
    <w:rsid w:val="00D12E11"/>
    <w:rsid w:val="00D168E7"/>
    <w:rsid w:val="00D20229"/>
    <w:rsid w:val="00D207BE"/>
    <w:rsid w:val="00D20DBD"/>
    <w:rsid w:val="00D22673"/>
    <w:rsid w:val="00D23C26"/>
    <w:rsid w:val="00D254D7"/>
    <w:rsid w:val="00D26F33"/>
    <w:rsid w:val="00D30F29"/>
    <w:rsid w:val="00D3298C"/>
    <w:rsid w:val="00D359E7"/>
    <w:rsid w:val="00D35E93"/>
    <w:rsid w:val="00D36789"/>
    <w:rsid w:val="00D36932"/>
    <w:rsid w:val="00D40D2C"/>
    <w:rsid w:val="00D445F4"/>
    <w:rsid w:val="00D54329"/>
    <w:rsid w:val="00D55CF1"/>
    <w:rsid w:val="00D56C49"/>
    <w:rsid w:val="00D624DD"/>
    <w:rsid w:val="00D648E9"/>
    <w:rsid w:val="00D65292"/>
    <w:rsid w:val="00D65951"/>
    <w:rsid w:val="00D71C8F"/>
    <w:rsid w:val="00D75AE6"/>
    <w:rsid w:val="00D778D2"/>
    <w:rsid w:val="00D81110"/>
    <w:rsid w:val="00D81327"/>
    <w:rsid w:val="00D83563"/>
    <w:rsid w:val="00D85487"/>
    <w:rsid w:val="00D85FC6"/>
    <w:rsid w:val="00D924BC"/>
    <w:rsid w:val="00D92873"/>
    <w:rsid w:val="00D955BD"/>
    <w:rsid w:val="00D95D5F"/>
    <w:rsid w:val="00DA3ED6"/>
    <w:rsid w:val="00DA6D28"/>
    <w:rsid w:val="00DB02D1"/>
    <w:rsid w:val="00DB096C"/>
    <w:rsid w:val="00DB2FEC"/>
    <w:rsid w:val="00DB3ED5"/>
    <w:rsid w:val="00DB493D"/>
    <w:rsid w:val="00DC0270"/>
    <w:rsid w:val="00DC2008"/>
    <w:rsid w:val="00DC244B"/>
    <w:rsid w:val="00DC3260"/>
    <w:rsid w:val="00DC4385"/>
    <w:rsid w:val="00DC4B5A"/>
    <w:rsid w:val="00DD0714"/>
    <w:rsid w:val="00DD0DA5"/>
    <w:rsid w:val="00DD410A"/>
    <w:rsid w:val="00DD424A"/>
    <w:rsid w:val="00DD4F46"/>
    <w:rsid w:val="00DD782A"/>
    <w:rsid w:val="00DE0DBB"/>
    <w:rsid w:val="00DE1649"/>
    <w:rsid w:val="00DE43F4"/>
    <w:rsid w:val="00DE50A7"/>
    <w:rsid w:val="00DE5B22"/>
    <w:rsid w:val="00DF18F7"/>
    <w:rsid w:val="00DF1973"/>
    <w:rsid w:val="00DF3A6E"/>
    <w:rsid w:val="00DF534D"/>
    <w:rsid w:val="00E01781"/>
    <w:rsid w:val="00E020E5"/>
    <w:rsid w:val="00E0270A"/>
    <w:rsid w:val="00E06030"/>
    <w:rsid w:val="00E06715"/>
    <w:rsid w:val="00E13654"/>
    <w:rsid w:val="00E13808"/>
    <w:rsid w:val="00E22CD9"/>
    <w:rsid w:val="00E2413C"/>
    <w:rsid w:val="00E26732"/>
    <w:rsid w:val="00E32547"/>
    <w:rsid w:val="00E33BFC"/>
    <w:rsid w:val="00E34ED4"/>
    <w:rsid w:val="00E3523F"/>
    <w:rsid w:val="00E35419"/>
    <w:rsid w:val="00E37356"/>
    <w:rsid w:val="00E456B0"/>
    <w:rsid w:val="00E52FDC"/>
    <w:rsid w:val="00E53579"/>
    <w:rsid w:val="00E54493"/>
    <w:rsid w:val="00E548D8"/>
    <w:rsid w:val="00E5529C"/>
    <w:rsid w:val="00E57C54"/>
    <w:rsid w:val="00E57E4F"/>
    <w:rsid w:val="00E62641"/>
    <w:rsid w:val="00E650D0"/>
    <w:rsid w:val="00E6743F"/>
    <w:rsid w:val="00E70E5B"/>
    <w:rsid w:val="00E72877"/>
    <w:rsid w:val="00E74C9C"/>
    <w:rsid w:val="00E7798A"/>
    <w:rsid w:val="00E80D61"/>
    <w:rsid w:val="00E855DD"/>
    <w:rsid w:val="00E865AB"/>
    <w:rsid w:val="00E87AB5"/>
    <w:rsid w:val="00E96B8D"/>
    <w:rsid w:val="00EA06CB"/>
    <w:rsid w:val="00EA1280"/>
    <w:rsid w:val="00EA28ED"/>
    <w:rsid w:val="00EA2FF6"/>
    <w:rsid w:val="00EB1447"/>
    <w:rsid w:val="00EB1AC7"/>
    <w:rsid w:val="00EB1BCC"/>
    <w:rsid w:val="00EB23D6"/>
    <w:rsid w:val="00EB508A"/>
    <w:rsid w:val="00EB5338"/>
    <w:rsid w:val="00EB639D"/>
    <w:rsid w:val="00EC1950"/>
    <w:rsid w:val="00EC237A"/>
    <w:rsid w:val="00EC2ECA"/>
    <w:rsid w:val="00EC447E"/>
    <w:rsid w:val="00EC68CF"/>
    <w:rsid w:val="00ED25AD"/>
    <w:rsid w:val="00ED55F2"/>
    <w:rsid w:val="00EE44CD"/>
    <w:rsid w:val="00EE78E0"/>
    <w:rsid w:val="00EF499B"/>
    <w:rsid w:val="00EF7FE7"/>
    <w:rsid w:val="00F030B1"/>
    <w:rsid w:val="00F04D93"/>
    <w:rsid w:val="00F0568C"/>
    <w:rsid w:val="00F06096"/>
    <w:rsid w:val="00F126F4"/>
    <w:rsid w:val="00F15216"/>
    <w:rsid w:val="00F20091"/>
    <w:rsid w:val="00F20F72"/>
    <w:rsid w:val="00F2675E"/>
    <w:rsid w:val="00F33050"/>
    <w:rsid w:val="00F36B90"/>
    <w:rsid w:val="00F36DFA"/>
    <w:rsid w:val="00F40F3E"/>
    <w:rsid w:val="00F43F8B"/>
    <w:rsid w:val="00F44D40"/>
    <w:rsid w:val="00F47F6B"/>
    <w:rsid w:val="00F50BC7"/>
    <w:rsid w:val="00F517C6"/>
    <w:rsid w:val="00F52E18"/>
    <w:rsid w:val="00F54764"/>
    <w:rsid w:val="00F555C9"/>
    <w:rsid w:val="00F55AFE"/>
    <w:rsid w:val="00F63672"/>
    <w:rsid w:val="00F645B7"/>
    <w:rsid w:val="00F67ECD"/>
    <w:rsid w:val="00F7083F"/>
    <w:rsid w:val="00F72239"/>
    <w:rsid w:val="00F7302D"/>
    <w:rsid w:val="00F7572E"/>
    <w:rsid w:val="00F7586E"/>
    <w:rsid w:val="00F84EA9"/>
    <w:rsid w:val="00F85F8D"/>
    <w:rsid w:val="00F86472"/>
    <w:rsid w:val="00F86EB6"/>
    <w:rsid w:val="00F906D8"/>
    <w:rsid w:val="00F91326"/>
    <w:rsid w:val="00FA2039"/>
    <w:rsid w:val="00FA4EEE"/>
    <w:rsid w:val="00FB1DFD"/>
    <w:rsid w:val="00FB20A0"/>
    <w:rsid w:val="00FB2BAB"/>
    <w:rsid w:val="00FB2E9D"/>
    <w:rsid w:val="00FB3581"/>
    <w:rsid w:val="00FB43D1"/>
    <w:rsid w:val="00FD39E1"/>
    <w:rsid w:val="00FE0A78"/>
    <w:rsid w:val="00FE1E42"/>
    <w:rsid w:val="00FE4EE1"/>
    <w:rsid w:val="00FE515E"/>
    <w:rsid w:val="00FE5D4B"/>
    <w:rsid w:val="00FE60B5"/>
    <w:rsid w:val="00FE60BA"/>
    <w:rsid w:val="025D515A"/>
    <w:rsid w:val="02CB59A1"/>
    <w:rsid w:val="040BF670"/>
    <w:rsid w:val="06710F0F"/>
    <w:rsid w:val="090249F7"/>
    <w:rsid w:val="094FF50B"/>
    <w:rsid w:val="09871A36"/>
    <w:rsid w:val="098DAAE2"/>
    <w:rsid w:val="0AE348D5"/>
    <w:rsid w:val="0B495E98"/>
    <w:rsid w:val="0C5B74C4"/>
    <w:rsid w:val="1428E7A3"/>
    <w:rsid w:val="1618B79E"/>
    <w:rsid w:val="183A58CF"/>
    <w:rsid w:val="1A5D3523"/>
    <w:rsid w:val="1B88B1A0"/>
    <w:rsid w:val="1DBD4426"/>
    <w:rsid w:val="22CBE39A"/>
    <w:rsid w:val="237C8637"/>
    <w:rsid w:val="26FBC23D"/>
    <w:rsid w:val="2A3362FF"/>
    <w:rsid w:val="2B6E7E65"/>
    <w:rsid w:val="2BE80DE3"/>
    <w:rsid w:val="2C4832F0"/>
    <w:rsid w:val="2C7F2E54"/>
    <w:rsid w:val="2EE0730C"/>
    <w:rsid w:val="370D5973"/>
    <w:rsid w:val="377F0B54"/>
    <w:rsid w:val="3D603BE9"/>
    <w:rsid w:val="3D891511"/>
    <w:rsid w:val="40C0B5D3"/>
    <w:rsid w:val="40D4450C"/>
    <w:rsid w:val="4344D8E1"/>
    <w:rsid w:val="48FF42A5"/>
    <w:rsid w:val="490C1D29"/>
    <w:rsid w:val="4967D768"/>
    <w:rsid w:val="4CBB628F"/>
    <w:rsid w:val="50FB5D25"/>
    <w:rsid w:val="53EC3F57"/>
    <w:rsid w:val="54C14C09"/>
    <w:rsid w:val="56A9F309"/>
    <w:rsid w:val="57AED925"/>
    <w:rsid w:val="62214605"/>
    <w:rsid w:val="64E010C4"/>
    <w:rsid w:val="66CF8EB2"/>
    <w:rsid w:val="673440C5"/>
    <w:rsid w:val="698D43AD"/>
    <w:rsid w:val="6B01D818"/>
    <w:rsid w:val="6B927DFD"/>
    <w:rsid w:val="6CC99933"/>
    <w:rsid w:val="6D33E62C"/>
    <w:rsid w:val="6D383230"/>
    <w:rsid w:val="6F4F2060"/>
    <w:rsid w:val="6F6F8CD2"/>
    <w:rsid w:val="71E17146"/>
    <w:rsid w:val="7BB703E1"/>
    <w:rsid w:val="7D52E3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8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semiHidden/>
    <w:unhideWhenUsed/>
    <w:qFormat/>
    <w:pPr>
      <w:spacing w:before="100" w:after="100"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qFormat/>
    <w:pPr>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spacing w:after="0" w:line="240" w:lineRule="auto"/>
    </w:pPr>
  </w:style>
  <w:style w:type="character" w:styleId="Hyperlink">
    <w:name w:val="Hyperlink"/>
    <w:basedOn w:val="DefaultParagraphFont"/>
    <w:uiPriority w:val="99"/>
    <w:unhideWhenUsed/>
    <w:qFormat/>
    <w:rPr>
      <w:color w:val="0000FF"/>
      <w:u w:val="single"/>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472C4" w:themeColor="accent1"/>
      <w:sz w:val="26"/>
      <w:szCs w:val="26"/>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472C4" w:themeColor="accent1"/>
      <w:sz w:val="22"/>
      <w:szCs w:val="22"/>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sz w:val="22"/>
      <w:szCs w:val="22"/>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qFormat/>
    <w:rPr>
      <w:b/>
      <w:bCs/>
      <w:i/>
      <w:iCs/>
      <w:color w:val="4472C4" w:themeColor="accent1"/>
      <w:sz w:val="22"/>
      <w:szCs w:val="22"/>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PlainTextChar">
    <w:name w:val="Plain Text Char"/>
    <w:basedOn w:val="DefaultParagraphFont"/>
    <w:link w:val="PlainText"/>
    <w:uiPriority w:val="99"/>
    <w:qFormat/>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C5D34"/>
    <w:rPr>
      <w:color w:val="605E5C"/>
      <w:shd w:val="clear" w:color="auto" w:fill="E1DFDD"/>
    </w:rPr>
  </w:style>
  <w:style w:type="paragraph" w:styleId="Revision">
    <w:name w:val="Revision"/>
    <w:hidden/>
    <w:uiPriority w:val="99"/>
    <w:unhideWhenUsed/>
    <w:rsid w:val="001160A2"/>
    <w:rPr>
      <w:sz w:val="22"/>
      <w:szCs w:val="22"/>
    </w:rPr>
  </w:style>
  <w:style w:type="character" w:styleId="CommentReference">
    <w:name w:val="annotation reference"/>
    <w:basedOn w:val="DefaultParagraphFont"/>
    <w:uiPriority w:val="99"/>
    <w:semiHidden/>
    <w:unhideWhenUsed/>
    <w:rsid w:val="00B5600E"/>
    <w:rPr>
      <w:sz w:val="16"/>
      <w:szCs w:val="16"/>
    </w:rPr>
  </w:style>
  <w:style w:type="paragraph" w:styleId="CommentText">
    <w:name w:val="annotation text"/>
    <w:basedOn w:val="Normal"/>
    <w:link w:val="CommentTextChar"/>
    <w:uiPriority w:val="99"/>
    <w:unhideWhenUsed/>
    <w:rsid w:val="00B5600E"/>
    <w:pPr>
      <w:spacing w:line="240" w:lineRule="auto"/>
    </w:pPr>
    <w:rPr>
      <w:sz w:val="20"/>
      <w:szCs w:val="20"/>
    </w:rPr>
  </w:style>
  <w:style w:type="character" w:customStyle="1" w:styleId="CommentTextChar">
    <w:name w:val="Comment Text Char"/>
    <w:basedOn w:val="DefaultParagraphFont"/>
    <w:link w:val="CommentText"/>
    <w:uiPriority w:val="99"/>
    <w:rsid w:val="00B5600E"/>
  </w:style>
  <w:style w:type="paragraph" w:styleId="CommentSubject">
    <w:name w:val="annotation subject"/>
    <w:basedOn w:val="CommentText"/>
    <w:next w:val="CommentText"/>
    <w:link w:val="CommentSubjectChar"/>
    <w:uiPriority w:val="99"/>
    <w:semiHidden/>
    <w:unhideWhenUsed/>
    <w:rsid w:val="00B5600E"/>
    <w:rPr>
      <w:b/>
      <w:bCs/>
    </w:rPr>
  </w:style>
  <w:style w:type="character" w:customStyle="1" w:styleId="CommentSubjectChar">
    <w:name w:val="Comment Subject Char"/>
    <w:basedOn w:val="CommentTextChar"/>
    <w:link w:val="CommentSubject"/>
    <w:uiPriority w:val="99"/>
    <w:semiHidden/>
    <w:rsid w:val="00B5600E"/>
    <w:rPr>
      <w:b/>
      <w:bCs/>
    </w:rPr>
  </w:style>
  <w:style w:type="paragraph" w:styleId="Caption">
    <w:name w:val="caption"/>
    <w:basedOn w:val="Normal"/>
    <w:next w:val="Normal"/>
    <w:uiPriority w:val="35"/>
    <w:unhideWhenUsed/>
    <w:qFormat/>
    <w:rsid w:val="00B7625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r.mahmoudsharafeddin@gmail.com" TargetMode="External"/><Relationship Id="rId13" Type="http://schemas.openxmlformats.org/officeDocument/2006/relationships/image" Target="media/image2.png"/><Relationship Id="rId18" Type="http://schemas.openxmlformats.org/officeDocument/2006/relationships/hyperlink" Target="https://doi.org/10.1093/ndt/gft033" TargetMode="External"/><Relationship Id="rId26" Type="http://schemas.openxmlformats.org/officeDocument/2006/relationships/hyperlink" Target="https://doi.org/10.22265/acnef.4.1.266" TargetMode="External"/><Relationship Id="rId3" Type="http://schemas.openxmlformats.org/officeDocument/2006/relationships/styles" Target="styles.xml"/><Relationship Id="rId21" Type="http://schemas.openxmlformats.org/officeDocument/2006/relationships/hyperlink" Target="https://doi.org/10.7759/cureus.9206"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14/relationships/chartEx" Target="charts/chartEx2.xml"/><Relationship Id="rId17" Type="http://schemas.openxmlformats.org/officeDocument/2006/relationships/hyperlink" Target="https://doi.org/10.4103/1319-2442.284013" TargetMode="External"/><Relationship Id="rId25" Type="http://schemas.openxmlformats.org/officeDocument/2006/relationships/hyperlink" Target="https://doi.org/10.1080/17512433.2018.1516143"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681/asn.2019020213" TargetMode="External"/><Relationship Id="rId20" Type="http://schemas.openxmlformats.org/officeDocument/2006/relationships/hyperlink" Target="https://doi.org/10.14309/ajg.0000000000000495" TargetMode="External"/><Relationship Id="rId29" Type="http://schemas.openxmlformats.org/officeDocument/2006/relationships/hyperlink" Target="https://doi.org/10.1016/j.htct.2018.0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3109/0886022x.2014.943671" TargetMode="External"/><Relationship Id="rId32" Type="http://schemas.openxmlformats.org/officeDocument/2006/relationships/hyperlink" Target="https://doi.org/10.3109/0886022x.2012.731998" TargetMode="External"/><Relationship Id="rId5" Type="http://schemas.openxmlformats.org/officeDocument/2006/relationships/webSettings" Target="webSettings.xml"/><Relationship Id="rId15" Type="http://schemas.openxmlformats.org/officeDocument/2006/relationships/hyperlink" Target="https://doi.org/10.1016/j.nefro.2018.05.010" TargetMode="External"/><Relationship Id="rId23" Type="http://schemas.openxmlformats.org/officeDocument/2006/relationships/hyperlink" Target="https://doi.org/10.3389/fphar.2021.720703" TargetMode="External"/><Relationship Id="rId28" Type="http://schemas.openxmlformats.org/officeDocument/2006/relationships/hyperlink" Target="https://doi.org/10.7759/cureus.10578" TargetMode="External"/><Relationship Id="rId36" Type="http://schemas.openxmlformats.org/officeDocument/2006/relationships/theme" Target="theme/theme1.xml"/><Relationship Id="rId10" Type="http://schemas.microsoft.com/office/2014/relationships/chartEx" Target="charts/chartEx1.xml"/><Relationship Id="rId19" Type="http://schemas.openxmlformats.org/officeDocument/2006/relationships/hyperlink" Target="https://doi.org/10.1371/journal.pone.0084943" TargetMode="External"/><Relationship Id="rId31" Type="http://schemas.openxmlformats.org/officeDocument/2006/relationships/hyperlink" Target="https://doi.org/10.1080/19490976.2015.1105426" TargetMode="External"/><Relationship Id="rId4" Type="http://schemas.openxmlformats.org/officeDocument/2006/relationships/settings" Target="settings.xml"/><Relationship Id="rId9" Type="http://schemas.openxmlformats.org/officeDocument/2006/relationships/hyperlink" Target="10.21608/AJGH.2024.247971.1043" TargetMode="External"/><Relationship Id="rId14" Type="http://schemas.openxmlformats.org/officeDocument/2006/relationships/hyperlink" Target="https://doi.org/10.1016/j.kint.2017.02.035" TargetMode="External"/><Relationship Id="rId22" Type="http://schemas.openxmlformats.org/officeDocument/2006/relationships/hyperlink" Target="https://doi.org/10.1186/s12882-020-02108-w" TargetMode="External"/><Relationship Id="rId27" Type="http://schemas.openxmlformats.org/officeDocument/2006/relationships/hyperlink" Target="https://doi.org/10.1016/j.meegid.2021.105102" TargetMode="External"/><Relationship Id="rId30" Type="http://schemas.openxmlformats.org/officeDocument/2006/relationships/hyperlink" Target="https://doi.org/10.1080/03007995.2017.1394833"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NULL" TargetMode="External"/><Relationship Id="rId4" Type="http://schemas.openxmlformats.org/officeDocument/2006/relationships/themeOverride" Target="../theme/themeOverride1.xm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NULL" TargetMode="External"/><Relationship Id="rId4" Type="http://schemas.openxmlformats.org/officeDocument/2006/relationships/themeOverride" Target="../theme/themeOverride2.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lvl ptCount="32">
          <cx:pt idx="0">Normal</cx:pt>
          <cx:pt idx="1">Normal</cx:pt>
          <cx:pt idx="2">Normal</cx:pt>
          <cx:pt idx="3">Normal</cx:pt>
          <cx:pt idx="4">Normal</cx:pt>
          <cx:pt idx="5">Normal</cx:pt>
          <cx:pt idx="6">Normal</cx:pt>
          <cx:pt idx="7">Normal</cx:pt>
          <cx:pt idx="8">Normal</cx:pt>
          <cx:pt idx="9">Normal</cx:pt>
          <cx:pt idx="10">Normal</cx:pt>
          <cx:pt idx="11">Normal</cx:pt>
          <cx:pt idx="12">Normal</cx:pt>
          <cx:pt idx="13">H. pylori gastritis</cx:pt>
          <cx:pt idx="14">H. pylori gastritis</cx:pt>
          <cx:pt idx="15">H. pylori gastritis</cx:pt>
          <cx:pt idx="16">H. pylori gastritis</cx:pt>
          <cx:pt idx="17">H. pylori gastritis</cx:pt>
          <cx:pt idx="18">H. pylori gastritis</cx:pt>
          <cx:pt idx="19">H. pylori gastritis</cx:pt>
          <cx:pt idx="20">H. pylori gastritis</cx:pt>
          <cx:pt idx="21">H. pylori gastritis</cx:pt>
          <cx:pt idx="22">H. pylori gastritis</cx:pt>
          <cx:pt idx="23">H. pylori gastritis</cx:pt>
          <cx:pt idx="24">H. pylori gastritis</cx:pt>
          <cx:pt idx="25">H. pylori gastritis</cx:pt>
          <cx:pt idx="26">H. pylori gastritis</cx:pt>
          <cx:pt idx="27">H. pylori gastritis</cx:pt>
          <cx:pt idx="28">H. pylori gastritis</cx:pt>
          <cx:pt idx="29">H. pylori gastritis</cx:pt>
          <cx:pt idx="30">H. pylori gastritis</cx:pt>
          <cx:pt idx="31">H. pylori gastritis</cx:pt>
        </cx:lvl>
      </cx:strDim>
      <cx:numDim type="val">
        <cx:lvl ptCount="32" formatCode="General">
          <cx:pt idx="0">0.7571</cx:pt>
          <cx:pt idx="1">0.8022999999999999</cx:pt>
          <cx:pt idx="2">0.8022999999999999</cx:pt>
          <cx:pt idx="3">0.81359999999999999</cx:pt>
          <cx:pt idx="4">0.81359999999999999</cx:pt>
          <cx:pt idx="5">0.81359999999999999</cx:pt>
          <cx:pt idx="6">0.84999999999999998</cx:pt>
          <cx:pt idx="7">0.88139999999999996</cx:pt>
          <cx:pt idx="8">0.89000000000000001</cx:pt>
          <cx:pt idx="9">0.92659999999999998</cx:pt>
          <cx:pt idx="10">0.92659999999999998</cx:pt>
          <cx:pt idx="11">1.6272</cx:pt>
          <cx:pt idx="12">1.6272</cx:pt>
          <cx:pt idx="13">0.75936000000000003</cx:pt>
          <cx:pt idx="14">0.75936000000000003</cx:pt>
          <cx:pt idx="15">0.8587999999999999</cx:pt>
          <cx:pt idx="16">0.8587999999999999</cx:pt>
          <cx:pt idx="17">0.90399999999999991</cx:pt>
          <cx:pt idx="18">1.0057</cx:pt>
          <cx:pt idx="19">1.0622</cx:pt>
          <cx:pt idx="20">1.0622</cx:pt>
          <cx:pt idx="21">1.1073999999999999</cx:pt>
          <cx:pt idx="22">1.1073999999999999</cx:pt>
          <cx:pt idx="23">1.1299999999999999</cx:pt>
          <cx:pt idx="24">1.23</cx:pt>
          <cx:pt idx="25">1.2543</cx:pt>
          <cx:pt idx="26">1.26</cx:pt>
          <cx:pt idx="27">2.3165</cx:pt>
          <cx:pt idx="28">2.3165</cx:pt>
          <cx:pt idx="29">8.6670999999999996</cx:pt>
          <cx:pt idx="30">9.1999999999999993</cx:pt>
          <cx:pt idx="31">12</cx:pt>
        </cx:lvl>
      </cx:numDim>
    </cx:data>
  </cx:chartData>
  <cx:chart>
    <cx:title pos="t" align="ctr" overlay="1">
      <cx:tx>
        <cx:txData>
          <cx:v/>
        </cx:txData>
      </cx:tx>
      <cx:txPr>
        <a:bodyPr spcFirstLastPara="1" vertOverflow="ellipsis" wrap="square" lIns="0" tIns="0" rIns="0" bIns="0" anchor="ctr" anchorCtr="1"/>
        <a:lstStyle/>
        <a:p>
          <a:pPr algn="ctr">
            <a:defRPr sz="1200" baseline="0">
              <a:latin typeface="Times New Roman" panose="02020603050405020304" pitchFamily="18" charset="0"/>
            </a:defRPr>
          </a:pPr>
          <a:endParaRPr sz="1200" baseline="0">
            <a:latin typeface="Times New Roman" panose="02020603050405020304" pitchFamily="18" charset="0"/>
          </a:endParaRPr>
        </a:p>
      </cx:txPr>
    </cx:title>
    <cx:plotArea>
      <cx:plotAreaRegion>
        <cx:series layoutId="boxWhisker" uniqueId="{4182C088-BBF1-40C3-8A6B-46B290DE937D}">
          <cx:dataId val="0"/>
          <cx:layoutPr>
            <cx:visibility meanLine="0" meanMarker="1" nonoutliers="0" outliers="1"/>
            <cx:statistics quartileMethod="exclusive"/>
          </cx:layoutPr>
        </cx:series>
      </cx:plotAreaRegion>
      <cx:axis id="0">
        <cx:catScaling gapWidth="1"/>
        <cx:tickLabels/>
        <cx:txPr>
          <a:bodyPr vertOverflow="overflow" horzOverflow="overflow" wrap="square" lIns="0" tIns="0" rIns="0" bIns="0"/>
          <a:lstStyle/>
          <a:p>
            <a:pPr algn="ctr" rtl="0">
              <a:defRPr sz="1200" b="1" i="0" baseline="0">
                <a:solidFill>
                  <a:schemeClr val="tx1"/>
                </a:solidFill>
                <a:latin typeface="Arial" panose="020B0604020202020204" pitchFamily="34" charset="0"/>
                <a:ea typeface="Calibri" panose="020F0502020204030204" pitchFamily="34" charset="0"/>
                <a:cs typeface="Sans Serif Collection" panose="020B0502040504020204" pitchFamily="34" charset="0"/>
              </a:defRPr>
            </a:pPr>
            <a:endParaRPr lang="ar-SA" sz="1200" b="1" i="0" baseline="0">
              <a:solidFill>
                <a:schemeClr val="tx1"/>
              </a:solidFill>
              <a:latin typeface="Arial" panose="020B0604020202020204" pitchFamily="34" charset="0"/>
              <a:cs typeface="Sans Serif Collection" panose="020B0502040504020204" pitchFamily="34" charset="0"/>
            </a:endParaRPr>
          </a:p>
        </cx:txPr>
      </cx:axis>
      <cx:axis id="1">
        <cx:valScaling/>
        <cx:title>
          <cx:tx>
            <cx:txData>
              <cx:v>Serum creatinine (mg/dl)</cx:v>
            </cx:txData>
          </cx:tx>
          <cx:txPr>
            <a:bodyPr spcFirstLastPara="1" vertOverflow="ellipsis" wrap="square" lIns="0" tIns="0" rIns="0" bIns="0" anchor="ctr" anchorCtr="1"/>
            <a:lstStyle/>
            <a:p>
              <a:pPr algn="ctr">
                <a:defRPr sz="1200" b="1" baseline="0">
                  <a:solidFill>
                    <a:schemeClr val="tx1"/>
                  </a:solidFill>
                  <a:latin typeface="Arial" panose="020B0604020202020204" pitchFamily="34" charset="0"/>
                  <a:cs typeface="Sans Serif Collection" panose="020B0502040504020204" pitchFamily="34" charset="0"/>
                </a:defRPr>
              </a:pPr>
              <a:r>
                <a:rPr lang="en-US" sz="1200" b="1" baseline="0">
                  <a:solidFill>
                    <a:schemeClr val="tx1"/>
                  </a:solidFill>
                  <a:latin typeface="Arial" panose="020B0604020202020204" pitchFamily="34" charset="0"/>
                  <a:cs typeface="Sans Serif Collection" panose="020B0502040504020204" pitchFamily="34" charset="0"/>
                </a:rPr>
                <a:t>Serum creatinine (mg/dl)</a:t>
              </a:r>
            </a:p>
          </cx:txPr>
        </cx:title>
        <cx:majorGridlines/>
        <cx:tickLabels/>
        <cx:txPr>
          <a:bodyPr vertOverflow="overflow" horzOverflow="overflow" wrap="square" lIns="0" tIns="0" rIns="0" bIns="0"/>
          <a:lstStyle/>
          <a:p>
            <a:pPr algn="ctr" rtl="0">
              <a:defRPr sz="1200" b="1" i="0" baseline="0">
                <a:solidFill>
                  <a:srgbClr val="595959"/>
                </a:solidFill>
                <a:latin typeface="Times New Roman" panose="02020603050405020304" pitchFamily="18" charset="0"/>
                <a:ea typeface="Calibri" panose="020F0502020204030204" pitchFamily="34" charset="0"/>
                <a:cs typeface="Calibri" panose="020F0502020204030204" pitchFamily="34" charset="0"/>
              </a:defRPr>
            </a:pPr>
            <a:endParaRPr lang="ar-SA" sz="1200" b="1" baseline="0">
              <a:latin typeface="Times New Roman" panose="02020603050405020304" pitchFamily="18" charset="0"/>
            </a:endParaRPr>
          </a:p>
        </cx:txPr>
      </cx:axis>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lvl ptCount="24">
          <cx:pt idx="0">Normal</cx:pt>
          <cx:pt idx="1">Normal</cx:pt>
          <cx:pt idx="2">Normal</cx:pt>
          <cx:pt idx="3">Normal</cx:pt>
          <cx:pt idx="4">Normal</cx:pt>
          <cx:pt idx="5">Normal</cx:pt>
          <cx:pt idx="6">Normal</cx:pt>
          <cx:pt idx="7">Normal</cx:pt>
          <cx:pt idx="8">Normal</cx:pt>
          <cx:pt idx="9">Normal</cx:pt>
          <cx:pt idx="10">Normal</cx:pt>
          <cx:pt idx="11">Normal</cx:pt>
          <cx:pt idx="12">Normal</cx:pt>
          <cx:pt idx="13">Erosive gastritis</cx:pt>
          <cx:pt idx="14">Erosive gastritis</cx:pt>
          <cx:pt idx="15">Erosive gastritis</cx:pt>
          <cx:pt idx="16">Erosive gastritis</cx:pt>
          <cx:pt idx="17">Erosive gastritis</cx:pt>
          <cx:pt idx="18">Erosive gastritis</cx:pt>
          <cx:pt idx="19">Erosive gastritis</cx:pt>
          <cx:pt idx="20">Erosive gastritis</cx:pt>
          <cx:pt idx="21">Erosive gastritis</cx:pt>
          <cx:pt idx="22">Erosive gastritis</cx:pt>
          <cx:pt idx="23">Erosive gastritis</cx:pt>
        </cx:lvl>
      </cx:strDim>
      <cx:numDim type="val">
        <cx:lvl ptCount="24" formatCode="General">
          <cx:pt idx="0">0.7571</cx:pt>
          <cx:pt idx="1">0.8022999999999999</cx:pt>
          <cx:pt idx="2">0.8022999999999999</cx:pt>
          <cx:pt idx="3">0.81359999999999999</cx:pt>
          <cx:pt idx="4">0.81359999999999999</cx:pt>
          <cx:pt idx="5">0.81359999999999999</cx:pt>
          <cx:pt idx="6">0.84999999999999998</cx:pt>
          <cx:pt idx="7">0.88139999999999996</cx:pt>
          <cx:pt idx="8">0.89000000000000001</cx:pt>
          <cx:pt idx="9">0.92659999999999998</cx:pt>
          <cx:pt idx="10">0.92659999999999998</cx:pt>
          <cx:pt idx="11">1.6272</cx:pt>
          <cx:pt idx="12">1.6272</cx:pt>
          <cx:pt idx="13">0.79099999999999993</cx:pt>
          <cx:pt idx="14">0.89000000000000001</cx:pt>
          <cx:pt idx="15">1.1299999999999999</cx:pt>
          <cx:pt idx="16">1.1413</cx:pt>
          <cx:pt idx="17">1.2</cx:pt>
          <cx:pt idx="18">1.45</cx:pt>
          <cx:pt idx="19">1.45</cx:pt>
          <cx:pt idx="20">2.1469999999999998</cx:pt>
          <cx:pt idx="21">2.3399999999999999</cx:pt>
          <cx:pt idx="22">9.1799999999999997</cx:pt>
          <cx:pt idx="23">10.17</cx:pt>
        </cx:lvl>
      </cx:numDim>
    </cx:data>
  </cx:chartData>
  <cx:chart>
    <cx:title pos="t" align="ctr" overlay="0">
      <cx:tx>
        <cx:txData>
          <cx:v/>
        </cx:txData>
      </cx:tx>
      <cx:txPr>
        <a:bodyPr spcFirstLastPara="1" vertOverflow="ellipsis" wrap="square" lIns="0" tIns="0" rIns="0" bIns="0" anchor="ctr" anchorCtr="1"/>
        <a:lstStyle/>
        <a:p>
          <a:pPr algn="ctr">
            <a:defRPr sz="1200"/>
          </a:pPr>
          <a:endParaRPr sz="1200"/>
        </a:p>
      </cx:txPr>
    </cx:title>
    <cx:plotArea>
      <cx:plotAreaRegion>
        <cx:series layoutId="boxWhisker" uniqueId="{4182C088-BBF1-40C3-8A6B-46B290DE937D}">
          <cx:dataId val="0"/>
          <cx:layoutPr>
            <cx:visibility meanLine="0" meanMarker="1" nonoutliers="0" outliers="1"/>
            <cx:statistics quartileMethod="exclusive"/>
          </cx:layoutPr>
        </cx:series>
      </cx:plotAreaRegion>
      <cx:axis id="0">
        <cx:catScaling gapWidth="1"/>
        <cx:tickLabels/>
        <cx:txPr>
          <a:bodyPr spcFirstLastPara="1" vertOverflow="ellipsis" horzOverflow="overflow" wrap="square" lIns="0" tIns="0" rIns="0" bIns="0" anchor="ctr" anchorCtr="1"/>
          <a:lstStyle/>
          <a:p>
            <a:pPr algn="ctr" rtl="0">
              <a:defRPr sz="1200" b="1" baseline="0">
                <a:solidFill>
                  <a:schemeClr val="tx1"/>
                </a:solidFill>
                <a:latin typeface="Arial" panose="020B0604020202020204" pitchFamily="34" charset="0"/>
                <a:cs typeface="Sans Serif Collection" panose="020B0502040504020204" pitchFamily="34" charset="0"/>
              </a:defRPr>
            </a:pPr>
            <a:endParaRPr lang="en-US" sz="1200" b="1" i="0" u="none" strike="noStrike" baseline="0">
              <a:solidFill>
                <a:schemeClr val="tx1"/>
              </a:solidFill>
              <a:latin typeface="Arial" panose="020B0604020202020204" pitchFamily="34" charset="0"/>
              <a:cs typeface="Sans Serif Collection" panose="020B0502040504020204" pitchFamily="34" charset="0"/>
            </a:endParaRPr>
          </a:p>
        </cx:txPr>
      </cx:axis>
      <cx:axis id="1">
        <cx:valScaling/>
        <cx:title>
          <cx:tx>
            <cx:txData>
              <cx:v>Serum creatinine (mg/dl)</cx:v>
            </cx:txData>
          </cx:tx>
          <cx:txPr>
            <a:bodyPr spcFirstLastPara="1" vertOverflow="ellipsis" wrap="square" lIns="0" tIns="0" rIns="0" bIns="0" anchor="ctr" anchorCtr="1"/>
            <a:lstStyle/>
            <a:p>
              <a:pPr algn="ctr">
                <a:defRPr sz="1200" b="1" i="0" baseline="0">
                  <a:solidFill>
                    <a:schemeClr val="tx1"/>
                  </a:solidFill>
                  <a:latin typeface="Arial" panose="020B0604020202020204" pitchFamily="34" charset="0"/>
                  <a:cs typeface="Sans Serif Collection" panose="020B0502040504020204" pitchFamily="34" charset="0"/>
                </a:defRPr>
              </a:pPr>
              <a:r>
                <a:rPr lang="en-US" sz="1200" b="1" i="0" baseline="0">
                  <a:solidFill>
                    <a:schemeClr val="tx1"/>
                  </a:solidFill>
                  <a:latin typeface="Arial" panose="020B0604020202020204" pitchFamily="34" charset="0"/>
                  <a:cs typeface="Sans Serif Collection" panose="020B0502040504020204" pitchFamily="34" charset="0"/>
                </a:rPr>
                <a:t>Serum creatinine (mg/dl)</a:t>
              </a:r>
            </a:p>
          </cx:txPr>
        </cx:title>
        <cx:majorGridlines/>
        <cx:tickLabels/>
        <cx:txPr>
          <a:bodyPr spcFirstLastPara="1" vertOverflow="ellipsis" horzOverflow="overflow" wrap="square" lIns="0" tIns="0" rIns="0" bIns="0" anchor="ctr" anchorCtr="1"/>
          <a:lstStyle/>
          <a:p>
            <a:pPr algn="ctr" rtl="0">
              <a:defRPr sz="1200" b="1"/>
            </a:pPr>
            <a:endParaRPr lang="en-US" sz="1200" b="1" i="0" u="none" strike="noStrike" baseline="0">
              <a:solidFill>
                <a:sysClr val="windowText" lastClr="000000">
                  <a:lumMod val="65000"/>
                  <a:lumOff val="35000"/>
                </a:sysClr>
              </a:solidFill>
              <a:latin typeface="Calibri"/>
            </a:endParaRPr>
          </a:p>
        </cx:txPr>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3612</Words>
  <Characters>21775</Characters>
  <Application>Microsoft Office Word</Application>
  <DocSecurity>0</DocSecurity>
  <Lines>695</Lines>
  <Paragraphs>477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2024-01-09T12:09:00Z</dcterms:created>
  <dcterms:modified xsi:type="dcterms:W3CDTF">2024-01-10T12:15:00Z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e4fc9c0152c2f85257f0cd91973c1c20f5d2ca8313b4d712b1091a4c2d183158</vt:lpwstr>
  </property>
</Properties>
</file>