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4A09" w14:textId="416E2010" w:rsidR="00D82B26" w:rsidRPr="003F0CBB" w:rsidRDefault="002C1DAC" w:rsidP="0088290D">
      <w:pPr>
        <w:pStyle w:val="Heading1"/>
      </w:pPr>
      <w:bookmarkStart w:id="0" w:name="_Hlk155724591"/>
      <w:r w:rsidRPr="003F0CBB">
        <w:t>The influence of lncRNA expression dysregulation on predicti</w:t>
      </w:r>
      <w:r w:rsidR="0088290D">
        <w:t>ng</w:t>
      </w:r>
      <w:r w:rsidRPr="003F0CBB">
        <w:t xml:space="preserve"> celiac diseases among patients with Hashimoto's thyroiditis</w:t>
      </w:r>
    </w:p>
    <w:p w14:paraId="2B555D6D" w14:textId="1CED28A6" w:rsidR="00330E82" w:rsidRPr="00A12B79" w:rsidRDefault="00330E82" w:rsidP="00330E82">
      <w:pPr>
        <w:spacing w:line="480" w:lineRule="auto"/>
        <w:jc w:val="both"/>
        <w:rPr>
          <w:rFonts w:asciiTheme="majorBidi" w:eastAsia="Calibri" w:hAnsiTheme="majorBidi" w:cstheme="majorBidi"/>
          <w:kern w:val="0"/>
          <w:sz w:val="24"/>
          <w:szCs w:val="24"/>
          <w:vertAlign w:val="superscript"/>
          <w:lang w:bidi="ar-EG"/>
          <w14:ligatures w14:val="none"/>
        </w:rPr>
      </w:pPr>
      <w:bookmarkStart w:id="1" w:name="_Hlk158208445"/>
      <w:bookmarkEnd w:id="0"/>
      <w:proofErr w:type="spellStart"/>
      <w:r w:rsidRPr="00A12B79">
        <w:rPr>
          <w:rFonts w:asciiTheme="majorBidi" w:eastAsia="Calibri" w:hAnsiTheme="majorBidi" w:cstheme="majorBidi"/>
          <w:kern w:val="0"/>
          <w:sz w:val="24"/>
          <w:szCs w:val="24"/>
          <w:lang w:bidi="ar-EG"/>
          <w14:ligatures w14:val="none"/>
        </w:rPr>
        <w:t>Nearmeen</w:t>
      </w:r>
      <w:proofErr w:type="spellEnd"/>
      <w:r w:rsidRPr="00A12B79">
        <w:rPr>
          <w:rFonts w:asciiTheme="majorBidi" w:eastAsia="Calibri" w:hAnsiTheme="majorBidi" w:cstheme="majorBidi"/>
          <w:kern w:val="0"/>
          <w:sz w:val="24"/>
          <w:szCs w:val="24"/>
          <w:lang w:bidi="ar-EG"/>
          <w14:ligatures w14:val="none"/>
        </w:rPr>
        <w:t xml:space="preserve"> M. Rashad</w:t>
      </w:r>
      <w:r w:rsidRPr="00A12B79">
        <w:rPr>
          <w:rFonts w:asciiTheme="majorBidi" w:eastAsia="Calibri" w:hAnsiTheme="majorBidi" w:cstheme="majorBidi"/>
          <w:kern w:val="0"/>
          <w:sz w:val="24"/>
          <w:szCs w:val="24"/>
          <w:vertAlign w:val="superscript"/>
          <w:lang w:bidi="ar-EG"/>
          <w14:ligatures w14:val="none"/>
        </w:rPr>
        <w:t>1*</w:t>
      </w:r>
      <w:r w:rsidRPr="00A12B79">
        <w:rPr>
          <w:rFonts w:asciiTheme="majorBidi" w:eastAsia="Calibri" w:hAnsiTheme="majorBidi" w:cstheme="majorBidi"/>
          <w:kern w:val="0"/>
          <w:sz w:val="24"/>
          <w:szCs w:val="24"/>
          <w:lang w:bidi="ar-EG"/>
          <w14:ligatures w14:val="none"/>
        </w:rPr>
        <w:t xml:space="preserve">, </w:t>
      </w:r>
      <w:r w:rsidRPr="007474FB">
        <w:rPr>
          <w:rFonts w:asciiTheme="majorBidi" w:hAnsiTheme="majorBidi" w:cstheme="majorBidi"/>
          <w:sz w:val="24"/>
          <w:szCs w:val="24"/>
        </w:rPr>
        <w:t>Mohamed Othman Wahba</w:t>
      </w:r>
      <w:r>
        <w:rPr>
          <w:rFonts w:asciiTheme="majorBidi" w:hAnsiTheme="majorBidi" w:cstheme="majorBidi"/>
          <w:sz w:val="24"/>
          <w:szCs w:val="24"/>
        </w:rPr>
        <w:t xml:space="preserve"> </w:t>
      </w:r>
      <w:r w:rsidR="00175F1C" w:rsidRPr="00782EDA">
        <w:rPr>
          <w:rFonts w:asciiTheme="majorBidi" w:hAnsiTheme="majorBidi" w:cstheme="majorBidi"/>
          <w:sz w:val="24"/>
          <w:szCs w:val="24"/>
          <w:vertAlign w:val="superscript"/>
        </w:rPr>
        <w:t>1</w:t>
      </w:r>
      <w:r w:rsidR="00175F1C">
        <w:rPr>
          <w:rFonts w:asciiTheme="majorBidi" w:eastAsiaTheme="minorEastAsia" w:hAnsiTheme="majorBidi" w:cstheme="majorBidi"/>
          <w:kern w:val="0"/>
          <w:sz w:val="24"/>
          <w:szCs w:val="24"/>
          <w:vertAlign w:val="superscript"/>
          <w14:ligatures w14:val="none"/>
        </w:rPr>
        <w:t>,</w:t>
      </w:r>
      <w:r w:rsidRPr="00A12B79">
        <w:rPr>
          <w:rFonts w:asciiTheme="majorBidi" w:eastAsia="Calibri" w:hAnsiTheme="majorBidi" w:cstheme="majorBidi"/>
          <w:kern w:val="0"/>
          <w:sz w:val="24"/>
          <w:szCs w:val="24"/>
          <w:lang w:bidi="ar-EG"/>
          <w14:ligatures w14:val="none"/>
        </w:rPr>
        <w:t xml:space="preserve"> </w:t>
      </w:r>
      <w:proofErr w:type="spellStart"/>
      <w:r w:rsidRPr="00A12B79">
        <w:rPr>
          <w:rFonts w:asciiTheme="majorBidi" w:eastAsia="Calibri" w:hAnsiTheme="majorBidi" w:cstheme="majorBidi"/>
          <w:kern w:val="0"/>
          <w:sz w:val="24"/>
          <w:szCs w:val="24"/>
          <w:lang w:bidi="ar-EG"/>
          <w14:ligatures w14:val="none"/>
        </w:rPr>
        <w:t>Abdelmonem</w:t>
      </w:r>
      <w:proofErr w:type="spellEnd"/>
      <w:r w:rsidRPr="00A12B79">
        <w:rPr>
          <w:rFonts w:asciiTheme="majorBidi" w:eastAsia="Calibri" w:hAnsiTheme="majorBidi" w:cstheme="majorBidi"/>
          <w:kern w:val="0"/>
          <w:sz w:val="24"/>
          <w:szCs w:val="24"/>
          <w:lang w:bidi="ar-EG"/>
          <w14:ligatures w14:val="none"/>
        </w:rPr>
        <w:t xml:space="preserve"> Mohamed Elshamy</w:t>
      </w:r>
      <w:r>
        <w:rPr>
          <w:rFonts w:asciiTheme="majorBidi" w:eastAsia="Calibri" w:hAnsiTheme="majorBidi" w:cstheme="majorBidi"/>
          <w:kern w:val="0"/>
          <w:sz w:val="24"/>
          <w:szCs w:val="24"/>
          <w:vertAlign w:val="superscript"/>
          <w:lang w:bidi="ar-EG"/>
          <w14:ligatures w14:val="none"/>
        </w:rPr>
        <w:t>2</w:t>
      </w:r>
      <w:r w:rsidRPr="00A12B79">
        <w:rPr>
          <w:rFonts w:asciiTheme="majorBidi" w:eastAsia="Calibri" w:hAnsiTheme="majorBidi" w:cstheme="majorBidi"/>
          <w:kern w:val="0"/>
          <w:sz w:val="24"/>
          <w:szCs w:val="24"/>
          <w:lang w:bidi="ar-EG"/>
          <w14:ligatures w14:val="none"/>
        </w:rPr>
        <w:t>,</w:t>
      </w:r>
      <w:r>
        <w:rPr>
          <w:rFonts w:asciiTheme="majorBidi" w:eastAsia="Calibri" w:hAnsiTheme="majorBidi" w:cstheme="majorBidi"/>
          <w:kern w:val="0"/>
          <w:sz w:val="24"/>
          <w:szCs w:val="24"/>
          <w14:ligatures w14:val="none"/>
        </w:rPr>
        <w:t xml:space="preserve"> </w:t>
      </w:r>
      <w:r w:rsidRPr="003C786E">
        <w:rPr>
          <w:rFonts w:asciiTheme="majorBidi" w:eastAsia="Calibri" w:hAnsiTheme="majorBidi" w:cstheme="majorBidi"/>
          <w:kern w:val="0"/>
          <w:sz w:val="24"/>
          <w:szCs w:val="24"/>
          <w14:ligatures w14:val="none"/>
        </w:rPr>
        <w:t>Manar H. Soliman</w:t>
      </w:r>
      <w:r w:rsidRPr="002022F3">
        <w:rPr>
          <w:rFonts w:asciiTheme="majorBidi" w:eastAsia="Calibri" w:hAnsiTheme="majorBidi" w:cstheme="majorBidi"/>
          <w:kern w:val="0"/>
          <w:sz w:val="24"/>
          <w:szCs w:val="24"/>
          <w:vertAlign w:val="superscript"/>
          <w14:ligatures w14:val="none"/>
        </w:rPr>
        <w:t>3</w:t>
      </w:r>
      <w:r>
        <w:rPr>
          <w:rFonts w:asciiTheme="majorBidi" w:eastAsia="Calibri" w:hAnsiTheme="majorBidi" w:cstheme="majorBidi"/>
          <w:kern w:val="0"/>
          <w:sz w:val="24"/>
          <w:szCs w:val="24"/>
          <w14:ligatures w14:val="none"/>
        </w:rPr>
        <w:t>,</w:t>
      </w:r>
      <w:r>
        <w:rPr>
          <w:rFonts w:asciiTheme="majorBidi" w:eastAsia="Calibri" w:hAnsiTheme="majorBidi" w:cstheme="majorBidi"/>
          <w:kern w:val="0"/>
          <w:sz w:val="24"/>
          <w:szCs w:val="24"/>
          <w:vertAlign w:val="superscript"/>
          <w14:ligatures w14:val="none"/>
        </w:rPr>
        <w:t xml:space="preserve"> </w:t>
      </w:r>
      <w:r w:rsidRPr="002022F3">
        <w:rPr>
          <w:rFonts w:asciiTheme="majorBidi" w:eastAsia="Calibri" w:hAnsiTheme="majorBidi" w:cstheme="majorBidi"/>
          <w:kern w:val="0"/>
          <w:sz w:val="24"/>
          <w:szCs w:val="24"/>
          <w14:ligatures w14:val="none"/>
        </w:rPr>
        <w:t>Marwa H.</w:t>
      </w:r>
      <w:r w:rsidR="00175F1C" w:rsidRPr="002022F3">
        <w:rPr>
          <w:rFonts w:asciiTheme="majorBidi" w:eastAsia="Calibri" w:hAnsiTheme="majorBidi" w:cstheme="majorBidi"/>
          <w:kern w:val="0"/>
          <w:sz w:val="24"/>
          <w:szCs w:val="24"/>
          <w14:ligatures w14:val="none"/>
        </w:rPr>
        <w:t>S. Hussien</w:t>
      </w:r>
      <w:r w:rsidR="005761F6" w:rsidRPr="002022F3">
        <w:rPr>
          <w:rFonts w:asciiTheme="majorBidi" w:hAnsiTheme="majorBidi" w:cstheme="majorBidi"/>
          <w:sz w:val="24"/>
          <w:szCs w:val="24"/>
          <w:vertAlign w:val="superscript"/>
        </w:rPr>
        <w:t>4</w:t>
      </w:r>
      <w:r w:rsidR="005761F6" w:rsidRPr="002022F3">
        <w:rPr>
          <w:rFonts w:asciiTheme="majorBidi" w:hAnsiTheme="majorBidi" w:cstheme="majorBidi"/>
          <w:sz w:val="24"/>
          <w:szCs w:val="24"/>
        </w:rPr>
        <w:t>,</w:t>
      </w:r>
      <w:r w:rsidRPr="002022F3">
        <w:t xml:space="preserve"> </w:t>
      </w:r>
      <w:r w:rsidRPr="002022F3">
        <w:rPr>
          <w:rFonts w:asciiTheme="majorBidi" w:hAnsiTheme="majorBidi" w:cstheme="majorBidi"/>
          <w:sz w:val="24"/>
          <w:szCs w:val="24"/>
        </w:rPr>
        <w:t>Ahmad Sallam</w:t>
      </w:r>
      <w:r w:rsidRPr="00782EDA">
        <w:rPr>
          <w:rFonts w:asciiTheme="majorBidi" w:hAnsiTheme="majorBidi" w:cstheme="majorBidi"/>
          <w:sz w:val="24"/>
          <w:szCs w:val="24"/>
          <w:vertAlign w:val="superscript"/>
        </w:rPr>
        <w:t>5</w:t>
      </w:r>
      <w:r>
        <w:rPr>
          <w:rFonts w:asciiTheme="majorBidi" w:hAnsiTheme="majorBidi" w:cstheme="majorBidi"/>
          <w:sz w:val="24"/>
          <w:szCs w:val="24"/>
        </w:rPr>
        <w:t>,</w:t>
      </w:r>
      <w:r w:rsidR="00CF4266">
        <w:rPr>
          <w:rFonts w:asciiTheme="majorBidi" w:hAnsiTheme="majorBidi" w:cstheme="majorBidi"/>
          <w:sz w:val="24"/>
          <w:szCs w:val="24"/>
        </w:rPr>
        <w:t xml:space="preserve"> </w:t>
      </w:r>
      <w:r w:rsidRPr="007474FB">
        <w:rPr>
          <w:rFonts w:asciiTheme="majorBidi" w:hAnsiTheme="majorBidi" w:cstheme="majorBidi"/>
          <w:sz w:val="24"/>
          <w:szCs w:val="24"/>
        </w:rPr>
        <w:t xml:space="preserve">Amr Talaat EL </w:t>
      </w:r>
      <w:proofErr w:type="spellStart"/>
      <w:r w:rsidRPr="007474FB">
        <w:rPr>
          <w:rFonts w:asciiTheme="majorBidi" w:hAnsiTheme="majorBidi" w:cstheme="majorBidi"/>
          <w:sz w:val="24"/>
          <w:szCs w:val="24"/>
        </w:rPr>
        <w:t>Hawary</w:t>
      </w:r>
      <w:proofErr w:type="spellEnd"/>
      <w:r w:rsidRPr="007474FB">
        <w:rPr>
          <w:rFonts w:asciiTheme="majorBidi" w:hAnsiTheme="majorBidi" w:cstheme="majorBidi"/>
          <w:sz w:val="24"/>
          <w:szCs w:val="24"/>
        </w:rPr>
        <w:t xml:space="preserve"> </w:t>
      </w:r>
      <w:bookmarkEnd w:id="1"/>
      <w:r w:rsidRPr="00A12B79">
        <w:rPr>
          <w:rFonts w:asciiTheme="majorBidi" w:eastAsia="Calibri" w:hAnsiTheme="majorBidi" w:cstheme="majorBidi"/>
          <w:kern w:val="0"/>
          <w:sz w:val="24"/>
          <w:szCs w:val="24"/>
          <w:vertAlign w:val="superscript"/>
          <w:rtl/>
          <w:lang w:bidi="ar-EG"/>
          <w14:ligatures w14:val="none"/>
        </w:rPr>
        <w:t>1</w:t>
      </w:r>
    </w:p>
    <w:p w14:paraId="5E97D928" w14:textId="5E4ED6CF" w:rsidR="00330E82" w:rsidRPr="00330E82" w:rsidRDefault="00330E82" w:rsidP="00330E82">
      <w:pPr>
        <w:rPr>
          <w:rFonts w:asciiTheme="majorBidi" w:hAnsiTheme="majorBidi" w:cstheme="majorBidi"/>
          <w:sz w:val="24"/>
          <w:szCs w:val="24"/>
        </w:rPr>
      </w:pPr>
      <w:r>
        <w:rPr>
          <w:rFonts w:asciiTheme="majorBidi" w:hAnsiTheme="majorBidi" w:cstheme="majorBidi"/>
          <w:sz w:val="24"/>
          <w:szCs w:val="24"/>
          <w:vertAlign w:val="superscript"/>
        </w:rPr>
        <w:t>1</w:t>
      </w:r>
      <w:r w:rsidRPr="00FF12E2">
        <w:rPr>
          <w:rFonts w:asciiTheme="majorBidi" w:hAnsiTheme="majorBidi" w:cstheme="majorBidi"/>
          <w:sz w:val="24"/>
          <w:szCs w:val="24"/>
        </w:rPr>
        <w:t xml:space="preserve">Departments of Internal </w:t>
      </w:r>
      <w:r>
        <w:rPr>
          <w:rFonts w:asciiTheme="majorBidi" w:hAnsiTheme="majorBidi" w:cstheme="majorBidi"/>
          <w:sz w:val="24"/>
          <w:szCs w:val="24"/>
        </w:rPr>
        <w:t>Medicine,</w:t>
      </w:r>
      <w:r w:rsidRPr="00330E82">
        <w:rPr>
          <w:rFonts w:asciiTheme="majorBidi" w:hAnsiTheme="majorBidi" w:cstheme="majorBidi"/>
          <w:sz w:val="24"/>
          <w:szCs w:val="24"/>
        </w:rPr>
        <w:t xml:space="preserve"> Faculty of Medicine, </w:t>
      </w:r>
      <w:bookmarkStart w:id="2" w:name="_Hlk157436278"/>
      <w:r w:rsidRPr="00330E82">
        <w:rPr>
          <w:rFonts w:asciiTheme="majorBidi" w:hAnsiTheme="majorBidi" w:cstheme="majorBidi"/>
          <w:sz w:val="24"/>
          <w:szCs w:val="24"/>
        </w:rPr>
        <w:t>Zagazig</w:t>
      </w:r>
      <w:r>
        <w:rPr>
          <w:rFonts w:asciiTheme="majorBidi" w:hAnsiTheme="majorBidi" w:cstheme="majorBidi"/>
          <w:sz w:val="24"/>
          <w:szCs w:val="24"/>
        </w:rPr>
        <w:t xml:space="preserve"> university</w:t>
      </w:r>
      <w:bookmarkEnd w:id="2"/>
      <w:r w:rsidRPr="00330E82">
        <w:rPr>
          <w:rFonts w:asciiTheme="majorBidi" w:hAnsiTheme="majorBidi" w:cstheme="majorBidi"/>
          <w:sz w:val="24"/>
          <w:szCs w:val="24"/>
        </w:rPr>
        <w:t>,</w:t>
      </w:r>
      <w:r>
        <w:rPr>
          <w:rFonts w:asciiTheme="majorBidi" w:hAnsiTheme="majorBidi" w:cstheme="majorBidi"/>
          <w:sz w:val="24"/>
          <w:szCs w:val="24"/>
        </w:rPr>
        <w:t xml:space="preserve"> Zagazig, </w:t>
      </w:r>
      <w:r w:rsidRPr="00330E82">
        <w:rPr>
          <w:rFonts w:asciiTheme="majorBidi" w:hAnsiTheme="majorBidi" w:cstheme="majorBidi"/>
          <w:sz w:val="24"/>
          <w:szCs w:val="24"/>
        </w:rPr>
        <w:t>Egypt.</w:t>
      </w:r>
    </w:p>
    <w:p w14:paraId="3F0BF83D" w14:textId="1193A6C8" w:rsidR="00330E82" w:rsidRPr="00330E82" w:rsidRDefault="00330E82" w:rsidP="00330E82">
      <w:pPr>
        <w:rPr>
          <w:rFonts w:asciiTheme="majorBidi" w:hAnsiTheme="majorBidi" w:cstheme="majorBidi"/>
          <w:sz w:val="24"/>
          <w:szCs w:val="24"/>
        </w:rPr>
      </w:pPr>
      <w:r>
        <w:rPr>
          <w:rFonts w:asciiTheme="majorBidi" w:hAnsiTheme="majorBidi" w:cstheme="majorBidi"/>
          <w:sz w:val="24"/>
          <w:szCs w:val="24"/>
          <w:vertAlign w:val="superscript"/>
        </w:rPr>
        <w:t>2</w:t>
      </w:r>
      <w:r>
        <w:rPr>
          <w:rFonts w:asciiTheme="majorBidi" w:hAnsiTheme="majorBidi" w:cstheme="majorBidi"/>
          <w:sz w:val="24"/>
          <w:szCs w:val="24"/>
        </w:rPr>
        <w:t>Tropical Medicine,</w:t>
      </w:r>
      <w:r w:rsidRPr="00330E82">
        <w:rPr>
          <w:rFonts w:asciiTheme="majorBidi" w:hAnsiTheme="majorBidi" w:cstheme="majorBidi"/>
          <w:sz w:val="24"/>
          <w:szCs w:val="24"/>
        </w:rPr>
        <w:t xml:space="preserve"> Faculty of Medicine, Zagazig </w:t>
      </w:r>
      <w:r>
        <w:rPr>
          <w:rFonts w:asciiTheme="majorBidi" w:hAnsiTheme="majorBidi" w:cstheme="majorBidi"/>
          <w:sz w:val="24"/>
          <w:szCs w:val="24"/>
        </w:rPr>
        <w:t>University</w:t>
      </w:r>
      <w:r w:rsidRPr="00330E82">
        <w:rPr>
          <w:rFonts w:asciiTheme="majorBidi" w:hAnsiTheme="majorBidi" w:cstheme="majorBidi"/>
          <w:sz w:val="24"/>
          <w:szCs w:val="24"/>
        </w:rPr>
        <w:t xml:space="preserve"> Zagazig, Egypt.</w:t>
      </w:r>
    </w:p>
    <w:p w14:paraId="50DF9FA1" w14:textId="6872097D" w:rsidR="00330E82" w:rsidRPr="00330E82" w:rsidRDefault="00330E82" w:rsidP="00330E82">
      <w:pPr>
        <w:rPr>
          <w:rFonts w:asciiTheme="majorBidi" w:hAnsiTheme="majorBidi" w:cstheme="majorBidi"/>
          <w:sz w:val="24"/>
          <w:szCs w:val="24"/>
        </w:rPr>
      </w:pPr>
      <w:r>
        <w:rPr>
          <w:rFonts w:asciiTheme="majorBidi" w:hAnsiTheme="majorBidi" w:cstheme="majorBidi"/>
          <w:sz w:val="24"/>
          <w:szCs w:val="24"/>
          <w:vertAlign w:val="superscript"/>
        </w:rPr>
        <w:t>3</w:t>
      </w:r>
      <w:r>
        <w:rPr>
          <w:rFonts w:asciiTheme="majorBidi" w:hAnsiTheme="majorBidi" w:cstheme="majorBidi"/>
          <w:sz w:val="24"/>
          <w:szCs w:val="24"/>
        </w:rPr>
        <w:t xml:space="preserve">Medical Microbiology and Immunology, </w:t>
      </w:r>
      <w:r w:rsidRPr="00330E82">
        <w:rPr>
          <w:rFonts w:asciiTheme="majorBidi" w:hAnsiTheme="majorBidi" w:cstheme="majorBidi"/>
          <w:sz w:val="24"/>
          <w:szCs w:val="24"/>
        </w:rPr>
        <w:t xml:space="preserve">Faculty of Medicine, Zagazig </w:t>
      </w:r>
      <w:r w:rsidR="00175F1C">
        <w:rPr>
          <w:rFonts w:asciiTheme="majorBidi" w:hAnsiTheme="majorBidi" w:cstheme="majorBidi"/>
          <w:sz w:val="24"/>
          <w:szCs w:val="24"/>
        </w:rPr>
        <w:t>University</w:t>
      </w:r>
      <w:r w:rsidRPr="00330E82">
        <w:rPr>
          <w:rFonts w:asciiTheme="majorBidi" w:hAnsiTheme="majorBidi" w:cstheme="majorBidi"/>
          <w:sz w:val="24"/>
          <w:szCs w:val="24"/>
        </w:rPr>
        <w:t xml:space="preserve"> Zagazig, Egypt.</w:t>
      </w:r>
    </w:p>
    <w:p w14:paraId="3CD504A3" w14:textId="79E30182" w:rsidR="00330E82" w:rsidRPr="00330E82" w:rsidRDefault="00175F1C" w:rsidP="00175F1C">
      <w:pPr>
        <w:rPr>
          <w:rFonts w:asciiTheme="majorBidi" w:hAnsiTheme="majorBidi" w:cstheme="majorBidi"/>
          <w:sz w:val="24"/>
          <w:szCs w:val="24"/>
        </w:rPr>
      </w:pPr>
      <w:r>
        <w:rPr>
          <w:rFonts w:asciiTheme="majorBidi" w:hAnsiTheme="majorBidi" w:cstheme="majorBidi"/>
          <w:sz w:val="24"/>
          <w:szCs w:val="24"/>
          <w:vertAlign w:val="superscript"/>
        </w:rPr>
        <w:t>4</w:t>
      </w:r>
      <w:r w:rsidR="00330E82">
        <w:rPr>
          <w:rFonts w:asciiTheme="majorBidi" w:hAnsiTheme="majorBidi" w:cstheme="majorBidi"/>
          <w:sz w:val="24"/>
          <w:szCs w:val="24"/>
        </w:rPr>
        <w:t>Medical Biochemistry</w:t>
      </w:r>
      <w:r>
        <w:rPr>
          <w:rFonts w:asciiTheme="majorBidi" w:hAnsiTheme="majorBidi" w:cstheme="majorBidi"/>
          <w:sz w:val="24"/>
          <w:szCs w:val="24"/>
        </w:rPr>
        <w:t>,</w:t>
      </w:r>
      <w:r w:rsidR="00330E82" w:rsidRPr="00330E82">
        <w:rPr>
          <w:rFonts w:asciiTheme="majorBidi" w:hAnsiTheme="majorBidi" w:cstheme="majorBidi"/>
          <w:sz w:val="24"/>
          <w:szCs w:val="24"/>
        </w:rPr>
        <w:t xml:space="preserve"> Faculty of Medicine,</w:t>
      </w:r>
      <w:r w:rsidRPr="00175F1C">
        <w:rPr>
          <w:rFonts w:asciiTheme="majorBidi" w:hAnsiTheme="majorBidi" w:cstheme="majorBidi"/>
          <w:sz w:val="24"/>
          <w:szCs w:val="24"/>
        </w:rPr>
        <w:t xml:space="preserve"> Zagazig </w:t>
      </w:r>
      <w:r>
        <w:rPr>
          <w:rFonts w:asciiTheme="majorBidi" w:hAnsiTheme="majorBidi" w:cstheme="majorBidi"/>
          <w:sz w:val="24"/>
          <w:szCs w:val="24"/>
        </w:rPr>
        <w:t>University</w:t>
      </w:r>
      <w:r w:rsidR="00330E82" w:rsidRPr="00330E82">
        <w:rPr>
          <w:rFonts w:asciiTheme="majorBidi" w:hAnsiTheme="majorBidi" w:cstheme="majorBidi"/>
          <w:sz w:val="24"/>
          <w:szCs w:val="24"/>
        </w:rPr>
        <w:t xml:space="preserve"> Zagazig, Egypt.</w:t>
      </w:r>
    </w:p>
    <w:p w14:paraId="35139862" w14:textId="51F3E7FB" w:rsidR="00330E82" w:rsidRPr="00FF12E2" w:rsidRDefault="00175F1C" w:rsidP="00330E82">
      <w:pPr>
        <w:rPr>
          <w:rFonts w:asciiTheme="majorBidi" w:hAnsiTheme="majorBidi" w:cstheme="majorBidi"/>
          <w:sz w:val="24"/>
          <w:szCs w:val="24"/>
        </w:rPr>
      </w:pPr>
      <w:r>
        <w:rPr>
          <w:rFonts w:asciiTheme="majorBidi" w:hAnsiTheme="majorBidi" w:cstheme="majorBidi"/>
          <w:sz w:val="24"/>
          <w:szCs w:val="24"/>
          <w:vertAlign w:val="superscript"/>
        </w:rPr>
        <w:t>5</w:t>
      </w:r>
      <w:r w:rsidR="00330E82">
        <w:rPr>
          <w:rFonts w:asciiTheme="majorBidi" w:hAnsiTheme="majorBidi" w:cstheme="majorBidi"/>
          <w:sz w:val="24"/>
          <w:szCs w:val="24"/>
        </w:rPr>
        <w:t xml:space="preserve">Clinical </w:t>
      </w:r>
      <w:r>
        <w:rPr>
          <w:rFonts w:asciiTheme="majorBidi" w:hAnsiTheme="majorBidi" w:cstheme="majorBidi"/>
          <w:sz w:val="24"/>
          <w:szCs w:val="24"/>
        </w:rPr>
        <w:t>Pathology Department</w:t>
      </w:r>
      <w:r w:rsidR="00330E82" w:rsidRPr="00FF12E2">
        <w:rPr>
          <w:rFonts w:asciiTheme="majorBidi" w:hAnsiTheme="majorBidi" w:cstheme="majorBidi"/>
          <w:sz w:val="24"/>
          <w:szCs w:val="24"/>
        </w:rPr>
        <w:t>,</w:t>
      </w:r>
      <w:r w:rsidR="00330E82">
        <w:rPr>
          <w:rFonts w:asciiTheme="majorBidi" w:hAnsiTheme="majorBidi" w:cstheme="majorBidi"/>
          <w:sz w:val="24"/>
          <w:szCs w:val="24"/>
        </w:rPr>
        <w:t xml:space="preserve"> </w:t>
      </w:r>
      <w:bookmarkStart w:id="3" w:name="_Hlk157436167"/>
      <w:r w:rsidR="00330E82" w:rsidRPr="00FF12E2">
        <w:rPr>
          <w:rFonts w:asciiTheme="majorBidi" w:hAnsiTheme="majorBidi" w:cstheme="majorBidi"/>
          <w:sz w:val="24"/>
          <w:szCs w:val="24"/>
        </w:rPr>
        <w:t>Faculty of Medicine, Zagazig</w:t>
      </w:r>
      <w:r w:rsidR="00330E82">
        <w:rPr>
          <w:rFonts w:asciiTheme="majorBidi" w:hAnsiTheme="majorBidi" w:cstheme="majorBidi"/>
          <w:sz w:val="24"/>
          <w:szCs w:val="24"/>
        </w:rPr>
        <w:t xml:space="preserve"> U</w:t>
      </w:r>
      <w:r>
        <w:rPr>
          <w:rFonts w:asciiTheme="majorBidi" w:hAnsiTheme="majorBidi" w:cstheme="majorBidi"/>
          <w:sz w:val="24"/>
          <w:szCs w:val="24"/>
        </w:rPr>
        <w:t>niversity</w:t>
      </w:r>
      <w:r w:rsidR="00330E82">
        <w:rPr>
          <w:rFonts w:asciiTheme="majorBidi" w:hAnsiTheme="majorBidi" w:cstheme="majorBidi"/>
          <w:sz w:val="24"/>
          <w:szCs w:val="24"/>
        </w:rPr>
        <w:t>, Z</w:t>
      </w:r>
      <w:r>
        <w:rPr>
          <w:rFonts w:asciiTheme="majorBidi" w:hAnsiTheme="majorBidi" w:cstheme="majorBidi"/>
          <w:sz w:val="24"/>
          <w:szCs w:val="24"/>
        </w:rPr>
        <w:t>agazig</w:t>
      </w:r>
      <w:r w:rsidR="00330E82" w:rsidRPr="00FF12E2">
        <w:rPr>
          <w:rFonts w:asciiTheme="majorBidi" w:hAnsiTheme="majorBidi" w:cstheme="majorBidi"/>
          <w:sz w:val="24"/>
          <w:szCs w:val="24"/>
        </w:rPr>
        <w:t>,</w:t>
      </w:r>
      <w:r w:rsidR="00D4300F">
        <w:rPr>
          <w:rFonts w:asciiTheme="majorBidi" w:hAnsiTheme="majorBidi" w:cstheme="majorBidi"/>
          <w:sz w:val="24"/>
          <w:szCs w:val="24"/>
        </w:rPr>
        <w:t xml:space="preserve"> </w:t>
      </w:r>
      <w:r w:rsidR="00330E82" w:rsidRPr="00FF12E2">
        <w:rPr>
          <w:rFonts w:asciiTheme="majorBidi" w:hAnsiTheme="majorBidi" w:cstheme="majorBidi"/>
          <w:sz w:val="24"/>
          <w:szCs w:val="24"/>
        </w:rPr>
        <w:t>Egypt.</w:t>
      </w:r>
    </w:p>
    <w:bookmarkEnd w:id="3"/>
    <w:p w14:paraId="13967A2D" w14:textId="3E1DE615" w:rsidR="00330E82" w:rsidRPr="00FF12E2" w:rsidRDefault="00330E82" w:rsidP="00330E82">
      <w:pPr>
        <w:rPr>
          <w:rFonts w:asciiTheme="majorBidi" w:hAnsiTheme="majorBidi" w:cstheme="majorBidi"/>
          <w:sz w:val="24"/>
          <w:szCs w:val="24"/>
        </w:rPr>
      </w:pPr>
      <w:r w:rsidRPr="00FF12E2">
        <w:rPr>
          <w:rFonts w:asciiTheme="majorBidi" w:hAnsiTheme="majorBidi" w:cstheme="majorBidi"/>
          <w:sz w:val="24"/>
          <w:szCs w:val="24"/>
        </w:rPr>
        <w:t xml:space="preserve">*Corresponding author: </w:t>
      </w:r>
      <w:proofErr w:type="spellStart"/>
      <w:r w:rsidRPr="00FF12E2">
        <w:rPr>
          <w:rFonts w:asciiTheme="majorBidi" w:hAnsiTheme="majorBidi" w:cstheme="majorBidi"/>
          <w:sz w:val="24"/>
          <w:szCs w:val="24"/>
        </w:rPr>
        <w:t>Nearmeen</w:t>
      </w:r>
      <w:proofErr w:type="spellEnd"/>
      <w:r w:rsidRPr="00FF12E2">
        <w:rPr>
          <w:rFonts w:asciiTheme="majorBidi" w:hAnsiTheme="majorBidi" w:cstheme="majorBidi"/>
          <w:sz w:val="24"/>
          <w:szCs w:val="24"/>
        </w:rPr>
        <w:t xml:space="preserve"> M. Rashad, Mobile: (+20) 01224248642</w:t>
      </w:r>
      <w:r w:rsidR="00D4300F">
        <w:rPr>
          <w:rFonts w:asciiTheme="majorBidi" w:hAnsiTheme="majorBidi" w:cstheme="majorBidi"/>
          <w:sz w:val="24"/>
          <w:szCs w:val="24"/>
        </w:rPr>
        <w:t>.</w:t>
      </w:r>
      <w:r w:rsidRPr="00FF12E2">
        <w:rPr>
          <w:rFonts w:asciiTheme="majorBidi" w:hAnsiTheme="majorBidi" w:cstheme="majorBidi"/>
          <w:sz w:val="24"/>
          <w:szCs w:val="24"/>
        </w:rPr>
        <w:t xml:space="preserve"> </w:t>
      </w:r>
    </w:p>
    <w:p w14:paraId="0ED9DBA7" w14:textId="06919D27" w:rsidR="00330E82" w:rsidRPr="00FF12E2" w:rsidRDefault="00330E82" w:rsidP="00330E82">
      <w:pPr>
        <w:rPr>
          <w:rFonts w:asciiTheme="majorBidi" w:hAnsiTheme="majorBidi" w:cstheme="majorBidi"/>
          <w:sz w:val="24"/>
          <w:szCs w:val="24"/>
        </w:rPr>
      </w:pPr>
      <w:r w:rsidRPr="00FF12E2">
        <w:rPr>
          <w:rFonts w:asciiTheme="majorBidi" w:hAnsiTheme="majorBidi" w:cstheme="majorBidi"/>
          <w:sz w:val="24"/>
          <w:szCs w:val="24"/>
        </w:rPr>
        <w:t xml:space="preserve">E-mail: </w:t>
      </w:r>
      <w:hyperlink r:id="rId8" w:history="1">
        <w:r w:rsidRPr="00330E82">
          <w:rPr>
            <w:rStyle w:val="Hyperlink"/>
            <w:rFonts w:asciiTheme="majorBidi" w:hAnsiTheme="majorBidi" w:cstheme="majorBidi"/>
            <w:sz w:val="24"/>
            <w:szCs w:val="24"/>
          </w:rPr>
          <w:t>nrashad78@yahoo.com &amp; n.rashad@zu.edu.eg.</w:t>
        </w:r>
      </w:hyperlink>
    </w:p>
    <w:p w14:paraId="05EC789A" w14:textId="53B29B56" w:rsidR="003C773C" w:rsidRDefault="003C773C" w:rsidP="003C773C">
      <w:pPr>
        <w:rPr>
          <w:rFonts w:asciiTheme="majorBidi" w:hAnsiTheme="majorBidi" w:cstheme="majorBidi"/>
          <w:b/>
          <w:bCs/>
          <w:sz w:val="24"/>
          <w:szCs w:val="24"/>
        </w:rPr>
      </w:pPr>
      <w:r w:rsidRPr="003C773C">
        <w:rPr>
          <w:rFonts w:asciiTheme="majorBidi" w:hAnsiTheme="majorBidi" w:cstheme="majorBidi"/>
          <w:bCs/>
          <w:sz w:val="24"/>
          <w:szCs w:val="24"/>
        </w:rPr>
        <w:t xml:space="preserve">DOI: </w:t>
      </w:r>
      <w:hyperlink r:id="rId9" w:history="1">
        <w:r w:rsidRPr="003C773C">
          <w:rPr>
            <w:rStyle w:val="Hyperlink"/>
            <w:rFonts w:asciiTheme="majorBidi" w:hAnsiTheme="majorBidi" w:cstheme="majorBidi"/>
            <w:b/>
            <w:bCs/>
            <w:sz w:val="24"/>
            <w:szCs w:val="24"/>
          </w:rPr>
          <w:t>10.21608/AJGH.2024.262342.1048</w:t>
        </w:r>
      </w:hyperlink>
      <w:r>
        <w:rPr>
          <w:rFonts w:asciiTheme="majorBidi" w:hAnsiTheme="majorBidi" w:cstheme="majorBidi"/>
          <w:b/>
          <w:bCs/>
          <w:sz w:val="24"/>
          <w:szCs w:val="24"/>
        </w:rPr>
        <w:t>.</w:t>
      </w:r>
    </w:p>
    <w:p w14:paraId="79B3243C" w14:textId="08243B86" w:rsidR="003C773C" w:rsidRPr="003C773C" w:rsidRDefault="003C773C" w:rsidP="001317C7">
      <w:pPr>
        <w:rPr>
          <w:rFonts w:asciiTheme="majorBidi" w:hAnsiTheme="majorBidi" w:cstheme="majorBidi"/>
          <w:bCs/>
          <w:sz w:val="24"/>
          <w:szCs w:val="24"/>
        </w:rPr>
      </w:pPr>
      <w:r w:rsidRPr="003C773C">
        <w:rPr>
          <w:rFonts w:asciiTheme="majorBidi" w:hAnsiTheme="majorBidi" w:cstheme="majorBidi"/>
          <w:bCs/>
          <w:sz w:val="24"/>
          <w:szCs w:val="24"/>
        </w:rPr>
        <w:t xml:space="preserve">Submission date:12 </w:t>
      </w:r>
      <w:r w:rsidR="001317C7" w:rsidRPr="003C773C">
        <w:rPr>
          <w:rFonts w:asciiTheme="majorBidi" w:hAnsiTheme="majorBidi" w:cstheme="majorBidi"/>
          <w:bCs/>
          <w:sz w:val="24"/>
          <w:szCs w:val="24"/>
        </w:rPr>
        <w:t>January</w:t>
      </w:r>
      <w:r w:rsidRPr="003C773C">
        <w:rPr>
          <w:rFonts w:asciiTheme="majorBidi" w:hAnsiTheme="majorBidi" w:cstheme="majorBidi"/>
          <w:bCs/>
          <w:sz w:val="24"/>
          <w:szCs w:val="24"/>
        </w:rPr>
        <w:t xml:space="preserve"> 2023.</w:t>
      </w:r>
    </w:p>
    <w:p w14:paraId="68820F60" w14:textId="0D173571" w:rsidR="003C773C" w:rsidRPr="003C773C" w:rsidRDefault="003C773C" w:rsidP="003C773C">
      <w:pPr>
        <w:rPr>
          <w:rFonts w:asciiTheme="majorBidi" w:hAnsiTheme="majorBidi" w:cstheme="majorBidi"/>
          <w:bCs/>
          <w:sz w:val="24"/>
          <w:szCs w:val="24"/>
        </w:rPr>
      </w:pPr>
      <w:r w:rsidRPr="003C773C">
        <w:rPr>
          <w:rFonts w:asciiTheme="majorBidi" w:hAnsiTheme="majorBidi" w:cstheme="majorBidi"/>
          <w:bCs/>
          <w:sz w:val="24"/>
          <w:szCs w:val="24"/>
        </w:rPr>
        <w:t xml:space="preserve">Revision date: </w:t>
      </w:r>
      <w:r w:rsidR="001317C7">
        <w:rPr>
          <w:rFonts w:asciiTheme="majorBidi" w:hAnsiTheme="majorBidi" w:cstheme="majorBidi"/>
          <w:bCs/>
          <w:sz w:val="24"/>
          <w:szCs w:val="24"/>
        </w:rPr>
        <w:t>29</w:t>
      </w:r>
      <w:r w:rsidRPr="003C773C">
        <w:rPr>
          <w:rFonts w:asciiTheme="majorBidi" w:hAnsiTheme="majorBidi" w:cstheme="majorBidi"/>
          <w:bCs/>
          <w:sz w:val="24"/>
          <w:szCs w:val="24"/>
        </w:rPr>
        <w:t xml:space="preserve"> January 2024.</w:t>
      </w:r>
    </w:p>
    <w:p w14:paraId="6094C032" w14:textId="518A05A1" w:rsidR="003C773C" w:rsidRPr="003C773C" w:rsidRDefault="003C773C" w:rsidP="003C773C">
      <w:pPr>
        <w:rPr>
          <w:rFonts w:asciiTheme="majorBidi" w:hAnsiTheme="majorBidi" w:cstheme="majorBidi"/>
          <w:bCs/>
          <w:sz w:val="24"/>
          <w:szCs w:val="24"/>
        </w:rPr>
      </w:pPr>
      <w:r w:rsidRPr="003C773C">
        <w:rPr>
          <w:rFonts w:asciiTheme="majorBidi" w:hAnsiTheme="majorBidi" w:cstheme="majorBidi"/>
          <w:bCs/>
          <w:sz w:val="24"/>
          <w:szCs w:val="24"/>
        </w:rPr>
        <w:t xml:space="preserve">Acceptance date: </w:t>
      </w:r>
      <w:r w:rsidR="001317C7">
        <w:rPr>
          <w:rFonts w:asciiTheme="majorBidi" w:hAnsiTheme="majorBidi" w:cstheme="majorBidi"/>
          <w:bCs/>
          <w:sz w:val="24"/>
          <w:szCs w:val="24"/>
        </w:rPr>
        <w:t>31</w:t>
      </w:r>
      <w:r w:rsidRPr="003C773C">
        <w:rPr>
          <w:rFonts w:asciiTheme="majorBidi" w:hAnsiTheme="majorBidi" w:cstheme="majorBidi"/>
          <w:bCs/>
          <w:sz w:val="24"/>
          <w:szCs w:val="24"/>
        </w:rPr>
        <w:t xml:space="preserve"> </w:t>
      </w:r>
      <w:bookmarkStart w:id="4" w:name="_Hlk155701452"/>
      <w:r w:rsidRPr="003C773C">
        <w:rPr>
          <w:rFonts w:asciiTheme="majorBidi" w:hAnsiTheme="majorBidi" w:cstheme="majorBidi"/>
          <w:bCs/>
          <w:sz w:val="24"/>
          <w:szCs w:val="24"/>
        </w:rPr>
        <w:t>January</w:t>
      </w:r>
      <w:bookmarkEnd w:id="4"/>
      <w:r w:rsidRPr="003C773C">
        <w:rPr>
          <w:rFonts w:asciiTheme="majorBidi" w:hAnsiTheme="majorBidi" w:cstheme="majorBidi"/>
          <w:bCs/>
          <w:sz w:val="24"/>
          <w:szCs w:val="24"/>
        </w:rPr>
        <w:t xml:space="preserve"> 2024.</w:t>
      </w:r>
    </w:p>
    <w:p w14:paraId="459E34B3" w14:textId="347A33E5" w:rsidR="003C773C" w:rsidRPr="003C773C" w:rsidRDefault="003C773C" w:rsidP="003C773C">
      <w:pPr>
        <w:rPr>
          <w:rFonts w:asciiTheme="majorBidi" w:hAnsiTheme="majorBidi" w:cstheme="majorBidi"/>
          <w:bCs/>
          <w:sz w:val="24"/>
          <w:szCs w:val="24"/>
        </w:rPr>
      </w:pPr>
      <w:r w:rsidRPr="003C773C">
        <w:rPr>
          <w:rFonts w:asciiTheme="majorBidi" w:hAnsiTheme="majorBidi" w:cstheme="majorBidi"/>
          <w:bCs/>
          <w:sz w:val="24"/>
          <w:szCs w:val="24"/>
        </w:rPr>
        <w:t>Published online:</w:t>
      </w:r>
      <w:r w:rsidR="001317C7">
        <w:rPr>
          <w:rFonts w:asciiTheme="majorBidi" w:hAnsiTheme="majorBidi" w:cstheme="majorBidi"/>
          <w:bCs/>
          <w:sz w:val="24"/>
          <w:szCs w:val="24"/>
        </w:rPr>
        <w:t>05</w:t>
      </w:r>
      <w:r w:rsidRPr="003C773C">
        <w:rPr>
          <w:rFonts w:asciiTheme="majorBidi" w:hAnsiTheme="majorBidi" w:cstheme="majorBidi"/>
          <w:bCs/>
          <w:sz w:val="24"/>
          <w:szCs w:val="24"/>
        </w:rPr>
        <w:t xml:space="preserve"> </w:t>
      </w:r>
      <w:r w:rsidR="001317C7">
        <w:rPr>
          <w:rFonts w:asciiTheme="majorBidi" w:hAnsiTheme="majorBidi" w:cstheme="majorBidi"/>
          <w:bCs/>
          <w:sz w:val="24"/>
          <w:szCs w:val="24"/>
        </w:rPr>
        <w:t>February</w:t>
      </w:r>
      <w:r w:rsidRPr="003C773C">
        <w:rPr>
          <w:rFonts w:asciiTheme="majorBidi" w:hAnsiTheme="majorBidi" w:cstheme="majorBidi"/>
          <w:bCs/>
          <w:sz w:val="24"/>
          <w:szCs w:val="24"/>
        </w:rPr>
        <w:t xml:space="preserve"> 2024.</w:t>
      </w:r>
    </w:p>
    <w:p w14:paraId="0364C0DA" w14:textId="17DCF309" w:rsidR="00EE58B2" w:rsidRPr="003F0CBB" w:rsidRDefault="002C1DAC" w:rsidP="00DF78E8">
      <w:pPr>
        <w:spacing w:line="360" w:lineRule="auto"/>
        <w:rPr>
          <w:rFonts w:asciiTheme="majorBidi" w:hAnsiTheme="majorBidi" w:cstheme="majorBidi"/>
          <w:b/>
          <w:bCs/>
          <w:sz w:val="24"/>
          <w:szCs w:val="24"/>
        </w:rPr>
      </w:pPr>
      <w:r w:rsidRPr="003F0CBB">
        <w:rPr>
          <w:rFonts w:asciiTheme="majorBidi" w:hAnsiTheme="majorBidi" w:cstheme="majorBidi"/>
          <w:b/>
          <w:bCs/>
          <w:sz w:val="24"/>
          <w:szCs w:val="24"/>
        </w:rPr>
        <w:t>Abstract</w:t>
      </w:r>
    </w:p>
    <w:p w14:paraId="1260DEA3" w14:textId="60A6D9CF" w:rsidR="00F90D32" w:rsidRPr="009537F6" w:rsidRDefault="002C1DAC" w:rsidP="00DF78E8">
      <w:pPr>
        <w:spacing w:line="360" w:lineRule="auto"/>
        <w:jc w:val="both"/>
        <w:rPr>
          <w:rFonts w:asciiTheme="majorBidi" w:hAnsiTheme="majorBidi" w:cstheme="majorBidi"/>
          <w:sz w:val="24"/>
          <w:szCs w:val="24"/>
        </w:rPr>
      </w:pPr>
      <w:r w:rsidRPr="009537F6">
        <w:rPr>
          <w:rFonts w:asciiTheme="majorBidi" w:hAnsiTheme="majorBidi" w:cstheme="majorBidi"/>
          <w:b/>
          <w:bCs/>
          <w:sz w:val="24"/>
          <w:szCs w:val="24"/>
        </w:rPr>
        <w:t>Aim:</w:t>
      </w:r>
      <w:r w:rsidRPr="009537F6">
        <w:rPr>
          <w:rFonts w:asciiTheme="majorBidi" w:hAnsiTheme="majorBidi" w:cstheme="majorBidi"/>
          <w:sz w:val="24"/>
          <w:szCs w:val="24"/>
        </w:rPr>
        <w:t xml:space="preserve"> </w:t>
      </w:r>
      <w:r w:rsidR="00AC7C1D" w:rsidRPr="009537F6">
        <w:rPr>
          <w:rFonts w:asciiTheme="majorBidi" w:hAnsiTheme="majorBidi" w:cstheme="majorBidi"/>
          <w:sz w:val="24"/>
          <w:szCs w:val="24"/>
        </w:rPr>
        <w:t xml:space="preserve">the study </w:t>
      </w:r>
      <w:r w:rsidR="00703DD3" w:rsidRPr="009537F6">
        <w:rPr>
          <w:rFonts w:asciiTheme="majorBidi" w:hAnsiTheme="majorBidi" w:cstheme="majorBidi"/>
          <w:sz w:val="24"/>
          <w:szCs w:val="24"/>
        </w:rPr>
        <w:t>aimed to</w:t>
      </w:r>
      <w:r w:rsidR="00AC7C1D" w:rsidRPr="009537F6">
        <w:rPr>
          <w:rFonts w:asciiTheme="majorBidi" w:hAnsiTheme="majorBidi" w:cstheme="majorBidi"/>
          <w:sz w:val="24"/>
          <w:szCs w:val="24"/>
        </w:rPr>
        <w:t xml:space="preserve"> investigate </w:t>
      </w:r>
      <w:r w:rsidRPr="009537F6">
        <w:rPr>
          <w:rFonts w:asciiTheme="majorBidi" w:hAnsiTheme="majorBidi" w:cstheme="majorBidi"/>
          <w:sz w:val="24"/>
          <w:szCs w:val="24"/>
        </w:rPr>
        <w:t xml:space="preserve">lncRNA IFNG-AS1 in </w:t>
      </w:r>
      <w:r w:rsidR="00146BF1" w:rsidRPr="003F0CBB">
        <w:rPr>
          <w:rFonts w:asciiTheme="majorBidi" w:hAnsiTheme="majorBidi" w:cstheme="majorBidi"/>
          <w:sz w:val="24"/>
          <w:szCs w:val="24"/>
        </w:rPr>
        <w:t>Hashimoto’s thyroiditis (</w:t>
      </w:r>
      <w:r w:rsidR="009537F6" w:rsidRPr="003F0CBB">
        <w:rPr>
          <w:rFonts w:asciiTheme="majorBidi" w:hAnsiTheme="majorBidi" w:cstheme="majorBidi"/>
          <w:sz w:val="24"/>
          <w:szCs w:val="24"/>
        </w:rPr>
        <w:t xml:space="preserve">HT) </w:t>
      </w:r>
      <w:r w:rsidR="009537F6" w:rsidRPr="009537F6">
        <w:rPr>
          <w:rFonts w:asciiTheme="majorBidi" w:hAnsiTheme="majorBidi" w:cstheme="majorBidi"/>
          <w:sz w:val="24"/>
          <w:szCs w:val="24"/>
        </w:rPr>
        <w:t>and</w:t>
      </w:r>
      <w:r w:rsidRPr="009537F6">
        <w:rPr>
          <w:rFonts w:asciiTheme="majorBidi" w:hAnsiTheme="majorBidi" w:cstheme="majorBidi"/>
          <w:sz w:val="24"/>
          <w:szCs w:val="24"/>
        </w:rPr>
        <w:t xml:space="preserve"> to evaluate its predictive and diagnostic </w:t>
      </w:r>
      <w:r w:rsidR="007A3D23" w:rsidRPr="009537F6">
        <w:rPr>
          <w:rFonts w:asciiTheme="majorBidi" w:hAnsiTheme="majorBidi" w:cstheme="majorBidi"/>
          <w:sz w:val="24"/>
          <w:szCs w:val="24"/>
        </w:rPr>
        <w:t>values of</w:t>
      </w:r>
      <w:r w:rsidRPr="009537F6">
        <w:rPr>
          <w:rFonts w:asciiTheme="majorBidi" w:hAnsiTheme="majorBidi" w:cstheme="majorBidi"/>
          <w:sz w:val="24"/>
          <w:szCs w:val="24"/>
        </w:rPr>
        <w:t xml:space="preserve"> </w:t>
      </w:r>
      <w:r w:rsidR="00146BF1" w:rsidRPr="003F0CBB">
        <w:rPr>
          <w:rFonts w:asciiTheme="majorBidi" w:hAnsiTheme="majorBidi" w:cstheme="majorBidi"/>
          <w:sz w:val="24"/>
          <w:szCs w:val="24"/>
        </w:rPr>
        <w:t>Celiac disease (CD</w:t>
      </w:r>
      <w:r w:rsidR="0088290D" w:rsidRPr="003F0CBB">
        <w:rPr>
          <w:rFonts w:asciiTheme="majorBidi" w:hAnsiTheme="majorBidi" w:cstheme="majorBidi"/>
          <w:sz w:val="24"/>
          <w:szCs w:val="24"/>
        </w:rPr>
        <w:t xml:space="preserve">) </w:t>
      </w:r>
      <w:r w:rsidR="0088290D" w:rsidRPr="009537F6">
        <w:rPr>
          <w:rFonts w:asciiTheme="majorBidi" w:hAnsiTheme="majorBidi" w:cstheme="majorBidi"/>
          <w:sz w:val="24"/>
          <w:szCs w:val="24"/>
        </w:rPr>
        <w:t>among</w:t>
      </w:r>
      <w:r w:rsidRPr="009537F6">
        <w:rPr>
          <w:rFonts w:asciiTheme="majorBidi" w:hAnsiTheme="majorBidi" w:cstheme="majorBidi"/>
          <w:sz w:val="24"/>
          <w:szCs w:val="24"/>
        </w:rPr>
        <w:t xml:space="preserve"> patients with HT.</w:t>
      </w:r>
    </w:p>
    <w:p w14:paraId="2F264FD1" w14:textId="04B85B4F" w:rsidR="00310500" w:rsidRDefault="002C1DAC" w:rsidP="00DF78E8">
      <w:pPr>
        <w:spacing w:line="360" w:lineRule="auto"/>
        <w:rPr>
          <w:rFonts w:asciiTheme="majorBidi" w:hAnsiTheme="majorBidi" w:cstheme="majorBidi"/>
          <w:sz w:val="24"/>
          <w:szCs w:val="24"/>
        </w:rPr>
      </w:pPr>
      <w:r w:rsidRPr="009537F6">
        <w:rPr>
          <w:rFonts w:asciiTheme="majorBidi" w:hAnsiTheme="majorBidi" w:cstheme="majorBidi"/>
          <w:b/>
          <w:bCs/>
          <w:sz w:val="24"/>
          <w:szCs w:val="24"/>
        </w:rPr>
        <w:t xml:space="preserve">Patients </w:t>
      </w:r>
      <w:r w:rsidR="009537F6" w:rsidRPr="009537F6">
        <w:rPr>
          <w:rFonts w:asciiTheme="majorBidi" w:hAnsiTheme="majorBidi" w:cstheme="majorBidi"/>
          <w:b/>
          <w:bCs/>
          <w:sz w:val="24"/>
          <w:szCs w:val="24"/>
        </w:rPr>
        <w:t>and</w:t>
      </w:r>
      <w:r w:rsidRPr="009537F6">
        <w:rPr>
          <w:rFonts w:asciiTheme="majorBidi" w:hAnsiTheme="majorBidi" w:cstheme="majorBidi"/>
          <w:b/>
          <w:bCs/>
          <w:sz w:val="24"/>
          <w:szCs w:val="24"/>
        </w:rPr>
        <w:t xml:space="preserve"> Methods</w:t>
      </w:r>
      <w:r w:rsidRPr="009537F6">
        <w:rPr>
          <w:rFonts w:asciiTheme="majorBidi" w:hAnsiTheme="majorBidi" w:cstheme="majorBidi"/>
          <w:sz w:val="24"/>
          <w:szCs w:val="24"/>
        </w:rPr>
        <w:t xml:space="preserve"> O</w:t>
      </w:r>
      <w:r w:rsidR="000054AD" w:rsidRPr="009537F6">
        <w:rPr>
          <w:rFonts w:asciiTheme="majorBidi" w:hAnsiTheme="majorBidi" w:cstheme="majorBidi"/>
          <w:sz w:val="24"/>
          <w:szCs w:val="24"/>
        </w:rPr>
        <w:t xml:space="preserve">ne </w:t>
      </w:r>
      <w:r w:rsidRPr="009537F6">
        <w:rPr>
          <w:rFonts w:asciiTheme="majorBidi" w:hAnsiTheme="majorBidi" w:cstheme="majorBidi"/>
          <w:sz w:val="24"/>
          <w:szCs w:val="24"/>
        </w:rPr>
        <w:t>hundred voluntary subjects</w:t>
      </w:r>
      <w:r w:rsidR="009537F6">
        <w:rPr>
          <w:rFonts w:asciiTheme="majorBidi" w:hAnsiTheme="majorBidi" w:cstheme="majorBidi"/>
          <w:sz w:val="24"/>
          <w:szCs w:val="24"/>
        </w:rPr>
        <w:t xml:space="preserve">: </w:t>
      </w:r>
      <w:r w:rsidR="00D9001C" w:rsidRPr="009537F6">
        <w:rPr>
          <w:rFonts w:asciiTheme="majorBidi" w:hAnsiTheme="majorBidi" w:cstheme="majorBidi"/>
          <w:sz w:val="24"/>
          <w:szCs w:val="24"/>
        </w:rPr>
        <w:t>5</w:t>
      </w:r>
      <w:r w:rsidRPr="009537F6">
        <w:rPr>
          <w:rFonts w:asciiTheme="majorBidi" w:hAnsiTheme="majorBidi" w:cstheme="majorBidi"/>
          <w:sz w:val="24"/>
          <w:szCs w:val="24"/>
        </w:rPr>
        <w:t>0</w:t>
      </w:r>
      <w:r w:rsidRPr="003F0CBB">
        <w:rPr>
          <w:rFonts w:asciiTheme="majorBidi" w:hAnsiTheme="majorBidi" w:cstheme="majorBidi"/>
          <w:sz w:val="24"/>
          <w:szCs w:val="24"/>
        </w:rPr>
        <w:t xml:space="preserve"> healthy controls and </w:t>
      </w:r>
      <w:r w:rsidR="00D9001C" w:rsidRPr="003F0CBB">
        <w:rPr>
          <w:rFonts w:asciiTheme="majorBidi" w:hAnsiTheme="majorBidi" w:cstheme="majorBidi"/>
          <w:sz w:val="24"/>
          <w:szCs w:val="24"/>
        </w:rPr>
        <w:t xml:space="preserve">50 </w:t>
      </w:r>
      <w:r w:rsidRPr="003F0CBB">
        <w:rPr>
          <w:rFonts w:asciiTheme="majorBidi" w:hAnsiTheme="majorBidi" w:cstheme="majorBidi"/>
          <w:sz w:val="24"/>
          <w:szCs w:val="24"/>
        </w:rPr>
        <w:t>patients with HT</w:t>
      </w:r>
      <w:r w:rsidR="00D9001C" w:rsidRPr="003F0CBB">
        <w:rPr>
          <w:rFonts w:asciiTheme="majorBidi" w:hAnsiTheme="majorBidi" w:cstheme="majorBidi"/>
          <w:sz w:val="24"/>
          <w:szCs w:val="24"/>
        </w:rPr>
        <w:t xml:space="preserve">;39 </w:t>
      </w:r>
      <w:r w:rsidRPr="003F0CBB">
        <w:rPr>
          <w:rFonts w:asciiTheme="majorBidi" w:hAnsiTheme="majorBidi" w:cstheme="majorBidi"/>
          <w:sz w:val="24"/>
          <w:szCs w:val="24"/>
        </w:rPr>
        <w:t>with</w:t>
      </w:r>
      <w:r w:rsidR="00D9001C" w:rsidRPr="003F0CBB">
        <w:rPr>
          <w:rFonts w:asciiTheme="majorBidi" w:hAnsiTheme="majorBidi" w:cstheme="majorBidi"/>
          <w:sz w:val="24"/>
          <w:szCs w:val="24"/>
        </w:rPr>
        <w:t>out CD</w:t>
      </w:r>
      <w:r w:rsidRPr="003F0CBB">
        <w:rPr>
          <w:rFonts w:asciiTheme="majorBidi" w:hAnsiTheme="majorBidi" w:cstheme="majorBidi"/>
          <w:sz w:val="24"/>
          <w:szCs w:val="24"/>
        </w:rPr>
        <w:t xml:space="preserve"> </w:t>
      </w:r>
      <w:r w:rsidR="00D9001C" w:rsidRPr="003F0CBB">
        <w:rPr>
          <w:rFonts w:asciiTheme="majorBidi" w:hAnsiTheme="majorBidi" w:cstheme="majorBidi"/>
          <w:sz w:val="24"/>
          <w:szCs w:val="24"/>
        </w:rPr>
        <w:t>and 11</w:t>
      </w:r>
      <w:r w:rsidRPr="003F0CBB">
        <w:rPr>
          <w:rFonts w:asciiTheme="majorBidi" w:hAnsiTheme="majorBidi" w:cstheme="majorBidi"/>
          <w:sz w:val="24"/>
          <w:szCs w:val="24"/>
        </w:rPr>
        <w:t xml:space="preserve"> with </w:t>
      </w:r>
      <w:r w:rsidR="00D9001C" w:rsidRPr="003F0CBB">
        <w:rPr>
          <w:rFonts w:asciiTheme="majorBidi" w:hAnsiTheme="majorBidi" w:cstheme="majorBidi"/>
          <w:sz w:val="24"/>
          <w:szCs w:val="24"/>
        </w:rPr>
        <w:t xml:space="preserve">CD. </w:t>
      </w:r>
      <w:r w:rsidR="009537F6">
        <w:rPr>
          <w:rFonts w:asciiTheme="majorBidi" w:hAnsiTheme="majorBidi" w:cstheme="majorBidi"/>
          <w:sz w:val="24"/>
          <w:szCs w:val="24"/>
        </w:rPr>
        <w:t>Routine labs, including anti-T</w:t>
      </w:r>
      <w:r w:rsidR="0088290D">
        <w:rPr>
          <w:rFonts w:asciiTheme="majorBidi" w:hAnsiTheme="majorBidi" w:cstheme="majorBidi"/>
          <w:sz w:val="24"/>
          <w:szCs w:val="24"/>
        </w:rPr>
        <w:t>G</w:t>
      </w:r>
      <w:r w:rsidR="009537F6">
        <w:rPr>
          <w:rFonts w:asciiTheme="majorBidi" w:hAnsiTheme="majorBidi" w:cstheme="majorBidi"/>
          <w:sz w:val="24"/>
          <w:szCs w:val="24"/>
        </w:rPr>
        <w:t>, anti-</w:t>
      </w:r>
      <w:r w:rsidR="009537F6">
        <w:rPr>
          <w:rFonts w:asciiTheme="majorBidi" w:hAnsiTheme="majorBidi" w:cstheme="majorBidi"/>
          <w:sz w:val="24"/>
          <w:szCs w:val="24"/>
        </w:rPr>
        <w:lastRenderedPageBreak/>
        <w:t>TPO, and anti-TTG-IgA</w:t>
      </w:r>
      <w:r w:rsidR="0088290D">
        <w:rPr>
          <w:rFonts w:asciiTheme="majorBidi" w:hAnsiTheme="majorBidi" w:cstheme="majorBidi"/>
          <w:sz w:val="24"/>
          <w:szCs w:val="24"/>
        </w:rPr>
        <w:t>,</w:t>
      </w:r>
      <w:r w:rsidR="009537F6">
        <w:rPr>
          <w:rFonts w:asciiTheme="majorBidi" w:hAnsiTheme="majorBidi" w:cstheme="majorBidi"/>
          <w:sz w:val="24"/>
          <w:szCs w:val="24"/>
        </w:rPr>
        <w:t xml:space="preserve"> investigated all subjects</w:t>
      </w:r>
      <w:r w:rsidR="00806DF3" w:rsidRPr="009537F6">
        <w:rPr>
          <w:rFonts w:asciiTheme="majorBidi" w:hAnsiTheme="majorBidi" w:cstheme="majorBidi"/>
          <w:sz w:val="24"/>
          <w:szCs w:val="24"/>
        </w:rPr>
        <w:t xml:space="preserve">. </w:t>
      </w:r>
      <w:r w:rsidR="000D490D" w:rsidRPr="009537F6">
        <w:rPr>
          <w:rFonts w:asciiTheme="majorBidi" w:hAnsiTheme="majorBidi" w:cstheme="majorBidi"/>
          <w:sz w:val="24"/>
          <w:szCs w:val="24"/>
        </w:rPr>
        <w:t>lncRNA IFNG-AS1 expression was analyzed using Quantitative real-time RT-PCR.</w:t>
      </w:r>
    </w:p>
    <w:p w14:paraId="693F7799" w14:textId="68443641" w:rsidR="00537717" w:rsidRPr="003F0CBB" w:rsidRDefault="00537717" w:rsidP="00537717">
      <w:pPr>
        <w:pStyle w:val="TableofFigures"/>
        <w:tabs>
          <w:tab w:val="right" w:leader="dot" w:pos="8630"/>
        </w:tabs>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TOC \h \z \c "Figure" </w:instrText>
      </w:r>
      <w:r w:rsidR="00000000">
        <w:rPr>
          <w:rFonts w:asciiTheme="majorBidi" w:hAnsiTheme="majorBidi" w:cstheme="majorBidi"/>
          <w:sz w:val="24"/>
          <w:szCs w:val="24"/>
        </w:rPr>
        <w:fldChar w:fldCharType="separate"/>
      </w:r>
      <w:r>
        <w:rPr>
          <w:rFonts w:asciiTheme="majorBidi" w:hAnsiTheme="majorBidi" w:cstheme="majorBidi"/>
          <w:sz w:val="24"/>
          <w:szCs w:val="24"/>
        </w:rPr>
        <w:fldChar w:fldCharType="end"/>
      </w:r>
    </w:p>
    <w:p w14:paraId="6873EC98" w14:textId="6DA00680" w:rsidR="006F79CF" w:rsidRPr="003F0CBB" w:rsidRDefault="002C1DAC" w:rsidP="00DF78E8">
      <w:pPr>
        <w:spacing w:line="360" w:lineRule="auto"/>
        <w:jc w:val="both"/>
        <w:rPr>
          <w:rFonts w:asciiTheme="majorBidi" w:hAnsiTheme="majorBidi" w:cstheme="majorBidi"/>
          <w:b/>
          <w:bCs/>
          <w:sz w:val="24"/>
          <w:szCs w:val="24"/>
        </w:rPr>
      </w:pPr>
      <w:r w:rsidRPr="003F0CBB">
        <w:rPr>
          <w:rFonts w:asciiTheme="majorBidi" w:hAnsiTheme="majorBidi" w:cstheme="majorBidi"/>
          <w:b/>
          <w:bCs/>
          <w:sz w:val="24"/>
          <w:szCs w:val="24"/>
        </w:rPr>
        <w:t>Results</w:t>
      </w:r>
    </w:p>
    <w:p w14:paraId="18C03C70" w14:textId="0D44A54C" w:rsidR="003A68E3" w:rsidRPr="003F0CBB" w:rsidRDefault="00A11D5D" w:rsidP="001317C7">
      <w:pPr>
        <w:pStyle w:val="TableofFigures"/>
        <w:tabs>
          <w:tab w:val="right" w:leader="dot" w:pos="8630"/>
        </w:tabs>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TOC \f T \h \z \c "Table" </w:instrText>
      </w:r>
      <w:r w:rsidR="00000000">
        <w:rPr>
          <w:rFonts w:asciiTheme="majorBidi" w:hAnsiTheme="majorBidi" w:cstheme="majorBidi"/>
          <w:sz w:val="24"/>
          <w:szCs w:val="24"/>
        </w:rPr>
        <w:fldChar w:fldCharType="separate"/>
      </w:r>
      <w:r>
        <w:rPr>
          <w:rFonts w:asciiTheme="majorBidi" w:hAnsiTheme="majorBidi" w:cstheme="majorBidi"/>
          <w:sz w:val="24"/>
          <w:szCs w:val="24"/>
        </w:rPr>
        <w:fldChar w:fldCharType="end"/>
      </w:r>
      <w:r w:rsidR="002C1DAC" w:rsidRPr="003F0CBB">
        <w:rPr>
          <w:rFonts w:asciiTheme="majorBidi" w:hAnsiTheme="majorBidi" w:cstheme="majorBidi"/>
          <w:sz w:val="24"/>
          <w:szCs w:val="24"/>
        </w:rPr>
        <w:t>P</w:t>
      </w:r>
      <w:r w:rsidR="009A4F01" w:rsidRPr="003F0CBB">
        <w:rPr>
          <w:rFonts w:asciiTheme="majorBidi" w:hAnsiTheme="majorBidi" w:cstheme="majorBidi"/>
          <w:sz w:val="24"/>
          <w:szCs w:val="24"/>
        </w:rPr>
        <w:t>atients</w:t>
      </w:r>
      <w:r w:rsidR="0094524E" w:rsidRPr="003F0CBB">
        <w:rPr>
          <w:rFonts w:asciiTheme="majorBidi" w:hAnsiTheme="majorBidi" w:cstheme="majorBidi"/>
          <w:sz w:val="24"/>
          <w:szCs w:val="24"/>
        </w:rPr>
        <w:t xml:space="preserve"> with CD had significantly </w:t>
      </w:r>
      <w:r w:rsidR="002C1DAC" w:rsidRPr="003F0CBB">
        <w:rPr>
          <w:rFonts w:asciiTheme="majorBidi" w:hAnsiTheme="majorBidi" w:cstheme="majorBidi"/>
          <w:sz w:val="24"/>
          <w:szCs w:val="24"/>
        </w:rPr>
        <w:t>overexpressed</w:t>
      </w:r>
      <w:r w:rsidR="0094524E" w:rsidRPr="003F0CBB">
        <w:rPr>
          <w:rFonts w:asciiTheme="majorBidi" w:hAnsiTheme="majorBidi" w:cstheme="majorBidi"/>
          <w:sz w:val="24"/>
          <w:szCs w:val="24"/>
        </w:rPr>
        <w:t xml:space="preserve"> lncRNA IFNG-AS1(4.17±0.618) compared to patients without CD</w:t>
      </w:r>
      <w:r w:rsidR="009A4F01" w:rsidRPr="003F0CBB">
        <w:rPr>
          <w:rFonts w:asciiTheme="majorBidi" w:hAnsiTheme="majorBidi" w:cstheme="majorBidi"/>
          <w:sz w:val="24"/>
          <w:szCs w:val="24"/>
        </w:rPr>
        <w:t xml:space="preserve"> </w:t>
      </w:r>
      <w:r w:rsidR="0094524E" w:rsidRPr="003F0CBB">
        <w:rPr>
          <w:rFonts w:asciiTheme="majorBidi" w:hAnsiTheme="majorBidi" w:cstheme="majorBidi"/>
          <w:sz w:val="24"/>
          <w:szCs w:val="24"/>
        </w:rPr>
        <w:t>(1.92±0.52) and control group (0.98±</w:t>
      </w:r>
      <w:r w:rsidR="009A4F01" w:rsidRPr="003F0CBB">
        <w:rPr>
          <w:rFonts w:asciiTheme="majorBidi" w:hAnsiTheme="majorBidi" w:cstheme="majorBidi"/>
          <w:sz w:val="24"/>
          <w:szCs w:val="24"/>
        </w:rPr>
        <w:t>0</w:t>
      </w:r>
      <w:r w:rsidR="0094524E" w:rsidRPr="003F0CBB">
        <w:rPr>
          <w:rFonts w:asciiTheme="majorBidi" w:hAnsiTheme="majorBidi" w:cstheme="majorBidi"/>
          <w:sz w:val="24"/>
          <w:szCs w:val="24"/>
        </w:rPr>
        <w:t>.</w:t>
      </w:r>
      <w:r w:rsidR="009A4F01" w:rsidRPr="003F0CBB">
        <w:rPr>
          <w:rFonts w:asciiTheme="majorBidi" w:hAnsiTheme="majorBidi" w:cstheme="majorBidi"/>
          <w:sz w:val="24"/>
          <w:szCs w:val="24"/>
        </w:rPr>
        <w:t>21)</w:t>
      </w:r>
      <w:r w:rsidR="0094524E" w:rsidRPr="003F0CBB">
        <w:rPr>
          <w:rFonts w:asciiTheme="majorBidi" w:hAnsiTheme="majorBidi" w:cstheme="majorBidi"/>
          <w:sz w:val="24"/>
          <w:szCs w:val="24"/>
        </w:rPr>
        <w:t>,</w:t>
      </w:r>
      <w:r w:rsidR="009A4F01" w:rsidRPr="003F0CBB">
        <w:rPr>
          <w:rFonts w:asciiTheme="majorBidi" w:hAnsiTheme="majorBidi" w:cstheme="majorBidi"/>
          <w:sz w:val="24"/>
          <w:szCs w:val="24"/>
        </w:rPr>
        <w:t xml:space="preserve"> p ˂0.001*</w:t>
      </w:r>
      <w:r w:rsidR="0094524E" w:rsidRPr="003F0CBB">
        <w:rPr>
          <w:rFonts w:asciiTheme="majorBidi" w:hAnsiTheme="majorBidi" w:cstheme="majorBidi"/>
          <w:sz w:val="24"/>
          <w:szCs w:val="24"/>
        </w:rPr>
        <w:t xml:space="preserve">. </w:t>
      </w:r>
      <w:r w:rsidR="002C1DAC" w:rsidRPr="003F0CBB">
        <w:rPr>
          <w:rFonts w:asciiTheme="majorBidi" w:hAnsiTheme="majorBidi" w:cstheme="majorBidi"/>
          <w:sz w:val="24"/>
          <w:szCs w:val="24"/>
        </w:rPr>
        <w:t>It</w:t>
      </w:r>
      <w:r w:rsidR="0094524E" w:rsidRPr="003F0CBB">
        <w:rPr>
          <w:rFonts w:asciiTheme="majorBidi" w:hAnsiTheme="majorBidi" w:cstheme="majorBidi"/>
          <w:sz w:val="24"/>
          <w:szCs w:val="24"/>
        </w:rPr>
        <w:t xml:space="preserve"> </w:t>
      </w:r>
      <w:r w:rsidR="0088290D">
        <w:rPr>
          <w:rFonts w:asciiTheme="majorBidi" w:hAnsiTheme="majorBidi" w:cstheme="majorBidi"/>
          <w:sz w:val="24"/>
          <w:szCs w:val="24"/>
        </w:rPr>
        <w:t>correlated considerably</w:t>
      </w:r>
      <w:r w:rsidR="0094524E" w:rsidRPr="003F0CBB">
        <w:rPr>
          <w:rFonts w:asciiTheme="majorBidi" w:hAnsiTheme="majorBidi" w:cstheme="majorBidi"/>
          <w:sz w:val="24"/>
          <w:szCs w:val="24"/>
        </w:rPr>
        <w:t xml:space="preserve"> with </w:t>
      </w:r>
      <w:r w:rsidR="002C1DAC" w:rsidRPr="003F0CBB">
        <w:rPr>
          <w:rFonts w:asciiTheme="majorBidi" w:hAnsiTheme="majorBidi" w:cstheme="majorBidi"/>
          <w:sz w:val="24"/>
          <w:szCs w:val="24"/>
        </w:rPr>
        <w:t>intestinal and extra-intestinal manifestations</w:t>
      </w:r>
      <w:r w:rsidR="0088290D">
        <w:rPr>
          <w:rFonts w:asciiTheme="majorBidi" w:hAnsiTheme="majorBidi" w:cstheme="majorBidi"/>
          <w:sz w:val="24"/>
          <w:szCs w:val="24"/>
        </w:rPr>
        <w:t xml:space="preserve"> and</w:t>
      </w:r>
      <w:r w:rsidR="002C1DAC" w:rsidRPr="003F0CBB">
        <w:rPr>
          <w:rFonts w:asciiTheme="majorBidi" w:hAnsiTheme="majorBidi" w:cstheme="majorBidi"/>
          <w:sz w:val="24"/>
          <w:szCs w:val="24"/>
        </w:rPr>
        <w:t xml:space="preserve"> laboratory</w:t>
      </w:r>
      <w:r w:rsidR="0094524E" w:rsidRPr="003F0CBB">
        <w:rPr>
          <w:rFonts w:asciiTheme="majorBidi" w:hAnsiTheme="majorBidi" w:cstheme="majorBidi"/>
          <w:sz w:val="24"/>
          <w:szCs w:val="24"/>
        </w:rPr>
        <w:t xml:space="preserve"> </w:t>
      </w:r>
      <w:r w:rsidR="002C1DAC" w:rsidRPr="003F0CBB">
        <w:rPr>
          <w:rFonts w:asciiTheme="majorBidi" w:hAnsiTheme="majorBidi" w:cstheme="majorBidi"/>
          <w:sz w:val="24"/>
          <w:szCs w:val="24"/>
        </w:rPr>
        <w:t>tests</w:t>
      </w:r>
      <w:r w:rsidR="0088290D">
        <w:rPr>
          <w:rFonts w:asciiTheme="majorBidi" w:hAnsiTheme="majorBidi" w:cstheme="majorBidi"/>
          <w:sz w:val="24"/>
          <w:szCs w:val="24"/>
        </w:rPr>
        <w:t>,</w:t>
      </w:r>
      <w:r w:rsidR="002C1DAC" w:rsidRPr="003F0CBB">
        <w:rPr>
          <w:rFonts w:asciiTheme="majorBidi" w:hAnsiTheme="majorBidi" w:cstheme="majorBidi"/>
          <w:sz w:val="24"/>
          <w:szCs w:val="24"/>
        </w:rPr>
        <w:t xml:space="preserve"> </w:t>
      </w:r>
      <w:r w:rsidR="002C1DAC" w:rsidRPr="009537F6">
        <w:rPr>
          <w:rFonts w:asciiTheme="majorBidi" w:hAnsiTheme="majorBidi" w:cstheme="majorBidi"/>
          <w:sz w:val="24"/>
          <w:szCs w:val="24"/>
        </w:rPr>
        <w:t>including</w:t>
      </w:r>
      <w:r w:rsidR="0094524E" w:rsidRPr="009537F6">
        <w:rPr>
          <w:rFonts w:asciiTheme="majorBidi" w:hAnsiTheme="majorBidi" w:cstheme="majorBidi"/>
          <w:sz w:val="24"/>
          <w:szCs w:val="24"/>
        </w:rPr>
        <w:t xml:space="preserve"> </w:t>
      </w:r>
      <w:r w:rsidR="002C1DAC" w:rsidRPr="009537F6">
        <w:rPr>
          <w:rFonts w:asciiTheme="majorBidi" w:hAnsiTheme="majorBidi" w:cstheme="majorBidi"/>
          <w:sz w:val="24"/>
          <w:szCs w:val="24"/>
        </w:rPr>
        <w:t>a</w:t>
      </w:r>
      <w:r w:rsidR="0094524E" w:rsidRPr="009537F6">
        <w:rPr>
          <w:rFonts w:asciiTheme="majorBidi" w:hAnsiTheme="majorBidi" w:cstheme="majorBidi"/>
          <w:sz w:val="24"/>
          <w:szCs w:val="24"/>
        </w:rPr>
        <w:t>nti-TG, anti-TPO, and TTG IgA</w:t>
      </w:r>
      <w:r w:rsidR="00ED3E26" w:rsidRPr="009537F6">
        <w:rPr>
          <w:rFonts w:asciiTheme="majorBidi" w:hAnsiTheme="majorBidi" w:cstheme="majorBidi"/>
          <w:sz w:val="24"/>
          <w:szCs w:val="24"/>
        </w:rPr>
        <w:t xml:space="preserve">. Multivariate regression confirmed that the only variables independently associated with lncRNA IFNG-AS1 in </w:t>
      </w:r>
      <w:r w:rsidR="009537F6">
        <w:rPr>
          <w:rFonts w:asciiTheme="majorBidi" w:hAnsiTheme="majorBidi" w:cstheme="majorBidi"/>
          <w:sz w:val="24"/>
          <w:szCs w:val="24"/>
        </w:rPr>
        <w:t xml:space="preserve">the </w:t>
      </w:r>
      <w:r w:rsidR="00ED3E26" w:rsidRPr="009537F6">
        <w:rPr>
          <w:rFonts w:asciiTheme="majorBidi" w:hAnsiTheme="majorBidi" w:cstheme="majorBidi"/>
          <w:sz w:val="24"/>
          <w:szCs w:val="24"/>
        </w:rPr>
        <w:t>prediction of CD among studied parameters were anti-TG, anti-TPO, and TTG IgA.</w:t>
      </w:r>
      <w:r w:rsidR="0094524E" w:rsidRPr="009537F6">
        <w:rPr>
          <w:rFonts w:asciiTheme="majorBidi" w:hAnsiTheme="majorBidi" w:cstheme="majorBidi"/>
          <w:sz w:val="24"/>
          <w:szCs w:val="24"/>
        </w:rPr>
        <w:t xml:space="preserve"> </w:t>
      </w:r>
      <w:r w:rsidR="009537F6">
        <w:rPr>
          <w:rFonts w:asciiTheme="majorBidi" w:hAnsiTheme="majorBidi" w:cstheme="majorBidi"/>
          <w:sz w:val="24"/>
          <w:szCs w:val="24"/>
        </w:rPr>
        <w:t>We found high sensitivity and specificity of 96% and 94% among HT</w:t>
      </w:r>
      <w:r w:rsidR="002C1DAC" w:rsidRPr="009537F6">
        <w:rPr>
          <w:rFonts w:asciiTheme="majorBidi" w:hAnsiTheme="majorBidi" w:cstheme="majorBidi"/>
          <w:sz w:val="24"/>
          <w:szCs w:val="24"/>
        </w:rPr>
        <w:t>, respectively. Concerning CD, the predictive power of IFNG-AS1 had sensitivity and specificity of</w:t>
      </w:r>
      <w:r w:rsidR="00E045FB" w:rsidRPr="009537F6">
        <w:rPr>
          <w:rFonts w:asciiTheme="majorBidi" w:hAnsiTheme="majorBidi" w:cstheme="majorBidi"/>
          <w:sz w:val="24"/>
          <w:szCs w:val="24"/>
        </w:rPr>
        <w:t xml:space="preserve"> </w:t>
      </w:r>
      <w:r w:rsidR="002C1DAC" w:rsidRPr="009537F6">
        <w:rPr>
          <w:rFonts w:asciiTheme="majorBidi" w:hAnsiTheme="majorBidi" w:cstheme="majorBidi"/>
          <w:sz w:val="24"/>
          <w:szCs w:val="24"/>
        </w:rPr>
        <w:t>63.3% and 53%, respectively.</w:t>
      </w:r>
      <w:r w:rsidR="002C1DAC" w:rsidRPr="003F0CBB">
        <w:rPr>
          <w:rFonts w:asciiTheme="majorBidi" w:hAnsiTheme="majorBidi" w:cstheme="majorBidi"/>
          <w:sz w:val="24"/>
          <w:szCs w:val="24"/>
        </w:rPr>
        <w:t xml:space="preserve"> </w:t>
      </w:r>
    </w:p>
    <w:p w14:paraId="23390F69" w14:textId="1BF7E181" w:rsidR="00E045FB" w:rsidRPr="003F0CBB" w:rsidRDefault="002C1DAC" w:rsidP="00DF78E8">
      <w:pPr>
        <w:spacing w:line="360" w:lineRule="auto"/>
        <w:jc w:val="both"/>
        <w:rPr>
          <w:rFonts w:asciiTheme="majorBidi" w:hAnsiTheme="majorBidi" w:cstheme="majorBidi"/>
          <w:sz w:val="24"/>
          <w:szCs w:val="24"/>
        </w:rPr>
      </w:pPr>
      <w:r w:rsidRPr="003F0CBB">
        <w:rPr>
          <w:rFonts w:asciiTheme="majorBidi" w:hAnsiTheme="majorBidi" w:cstheme="majorBidi"/>
          <w:b/>
          <w:bCs/>
          <w:sz w:val="24"/>
          <w:szCs w:val="24"/>
        </w:rPr>
        <w:t>Conclusion</w:t>
      </w:r>
      <w:r w:rsidRPr="003F0CBB">
        <w:rPr>
          <w:rFonts w:asciiTheme="majorBidi" w:hAnsiTheme="majorBidi" w:cstheme="majorBidi"/>
          <w:sz w:val="24"/>
          <w:szCs w:val="24"/>
        </w:rPr>
        <w:t xml:space="preserve">: lncRNA IFNG-AS1 level was </w:t>
      </w:r>
      <w:r w:rsidR="00D9001C" w:rsidRPr="003F0CBB">
        <w:rPr>
          <w:rFonts w:asciiTheme="majorBidi" w:hAnsiTheme="majorBidi" w:cstheme="majorBidi"/>
          <w:sz w:val="24"/>
          <w:szCs w:val="24"/>
        </w:rPr>
        <w:t>overexpressed</w:t>
      </w:r>
      <w:r w:rsidRPr="003F0CBB">
        <w:rPr>
          <w:rFonts w:asciiTheme="majorBidi" w:hAnsiTheme="majorBidi" w:cstheme="majorBidi"/>
          <w:sz w:val="24"/>
          <w:szCs w:val="24"/>
        </w:rPr>
        <w:t xml:space="preserve"> in patients with HT, particularly those with CD</w:t>
      </w:r>
      <w:r w:rsidR="00D9001C" w:rsidRPr="003F0CBB">
        <w:rPr>
          <w:rFonts w:asciiTheme="majorBidi" w:hAnsiTheme="majorBidi" w:cstheme="majorBidi"/>
          <w:sz w:val="24"/>
          <w:szCs w:val="24"/>
        </w:rPr>
        <w:t>, and correlated to clinical and laboratory parameters. Accordingly</w:t>
      </w:r>
      <w:r w:rsidRPr="003F0CBB">
        <w:rPr>
          <w:rFonts w:asciiTheme="majorBidi" w:hAnsiTheme="majorBidi" w:cstheme="majorBidi"/>
          <w:sz w:val="24"/>
          <w:szCs w:val="24"/>
        </w:rPr>
        <w:t xml:space="preserve">, </w:t>
      </w:r>
      <w:r w:rsidR="00D9001C" w:rsidRPr="003F0CBB">
        <w:rPr>
          <w:rFonts w:asciiTheme="majorBidi" w:hAnsiTheme="majorBidi" w:cstheme="majorBidi"/>
          <w:sz w:val="24"/>
          <w:szCs w:val="24"/>
        </w:rPr>
        <w:t xml:space="preserve">it </w:t>
      </w:r>
      <w:r w:rsidRPr="003F0CBB">
        <w:rPr>
          <w:rFonts w:asciiTheme="majorBidi" w:hAnsiTheme="majorBidi" w:cstheme="majorBidi"/>
          <w:sz w:val="24"/>
          <w:szCs w:val="24"/>
        </w:rPr>
        <w:t xml:space="preserve">may </w:t>
      </w:r>
      <w:r w:rsidR="001317C7">
        <w:rPr>
          <w:rFonts w:asciiTheme="majorBidi" w:hAnsiTheme="majorBidi" w:cstheme="majorBidi"/>
          <w:sz w:val="24"/>
          <w:szCs w:val="24"/>
        </w:rPr>
        <w:t>be</w:t>
      </w:r>
      <w:r w:rsidRPr="003F0CBB">
        <w:rPr>
          <w:rFonts w:asciiTheme="majorBidi" w:hAnsiTheme="majorBidi" w:cstheme="majorBidi"/>
          <w:sz w:val="24"/>
          <w:szCs w:val="24"/>
        </w:rPr>
        <w:t xml:space="preserve"> </w:t>
      </w:r>
      <w:r w:rsidR="001317C7">
        <w:rPr>
          <w:rFonts w:asciiTheme="majorBidi" w:hAnsiTheme="majorBidi" w:cstheme="majorBidi"/>
          <w:sz w:val="24"/>
          <w:szCs w:val="24"/>
        </w:rPr>
        <w:t>a promising predictive biomarker</w:t>
      </w:r>
      <w:r w:rsidRPr="003F0CBB">
        <w:rPr>
          <w:rFonts w:asciiTheme="majorBidi" w:hAnsiTheme="majorBidi" w:cstheme="majorBidi"/>
          <w:sz w:val="24"/>
          <w:szCs w:val="24"/>
        </w:rPr>
        <w:t xml:space="preserve"> for HT and CD.</w:t>
      </w:r>
    </w:p>
    <w:p w14:paraId="34F3736D" w14:textId="5F37A41E" w:rsidR="00F32A74" w:rsidRPr="000A496F" w:rsidRDefault="002C1DAC" w:rsidP="00DF78E8">
      <w:pPr>
        <w:spacing w:line="360" w:lineRule="auto"/>
        <w:jc w:val="both"/>
        <w:rPr>
          <w:rFonts w:asciiTheme="majorBidi" w:hAnsiTheme="majorBidi" w:cstheme="majorBidi"/>
          <w:b/>
          <w:bCs/>
          <w:sz w:val="24"/>
          <w:szCs w:val="24"/>
        </w:rPr>
      </w:pPr>
      <w:r w:rsidRPr="009537F6">
        <w:rPr>
          <w:rFonts w:asciiTheme="majorBidi" w:hAnsiTheme="majorBidi" w:cstheme="majorBidi"/>
          <w:b/>
          <w:bCs/>
          <w:i/>
          <w:iCs/>
          <w:sz w:val="24"/>
          <w:szCs w:val="24"/>
        </w:rPr>
        <w:t>Keywords:</w:t>
      </w:r>
      <w:r w:rsidR="0004259E" w:rsidRPr="000A496F">
        <w:rPr>
          <w:rFonts w:asciiTheme="majorBidi" w:hAnsiTheme="majorBidi" w:cstheme="majorBidi"/>
          <w:b/>
          <w:bCs/>
          <w:sz w:val="24"/>
          <w:szCs w:val="24"/>
        </w:rPr>
        <w:t xml:space="preserve"> </w:t>
      </w:r>
      <w:r w:rsidRPr="009537F6">
        <w:rPr>
          <w:rFonts w:asciiTheme="majorBidi" w:hAnsiTheme="majorBidi" w:cstheme="majorBidi"/>
          <w:sz w:val="24"/>
          <w:szCs w:val="24"/>
        </w:rPr>
        <w:t>anti-TPO</w:t>
      </w:r>
      <w:r w:rsidR="001A12B8" w:rsidRPr="009537F6">
        <w:rPr>
          <w:rFonts w:asciiTheme="majorBidi" w:hAnsiTheme="majorBidi" w:cstheme="majorBidi"/>
          <w:sz w:val="24"/>
          <w:szCs w:val="24"/>
        </w:rPr>
        <w:t xml:space="preserve">; </w:t>
      </w:r>
      <w:r w:rsidR="008F6D82" w:rsidRPr="009537F6">
        <w:rPr>
          <w:rFonts w:asciiTheme="majorBidi" w:hAnsiTheme="majorBidi" w:cstheme="majorBidi"/>
          <w:sz w:val="24"/>
          <w:szCs w:val="24"/>
        </w:rPr>
        <w:t>anti-</w:t>
      </w:r>
      <w:r w:rsidR="000A496F" w:rsidRPr="009537F6">
        <w:rPr>
          <w:rFonts w:asciiTheme="majorBidi" w:hAnsiTheme="majorBidi" w:cstheme="majorBidi"/>
          <w:sz w:val="24"/>
          <w:szCs w:val="24"/>
        </w:rPr>
        <w:t xml:space="preserve">TG; </w:t>
      </w:r>
      <w:proofErr w:type="spellStart"/>
      <w:r w:rsidR="000A496F" w:rsidRPr="009537F6">
        <w:rPr>
          <w:rFonts w:asciiTheme="majorBidi" w:hAnsiTheme="majorBidi" w:cstheme="majorBidi"/>
          <w:sz w:val="24"/>
          <w:szCs w:val="24"/>
        </w:rPr>
        <w:t>lncRNAs</w:t>
      </w:r>
      <w:proofErr w:type="spellEnd"/>
      <w:r w:rsidR="001A12B8" w:rsidRPr="009537F6">
        <w:rPr>
          <w:rFonts w:asciiTheme="majorBidi" w:hAnsiTheme="majorBidi" w:cstheme="majorBidi"/>
          <w:sz w:val="24"/>
          <w:szCs w:val="24"/>
        </w:rPr>
        <w:t>;</w:t>
      </w:r>
      <w:r w:rsidRPr="009537F6">
        <w:rPr>
          <w:rFonts w:asciiTheme="majorBidi" w:hAnsiTheme="majorBidi" w:cstheme="majorBidi"/>
          <w:sz w:val="24"/>
          <w:szCs w:val="24"/>
        </w:rPr>
        <w:t xml:space="preserve"> </w:t>
      </w:r>
      <w:r w:rsidR="001A12B8" w:rsidRPr="009537F6">
        <w:rPr>
          <w:rFonts w:asciiTheme="majorBidi" w:hAnsiTheme="majorBidi" w:cstheme="majorBidi"/>
          <w:sz w:val="24"/>
          <w:szCs w:val="24"/>
        </w:rPr>
        <w:t>CD;</w:t>
      </w:r>
      <w:r w:rsidR="00D9001C" w:rsidRPr="009537F6">
        <w:rPr>
          <w:rFonts w:asciiTheme="majorBidi" w:hAnsiTheme="majorBidi" w:cstheme="majorBidi"/>
          <w:sz w:val="24"/>
          <w:szCs w:val="24"/>
        </w:rPr>
        <w:t xml:space="preserve"> </w:t>
      </w:r>
      <w:r w:rsidR="001A12B8" w:rsidRPr="009537F6">
        <w:rPr>
          <w:rFonts w:asciiTheme="majorBidi" w:hAnsiTheme="majorBidi" w:cstheme="majorBidi"/>
          <w:sz w:val="24"/>
          <w:szCs w:val="24"/>
        </w:rPr>
        <w:t>TTG IgA</w:t>
      </w:r>
      <w:r w:rsidR="00703DD3" w:rsidRPr="009537F6">
        <w:rPr>
          <w:rFonts w:asciiTheme="majorBidi" w:hAnsiTheme="majorBidi" w:cstheme="majorBidi"/>
          <w:sz w:val="24"/>
          <w:szCs w:val="24"/>
        </w:rPr>
        <w:t>; HT; IFNG-AS1; RT-PCR</w:t>
      </w:r>
      <w:r w:rsidR="008D02EE" w:rsidRPr="009537F6">
        <w:rPr>
          <w:rFonts w:asciiTheme="majorBidi" w:hAnsiTheme="majorBidi" w:cstheme="majorBidi"/>
          <w:sz w:val="24"/>
          <w:szCs w:val="24"/>
        </w:rPr>
        <w:t xml:space="preserve">; </w:t>
      </w:r>
      <w:r w:rsidR="000A496F" w:rsidRPr="009537F6">
        <w:rPr>
          <w:rFonts w:asciiTheme="majorBidi" w:hAnsiTheme="majorBidi" w:cstheme="majorBidi"/>
          <w:sz w:val="24"/>
          <w:szCs w:val="24"/>
        </w:rPr>
        <w:t xml:space="preserve">gluten </w:t>
      </w:r>
      <w:r w:rsidR="007D468D" w:rsidRPr="009537F6">
        <w:rPr>
          <w:rFonts w:asciiTheme="majorBidi" w:hAnsiTheme="majorBidi" w:cstheme="majorBidi"/>
          <w:sz w:val="24"/>
          <w:szCs w:val="24"/>
        </w:rPr>
        <w:t>intolerance; enteropathy</w:t>
      </w:r>
    </w:p>
    <w:p w14:paraId="383F0ED7" w14:textId="76E321BF" w:rsidR="003E2678" w:rsidRPr="003F0CBB" w:rsidRDefault="002C1DAC" w:rsidP="00DF78E8">
      <w:pPr>
        <w:spacing w:line="360" w:lineRule="auto"/>
        <w:jc w:val="both"/>
        <w:rPr>
          <w:rFonts w:asciiTheme="majorBidi" w:hAnsiTheme="majorBidi" w:cstheme="majorBidi"/>
          <w:b/>
          <w:bCs/>
          <w:sz w:val="24"/>
          <w:szCs w:val="24"/>
        </w:rPr>
      </w:pPr>
      <w:r w:rsidRPr="003F0CBB">
        <w:rPr>
          <w:rFonts w:asciiTheme="majorBidi" w:hAnsiTheme="majorBidi" w:cstheme="majorBidi"/>
          <w:b/>
          <w:bCs/>
          <w:sz w:val="24"/>
          <w:szCs w:val="24"/>
        </w:rPr>
        <w:t>Introduction</w:t>
      </w:r>
    </w:p>
    <w:p w14:paraId="14015C90" w14:textId="6D9CA16B" w:rsidR="000D3C91" w:rsidRPr="003F0CBB"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 xml:space="preserve">Hashimoto thyroiditis (HT) is an autoimmune thyroid disease characterized by increased thyroid volume, lymphocyte infiltration of parenchyma, and antibodies specific to thyroid </w:t>
      </w:r>
      <w:r w:rsidR="00834C8A" w:rsidRPr="003F0CBB">
        <w:rPr>
          <w:rFonts w:asciiTheme="majorBidi" w:hAnsiTheme="majorBidi" w:cstheme="majorBidi"/>
          <w:sz w:val="24"/>
          <w:szCs w:val="24"/>
        </w:rPr>
        <w:t>antigens [</w:t>
      </w:r>
      <w:r w:rsidR="00D45104" w:rsidRPr="003F0CBB">
        <w:rPr>
          <w:rFonts w:asciiTheme="majorBidi" w:hAnsiTheme="majorBidi" w:cstheme="majorBidi"/>
          <w:sz w:val="24"/>
          <w:szCs w:val="24"/>
        </w:rPr>
        <w:t>1]</w:t>
      </w:r>
      <w:r w:rsidRPr="003F0CBB">
        <w:rPr>
          <w:rFonts w:asciiTheme="majorBidi" w:hAnsiTheme="majorBidi" w:cstheme="majorBidi"/>
          <w:sz w:val="24"/>
          <w:szCs w:val="24"/>
        </w:rPr>
        <w:t xml:space="preserve">. Although the exact etiology has not been fully explained, HT is related to an interaction among genetic elements, environmental factors, and epigenetic </w:t>
      </w:r>
      <w:r w:rsidR="00927759" w:rsidRPr="003F0CBB">
        <w:rPr>
          <w:rFonts w:asciiTheme="majorBidi" w:hAnsiTheme="majorBidi" w:cstheme="majorBidi"/>
          <w:sz w:val="24"/>
          <w:szCs w:val="24"/>
        </w:rPr>
        <w:t>influences [</w:t>
      </w:r>
      <w:r w:rsidR="00D45104" w:rsidRPr="003F0CBB">
        <w:rPr>
          <w:rFonts w:asciiTheme="majorBidi" w:hAnsiTheme="majorBidi" w:cstheme="majorBidi"/>
          <w:sz w:val="24"/>
          <w:szCs w:val="24"/>
        </w:rPr>
        <w:t>2</w:t>
      </w:r>
      <w:r w:rsidR="00CB69D6" w:rsidRPr="003F0CBB">
        <w:rPr>
          <w:rFonts w:asciiTheme="majorBidi" w:hAnsiTheme="majorBidi" w:cstheme="majorBidi"/>
          <w:sz w:val="24"/>
          <w:szCs w:val="24"/>
        </w:rPr>
        <w:t>].</w:t>
      </w:r>
    </w:p>
    <w:p w14:paraId="54EAA771" w14:textId="621C2A1C" w:rsidR="000D3C91" w:rsidRPr="003F0CBB" w:rsidRDefault="0088290D" w:rsidP="00DF78E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Due to immune tolerance loss, HT is a pivotal disease associated with endocrine and nonendocrine autoimmune disorders </w:t>
      </w:r>
      <w:r w:rsidRPr="003F0CBB">
        <w:rPr>
          <w:rFonts w:asciiTheme="majorBidi" w:hAnsiTheme="majorBidi" w:cstheme="majorBidi"/>
          <w:sz w:val="24"/>
          <w:szCs w:val="24"/>
        </w:rPr>
        <w:t>[</w:t>
      </w:r>
      <w:r w:rsidR="003154FE" w:rsidRPr="003F0CBB">
        <w:rPr>
          <w:rFonts w:asciiTheme="majorBidi" w:hAnsiTheme="majorBidi" w:cstheme="majorBidi"/>
          <w:sz w:val="24"/>
          <w:szCs w:val="24"/>
        </w:rPr>
        <w:t>3</w:t>
      </w:r>
      <w:r w:rsidRPr="003F0CBB">
        <w:rPr>
          <w:rFonts w:asciiTheme="majorBidi" w:hAnsiTheme="majorBidi" w:cstheme="majorBidi"/>
          <w:sz w:val="24"/>
          <w:szCs w:val="24"/>
        </w:rPr>
        <w:t>].</w:t>
      </w:r>
      <w:r w:rsidR="0094674C" w:rsidRPr="003F0CBB">
        <w:rPr>
          <w:rFonts w:asciiTheme="majorBidi" w:hAnsiTheme="majorBidi" w:cstheme="majorBidi"/>
          <w:sz w:val="24"/>
          <w:szCs w:val="24"/>
        </w:rPr>
        <w:t xml:space="preserve"> From a clinical point of view, the functional and morphological alterations related to thyroid-enter-gastric autoimmunity may lead to potentially serious clinical consequences like anemia [</w:t>
      </w:r>
      <w:r w:rsidR="003154FE" w:rsidRPr="003F0CBB">
        <w:rPr>
          <w:rFonts w:asciiTheme="majorBidi" w:hAnsiTheme="majorBidi" w:cstheme="majorBidi"/>
          <w:sz w:val="24"/>
          <w:szCs w:val="24"/>
        </w:rPr>
        <w:t>4</w:t>
      </w:r>
      <w:r w:rsidR="0094674C" w:rsidRPr="003F0CBB">
        <w:rPr>
          <w:rFonts w:asciiTheme="majorBidi" w:hAnsiTheme="majorBidi" w:cstheme="majorBidi"/>
          <w:sz w:val="24"/>
          <w:szCs w:val="24"/>
        </w:rPr>
        <w:t>], micronutrient deficiencies [</w:t>
      </w:r>
      <w:r w:rsidR="003154FE" w:rsidRPr="003F0CBB">
        <w:rPr>
          <w:rFonts w:asciiTheme="majorBidi" w:hAnsiTheme="majorBidi" w:cstheme="majorBidi"/>
          <w:sz w:val="24"/>
          <w:szCs w:val="24"/>
        </w:rPr>
        <w:t>5</w:t>
      </w:r>
      <w:r w:rsidR="0094674C" w:rsidRPr="003F0CBB">
        <w:rPr>
          <w:rFonts w:asciiTheme="majorBidi" w:hAnsiTheme="majorBidi" w:cstheme="majorBidi"/>
          <w:sz w:val="24"/>
          <w:szCs w:val="24"/>
        </w:rPr>
        <w:t>], and drug malabsorption [</w:t>
      </w:r>
      <w:r w:rsidR="003154FE" w:rsidRPr="003F0CBB">
        <w:rPr>
          <w:rFonts w:asciiTheme="majorBidi" w:hAnsiTheme="majorBidi" w:cstheme="majorBidi"/>
          <w:sz w:val="24"/>
          <w:szCs w:val="24"/>
        </w:rPr>
        <w:t>6</w:t>
      </w:r>
      <w:r w:rsidR="0094674C" w:rsidRPr="003F0CBB">
        <w:rPr>
          <w:rFonts w:asciiTheme="majorBidi" w:hAnsiTheme="majorBidi" w:cstheme="majorBidi"/>
          <w:sz w:val="24"/>
          <w:szCs w:val="24"/>
        </w:rPr>
        <w:t xml:space="preserve">] as well as to increased risk for the development of gastric, </w:t>
      </w:r>
      <w:r w:rsidR="009537F6" w:rsidRPr="003F0CBB">
        <w:rPr>
          <w:rFonts w:asciiTheme="majorBidi" w:hAnsiTheme="majorBidi" w:cstheme="majorBidi"/>
          <w:sz w:val="24"/>
          <w:szCs w:val="24"/>
        </w:rPr>
        <w:t>intestinal,</w:t>
      </w:r>
      <w:r w:rsidR="0094674C" w:rsidRPr="003F0CBB">
        <w:rPr>
          <w:rFonts w:asciiTheme="majorBidi" w:hAnsiTheme="majorBidi" w:cstheme="majorBidi"/>
          <w:sz w:val="24"/>
          <w:szCs w:val="24"/>
        </w:rPr>
        <w:t xml:space="preserve"> and thyroid malignancies [</w:t>
      </w:r>
      <w:r w:rsidR="003154FE" w:rsidRPr="003F0CBB">
        <w:rPr>
          <w:rFonts w:asciiTheme="majorBidi" w:hAnsiTheme="majorBidi" w:cstheme="majorBidi"/>
          <w:sz w:val="24"/>
          <w:szCs w:val="24"/>
        </w:rPr>
        <w:t>7</w:t>
      </w:r>
      <w:r w:rsidR="0094674C" w:rsidRPr="003F0CBB">
        <w:rPr>
          <w:rFonts w:asciiTheme="majorBidi" w:hAnsiTheme="majorBidi" w:cstheme="majorBidi"/>
          <w:sz w:val="24"/>
          <w:szCs w:val="24"/>
        </w:rPr>
        <w:t xml:space="preserve">]. </w:t>
      </w:r>
      <w:r w:rsidR="009537F6">
        <w:rPr>
          <w:rFonts w:asciiTheme="majorBidi" w:hAnsiTheme="majorBidi" w:cstheme="majorBidi"/>
          <w:sz w:val="24"/>
          <w:szCs w:val="24"/>
        </w:rPr>
        <w:t>These clinical manifestations frequently present underhand</w:t>
      </w:r>
      <w:r w:rsidR="0094674C" w:rsidRPr="003F0CBB">
        <w:rPr>
          <w:rFonts w:asciiTheme="majorBidi" w:hAnsiTheme="majorBidi" w:cstheme="majorBidi"/>
          <w:sz w:val="24"/>
          <w:szCs w:val="24"/>
        </w:rPr>
        <w:t>, leading to diagnostic and treatment delays [</w:t>
      </w:r>
      <w:r w:rsidR="003154FE" w:rsidRPr="003F0CBB">
        <w:rPr>
          <w:rFonts w:asciiTheme="majorBidi" w:hAnsiTheme="majorBidi" w:cstheme="majorBidi"/>
          <w:sz w:val="24"/>
          <w:szCs w:val="24"/>
        </w:rPr>
        <w:t>8</w:t>
      </w:r>
      <w:r w:rsidR="0094674C" w:rsidRPr="003F0CBB">
        <w:rPr>
          <w:rFonts w:asciiTheme="majorBidi" w:hAnsiTheme="majorBidi" w:cstheme="majorBidi"/>
          <w:sz w:val="24"/>
          <w:szCs w:val="24"/>
        </w:rPr>
        <w:t>].</w:t>
      </w:r>
    </w:p>
    <w:p w14:paraId="213F7760" w14:textId="685500A1" w:rsidR="00EE79C5" w:rsidRPr="003F0CBB" w:rsidRDefault="00D95CF5"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 xml:space="preserve">Celiac disease is a complex, chronic, immune-mediated disease that affects </w:t>
      </w:r>
      <w:r w:rsidR="00886705" w:rsidRPr="009537F6">
        <w:rPr>
          <w:rFonts w:asciiTheme="majorBidi" w:hAnsiTheme="majorBidi" w:cstheme="majorBidi"/>
          <w:sz w:val="24"/>
          <w:szCs w:val="24"/>
        </w:rPr>
        <w:t>about</w:t>
      </w:r>
      <w:r w:rsidR="00886705" w:rsidRPr="00886705">
        <w:rPr>
          <w:rFonts w:asciiTheme="majorBidi" w:hAnsiTheme="majorBidi" w:cstheme="majorBidi"/>
          <w:sz w:val="24"/>
          <w:szCs w:val="24"/>
        </w:rPr>
        <w:t xml:space="preserve"> </w:t>
      </w:r>
      <w:r w:rsidRPr="003F0CBB">
        <w:rPr>
          <w:rFonts w:asciiTheme="majorBidi" w:hAnsiTheme="majorBidi" w:cstheme="majorBidi"/>
          <w:sz w:val="24"/>
          <w:szCs w:val="24"/>
        </w:rPr>
        <w:t xml:space="preserve">1% of the population and develops in genetically susceptible individuals in response to ingested gluten proteins </w:t>
      </w:r>
      <w:r w:rsidR="003C5514" w:rsidRPr="003F0CBB">
        <w:rPr>
          <w:rFonts w:asciiTheme="majorBidi" w:hAnsiTheme="majorBidi" w:cstheme="majorBidi"/>
          <w:sz w:val="24"/>
          <w:szCs w:val="24"/>
        </w:rPr>
        <w:t>[9].</w:t>
      </w:r>
      <w:r w:rsidRPr="003F0CBB">
        <w:rPr>
          <w:rFonts w:asciiTheme="majorBidi" w:hAnsiTheme="majorBidi" w:cstheme="majorBidi"/>
          <w:sz w:val="24"/>
          <w:szCs w:val="24"/>
        </w:rPr>
        <w:t xml:space="preserve"> There is no single gold standard test for the diagnosis of CD, and the diagnosis of CD is based on a combination of clinical manifestations, the presence of the celiac-specific serological test, and the demonstration of villous abnormality on intestinal mucosal biopsies [</w:t>
      </w:r>
      <w:r w:rsidR="003C5514" w:rsidRPr="003F0CBB">
        <w:rPr>
          <w:rFonts w:asciiTheme="majorBidi" w:hAnsiTheme="majorBidi" w:cstheme="majorBidi"/>
          <w:sz w:val="24"/>
          <w:szCs w:val="24"/>
        </w:rPr>
        <w:t>10</w:t>
      </w:r>
      <w:r w:rsidRPr="003F0CBB">
        <w:rPr>
          <w:rFonts w:asciiTheme="majorBidi" w:hAnsiTheme="majorBidi" w:cstheme="majorBidi"/>
          <w:sz w:val="24"/>
          <w:szCs w:val="24"/>
        </w:rPr>
        <w:t>].</w:t>
      </w:r>
      <w:r w:rsidR="00C80D52" w:rsidRPr="003F0CBB">
        <w:rPr>
          <w:rFonts w:asciiTheme="majorBidi" w:hAnsiTheme="majorBidi" w:cstheme="majorBidi"/>
          <w:sz w:val="24"/>
          <w:szCs w:val="24"/>
        </w:rPr>
        <w:t xml:space="preserve"> </w:t>
      </w:r>
    </w:p>
    <w:p w14:paraId="574F66E8" w14:textId="2C96970F" w:rsidR="0053714F" w:rsidRPr="003F0CBB"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Long non-coding RNAs (</w:t>
      </w:r>
      <w:proofErr w:type="spellStart"/>
      <w:r w:rsidRPr="003F0CBB">
        <w:rPr>
          <w:rFonts w:asciiTheme="majorBidi" w:hAnsiTheme="majorBidi" w:cstheme="majorBidi"/>
          <w:sz w:val="24"/>
          <w:szCs w:val="24"/>
        </w:rPr>
        <w:t>lncRNAs</w:t>
      </w:r>
      <w:proofErr w:type="spellEnd"/>
      <w:r w:rsidRPr="003F0CBB">
        <w:rPr>
          <w:rFonts w:asciiTheme="majorBidi" w:hAnsiTheme="majorBidi" w:cstheme="majorBidi"/>
          <w:sz w:val="24"/>
          <w:szCs w:val="24"/>
        </w:rPr>
        <w:t xml:space="preserve">) have been documented as a class of non-coding RNAs &gt;200 nucleotides in </w:t>
      </w:r>
      <w:r w:rsidR="009A7919" w:rsidRPr="003F0CBB">
        <w:rPr>
          <w:rFonts w:asciiTheme="majorBidi" w:hAnsiTheme="majorBidi" w:cstheme="majorBidi"/>
          <w:sz w:val="24"/>
          <w:szCs w:val="24"/>
        </w:rPr>
        <w:t>size [</w:t>
      </w:r>
      <w:r w:rsidRPr="003F0CBB">
        <w:rPr>
          <w:rFonts w:asciiTheme="majorBidi" w:hAnsiTheme="majorBidi" w:cstheme="majorBidi"/>
          <w:sz w:val="24"/>
          <w:szCs w:val="24"/>
        </w:rPr>
        <w:t>1</w:t>
      </w:r>
      <w:r w:rsidR="00F475C0" w:rsidRPr="003F0CBB">
        <w:rPr>
          <w:rFonts w:asciiTheme="majorBidi" w:hAnsiTheme="majorBidi" w:cstheme="majorBidi"/>
          <w:sz w:val="24"/>
          <w:szCs w:val="24"/>
        </w:rPr>
        <w:t>1</w:t>
      </w:r>
      <w:r w:rsidR="009A7919" w:rsidRPr="003F0CBB">
        <w:rPr>
          <w:rFonts w:asciiTheme="majorBidi" w:hAnsiTheme="majorBidi" w:cstheme="majorBidi"/>
          <w:sz w:val="24"/>
          <w:szCs w:val="24"/>
        </w:rPr>
        <w:t>]. Numerous</w:t>
      </w:r>
      <w:r w:rsidRPr="003F0CBB">
        <w:rPr>
          <w:rFonts w:asciiTheme="majorBidi" w:hAnsiTheme="majorBidi" w:cstheme="majorBidi"/>
          <w:sz w:val="24"/>
          <w:szCs w:val="24"/>
        </w:rPr>
        <w:t xml:space="preserve"> studies have reported that </w:t>
      </w:r>
      <w:proofErr w:type="spellStart"/>
      <w:r w:rsidRPr="003F0CBB">
        <w:rPr>
          <w:rFonts w:asciiTheme="majorBidi" w:hAnsiTheme="majorBidi" w:cstheme="majorBidi"/>
          <w:sz w:val="24"/>
          <w:szCs w:val="24"/>
        </w:rPr>
        <w:t>lncRNAs</w:t>
      </w:r>
      <w:proofErr w:type="spellEnd"/>
      <w:r w:rsidRPr="003F0CBB">
        <w:rPr>
          <w:rFonts w:asciiTheme="majorBidi" w:hAnsiTheme="majorBidi" w:cstheme="majorBidi"/>
          <w:sz w:val="24"/>
          <w:szCs w:val="24"/>
        </w:rPr>
        <w:t xml:space="preserve"> serve </w:t>
      </w:r>
      <w:r w:rsidR="0088290D">
        <w:rPr>
          <w:rFonts w:asciiTheme="majorBidi" w:hAnsiTheme="majorBidi" w:cstheme="majorBidi"/>
          <w:sz w:val="24"/>
          <w:szCs w:val="24"/>
        </w:rPr>
        <w:t>critical</w:t>
      </w:r>
      <w:r w:rsidRPr="003F0CBB">
        <w:rPr>
          <w:rFonts w:asciiTheme="majorBidi" w:hAnsiTheme="majorBidi" w:cstheme="majorBidi"/>
          <w:sz w:val="24"/>
          <w:szCs w:val="24"/>
        </w:rPr>
        <w:t xml:space="preserve"> roles in the pathogenesis of various diseases </w:t>
      </w:r>
      <w:r w:rsidR="00834C8A" w:rsidRPr="003F0CBB">
        <w:rPr>
          <w:rFonts w:asciiTheme="majorBidi" w:hAnsiTheme="majorBidi" w:cstheme="majorBidi"/>
          <w:sz w:val="24"/>
          <w:szCs w:val="24"/>
        </w:rPr>
        <w:t xml:space="preserve">and regulation of the immune system </w:t>
      </w:r>
      <w:r w:rsidRPr="003F0CBB">
        <w:rPr>
          <w:rFonts w:asciiTheme="majorBidi" w:hAnsiTheme="majorBidi" w:cstheme="majorBidi"/>
          <w:sz w:val="24"/>
          <w:szCs w:val="24"/>
        </w:rPr>
        <w:t>[1</w:t>
      </w:r>
      <w:r w:rsidR="00F475C0" w:rsidRPr="003F0CBB">
        <w:rPr>
          <w:rFonts w:asciiTheme="majorBidi" w:hAnsiTheme="majorBidi" w:cstheme="majorBidi"/>
          <w:sz w:val="24"/>
          <w:szCs w:val="24"/>
        </w:rPr>
        <w:t>2</w:t>
      </w:r>
      <w:r w:rsidR="00E47DAB" w:rsidRPr="003F0CBB">
        <w:rPr>
          <w:rFonts w:asciiTheme="majorBidi" w:hAnsiTheme="majorBidi" w:cstheme="majorBidi"/>
          <w:sz w:val="24"/>
          <w:szCs w:val="24"/>
        </w:rPr>
        <w:t>]. However</w:t>
      </w:r>
      <w:r w:rsidRPr="003F0CBB">
        <w:rPr>
          <w:rFonts w:asciiTheme="majorBidi" w:hAnsiTheme="majorBidi" w:cstheme="majorBidi"/>
          <w:sz w:val="24"/>
          <w:szCs w:val="24"/>
        </w:rPr>
        <w:t xml:space="preserve">, the expression profiles and function of </w:t>
      </w:r>
      <w:proofErr w:type="spellStart"/>
      <w:r w:rsidRPr="003F0CBB">
        <w:rPr>
          <w:rFonts w:asciiTheme="majorBidi" w:hAnsiTheme="majorBidi" w:cstheme="majorBidi"/>
          <w:sz w:val="24"/>
          <w:szCs w:val="24"/>
        </w:rPr>
        <w:t>lncRNAs</w:t>
      </w:r>
      <w:proofErr w:type="spellEnd"/>
      <w:r w:rsidRPr="003F0CBB">
        <w:rPr>
          <w:rFonts w:asciiTheme="majorBidi" w:hAnsiTheme="majorBidi" w:cstheme="majorBidi"/>
          <w:sz w:val="24"/>
          <w:szCs w:val="24"/>
        </w:rPr>
        <w:t xml:space="preserve"> in patients with HT are yet to be </w:t>
      </w:r>
      <w:r w:rsidR="00A46490" w:rsidRPr="003F0CBB">
        <w:rPr>
          <w:rFonts w:asciiTheme="majorBidi" w:hAnsiTheme="majorBidi" w:cstheme="majorBidi"/>
          <w:sz w:val="24"/>
          <w:szCs w:val="24"/>
        </w:rPr>
        <w:t>elucidated. Thus,</w:t>
      </w:r>
      <w:r w:rsidRPr="003F0CBB">
        <w:rPr>
          <w:rFonts w:asciiTheme="majorBidi" w:hAnsiTheme="majorBidi" w:cstheme="majorBidi"/>
          <w:sz w:val="24"/>
          <w:szCs w:val="24"/>
        </w:rPr>
        <w:t xml:space="preserve"> the current research aimed to assess lncRNA IFNG-AS1 in HT and </w:t>
      </w:r>
      <w:r w:rsidR="0088290D">
        <w:rPr>
          <w:rFonts w:asciiTheme="majorBidi" w:hAnsiTheme="majorBidi" w:cstheme="majorBidi"/>
          <w:sz w:val="24"/>
          <w:szCs w:val="24"/>
        </w:rPr>
        <w:t>evaluate its predictive and diagnostic CD values</w:t>
      </w:r>
      <w:r w:rsidRPr="003F0CBB">
        <w:rPr>
          <w:rFonts w:asciiTheme="majorBidi" w:hAnsiTheme="majorBidi" w:cstheme="majorBidi"/>
          <w:sz w:val="24"/>
          <w:szCs w:val="24"/>
        </w:rPr>
        <w:t xml:space="preserve"> among patients with </w:t>
      </w:r>
      <w:r w:rsidR="00A46490" w:rsidRPr="003F0CBB">
        <w:rPr>
          <w:rFonts w:asciiTheme="majorBidi" w:hAnsiTheme="majorBidi" w:cstheme="majorBidi"/>
          <w:sz w:val="24"/>
          <w:szCs w:val="24"/>
        </w:rPr>
        <w:t>HT.</w:t>
      </w:r>
    </w:p>
    <w:p w14:paraId="7D46A79B" w14:textId="6DACC2FF" w:rsidR="003E2678" w:rsidRPr="003F0CBB" w:rsidRDefault="002C1DAC" w:rsidP="00DF78E8">
      <w:pPr>
        <w:spacing w:line="360" w:lineRule="auto"/>
        <w:jc w:val="both"/>
        <w:rPr>
          <w:rFonts w:asciiTheme="majorBidi" w:hAnsiTheme="majorBidi" w:cstheme="majorBidi"/>
          <w:b/>
          <w:bCs/>
          <w:sz w:val="24"/>
          <w:szCs w:val="24"/>
        </w:rPr>
      </w:pPr>
      <w:bookmarkStart w:id="5" w:name="_Hlk155367481"/>
      <w:r w:rsidRPr="003F0CBB">
        <w:rPr>
          <w:rFonts w:asciiTheme="majorBidi" w:hAnsiTheme="majorBidi" w:cstheme="majorBidi"/>
          <w:b/>
          <w:bCs/>
          <w:sz w:val="24"/>
          <w:szCs w:val="24"/>
        </w:rPr>
        <w:t xml:space="preserve">Subjects and methods </w:t>
      </w:r>
    </w:p>
    <w:p w14:paraId="6915CC4F" w14:textId="4852C074" w:rsidR="00410050" w:rsidRDefault="002C1DAC" w:rsidP="00DF78E8">
      <w:pPr>
        <w:spacing w:line="360" w:lineRule="auto"/>
        <w:ind w:firstLine="720"/>
        <w:jc w:val="both"/>
        <w:rPr>
          <w:rFonts w:asciiTheme="majorBidi" w:hAnsiTheme="majorBidi" w:cstheme="majorBidi"/>
          <w:sz w:val="24"/>
          <w:szCs w:val="24"/>
        </w:rPr>
      </w:pPr>
      <w:r w:rsidRPr="00330E82">
        <w:rPr>
          <w:rFonts w:asciiTheme="majorBidi" w:hAnsiTheme="majorBidi" w:cstheme="majorBidi"/>
          <w:sz w:val="24"/>
          <w:szCs w:val="24"/>
        </w:rPr>
        <w:t xml:space="preserve">This research conducted 50 patients with HT and 50 sex - and age-matched controls. The diagnostic criteria for HT were obtained based on clinical findings, positive serum antibodies to thyroid peroxidase (TPO Ab), </w:t>
      </w:r>
      <w:r w:rsidR="0088290D" w:rsidRPr="00330E82">
        <w:rPr>
          <w:rFonts w:asciiTheme="majorBidi" w:hAnsiTheme="majorBidi" w:cstheme="majorBidi"/>
          <w:sz w:val="24"/>
          <w:szCs w:val="24"/>
        </w:rPr>
        <w:t>and</w:t>
      </w:r>
      <w:r w:rsidRPr="00330E82">
        <w:rPr>
          <w:rFonts w:asciiTheme="majorBidi" w:hAnsiTheme="majorBidi" w:cstheme="majorBidi"/>
          <w:sz w:val="24"/>
          <w:szCs w:val="24"/>
        </w:rPr>
        <w:t xml:space="preserve"> thyroglobulin (</w:t>
      </w:r>
      <w:proofErr w:type="spellStart"/>
      <w:r w:rsidRPr="00330E82">
        <w:rPr>
          <w:rFonts w:asciiTheme="majorBidi" w:hAnsiTheme="majorBidi" w:cstheme="majorBidi"/>
          <w:sz w:val="24"/>
          <w:szCs w:val="24"/>
        </w:rPr>
        <w:t>Tg</w:t>
      </w:r>
      <w:proofErr w:type="spellEnd"/>
      <w:r w:rsidRPr="00330E82">
        <w:rPr>
          <w:rFonts w:asciiTheme="majorBidi" w:hAnsiTheme="majorBidi" w:cstheme="majorBidi"/>
          <w:sz w:val="24"/>
          <w:szCs w:val="24"/>
        </w:rPr>
        <w:t xml:space="preserve"> Ab). Among 50 patients with HT,11 patients had CD</w:t>
      </w:r>
      <w:r w:rsidRPr="00F6769A">
        <w:rPr>
          <w:rFonts w:asciiTheme="majorBidi" w:hAnsiTheme="majorBidi" w:cstheme="majorBidi"/>
          <w:sz w:val="24"/>
          <w:szCs w:val="24"/>
        </w:rPr>
        <w:t>.</w:t>
      </w:r>
      <w:r>
        <w:rPr>
          <w:rFonts w:asciiTheme="majorBidi" w:hAnsiTheme="majorBidi" w:cstheme="majorBidi"/>
          <w:sz w:val="24"/>
          <w:szCs w:val="24"/>
        </w:rPr>
        <w:t xml:space="preserve"> </w:t>
      </w:r>
      <w:r w:rsidR="0088290D">
        <w:rPr>
          <w:rFonts w:asciiTheme="majorBidi" w:hAnsiTheme="majorBidi" w:cstheme="majorBidi"/>
          <w:sz w:val="24"/>
          <w:szCs w:val="24"/>
        </w:rPr>
        <w:t>CD was diagnosed according to the</w:t>
      </w:r>
      <w:r w:rsidRPr="003F0CBB">
        <w:rPr>
          <w:rFonts w:asciiTheme="majorBidi" w:hAnsiTheme="majorBidi" w:cstheme="majorBidi"/>
          <w:sz w:val="24"/>
          <w:szCs w:val="24"/>
        </w:rPr>
        <w:t xml:space="preserve"> criteria established by the European Society for Pediatric Gastroenterology, Hepatology, and Nutrition (ESPGHAN) [1</w:t>
      </w:r>
      <w:r w:rsidR="00F475C0" w:rsidRPr="003F0CBB">
        <w:rPr>
          <w:rFonts w:asciiTheme="majorBidi" w:hAnsiTheme="majorBidi" w:cstheme="majorBidi"/>
          <w:sz w:val="24"/>
          <w:szCs w:val="24"/>
        </w:rPr>
        <w:t>3</w:t>
      </w:r>
      <w:r w:rsidRPr="003F0CBB">
        <w:rPr>
          <w:rFonts w:asciiTheme="majorBidi" w:hAnsiTheme="majorBidi" w:cstheme="majorBidi"/>
          <w:sz w:val="24"/>
          <w:szCs w:val="24"/>
        </w:rPr>
        <w:t xml:space="preserve">]. The study design is shown in </w:t>
      </w:r>
      <w:r w:rsidR="001C47BD" w:rsidRPr="003F0CBB">
        <w:rPr>
          <w:rFonts w:asciiTheme="majorBidi" w:hAnsiTheme="majorBidi" w:cstheme="majorBidi"/>
          <w:sz w:val="24"/>
          <w:szCs w:val="24"/>
        </w:rPr>
        <w:t>the flowchart</w:t>
      </w:r>
      <w:r w:rsidRPr="003F0CBB">
        <w:rPr>
          <w:rFonts w:asciiTheme="majorBidi" w:hAnsiTheme="majorBidi" w:cstheme="majorBidi"/>
          <w:sz w:val="24"/>
          <w:szCs w:val="24"/>
        </w:rPr>
        <w:t xml:space="preserve"> Fig 1.</w:t>
      </w:r>
    </w:p>
    <w:p w14:paraId="754F8032" w14:textId="77777777" w:rsidR="002C1DAC" w:rsidRDefault="002C1DAC" w:rsidP="002C1DAC">
      <w:pPr>
        <w:keepNext/>
        <w:spacing w:line="360" w:lineRule="auto"/>
        <w:ind w:firstLine="720"/>
        <w:jc w:val="both"/>
      </w:pPr>
      <w:r>
        <w:rPr>
          <w:noProof/>
        </w:rPr>
        <w:drawing>
          <wp:inline distT="0" distB="0" distL="0" distR="0" wp14:anchorId="447008C0" wp14:editId="799B3250">
            <wp:extent cx="5097042" cy="3474720"/>
            <wp:effectExtent l="19050" t="19050" r="27940" b="11430"/>
            <wp:docPr id="47117487" name="Picture 1" descr="Fig1. The flowchart of th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7487" name="Picture 1" descr="Fig1. The flowchart of the study"/>
                    <pic:cNvPicPr>
                      <a:picLocks noChangeAspect="1"/>
                    </pic:cNvPicPr>
                  </pic:nvPicPr>
                  <pic:blipFill>
                    <a:blip r:embed="rId10" cstate="print">
                      <a:alphaModFix/>
                      <a:extLst>
                        <a:ext uri="{BEBA8EAE-BF5A-486C-A8C5-ECC9F3942E4B}">
                          <a14:imgProps xmlns:a14="http://schemas.microsoft.com/office/drawing/2010/main">
                            <a14:imgLayer r:embed="rId11">
                              <a14:imgEffect>
                                <a14:sharpenSoften amount="100000"/>
                              </a14:imgEffect>
                              <a14:imgEffect>
                                <a14:brightnessContrast bright="-16000" contrast="76000"/>
                              </a14:imgEffect>
                            </a14:imgLayer>
                          </a14:imgProps>
                        </a:ext>
                        <a:ext uri="{28A0092B-C50C-407E-A947-70E740481C1C}">
                          <a14:useLocalDpi xmlns:a14="http://schemas.microsoft.com/office/drawing/2010/main" val="0"/>
                        </a:ext>
                      </a:extLst>
                    </a:blip>
                    <a:stretch>
                      <a:fillRect/>
                    </a:stretch>
                  </pic:blipFill>
                  <pic:spPr>
                    <a:xfrm>
                      <a:off x="0" y="0"/>
                      <a:ext cx="5097042" cy="3474720"/>
                    </a:xfrm>
                    <a:prstGeom prst="rect">
                      <a:avLst/>
                    </a:prstGeom>
                    <a:ln>
                      <a:solidFill>
                        <a:sysClr val="windowText" lastClr="000000"/>
                      </a:solidFill>
                    </a:ln>
                  </pic:spPr>
                </pic:pic>
              </a:graphicData>
            </a:graphic>
          </wp:inline>
        </w:drawing>
      </w:r>
    </w:p>
    <w:p w14:paraId="31CCACB7" w14:textId="51BBD2EE" w:rsidR="002C1DAC" w:rsidRPr="002C1DAC" w:rsidRDefault="002C1DAC" w:rsidP="002C1DAC">
      <w:pPr>
        <w:pStyle w:val="Caption"/>
        <w:jc w:val="both"/>
      </w:pPr>
      <w:bookmarkStart w:id="6" w:name="_Toc157866588"/>
      <w:r>
        <w:t>Fig</w:t>
      </w:r>
      <w:r>
        <w:fldChar w:fldCharType="begin"/>
      </w:r>
      <w:r>
        <w:instrText xml:space="preserve"> SEQ Figure \* ARABIC </w:instrText>
      </w:r>
      <w:r>
        <w:fldChar w:fldCharType="separate"/>
      </w:r>
      <w:r w:rsidR="009E3E4D">
        <w:rPr>
          <w:noProof/>
        </w:rPr>
        <w:t>1</w:t>
      </w:r>
      <w:r>
        <w:rPr>
          <w:noProof/>
        </w:rPr>
        <w:fldChar w:fldCharType="end"/>
      </w:r>
      <w:r>
        <w:t>.</w:t>
      </w:r>
      <w:r w:rsidRPr="002C1DAC">
        <w:t xml:space="preserve"> </w:t>
      </w:r>
      <w:r w:rsidR="008C697A">
        <w:t>Study flow chart.</w:t>
      </w:r>
      <w:bookmarkEnd w:id="6"/>
    </w:p>
    <w:p w14:paraId="182F993C" w14:textId="18414D6D" w:rsidR="00DF78E8" w:rsidRDefault="002C1DAC" w:rsidP="00527DF8">
      <w:pPr>
        <w:shd w:val="clear" w:color="auto" w:fill="FFFFFF"/>
        <w:spacing w:before="360" w:after="120" w:line="360" w:lineRule="auto"/>
        <w:ind w:firstLine="720"/>
        <w:jc w:val="both"/>
        <w:outlineLvl w:val="2"/>
        <w:rPr>
          <w:rFonts w:asciiTheme="majorBidi" w:hAnsiTheme="majorBidi" w:cstheme="majorBidi"/>
          <w:sz w:val="24"/>
          <w:szCs w:val="24"/>
        </w:rPr>
      </w:pPr>
      <w:bookmarkStart w:id="7" w:name="_Hlk155367452"/>
      <w:bookmarkEnd w:id="5"/>
      <w:r w:rsidRPr="00330E82">
        <w:rPr>
          <w:rFonts w:asciiTheme="majorBidi" w:hAnsiTheme="majorBidi" w:cstheme="majorBidi"/>
          <w:sz w:val="24"/>
          <w:szCs w:val="24"/>
        </w:rPr>
        <w:t xml:space="preserve">Laboratory evaluation was done for the studied participants enrolled from the Departments of Internal Medicine and Tropical Medicine. </w:t>
      </w:r>
      <w:bookmarkEnd w:id="7"/>
      <w:r w:rsidRPr="00330E82">
        <w:rPr>
          <w:rFonts w:asciiTheme="majorBidi" w:hAnsiTheme="majorBidi" w:cstheme="majorBidi"/>
          <w:sz w:val="24"/>
          <w:szCs w:val="24"/>
        </w:rPr>
        <w:t>Written informed consent was</w:t>
      </w:r>
      <w:r w:rsidRPr="00330E82">
        <w:rPr>
          <w:rFonts w:asciiTheme="majorBidi" w:hAnsiTheme="majorBidi" w:cstheme="majorBidi" w:hint="cs"/>
          <w:sz w:val="24"/>
          <w:szCs w:val="24"/>
          <w:rtl/>
        </w:rPr>
        <w:t xml:space="preserve"> </w:t>
      </w:r>
      <w:r w:rsidRPr="00330E82">
        <w:rPr>
          <w:rFonts w:asciiTheme="majorBidi" w:hAnsiTheme="majorBidi" w:cstheme="majorBidi"/>
          <w:sz w:val="24"/>
          <w:szCs w:val="24"/>
        </w:rPr>
        <w:t>obtained from all participants</w:t>
      </w:r>
      <w:r w:rsidR="0088290D" w:rsidRPr="00330E82">
        <w:rPr>
          <w:rFonts w:asciiTheme="majorBidi" w:hAnsiTheme="majorBidi" w:cstheme="majorBidi"/>
          <w:sz w:val="24"/>
          <w:szCs w:val="24"/>
        </w:rPr>
        <w:t>, and the research ethical committee of the Faculty of Medicine, Zagazig University, authorized the study</w:t>
      </w:r>
      <w:r w:rsidRPr="00330E82">
        <w:rPr>
          <w:rFonts w:asciiTheme="majorBidi" w:hAnsiTheme="majorBidi" w:cstheme="majorBidi"/>
          <w:sz w:val="24"/>
          <w:szCs w:val="24"/>
        </w:rPr>
        <w:t xml:space="preserve">. (Ethics number. 11101), The work has been conducted </w:t>
      </w:r>
      <w:r w:rsidR="0088290D" w:rsidRPr="00330E82">
        <w:rPr>
          <w:rFonts w:asciiTheme="majorBidi" w:hAnsiTheme="majorBidi" w:cstheme="majorBidi"/>
          <w:sz w:val="24"/>
          <w:szCs w:val="24"/>
        </w:rPr>
        <w:t>by</w:t>
      </w:r>
      <w:r w:rsidRPr="00330E82">
        <w:rPr>
          <w:rFonts w:asciiTheme="majorBidi" w:hAnsiTheme="majorBidi" w:cstheme="majorBidi"/>
          <w:sz w:val="24"/>
          <w:szCs w:val="24"/>
        </w:rPr>
        <w:t xml:space="preserve"> the Code of Ethics of the</w:t>
      </w:r>
      <w:r w:rsidRPr="00330E82">
        <w:rPr>
          <w:rFonts w:asciiTheme="majorBidi" w:hAnsiTheme="majorBidi" w:cstheme="majorBidi" w:hint="cs"/>
          <w:sz w:val="24"/>
          <w:szCs w:val="24"/>
          <w:rtl/>
        </w:rPr>
        <w:t xml:space="preserve"> </w:t>
      </w:r>
      <w:r w:rsidRPr="00330E82">
        <w:rPr>
          <w:rFonts w:asciiTheme="majorBidi" w:hAnsiTheme="majorBidi" w:cstheme="majorBidi"/>
          <w:sz w:val="24"/>
          <w:szCs w:val="24"/>
        </w:rPr>
        <w:t>World Medical Association (Declaration of</w:t>
      </w:r>
      <w:r w:rsidRPr="00330E82">
        <w:rPr>
          <w:rFonts w:asciiTheme="majorBidi" w:hAnsiTheme="majorBidi" w:cstheme="majorBidi" w:hint="cs"/>
          <w:sz w:val="24"/>
          <w:szCs w:val="24"/>
          <w:rtl/>
        </w:rPr>
        <w:t xml:space="preserve"> </w:t>
      </w:r>
      <w:r w:rsidRPr="00330E82">
        <w:rPr>
          <w:rFonts w:asciiTheme="majorBidi" w:hAnsiTheme="majorBidi" w:cstheme="majorBidi"/>
          <w:sz w:val="24"/>
          <w:szCs w:val="24"/>
        </w:rPr>
        <w:t>Helsinki) for students involving humans.</w:t>
      </w:r>
    </w:p>
    <w:p w14:paraId="7CC36828" w14:textId="7516631E" w:rsidR="004E54B2" w:rsidRPr="003F0CBB" w:rsidRDefault="002C1DAC" w:rsidP="00DF78E8">
      <w:pPr>
        <w:spacing w:line="360" w:lineRule="auto"/>
        <w:ind w:firstLine="720"/>
        <w:jc w:val="both"/>
        <w:rPr>
          <w:rFonts w:asciiTheme="majorBidi" w:hAnsiTheme="majorBidi" w:cstheme="majorBidi"/>
          <w:b/>
          <w:bCs/>
          <w:sz w:val="24"/>
          <w:szCs w:val="24"/>
        </w:rPr>
      </w:pPr>
      <w:r w:rsidRPr="003F0CBB">
        <w:rPr>
          <w:rFonts w:asciiTheme="majorBidi" w:hAnsiTheme="majorBidi" w:cstheme="majorBidi"/>
          <w:b/>
          <w:bCs/>
          <w:sz w:val="24"/>
          <w:szCs w:val="24"/>
        </w:rPr>
        <w:t xml:space="preserve">RNA Isolation and </w:t>
      </w:r>
      <w:proofErr w:type="spellStart"/>
      <w:r w:rsidRPr="003F0CBB">
        <w:rPr>
          <w:rFonts w:asciiTheme="majorBidi" w:hAnsiTheme="majorBidi" w:cstheme="majorBidi"/>
          <w:b/>
          <w:bCs/>
          <w:sz w:val="24"/>
          <w:szCs w:val="24"/>
        </w:rPr>
        <w:t>qRT</w:t>
      </w:r>
      <w:proofErr w:type="spellEnd"/>
      <w:r w:rsidRPr="003F0CBB">
        <w:rPr>
          <w:rFonts w:asciiTheme="majorBidi" w:hAnsiTheme="majorBidi" w:cstheme="majorBidi"/>
          <w:b/>
          <w:bCs/>
          <w:sz w:val="24"/>
          <w:szCs w:val="24"/>
        </w:rPr>
        <w:t>-PCR</w:t>
      </w:r>
    </w:p>
    <w:p w14:paraId="31BDCF71" w14:textId="45663752" w:rsidR="00956382" w:rsidRPr="003F0CBB" w:rsidRDefault="0088290D" w:rsidP="00DF78E8">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According to the manufacturer's instructions, total RNA was isolated from the PBMCs with </w:t>
      </w:r>
      <w:proofErr w:type="spellStart"/>
      <w:r>
        <w:rPr>
          <w:rFonts w:asciiTheme="majorBidi" w:hAnsiTheme="majorBidi" w:cstheme="majorBidi"/>
          <w:sz w:val="24"/>
          <w:szCs w:val="24"/>
        </w:rPr>
        <w:t>TRIzol</w:t>
      </w:r>
      <w:proofErr w:type="spellEnd"/>
      <w:r>
        <w:rPr>
          <w:rFonts w:asciiTheme="majorBidi" w:hAnsiTheme="majorBidi" w:cstheme="majorBidi"/>
          <w:sz w:val="24"/>
          <w:szCs w:val="24"/>
        </w:rPr>
        <w:t xml:space="preserve"> reagent (Invitrogen, California, USA)</w:t>
      </w:r>
      <w:r w:rsidRPr="003F0CBB">
        <w:rPr>
          <w:rFonts w:asciiTheme="majorBidi" w:hAnsiTheme="majorBidi" w:cstheme="majorBidi"/>
          <w:sz w:val="24"/>
          <w:szCs w:val="24"/>
        </w:rPr>
        <w:t xml:space="preserve">. The cDNA was synthesized with random primers and a </w:t>
      </w:r>
      <w:proofErr w:type="spellStart"/>
      <w:r w:rsidRPr="003F0CBB">
        <w:rPr>
          <w:rFonts w:asciiTheme="majorBidi" w:hAnsiTheme="majorBidi" w:cstheme="majorBidi"/>
          <w:sz w:val="24"/>
          <w:szCs w:val="24"/>
        </w:rPr>
        <w:t>ReverTra</w:t>
      </w:r>
      <w:proofErr w:type="spellEnd"/>
      <w:r w:rsidRPr="003F0CBB">
        <w:rPr>
          <w:rFonts w:asciiTheme="majorBidi" w:hAnsiTheme="majorBidi" w:cstheme="majorBidi"/>
          <w:sz w:val="24"/>
          <w:szCs w:val="24"/>
        </w:rPr>
        <w:t xml:space="preserve"> </w:t>
      </w:r>
      <w:proofErr w:type="spellStart"/>
      <w:r w:rsidRPr="003F0CBB">
        <w:rPr>
          <w:rFonts w:asciiTheme="majorBidi" w:hAnsiTheme="majorBidi" w:cstheme="majorBidi"/>
          <w:sz w:val="24"/>
          <w:szCs w:val="24"/>
        </w:rPr>
        <w:t>Ace®qPCR</w:t>
      </w:r>
      <w:proofErr w:type="spellEnd"/>
      <w:r w:rsidRPr="003F0CBB">
        <w:rPr>
          <w:rFonts w:asciiTheme="majorBidi" w:hAnsiTheme="majorBidi" w:cstheme="majorBidi"/>
          <w:sz w:val="24"/>
          <w:szCs w:val="24"/>
        </w:rPr>
        <w:t xml:space="preserve"> RT kit (Toyobo, Osaka, Japan). </w:t>
      </w:r>
      <w:proofErr w:type="spellStart"/>
      <w:r w:rsidRPr="003F0CBB">
        <w:rPr>
          <w:rFonts w:asciiTheme="majorBidi" w:hAnsiTheme="majorBidi" w:cstheme="majorBidi"/>
          <w:sz w:val="24"/>
          <w:szCs w:val="24"/>
        </w:rPr>
        <w:t>qRT</w:t>
      </w:r>
      <w:proofErr w:type="spellEnd"/>
      <w:r w:rsidRPr="003F0CBB">
        <w:rPr>
          <w:rFonts w:asciiTheme="majorBidi" w:hAnsiTheme="majorBidi" w:cstheme="majorBidi"/>
          <w:sz w:val="24"/>
          <w:szCs w:val="24"/>
        </w:rPr>
        <w:t xml:space="preserve">-PCR was performed in triplicate using Bio-Rad SYBR Green Super Mix (Bio-Rad, Hercules, USA). The primer sequences are shown in. β-Actin was used as a reference gene </w:t>
      </w:r>
      <w:r>
        <w:rPr>
          <w:rFonts w:asciiTheme="majorBidi" w:hAnsiTheme="majorBidi" w:cstheme="majorBidi"/>
          <w:sz w:val="24"/>
          <w:szCs w:val="24"/>
        </w:rPr>
        <w:t>to analyze the genes of interest in the study quantitatively</w:t>
      </w:r>
      <w:r w:rsidRPr="003F0CBB">
        <w:rPr>
          <w:rFonts w:asciiTheme="majorBidi" w:hAnsiTheme="majorBidi" w:cstheme="majorBidi"/>
          <w:sz w:val="24"/>
          <w:szCs w:val="24"/>
        </w:rPr>
        <w:t>. The primers were as follows.</w:t>
      </w:r>
      <w:r w:rsidRPr="003F0CBB">
        <w:rPr>
          <w:rFonts w:asciiTheme="majorBidi" w:hAnsiTheme="majorBidi" w:cstheme="majorBidi"/>
          <w:b/>
          <w:bCs/>
          <w:sz w:val="24"/>
          <w:szCs w:val="24"/>
        </w:rPr>
        <w:t xml:space="preserve"> </w:t>
      </w:r>
    </w:p>
    <w:tbl>
      <w:tblPr>
        <w:tblW w:w="8820" w:type="dxa"/>
        <w:jc w:val="center"/>
        <w:tblBorders>
          <w:top w:val="single" w:sz="12" w:space="0" w:color="D5D5D5"/>
          <w:left w:val="single" w:sz="12" w:space="0" w:color="D5D5D5"/>
          <w:bottom w:val="single" w:sz="12" w:space="0" w:color="D5D5D5"/>
          <w:right w:val="single" w:sz="12" w:space="0" w:color="D5D5D5"/>
        </w:tblBorders>
        <w:shd w:val="clear" w:color="auto" w:fill="FFFFFF"/>
        <w:tblCellMar>
          <w:top w:w="15" w:type="dxa"/>
          <w:left w:w="15" w:type="dxa"/>
          <w:bottom w:w="15" w:type="dxa"/>
          <w:right w:w="15" w:type="dxa"/>
        </w:tblCellMar>
        <w:tblLook w:val="04A0" w:firstRow="1" w:lastRow="0" w:firstColumn="1" w:lastColumn="0" w:noHBand="0" w:noVBand="1"/>
      </w:tblPr>
      <w:tblGrid>
        <w:gridCol w:w="1487"/>
        <w:gridCol w:w="3940"/>
        <w:gridCol w:w="3393"/>
      </w:tblGrid>
      <w:tr w:rsidR="00F17B74" w14:paraId="52F3B935" w14:textId="77777777" w:rsidTr="00A02108">
        <w:trPr>
          <w:tblHeader/>
          <w:jc w:val="center"/>
        </w:trPr>
        <w:tc>
          <w:tcPr>
            <w:tcW w:w="2168" w:type="dxa"/>
            <w:tcBorders>
              <w:top w:val="single" w:sz="4" w:space="0" w:color="auto"/>
              <w:left w:val="single" w:sz="6" w:space="0" w:color="A6A6A6"/>
              <w:bottom w:val="single" w:sz="4" w:space="0" w:color="auto"/>
              <w:right w:val="single" w:sz="6" w:space="0" w:color="D5D5D5"/>
            </w:tcBorders>
            <w:shd w:val="clear" w:color="auto" w:fill="E6E6E6"/>
            <w:tcMar>
              <w:top w:w="90" w:type="dxa"/>
              <w:left w:w="90" w:type="dxa"/>
              <w:bottom w:w="90" w:type="dxa"/>
              <w:right w:w="90" w:type="dxa"/>
            </w:tcMar>
            <w:hideMark/>
          </w:tcPr>
          <w:p w14:paraId="59CBE509" w14:textId="258635A1" w:rsidR="00956382" w:rsidRPr="003F0CBB" w:rsidRDefault="00956382" w:rsidP="00DF78E8">
            <w:pPr>
              <w:spacing w:after="0" w:line="360" w:lineRule="auto"/>
              <w:rPr>
                <w:rFonts w:asciiTheme="majorBidi" w:eastAsia="Times New Roman" w:hAnsiTheme="majorBidi" w:cstheme="majorBidi"/>
                <w:color w:val="333333"/>
                <w:kern w:val="0"/>
                <w:sz w:val="24"/>
                <w:szCs w:val="24"/>
                <w14:ligatures w14:val="none"/>
              </w:rPr>
            </w:pPr>
          </w:p>
        </w:tc>
        <w:tc>
          <w:tcPr>
            <w:tcW w:w="3780" w:type="dxa"/>
            <w:tcBorders>
              <w:top w:val="single" w:sz="4" w:space="0" w:color="auto"/>
              <w:left w:val="single" w:sz="6" w:space="0" w:color="A6A6A6"/>
              <w:bottom w:val="single" w:sz="4" w:space="0" w:color="auto"/>
              <w:right w:val="single" w:sz="6" w:space="0" w:color="D5D5D5"/>
            </w:tcBorders>
            <w:shd w:val="clear" w:color="auto" w:fill="E6E6E6"/>
            <w:tcMar>
              <w:top w:w="90" w:type="dxa"/>
              <w:left w:w="90" w:type="dxa"/>
              <w:bottom w:w="90" w:type="dxa"/>
              <w:right w:w="90" w:type="dxa"/>
            </w:tcMar>
            <w:hideMark/>
          </w:tcPr>
          <w:p w14:paraId="7E1E72F1" w14:textId="77777777" w:rsidR="00956382" w:rsidRPr="003F0CBB" w:rsidRDefault="002C1DAC" w:rsidP="00DF78E8">
            <w:pPr>
              <w:spacing w:after="0" w:line="360" w:lineRule="auto"/>
              <w:jc w:val="both"/>
              <w:rPr>
                <w:rFonts w:asciiTheme="majorBidi" w:eastAsia="Times New Roman" w:hAnsiTheme="majorBidi" w:cstheme="majorBidi"/>
                <w:color w:val="333333"/>
                <w:kern w:val="0"/>
                <w:sz w:val="24"/>
                <w:szCs w:val="24"/>
                <w14:ligatures w14:val="none"/>
              </w:rPr>
            </w:pPr>
            <w:r w:rsidRPr="003F0CBB">
              <w:rPr>
                <w:rFonts w:asciiTheme="majorBidi" w:eastAsia="Times New Roman" w:hAnsiTheme="majorBidi" w:cstheme="majorBidi"/>
                <w:color w:val="333333"/>
                <w:kern w:val="0"/>
                <w:sz w:val="24"/>
                <w:szCs w:val="24"/>
                <w14:ligatures w14:val="none"/>
              </w:rPr>
              <w:t>Forward primer</w:t>
            </w:r>
          </w:p>
        </w:tc>
        <w:tc>
          <w:tcPr>
            <w:tcW w:w="2872" w:type="dxa"/>
            <w:tcBorders>
              <w:top w:val="single" w:sz="4" w:space="0" w:color="auto"/>
              <w:left w:val="single" w:sz="6" w:space="0" w:color="A6A6A6"/>
              <w:bottom w:val="single" w:sz="4" w:space="0" w:color="auto"/>
              <w:right w:val="single" w:sz="6" w:space="0" w:color="D5D5D5"/>
            </w:tcBorders>
            <w:shd w:val="clear" w:color="auto" w:fill="E6E6E6"/>
            <w:tcMar>
              <w:top w:w="90" w:type="dxa"/>
              <w:left w:w="90" w:type="dxa"/>
              <w:bottom w:w="90" w:type="dxa"/>
              <w:right w:w="90" w:type="dxa"/>
            </w:tcMar>
            <w:hideMark/>
          </w:tcPr>
          <w:p w14:paraId="712C7E3C" w14:textId="77777777" w:rsidR="00956382" w:rsidRPr="003F0CBB" w:rsidRDefault="002C1DAC" w:rsidP="00DF78E8">
            <w:pPr>
              <w:spacing w:after="0" w:line="360" w:lineRule="auto"/>
              <w:rPr>
                <w:rFonts w:asciiTheme="majorBidi" w:eastAsia="Times New Roman" w:hAnsiTheme="majorBidi" w:cstheme="majorBidi"/>
                <w:color w:val="333333"/>
                <w:kern w:val="0"/>
                <w:sz w:val="24"/>
                <w:szCs w:val="24"/>
                <w14:ligatures w14:val="none"/>
              </w:rPr>
            </w:pPr>
            <w:r w:rsidRPr="003F0CBB">
              <w:rPr>
                <w:rFonts w:asciiTheme="majorBidi" w:eastAsia="Times New Roman" w:hAnsiTheme="majorBidi" w:cstheme="majorBidi"/>
                <w:color w:val="333333"/>
                <w:kern w:val="0"/>
                <w:sz w:val="24"/>
                <w:szCs w:val="24"/>
                <w14:ligatures w14:val="none"/>
              </w:rPr>
              <w:t>Reverse primer</w:t>
            </w:r>
          </w:p>
        </w:tc>
      </w:tr>
      <w:tr w:rsidR="00F17B74" w14:paraId="360C3D82" w14:textId="77777777" w:rsidTr="00A02108">
        <w:trPr>
          <w:jc w:val="center"/>
        </w:trPr>
        <w:tc>
          <w:tcPr>
            <w:tcW w:w="2168" w:type="dxa"/>
            <w:tcBorders>
              <w:top w:val="single" w:sz="4" w:space="0" w:color="auto"/>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6B15185E" w14:textId="5E876B9F" w:rsidR="00956382" w:rsidRPr="003F0CBB" w:rsidRDefault="002C1DAC" w:rsidP="00DF78E8">
            <w:pPr>
              <w:spacing w:after="0" w:line="360" w:lineRule="auto"/>
              <w:rPr>
                <w:rFonts w:asciiTheme="majorBidi" w:eastAsia="Times New Roman" w:hAnsiTheme="majorBidi" w:cstheme="majorBidi"/>
                <w:b/>
                <w:bCs/>
                <w:color w:val="333333"/>
                <w:kern w:val="0"/>
                <w:sz w:val="24"/>
                <w:szCs w:val="24"/>
                <w14:ligatures w14:val="none"/>
              </w:rPr>
            </w:pPr>
            <w:r w:rsidRPr="003F0CBB">
              <w:rPr>
                <w:rFonts w:asciiTheme="majorBidi" w:eastAsia="Times New Roman" w:hAnsiTheme="majorBidi" w:cstheme="majorBidi"/>
                <w:b/>
                <w:bCs/>
                <w:color w:val="333333"/>
                <w:kern w:val="0"/>
                <w:sz w:val="24"/>
                <w:szCs w:val="24"/>
                <w14:ligatures w14:val="none"/>
              </w:rPr>
              <w:t>lncRNA</w:t>
            </w:r>
            <w:r w:rsidRPr="003F0CBB">
              <w:rPr>
                <w:rFonts w:asciiTheme="majorBidi" w:hAnsiTheme="majorBidi" w:cstheme="majorBidi"/>
                <w:b/>
                <w:bCs/>
                <w:sz w:val="24"/>
                <w:szCs w:val="24"/>
              </w:rPr>
              <w:t xml:space="preserve"> IFNG-AS1</w:t>
            </w:r>
          </w:p>
        </w:tc>
        <w:tc>
          <w:tcPr>
            <w:tcW w:w="3780" w:type="dxa"/>
            <w:tcBorders>
              <w:top w:val="single" w:sz="4" w:space="0" w:color="auto"/>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2354C07E" w14:textId="00F7EC9A" w:rsidR="00956382" w:rsidRPr="003F0CBB" w:rsidRDefault="002C1DAC" w:rsidP="00DF78E8">
            <w:pPr>
              <w:spacing w:after="0" w:line="360" w:lineRule="auto"/>
              <w:rPr>
                <w:rFonts w:asciiTheme="majorBidi" w:eastAsia="Times New Roman" w:hAnsiTheme="majorBidi" w:cstheme="majorBidi"/>
                <w:color w:val="333333"/>
                <w:kern w:val="0"/>
                <w:sz w:val="24"/>
                <w:szCs w:val="24"/>
                <w14:ligatures w14:val="none"/>
              </w:rPr>
            </w:pPr>
            <w:r w:rsidRPr="003F0CBB">
              <w:rPr>
                <w:rFonts w:asciiTheme="majorBidi" w:eastAsia="Times New Roman" w:hAnsiTheme="majorBidi" w:cstheme="majorBidi"/>
                <w:color w:val="333333"/>
                <w:kern w:val="0"/>
                <w:sz w:val="24"/>
                <w:szCs w:val="24"/>
                <w14:ligatures w14:val="none"/>
              </w:rPr>
              <w:t>GCTGATGATGGTGGTGGCAATCT</w:t>
            </w:r>
          </w:p>
        </w:tc>
        <w:tc>
          <w:tcPr>
            <w:tcW w:w="2872" w:type="dxa"/>
            <w:tcBorders>
              <w:top w:val="single" w:sz="4" w:space="0" w:color="auto"/>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05695C72" w14:textId="2974A8E3" w:rsidR="00956382" w:rsidRPr="003F0CBB" w:rsidRDefault="002C1DAC" w:rsidP="00DF78E8">
            <w:pPr>
              <w:spacing w:after="0" w:line="360" w:lineRule="auto"/>
              <w:rPr>
                <w:rFonts w:asciiTheme="majorBidi" w:eastAsia="Times New Roman" w:hAnsiTheme="majorBidi" w:cstheme="majorBidi"/>
                <w:color w:val="333333"/>
                <w:kern w:val="0"/>
                <w:sz w:val="24"/>
                <w:szCs w:val="24"/>
                <w14:ligatures w14:val="none"/>
              </w:rPr>
            </w:pPr>
            <w:r w:rsidRPr="003F0CBB">
              <w:rPr>
                <w:rFonts w:asciiTheme="majorBidi" w:eastAsia="Times New Roman" w:hAnsiTheme="majorBidi" w:cstheme="majorBidi"/>
                <w:color w:val="333333"/>
                <w:kern w:val="0"/>
                <w:sz w:val="24"/>
                <w:szCs w:val="24"/>
                <w14:ligatures w14:val="none"/>
              </w:rPr>
              <w:t>TTAGCAGTTGGTGGGCTTCT</w:t>
            </w:r>
          </w:p>
        </w:tc>
      </w:tr>
      <w:tr w:rsidR="00F17B74" w14:paraId="1253F847" w14:textId="77777777" w:rsidTr="00A02108">
        <w:trPr>
          <w:jc w:val="center"/>
        </w:trPr>
        <w:tc>
          <w:tcPr>
            <w:tcW w:w="2168" w:type="dxa"/>
            <w:tcBorders>
              <w:top w:val="single" w:sz="6" w:space="0" w:color="A6A6A6"/>
              <w:left w:val="single" w:sz="6" w:space="0" w:color="A6A6A6"/>
              <w:bottom w:val="single" w:sz="4" w:space="0" w:color="auto"/>
              <w:right w:val="single" w:sz="6" w:space="0" w:color="D5D5D5"/>
            </w:tcBorders>
            <w:shd w:val="clear" w:color="auto" w:fill="FFFFFF"/>
            <w:tcMar>
              <w:top w:w="90" w:type="dxa"/>
              <w:left w:w="90" w:type="dxa"/>
              <w:bottom w:w="90" w:type="dxa"/>
              <w:right w:w="90" w:type="dxa"/>
            </w:tcMar>
          </w:tcPr>
          <w:p w14:paraId="0EA071A1" w14:textId="100FC373" w:rsidR="00956382" w:rsidRPr="003F0CBB" w:rsidRDefault="002C1DAC" w:rsidP="00DF78E8">
            <w:pPr>
              <w:spacing w:after="0" w:line="360" w:lineRule="auto"/>
              <w:rPr>
                <w:rFonts w:asciiTheme="majorBidi" w:eastAsia="Times New Roman" w:hAnsiTheme="majorBidi" w:cstheme="majorBidi"/>
                <w:b/>
                <w:bCs/>
                <w:color w:val="333333"/>
                <w:kern w:val="0"/>
                <w:sz w:val="24"/>
                <w:szCs w:val="24"/>
                <w14:ligatures w14:val="none"/>
              </w:rPr>
            </w:pPr>
            <w:r w:rsidRPr="003F0CBB">
              <w:rPr>
                <w:rFonts w:asciiTheme="majorBidi" w:eastAsia="Times New Roman" w:hAnsiTheme="majorBidi" w:cstheme="majorBidi"/>
                <w:b/>
                <w:bCs/>
                <w:color w:val="333333"/>
                <w:kern w:val="0"/>
                <w:sz w:val="24"/>
                <w:szCs w:val="24"/>
                <w14:ligatures w14:val="none"/>
              </w:rPr>
              <w:t>β-Actin</w:t>
            </w:r>
          </w:p>
        </w:tc>
        <w:tc>
          <w:tcPr>
            <w:tcW w:w="3780" w:type="dxa"/>
            <w:tcBorders>
              <w:top w:val="single" w:sz="6" w:space="0" w:color="A6A6A6"/>
              <w:left w:val="single" w:sz="6" w:space="0" w:color="A6A6A6"/>
              <w:bottom w:val="single" w:sz="4" w:space="0" w:color="auto"/>
              <w:right w:val="single" w:sz="6" w:space="0" w:color="D5D5D5"/>
            </w:tcBorders>
            <w:shd w:val="clear" w:color="auto" w:fill="FFFFFF"/>
            <w:tcMar>
              <w:top w:w="90" w:type="dxa"/>
              <w:left w:w="90" w:type="dxa"/>
              <w:bottom w:w="90" w:type="dxa"/>
              <w:right w:w="90" w:type="dxa"/>
            </w:tcMar>
          </w:tcPr>
          <w:p w14:paraId="3C33F951" w14:textId="5B67C426" w:rsidR="00956382" w:rsidRPr="003F0CBB" w:rsidRDefault="002C1DAC" w:rsidP="00DF78E8">
            <w:pPr>
              <w:spacing w:after="0" w:line="360" w:lineRule="auto"/>
              <w:rPr>
                <w:rFonts w:asciiTheme="majorBidi" w:eastAsia="Times New Roman" w:hAnsiTheme="majorBidi" w:cstheme="majorBidi"/>
                <w:color w:val="333333"/>
                <w:kern w:val="0"/>
                <w:sz w:val="24"/>
                <w:szCs w:val="24"/>
                <w14:ligatures w14:val="none"/>
              </w:rPr>
            </w:pPr>
            <w:r w:rsidRPr="003F0CBB">
              <w:rPr>
                <w:rFonts w:asciiTheme="majorBidi" w:hAnsiTheme="majorBidi" w:cstheme="majorBidi"/>
                <w:sz w:val="24"/>
                <w:szCs w:val="24"/>
              </w:rPr>
              <w:t>GAGTGTGGAGACCATCAAGGA</w:t>
            </w:r>
          </w:p>
        </w:tc>
        <w:tc>
          <w:tcPr>
            <w:tcW w:w="2872" w:type="dxa"/>
            <w:tcBorders>
              <w:top w:val="single" w:sz="6" w:space="0" w:color="A6A6A6"/>
              <w:left w:val="single" w:sz="6" w:space="0" w:color="A6A6A6"/>
              <w:bottom w:val="single" w:sz="4" w:space="0" w:color="auto"/>
              <w:right w:val="single" w:sz="6" w:space="0" w:color="D5D5D5"/>
            </w:tcBorders>
            <w:shd w:val="clear" w:color="auto" w:fill="FFFFFF"/>
            <w:tcMar>
              <w:top w:w="90" w:type="dxa"/>
              <w:left w:w="90" w:type="dxa"/>
              <w:bottom w:w="90" w:type="dxa"/>
              <w:right w:w="90" w:type="dxa"/>
            </w:tcMar>
          </w:tcPr>
          <w:p w14:paraId="30F06B5F" w14:textId="012C5F57" w:rsidR="00956382" w:rsidRPr="003F0CBB" w:rsidRDefault="002C1DAC" w:rsidP="00DF78E8">
            <w:pPr>
              <w:spacing w:after="0" w:line="360" w:lineRule="auto"/>
              <w:rPr>
                <w:rFonts w:asciiTheme="majorBidi" w:eastAsia="Times New Roman" w:hAnsiTheme="majorBidi" w:cstheme="majorBidi"/>
                <w:color w:val="333333"/>
                <w:kern w:val="0"/>
                <w:sz w:val="24"/>
                <w:szCs w:val="24"/>
                <w14:ligatures w14:val="none"/>
              </w:rPr>
            </w:pPr>
            <w:r w:rsidRPr="003F0CBB">
              <w:rPr>
                <w:rFonts w:asciiTheme="majorBidi" w:hAnsiTheme="majorBidi" w:cstheme="majorBidi"/>
                <w:sz w:val="24"/>
                <w:szCs w:val="24"/>
              </w:rPr>
              <w:t>TGTATTGCTTTGCGTTGGAC</w:t>
            </w:r>
          </w:p>
        </w:tc>
      </w:tr>
    </w:tbl>
    <w:p w14:paraId="220462AE" w14:textId="77777777" w:rsidR="00956382" w:rsidRPr="003F0CBB" w:rsidRDefault="00956382" w:rsidP="00DF78E8">
      <w:pPr>
        <w:spacing w:line="360" w:lineRule="auto"/>
        <w:rPr>
          <w:rFonts w:asciiTheme="majorBidi" w:hAnsiTheme="majorBidi" w:cstheme="majorBidi"/>
          <w:b/>
          <w:bCs/>
          <w:sz w:val="24"/>
          <w:szCs w:val="24"/>
        </w:rPr>
      </w:pPr>
    </w:p>
    <w:p w14:paraId="3575BF13" w14:textId="29F32BE6" w:rsidR="006F79CF" w:rsidRPr="003F0CBB" w:rsidRDefault="002C1DAC" w:rsidP="00DF78E8">
      <w:pPr>
        <w:spacing w:line="360" w:lineRule="auto"/>
        <w:rPr>
          <w:rFonts w:asciiTheme="majorBidi" w:hAnsiTheme="majorBidi" w:cstheme="majorBidi"/>
          <w:b/>
          <w:bCs/>
          <w:sz w:val="24"/>
          <w:szCs w:val="24"/>
        </w:rPr>
      </w:pPr>
      <w:r w:rsidRPr="003F0CBB">
        <w:rPr>
          <w:rFonts w:asciiTheme="majorBidi" w:hAnsiTheme="majorBidi" w:cstheme="majorBidi"/>
          <w:b/>
          <w:bCs/>
          <w:sz w:val="24"/>
          <w:szCs w:val="24"/>
        </w:rPr>
        <w:t>Statistical analyses</w:t>
      </w:r>
    </w:p>
    <w:p w14:paraId="4CBA3885" w14:textId="132CD7E9" w:rsidR="006F79CF" w:rsidRPr="003F0CBB"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 xml:space="preserve">Results were reported as mean ± standard deviation for </w:t>
      </w:r>
      <w:r w:rsidR="0088290D">
        <w:rPr>
          <w:rFonts w:asciiTheme="majorBidi" w:hAnsiTheme="majorBidi" w:cstheme="majorBidi"/>
          <w:sz w:val="24"/>
          <w:szCs w:val="24"/>
        </w:rPr>
        <w:t>the numerical variables</w:t>
      </w:r>
      <w:r w:rsidRPr="003F0CBB">
        <w:rPr>
          <w:rFonts w:asciiTheme="majorBidi" w:hAnsiTheme="majorBidi" w:cstheme="majorBidi"/>
          <w:sz w:val="24"/>
          <w:szCs w:val="24"/>
        </w:rPr>
        <w:t xml:space="preserve"> and as % (n) for categorical variables. The normality of variables was confirmed with the Kolmogorov-Smirnov test.  </w:t>
      </w:r>
      <w:r w:rsidR="0088290D">
        <w:rPr>
          <w:rFonts w:asciiTheme="majorBidi" w:hAnsiTheme="majorBidi" w:cstheme="majorBidi"/>
          <w:sz w:val="24"/>
          <w:szCs w:val="24"/>
        </w:rPr>
        <w:t xml:space="preserve">The Mann-Whitney U test was used for </w:t>
      </w:r>
      <w:r w:rsidR="001C47BD">
        <w:rPr>
          <w:rFonts w:asciiTheme="majorBidi" w:hAnsiTheme="majorBidi" w:cstheme="majorBidi"/>
          <w:sz w:val="24"/>
          <w:szCs w:val="24"/>
        </w:rPr>
        <w:t>variables</w:t>
      </w:r>
      <w:r w:rsidR="0088290D">
        <w:rPr>
          <w:rFonts w:asciiTheme="majorBidi" w:hAnsiTheme="majorBidi" w:cstheme="majorBidi"/>
          <w:sz w:val="24"/>
          <w:szCs w:val="24"/>
        </w:rPr>
        <w:t xml:space="preserve"> that are not normally distributed</w:t>
      </w:r>
      <w:r w:rsidRPr="003F0CBB">
        <w:rPr>
          <w:rFonts w:asciiTheme="majorBidi" w:hAnsiTheme="majorBidi" w:cstheme="majorBidi"/>
          <w:sz w:val="24"/>
          <w:szCs w:val="24"/>
        </w:rPr>
        <w:t xml:space="preserve">. For three or more </w:t>
      </w:r>
      <w:r w:rsidR="009A7919" w:rsidRPr="003F0CBB">
        <w:rPr>
          <w:rFonts w:asciiTheme="majorBidi" w:hAnsiTheme="majorBidi" w:cstheme="majorBidi"/>
          <w:sz w:val="24"/>
          <w:szCs w:val="24"/>
        </w:rPr>
        <w:t>groups. One</w:t>
      </w:r>
      <w:r w:rsidRPr="003F0CBB">
        <w:rPr>
          <w:rFonts w:asciiTheme="majorBidi" w:hAnsiTheme="majorBidi" w:cstheme="majorBidi"/>
          <w:sz w:val="24"/>
          <w:szCs w:val="24"/>
        </w:rPr>
        <w:t>-way ANOVA or Kruskal Walles test was applied according to normality. The p-values of less than 0.05 were accepted as significant for all tests. All statistical analyses were performed using IBM Corp. Released in 2019. IBM SPSS Statistics for Windows, Version 26.0. Armonk, NY: IBM Corp</w:t>
      </w:r>
      <w:r w:rsidR="00330E82">
        <w:rPr>
          <w:rFonts w:asciiTheme="majorBidi" w:hAnsiTheme="majorBidi" w:cstheme="majorBidi"/>
          <w:sz w:val="24"/>
          <w:szCs w:val="24"/>
        </w:rPr>
        <w:t>.</w:t>
      </w:r>
    </w:p>
    <w:p w14:paraId="79B31BFE" w14:textId="6E8A5A61" w:rsidR="003E2678" w:rsidRPr="00330E82" w:rsidRDefault="002C1DAC" w:rsidP="00DF78E8">
      <w:pPr>
        <w:spacing w:line="360" w:lineRule="auto"/>
        <w:rPr>
          <w:rFonts w:asciiTheme="majorBidi" w:hAnsiTheme="majorBidi" w:cstheme="majorBidi"/>
          <w:b/>
          <w:bCs/>
          <w:sz w:val="24"/>
          <w:szCs w:val="24"/>
        </w:rPr>
      </w:pPr>
      <w:r w:rsidRPr="00330E82">
        <w:rPr>
          <w:rFonts w:asciiTheme="majorBidi" w:hAnsiTheme="majorBidi" w:cstheme="majorBidi"/>
          <w:b/>
          <w:bCs/>
          <w:sz w:val="24"/>
          <w:szCs w:val="24"/>
        </w:rPr>
        <w:t>Results</w:t>
      </w:r>
    </w:p>
    <w:p w14:paraId="39351C5D" w14:textId="451B893E" w:rsidR="005132A2" w:rsidRPr="003F0CBB" w:rsidRDefault="002C1DAC" w:rsidP="00DF78E8">
      <w:pPr>
        <w:autoSpaceDE w:val="0"/>
        <w:autoSpaceDN w:val="0"/>
        <w:adjustRightInd w:val="0"/>
        <w:spacing w:after="0"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 xml:space="preserve">We </w:t>
      </w:r>
      <w:r w:rsidR="00DA1FFC" w:rsidRPr="00330E82">
        <w:rPr>
          <w:rFonts w:asciiTheme="majorBidi" w:hAnsiTheme="majorBidi" w:cstheme="majorBidi"/>
          <w:sz w:val="24"/>
          <w:szCs w:val="24"/>
        </w:rPr>
        <w:t>enrolled</w:t>
      </w:r>
      <w:r w:rsidRPr="003F0CBB">
        <w:rPr>
          <w:rFonts w:asciiTheme="majorBidi" w:hAnsiTheme="majorBidi" w:cstheme="majorBidi"/>
          <w:sz w:val="24"/>
          <w:szCs w:val="24"/>
        </w:rPr>
        <w:t xml:space="preserve"> one hundred participants;50 control and 50 patients with HT were matched </w:t>
      </w:r>
      <w:r w:rsidRPr="00330E82">
        <w:rPr>
          <w:rFonts w:asciiTheme="majorBidi" w:hAnsiTheme="majorBidi" w:cstheme="majorBidi"/>
          <w:sz w:val="24"/>
          <w:szCs w:val="24"/>
        </w:rPr>
        <w:t>regard</w:t>
      </w:r>
      <w:r w:rsidR="003C1F20" w:rsidRPr="00330E82">
        <w:rPr>
          <w:rFonts w:asciiTheme="majorBidi" w:hAnsiTheme="majorBidi" w:cstheme="majorBidi"/>
          <w:sz w:val="24"/>
          <w:szCs w:val="24"/>
        </w:rPr>
        <w:t>ing</w:t>
      </w:r>
      <w:r w:rsidRPr="003F0CBB">
        <w:rPr>
          <w:rFonts w:asciiTheme="majorBidi" w:hAnsiTheme="majorBidi" w:cstheme="majorBidi"/>
          <w:sz w:val="24"/>
          <w:szCs w:val="24"/>
        </w:rPr>
        <w:t xml:space="preserve"> age and sex. Among patients with HT(N=50), there were 11 </w:t>
      </w:r>
      <w:bookmarkStart w:id="8" w:name="_Hlk155905843"/>
      <w:r w:rsidRPr="003F0CBB">
        <w:rPr>
          <w:rFonts w:asciiTheme="majorBidi" w:hAnsiTheme="majorBidi" w:cstheme="majorBidi"/>
          <w:sz w:val="24"/>
          <w:szCs w:val="24"/>
        </w:rPr>
        <w:t>patients with CD</w:t>
      </w:r>
      <w:r w:rsidRPr="003F0CBB">
        <w:rPr>
          <w:rFonts w:asciiTheme="majorBidi" w:eastAsia="Calibri" w:hAnsiTheme="majorBidi" w:cstheme="majorBidi"/>
          <w:sz w:val="24"/>
          <w:szCs w:val="24"/>
        </w:rPr>
        <w:t xml:space="preserve"> </w:t>
      </w:r>
      <w:bookmarkEnd w:id="8"/>
      <w:r w:rsidRPr="003F0CBB">
        <w:rPr>
          <w:rFonts w:asciiTheme="majorBidi" w:hAnsiTheme="majorBidi" w:cstheme="majorBidi"/>
          <w:sz w:val="24"/>
          <w:szCs w:val="24"/>
        </w:rPr>
        <w:t>[54.5 % were male and 45.5% were female</w:t>
      </w:r>
      <w:r w:rsidR="0088290D">
        <w:rPr>
          <w:rFonts w:asciiTheme="majorBidi" w:hAnsiTheme="majorBidi" w:cstheme="majorBidi"/>
          <w:sz w:val="24"/>
          <w:szCs w:val="24"/>
        </w:rPr>
        <w:t>; their</w:t>
      </w:r>
      <w:r w:rsidRPr="003F0CBB">
        <w:rPr>
          <w:rFonts w:asciiTheme="majorBidi" w:hAnsiTheme="majorBidi" w:cstheme="majorBidi"/>
          <w:sz w:val="24"/>
          <w:szCs w:val="24"/>
        </w:rPr>
        <w:t xml:space="preserve"> mean age was 34.75±5.3]. </w:t>
      </w:r>
      <w:r w:rsidR="0088290D">
        <w:rPr>
          <w:rFonts w:asciiTheme="majorBidi" w:hAnsiTheme="majorBidi" w:cstheme="majorBidi"/>
          <w:sz w:val="24"/>
          <w:szCs w:val="24"/>
        </w:rPr>
        <w:t>And</w:t>
      </w:r>
      <w:r w:rsidRPr="003F0CBB">
        <w:rPr>
          <w:rFonts w:asciiTheme="majorBidi" w:hAnsiTheme="majorBidi" w:cstheme="majorBidi"/>
          <w:sz w:val="24"/>
          <w:szCs w:val="24"/>
        </w:rPr>
        <w:t xml:space="preserve"> 39 patients </w:t>
      </w:r>
      <w:r w:rsidRPr="003F0CBB">
        <w:rPr>
          <w:rFonts w:asciiTheme="majorBidi" w:eastAsia="Calibri" w:hAnsiTheme="majorBidi" w:cstheme="majorBidi"/>
          <w:sz w:val="24"/>
          <w:szCs w:val="24"/>
        </w:rPr>
        <w:t xml:space="preserve">without CD </w:t>
      </w:r>
      <w:r w:rsidRPr="003F0CBB">
        <w:rPr>
          <w:rFonts w:asciiTheme="majorBidi" w:hAnsiTheme="majorBidi" w:cstheme="majorBidi"/>
          <w:sz w:val="24"/>
          <w:szCs w:val="24"/>
        </w:rPr>
        <w:t>[64.1% were male</w:t>
      </w:r>
      <w:r w:rsidR="0088290D">
        <w:rPr>
          <w:rFonts w:asciiTheme="majorBidi" w:hAnsiTheme="majorBidi" w:cstheme="majorBidi"/>
          <w:sz w:val="24"/>
          <w:szCs w:val="24"/>
        </w:rPr>
        <w:t>, and 35.9% were female; their mean age was 34.89±6.2 years,</w:t>
      </w:r>
      <w:r w:rsidR="00530C90" w:rsidRPr="003F0CBB">
        <w:rPr>
          <w:rFonts w:asciiTheme="majorBidi" w:hAnsiTheme="majorBidi" w:cstheme="majorBidi"/>
          <w:sz w:val="24"/>
          <w:szCs w:val="24"/>
        </w:rPr>
        <w:t xml:space="preserve"> </w:t>
      </w:r>
      <w:r w:rsidR="00530C90" w:rsidRPr="00175F1C">
        <w:rPr>
          <w:rFonts w:asciiTheme="majorBidi" w:hAnsiTheme="majorBidi" w:cstheme="majorBidi"/>
          <w:sz w:val="24"/>
          <w:szCs w:val="24"/>
        </w:rPr>
        <w:t>as shown in Tab</w:t>
      </w:r>
      <w:r w:rsidR="00175F1C" w:rsidRPr="00175F1C">
        <w:rPr>
          <w:rFonts w:asciiTheme="majorBidi" w:hAnsiTheme="majorBidi" w:cstheme="majorBidi"/>
          <w:sz w:val="24"/>
          <w:szCs w:val="24"/>
        </w:rPr>
        <w:t xml:space="preserve"> </w:t>
      </w:r>
      <w:r w:rsidR="00530C90" w:rsidRPr="00175F1C">
        <w:rPr>
          <w:rFonts w:asciiTheme="majorBidi" w:hAnsiTheme="majorBidi" w:cstheme="majorBidi"/>
          <w:sz w:val="24"/>
          <w:szCs w:val="24"/>
        </w:rPr>
        <w:t>1</w:t>
      </w:r>
      <w:r w:rsidR="00530C90" w:rsidRPr="003F0CBB">
        <w:rPr>
          <w:rFonts w:asciiTheme="majorBidi" w:hAnsiTheme="majorBidi" w:cstheme="majorBidi"/>
          <w:sz w:val="24"/>
          <w:szCs w:val="24"/>
        </w:rPr>
        <w:t xml:space="preserve">. Interestingly, </w:t>
      </w:r>
      <w:r w:rsidR="0088290D">
        <w:rPr>
          <w:rFonts w:asciiTheme="majorBidi" w:hAnsiTheme="majorBidi" w:cstheme="majorBidi"/>
          <w:sz w:val="24"/>
          <w:szCs w:val="24"/>
        </w:rPr>
        <w:t>studied participants had significant differences</w:t>
      </w:r>
      <w:r w:rsidR="00530C90" w:rsidRPr="003F0CBB">
        <w:rPr>
          <w:rFonts w:asciiTheme="majorBidi" w:hAnsiTheme="majorBidi" w:cstheme="majorBidi"/>
          <w:sz w:val="24"/>
          <w:szCs w:val="24"/>
        </w:rPr>
        <w:t xml:space="preserve"> regard</w:t>
      </w:r>
      <w:r w:rsidR="003C1F20">
        <w:rPr>
          <w:rFonts w:asciiTheme="majorBidi" w:hAnsiTheme="majorBidi" w:cstheme="majorBidi"/>
          <w:sz w:val="24"/>
          <w:szCs w:val="24"/>
        </w:rPr>
        <w:t>ing</w:t>
      </w:r>
      <w:r w:rsidR="003C1F20" w:rsidRPr="003C1F20">
        <w:t xml:space="preserve"> </w:t>
      </w:r>
      <w:r w:rsidR="003C1F20" w:rsidRPr="003C1F20">
        <w:rPr>
          <w:rFonts w:asciiTheme="majorBidi" w:hAnsiTheme="majorBidi" w:cstheme="majorBidi"/>
          <w:sz w:val="24"/>
          <w:szCs w:val="24"/>
        </w:rPr>
        <w:t>the co-existence of</w:t>
      </w:r>
      <w:r w:rsidR="00530C90" w:rsidRPr="003F0CBB">
        <w:rPr>
          <w:rFonts w:asciiTheme="majorBidi" w:hAnsiTheme="majorBidi" w:cstheme="majorBidi"/>
          <w:sz w:val="24"/>
          <w:szCs w:val="24"/>
        </w:rPr>
        <w:t xml:space="preserve"> autoimmune diseases</w:t>
      </w:r>
      <w:r w:rsidR="0088290D">
        <w:rPr>
          <w:rFonts w:asciiTheme="majorBidi" w:hAnsiTheme="majorBidi" w:cstheme="majorBidi"/>
          <w:sz w:val="24"/>
          <w:szCs w:val="24"/>
        </w:rPr>
        <w:t>,</w:t>
      </w:r>
      <w:r w:rsidR="00530C90" w:rsidRPr="003F0CBB">
        <w:rPr>
          <w:rFonts w:asciiTheme="majorBidi" w:hAnsiTheme="majorBidi" w:cstheme="majorBidi"/>
          <w:sz w:val="24"/>
          <w:szCs w:val="24"/>
        </w:rPr>
        <w:t xml:space="preserve"> </w:t>
      </w:r>
      <w:r w:rsidR="003C1F20">
        <w:rPr>
          <w:rFonts w:asciiTheme="majorBidi" w:hAnsiTheme="majorBidi" w:cstheme="majorBidi"/>
          <w:sz w:val="24"/>
          <w:szCs w:val="24"/>
        </w:rPr>
        <w:t xml:space="preserve">mainly </w:t>
      </w:r>
      <w:r w:rsidR="00530C90" w:rsidRPr="003F0CBB">
        <w:rPr>
          <w:rFonts w:asciiTheme="majorBidi" w:hAnsiTheme="majorBidi" w:cstheme="majorBidi"/>
          <w:sz w:val="24"/>
          <w:szCs w:val="24"/>
        </w:rPr>
        <w:t xml:space="preserve">T1DM and </w:t>
      </w:r>
      <w:r w:rsidR="00167793" w:rsidRPr="003F0CBB">
        <w:rPr>
          <w:rFonts w:asciiTheme="majorBidi" w:hAnsiTheme="majorBidi" w:cstheme="majorBidi"/>
          <w:sz w:val="24"/>
          <w:szCs w:val="24"/>
        </w:rPr>
        <w:t>vitiligo, p</w:t>
      </w:r>
      <w:r w:rsidR="00530C90" w:rsidRPr="003F0CBB">
        <w:rPr>
          <w:rFonts w:asciiTheme="majorBidi" w:hAnsiTheme="majorBidi" w:cstheme="majorBidi"/>
          <w:sz w:val="24"/>
          <w:szCs w:val="24"/>
        </w:rPr>
        <w:t xml:space="preserve"> ˂0.001</w:t>
      </w:r>
      <w:r w:rsidR="00167793" w:rsidRPr="003F0CBB">
        <w:rPr>
          <w:rFonts w:asciiTheme="majorBidi" w:hAnsiTheme="majorBidi" w:cstheme="majorBidi"/>
          <w:sz w:val="24"/>
          <w:szCs w:val="24"/>
        </w:rPr>
        <w:t>*.</w:t>
      </w:r>
      <w:r w:rsidR="00167793" w:rsidRPr="003F0CBB">
        <w:rPr>
          <w:rFonts w:asciiTheme="majorBidi" w:eastAsia="Times New Roman" w:hAnsiTheme="majorBidi" w:cstheme="majorBidi"/>
          <w:sz w:val="24"/>
          <w:szCs w:val="24"/>
          <w:lang w:bidi="ar-EG"/>
        </w:rPr>
        <w:t xml:space="preserve"> There</w:t>
      </w:r>
      <w:r w:rsidRPr="003F0CBB">
        <w:rPr>
          <w:rFonts w:asciiTheme="majorBidi" w:eastAsia="Times New Roman" w:hAnsiTheme="majorBidi" w:cstheme="majorBidi"/>
          <w:sz w:val="24"/>
          <w:szCs w:val="24"/>
          <w:lang w:bidi="ar-EG"/>
        </w:rPr>
        <w:t xml:space="preserve"> were </w:t>
      </w:r>
      <w:r w:rsidR="00530C90" w:rsidRPr="003F0CBB">
        <w:rPr>
          <w:rFonts w:asciiTheme="majorBidi" w:eastAsia="Times New Roman" w:hAnsiTheme="majorBidi" w:cstheme="majorBidi"/>
          <w:sz w:val="24"/>
          <w:szCs w:val="24"/>
          <w:lang w:bidi="ar-EG"/>
        </w:rPr>
        <w:t>meaningfully</w:t>
      </w:r>
      <w:r w:rsidRPr="003F0CBB">
        <w:rPr>
          <w:rFonts w:asciiTheme="majorBidi" w:eastAsia="Times New Roman" w:hAnsiTheme="majorBidi" w:cstheme="majorBidi"/>
          <w:sz w:val="24"/>
          <w:szCs w:val="24"/>
          <w:lang w:bidi="ar-EG"/>
        </w:rPr>
        <w:t xml:space="preserve"> higher values </w:t>
      </w:r>
      <w:r w:rsidRPr="00330E82">
        <w:rPr>
          <w:rFonts w:asciiTheme="majorBidi" w:hAnsiTheme="majorBidi" w:cstheme="majorBidi"/>
          <w:sz w:val="24"/>
          <w:szCs w:val="24"/>
        </w:rPr>
        <w:t xml:space="preserve">of </w:t>
      </w:r>
      <w:r w:rsidR="00530C90" w:rsidRPr="00330E82">
        <w:rPr>
          <w:rFonts w:asciiTheme="majorBidi" w:hAnsiTheme="majorBidi" w:cstheme="majorBidi"/>
          <w:sz w:val="24"/>
          <w:szCs w:val="24"/>
        </w:rPr>
        <w:t>ALT,</w:t>
      </w:r>
      <w:r w:rsidR="00167793" w:rsidRPr="00330E82">
        <w:rPr>
          <w:rFonts w:asciiTheme="majorBidi" w:hAnsiTheme="majorBidi" w:cstheme="majorBidi"/>
          <w:sz w:val="24"/>
          <w:szCs w:val="24"/>
        </w:rPr>
        <w:t xml:space="preserve"> </w:t>
      </w:r>
      <w:r w:rsidR="00530C90" w:rsidRPr="00330E82">
        <w:rPr>
          <w:rFonts w:asciiTheme="majorBidi" w:hAnsiTheme="majorBidi" w:cstheme="majorBidi"/>
          <w:sz w:val="24"/>
          <w:szCs w:val="24"/>
        </w:rPr>
        <w:t>AST</w:t>
      </w:r>
      <w:r w:rsidR="00106F2C" w:rsidRPr="00330E82">
        <w:rPr>
          <w:rFonts w:asciiTheme="majorBidi" w:hAnsiTheme="majorBidi" w:cstheme="majorBidi"/>
          <w:sz w:val="24"/>
          <w:szCs w:val="24"/>
        </w:rPr>
        <w:t xml:space="preserve">, </w:t>
      </w:r>
      <w:bookmarkStart w:id="9" w:name="_Hlk155911327"/>
      <w:r w:rsidR="00106F2C" w:rsidRPr="00330E82">
        <w:rPr>
          <w:rFonts w:asciiTheme="majorBidi" w:hAnsiTheme="majorBidi" w:cstheme="majorBidi"/>
          <w:sz w:val="24"/>
          <w:szCs w:val="24"/>
        </w:rPr>
        <w:t>HbA</w:t>
      </w:r>
      <w:r w:rsidR="00530C90" w:rsidRPr="00330E82">
        <w:rPr>
          <w:rFonts w:asciiTheme="majorBidi" w:hAnsiTheme="majorBidi" w:cstheme="majorBidi"/>
          <w:sz w:val="24"/>
          <w:szCs w:val="24"/>
        </w:rPr>
        <w:t>1</w:t>
      </w:r>
      <w:r w:rsidR="00106F2C" w:rsidRPr="00330E82">
        <w:rPr>
          <w:rFonts w:asciiTheme="majorBidi" w:hAnsiTheme="majorBidi" w:cstheme="majorBidi"/>
          <w:sz w:val="24"/>
          <w:szCs w:val="24"/>
        </w:rPr>
        <w:t>c</w:t>
      </w:r>
      <w:bookmarkEnd w:id="9"/>
      <w:r w:rsidR="00530C90" w:rsidRPr="00330E82">
        <w:rPr>
          <w:rFonts w:asciiTheme="majorBidi" w:hAnsiTheme="majorBidi" w:cstheme="majorBidi"/>
          <w:sz w:val="24"/>
          <w:szCs w:val="24"/>
        </w:rPr>
        <w:t>, TSH, Anti-</w:t>
      </w:r>
      <w:r w:rsidR="00F475C0" w:rsidRPr="00330E82">
        <w:rPr>
          <w:rFonts w:asciiTheme="majorBidi" w:hAnsiTheme="majorBidi" w:cstheme="majorBidi"/>
          <w:sz w:val="24"/>
          <w:szCs w:val="24"/>
        </w:rPr>
        <w:t>TG, anti</w:t>
      </w:r>
      <w:r w:rsidR="00530C90" w:rsidRPr="00330E82">
        <w:rPr>
          <w:rFonts w:asciiTheme="majorBidi" w:hAnsiTheme="majorBidi" w:cstheme="majorBidi"/>
          <w:sz w:val="24"/>
          <w:szCs w:val="24"/>
        </w:rPr>
        <w:t xml:space="preserve">-TPO, and TTG IgA </w:t>
      </w:r>
      <w:r w:rsidR="00167793" w:rsidRPr="00330E82">
        <w:rPr>
          <w:rFonts w:asciiTheme="majorBidi" w:hAnsiTheme="majorBidi" w:cstheme="majorBidi"/>
          <w:sz w:val="24"/>
          <w:szCs w:val="24"/>
        </w:rPr>
        <w:t xml:space="preserve">in patients with CD </w:t>
      </w:r>
      <w:r w:rsidRPr="00330E82">
        <w:rPr>
          <w:rFonts w:asciiTheme="majorBidi" w:hAnsiTheme="majorBidi" w:cstheme="majorBidi"/>
          <w:sz w:val="24"/>
          <w:szCs w:val="24"/>
        </w:rPr>
        <w:t>compared</w:t>
      </w:r>
      <w:r w:rsidRPr="003F0CBB">
        <w:rPr>
          <w:rFonts w:asciiTheme="majorBidi" w:eastAsia="Calibri" w:hAnsiTheme="majorBidi" w:cstheme="majorBidi"/>
          <w:sz w:val="24"/>
          <w:szCs w:val="24"/>
        </w:rPr>
        <w:t xml:space="preserve"> to </w:t>
      </w:r>
      <w:r w:rsidR="00167793" w:rsidRPr="003F0CBB">
        <w:rPr>
          <w:rFonts w:asciiTheme="majorBidi" w:eastAsia="Calibri" w:hAnsiTheme="majorBidi" w:cstheme="majorBidi"/>
          <w:sz w:val="24"/>
          <w:szCs w:val="24"/>
        </w:rPr>
        <w:t>other studied groups</w:t>
      </w:r>
      <w:r w:rsidRPr="003F0CBB">
        <w:rPr>
          <w:rFonts w:asciiTheme="majorBidi" w:hAnsiTheme="majorBidi" w:cstheme="majorBidi"/>
          <w:sz w:val="24"/>
          <w:szCs w:val="24"/>
        </w:rPr>
        <w:t xml:space="preserve">. On the other hand, there were </w:t>
      </w:r>
      <w:r w:rsidR="00167793" w:rsidRPr="003F0CBB">
        <w:rPr>
          <w:rFonts w:asciiTheme="majorBidi" w:hAnsiTheme="majorBidi" w:cstheme="majorBidi"/>
          <w:sz w:val="24"/>
          <w:szCs w:val="24"/>
        </w:rPr>
        <w:t xml:space="preserve">meaningfully lower </w:t>
      </w:r>
      <w:r w:rsidR="0088290D">
        <w:rPr>
          <w:rFonts w:asciiTheme="majorBidi" w:hAnsiTheme="majorBidi" w:cstheme="majorBidi"/>
          <w:sz w:val="24"/>
          <w:szCs w:val="24"/>
        </w:rPr>
        <w:t xml:space="preserve">Hb, FT3, and FT4 values </w:t>
      </w:r>
      <w:r w:rsidR="00167793" w:rsidRPr="003F0CBB">
        <w:rPr>
          <w:rFonts w:asciiTheme="majorBidi" w:hAnsiTheme="majorBidi" w:cstheme="majorBidi"/>
          <w:sz w:val="24"/>
          <w:szCs w:val="24"/>
        </w:rPr>
        <w:t>in patients with CD compared to other studied groups</w:t>
      </w:r>
      <w:r w:rsidRPr="003F0CBB">
        <w:rPr>
          <w:rFonts w:asciiTheme="majorBidi" w:eastAsia="Times New Roman" w:hAnsiTheme="majorBidi" w:cstheme="majorBidi"/>
          <w:b/>
          <w:bCs/>
          <w:sz w:val="24"/>
          <w:szCs w:val="24"/>
        </w:rPr>
        <w:t>,</w:t>
      </w:r>
      <w:r w:rsidRPr="003F0CBB">
        <w:rPr>
          <w:rFonts w:asciiTheme="majorBidi" w:eastAsia="Times New Roman" w:hAnsiTheme="majorBidi" w:cstheme="majorBidi"/>
          <w:sz w:val="24"/>
          <w:szCs w:val="24"/>
        </w:rPr>
        <w:t xml:space="preserve"> </w:t>
      </w:r>
      <w:r w:rsidR="00167793" w:rsidRPr="003F0CBB">
        <w:rPr>
          <w:rFonts w:asciiTheme="majorBidi" w:eastAsia="Times New Roman" w:hAnsiTheme="majorBidi" w:cstheme="majorBidi"/>
          <w:sz w:val="24"/>
          <w:szCs w:val="24"/>
        </w:rPr>
        <w:t>p ˂0.001*</w:t>
      </w:r>
      <w:r w:rsidRPr="003F0CBB">
        <w:rPr>
          <w:rFonts w:asciiTheme="majorBidi" w:eastAsia="Times New Roman" w:hAnsiTheme="majorBidi" w:cstheme="majorBidi"/>
          <w:b/>
          <w:bCs/>
          <w:sz w:val="24"/>
          <w:szCs w:val="24"/>
        </w:rPr>
        <w:t xml:space="preserve"> (Tab 1)</w:t>
      </w:r>
      <w:r w:rsidRPr="003F0CBB">
        <w:rPr>
          <w:rFonts w:asciiTheme="majorBidi" w:hAnsiTheme="majorBidi" w:cstheme="majorBidi"/>
          <w:sz w:val="24"/>
          <w:szCs w:val="24"/>
        </w:rPr>
        <w:t>.</w:t>
      </w:r>
    </w:p>
    <w:p w14:paraId="435A2525" w14:textId="1529C52F" w:rsidR="001C47BD" w:rsidRPr="001C47BD" w:rsidRDefault="001C47BD" w:rsidP="001C47BD">
      <w:pPr>
        <w:pStyle w:val="Caption"/>
        <w:keepNext/>
        <w:rPr>
          <w:sz w:val="22"/>
          <w:szCs w:val="22"/>
        </w:rPr>
      </w:pPr>
      <w:bookmarkStart w:id="10" w:name="_Toc157866288"/>
      <w:bookmarkStart w:id="11" w:name="_Toc157866467"/>
      <w:r w:rsidRPr="001C47BD">
        <w:rPr>
          <w:sz w:val="22"/>
          <w:szCs w:val="22"/>
        </w:rPr>
        <w:t>Tab</w:t>
      </w:r>
      <w:r w:rsidRPr="001C47BD">
        <w:rPr>
          <w:sz w:val="22"/>
          <w:szCs w:val="22"/>
        </w:rPr>
        <w:fldChar w:fldCharType="begin"/>
      </w:r>
      <w:r w:rsidRPr="001C47BD">
        <w:rPr>
          <w:sz w:val="22"/>
          <w:szCs w:val="22"/>
        </w:rPr>
        <w:instrText xml:space="preserve"> SEQ Table \* ARABIC </w:instrText>
      </w:r>
      <w:r w:rsidRPr="001C47BD">
        <w:rPr>
          <w:sz w:val="22"/>
          <w:szCs w:val="22"/>
        </w:rPr>
        <w:fldChar w:fldCharType="separate"/>
      </w:r>
      <w:r w:rsidR="009E3E4D">
        <w:rPr>
          <w:noProof/>
          <w:sz w:val="22"/>
          <w:szCs w:val="22"/>
        </w:rPr>
        <w:t>1</w:t>
      </w:r>
      <w:r w:rsidRPr="001C47BD">
        <w:rPr>
          <w:sz w:val="22"/>
          <w:szCs w:val="22"/>
        </w:rPr>
        <w:fldChar w:fldCharType="end"/>
      </w:r>
      <w:r w:rsidRPr="001C47BD">
        <w:rPr>
          <w:sz w:val="22"/>
          <w:szCs w:val="22"/>
        </w:rPr>
        <w:t>. Clinical and laboratory characteristics of studied groups</w:t>
      </w:r>
      <w:bookmarkEnd w:id="10"/>
      <w:bookmarkEnd w:id="11"/>
      <w:r w:rsidRPr="001C47BD">
        <w:rPr>
          <w:sz w:val="22"/>
          <w:szCs w:val="22"/>
        </w:rPr>
        <w:t xml:space="preserve"> </w:t>
      </w:r>
    </w:p>
    <w:tbl>
      <w:tblPr>
        <w:tblW w:w="5000" w:type="pct"/>
        <w:tblLook w:val="04A0" w:firstRow="1" w:lastRow="0" w:firstColumn="1" w:lastColumn="0" w:noHBand="0" w:noVBand="1"/>
        <w:tblCaption w:val="Tab1. Clinical and laboratory characteristics of studied groups "/>
        <w:tblDescription w:val="BMI; body mass index, ALT; alanine transaminase, AST; aspartate aminotransferase, Hb; hemoglobin, HBA1C; hemoglobin A1c, FT3; free triiodothyronine, FT4; free thyroxine, TSH, thyroid stimulating hormone; Anti-TG; anti-thyroglobulin antibodies, anti-TPO; anti-thyroid peroxidase antibodies, Anti-TTG IgA; tissue transglutaminase IgA antibodies, X2; Chi-square test, * = statistically significant * P&lt; 0.05 =when compared with control group by ANOVA test    and post hoc test:# Signiﬁcant P values (P &lt; 0.05) when comparing the control group with patients without CD&#10;$ Signiﬁcant P values (P &lt; 0.05) when comparing the control group with patients with CD &amp;Statistically signiﬁcant P values (P &lt; 0.05) when comparing patients without CD with patients with CD.&#10;"/>
      </w:tblPr>
      <w:tblGrid>
        <w:gridCol w:w="3036"/>
        <w:gridCol w:w="1479"/>
        <w:gridCol w:w="1557"/>
        <w:gridCol w:w="1479"/>
        <w:gridCol w:w="1089"/>
      </w:tblGrid>
      <w:tr w:rsidR="001C47BD" w:rsidRPr="001C47BD" w14:paraId="1309F3F0" w14:textId="77777777" w:rsidTr="001C47BD">
        <w:trPr>
          <w:trHeight w:val="572"/>
        </w:trPr>
        <w:tc>
          <w:tcPr>
            <w:tcW w:w="1757" w:type="pct"/>
            <w:tcBorders>
              <w:top w:val="single" w:sz="4" w:space="0" w:color="auto"/>
              <w:bottom w:val="single" w:sz="4" w:space="0" w:color="auto"/>
            </w:tcBorders>
            <w:tcMar>
              <w:top w:w="48" w:type="dxa"/>
              <w:left w:w="96" w:type="dxa"/>
              <w:bottom w:w="48" w:type="dxa"/>
              <w:right w:w="96" w:type="dxa"/>
            </w:tcMar>
            <w:vAlign w:val="center"/>
            <w:hideMark/>
          </w:tcPr>
          <w:p w14:paraId="23FD232D" w14:textId="77777777" w:rsidR="001C47BD" w:rsidRPr="001C47BD" w:rsidRDefault="001C47BD" w:rsidP="001C47BD">
            <w:pPr>
              <w:spacing w:after="0" w:line="240" w:lineRule="auto"/>
              <w:rPr>
                <w:rFonts w:ascii="Times New Roman" w:eastAsia="Times New Roman" w:hAnsi="Times New Roman" w:cs="Times New Roman"/>
                <w:b/>
                <w:bCs/>
                <w:color w:val="333333"/>
                <w:kern w:val="0"/>
                <w14:ligatures w14:val="none"/>
              </w:rPr>
            </w:pPr>
            <w:bookmarkStart w:id="12" w:name="_Hlk155915918"/>
            <w:r w:rsidRPr="001C47BD">
              <w:rPr>
                <w:rFonts w:ascii="Times New Roman" w:eastAsia="Times New Roman" w:hAnsi="Times New Roman" w:cs="Times New Roman"/>
                <w:b/>
                <w:bCs/>
                <w:color w:val="333333"/>
                <w:kern w:val="0"/>
                <w14:ligatures w14:val="none"/>
              </w:rPr>
              <w:t>Variable</w:t>
            </w:r>
          </w:p>
        </w:tc>
        <w:tc>
          <w:tcPr>
            <w:tcW w:w="856" w:type="pct"/>
            <w:tcBorders>
              <w:top w:val="single" w:sz="4" w:space="0" w:color="auto"/>
              <w:bottom w:val="single" w:sz="4" w:space="0" w:color="auto"/>
            </w:tcBorders>
            <w:tcMar>
              <w:top w:w="15" w:type="dxa"/>
              <w:left w:w="15" w:type="dxa"/>
              <w:bottom w:w="15" w:type="dxa"/>
              <w:right w:w="15" w:type="dxa"/>
            </w:tcMar>
            <w:vAlign w:val="center"/>
            <w:hideMark/>
          </w:tcPr>
          <w:p w14:paraId="413B345D" w14:textId="77777777" w:rsidR="001C47BD" w:rsidRPr="001C47BD" w:rsidRDefault="001C47BD" w:rsidP="001C47BD">
            <w:pPr>
              <w:spacing w:after="0" w:line="240" w:lineRule="auto"/>
              <w:jc w:val="center"/>
              <w:rPr>
                <w:rFonts w:ascii="Times New Roman" w:eastAsia="Times New Roman" w:hAnsi="Times New Roman" w:cs="Times New Roman"/>
                <w:b/>
                <w:bCs/>
                <w:color w:val="333333"/>
                <w:kern w:val="0"/>
                <w14:ligatures w14:val="none"/>
              </w:rPr>
            </w:pPr>
            <w:r w:rsidRPr="001C47BD">
              <w:rPr>
                <w:rFonts w:ascii="Times New Roman" w:eastAsia="Times New Roman" w:hAnsi="Times New Roman" w:cs="Times New Roman"/>
                <w:b/>
                <w:bCs/>
                <w:color w:val="333333"/>
                <w:kern w:val="0"/>
                <w14:ligatures w14:val="none"/>
              </w:rPr>
              <w:t>Control group</w:t>
            </w:r>
          </w:p>
          <w:p w14:paraId="1754A469" w14:textId="77777777" w:rsidR="001C47BD" w:rsidRPr="001C47BD" w:rsidRDefault="001C47BD" w:rsidP="001C47BD">
            <w:pPr>
              <w:spacing w:after="0" w:line="240" w:lineRule="auto"/>
              <w:jc w:val="center"/>
              <w:rPr>
                <w:rFonts w:ascii="Times New Roman" w:eastAsia="Times New Roman" w:hAnsi="Times New Roman" w:cs="Times New Roman"/>
                <w:b/>
                <w:bCs/>
                <w:color w:val="333333"/>
                <w:kern w:val="0"/>
                <w14:ligatures w14:val="none"/>
              </w:rPr>
            </w:pPr>
            <w:r w:rsidRPr="001C47BD">
              <w:rPr>
                <w:rFonts w:ascii="Times New Roman" w:eastAsia="Times New Roman" w:hAnsi="Times New Roman" w:cs="Times New Roman"/>
                <w:b/>
                <w:bCs/>
                <w:color w:val="333333"/>
                <w:kern w:val="0"/>
                <w14:ligatures w14:val="none"/>
              </w:rPr>
              <w:t>N=50</w:t>
            </w:r>
          </w:p>
        </w:tc>
        <w:tc>
          <w:tcPr>
            <w:tcW w:w="901" w:type="pct"/>
            <w:tcBorders>
              <w:top w:val="single" w:sz="4" w:space="0" w:color="auto"/>
              <w:bottom w:val="single" w:sz="4" w:space="0" w:color="auto"/>
            </w:tcBorders>
            <w:tcMar>
              <w:top w:w="15" w:type="dxa"/>
              <w:left w:w="15" w:type="dxa"/>
              <w:bottom w:w="15" w:type="dxa"/>
              <w:right w:w="15" w:type="dxa"/>
            </w:tcMar>
            <w:vAlign w:val="center"/>
            <w:hideMark/>
          </w:tcPr>
          <w:p w14:paraId="253414B5" w14:textId="77777777" w:rsidR="001C47BD" w:rsidRPr="001C47BD" w:rsidRDefault="001C47BD" w:rsidP="001C47BD">
            <w:pPr>
              <w:spacing w:after="0" w:line="240" w:lineRule="auto"/>
              <w:jc w:val="center"/>
              <w:rPr>
                <w:rFonts w:ascii="Times New Roman" w:eastAsia="Times New Roman" w:hAnsi="Times New Roman" w:cs="Times New Roman"/>
                <w:b/>
                <w:bCs/>
                <w:color w:val="333333"/>
                <w:kern w:val="0"/>
                <w14:ligatures w14:val="none"/>
              </w:rPr>
            </w:pPr>
            <w:r w:rsidRPr="001C47BD">
              <w:rPr>
                <w:rFonts w:ascii="Times New Roman" w:eastAsia="Times New Roman" w:hAnsi="Times New Roman" w:cs="Times New Roman"/>
                <w:b/>
                <w:bCs/>
                <w:color w:val="333333"/>
                <w:kern w:val="0"/>
                <w14:ligatures w14:val="none"/>
              </w:rPr>
              <w:t>HT group without CD, n=39</w:t>
            </w:r>
          </w:p>
        </w:tc>
        <w:tc>
          <w:tcPr>
            <w:tcW w:w="856" w:type="pct"/>
            <w:tcBorders>
              <w:top w:val="single" w:sz="4" w:space="0" w:color="auto"/>
              <w:bottom w:val="single" w:sz="4" w:space="0" w:color="auto"/>
            </w:tcBorders>
            <w:tcMar>
              <w:top w:w="15" w:type="dxa"/>
              <w:left w:w="15" w:type="dxa"/>
              <w:bottom w:w="15" w:type="dxa"/>
              <w:right w:w="15" w:type="dxa"/>
            </w:tcMar>
            <w:hideMark/>
          </w:tcPr>
          <w:p w14:paraId="5A0B1EF2" w14:textId="77777777" w:rsidR="001C47BD" w:rsidRPr="001C47BD" w:rsidRDefault="001C47BD" w:rsidP="001C47BD">
            <w:pPr>
              <w:spacing w:after="0" w:line="240" w:lineRule="auto"/>
              <w:jc w:val="center"/>
              <w:rPr>
                <w:rFonts w:ascii="Times New Roman" w:eastAsia="Times New Roman" w:hAnsi="Times New Roman" w:cs="Times New Roman"/>
                <w:b/>
                <w:bCs/>
                <w:color w:val="333333"/>
                <w:kern w:val="0"/>
                <w14:ligatures w14:val="none"/>
              </w:rPr>
            </w:pPr>
            <w:r w:rsidRPr="001C47BD">
              <w:rPr>
                <w:rFonts w:ascii="Times New Roman" w:eastAsia="Times New Roman" w:hAnsi="Times New Roman" w:cs="Times New Roman"/>
                <w:b/>
                <w:bCs/>
                <w:color w:val="333333"/>
                <w:kern w:val="0"/>
                <w14:ligatures w14:val="none"/>
              </w:rPr>
              <w:t>HT group with CD, n=11</w:t>
            </w:r>
          </w:p>
        </w:tc>
        <w:tc>
          <w:tcPr>
            <w:tcW w:w="630" w:type="pct"/>
            <w:tcBorders>
              <w:top w:val="single" w:sz="4" w:space="0" w:color="auto"/>
              <w:bottom w:val="single" w:sz="4" w:space="0" w:color="auto"/>
            </w:tcBorders>
            <w:tcMar>
              <w:top w:w="15" w:type="dxa"/>
              <w:left w:w="15" w:type="dxa"/>
              <w:bottom w:w="15" w:type="dxa"/>
              <w:right w:w="15" w:type="dxa"/>
            </w:tcMar>
            <w:hideMark/>
          </w:tcPr>
          <w:p w14:paraId="77AF16C8" w14:textId="77777777" w:rsidR="001C47BD" w:rsidRPr="001C47BD" w:rsidRDefault="001C47BD" w:rsidP="001C47BD">
            <w:pPr>
              <w:spacing w:after="0" w:line="240" w:lineRule="auto"/>
              <w:rPr>
                <w:rFonts w:ascii="Times New Roman" w:eastAsia="Times New Roman" w:hAnsi="Times New Roman" w:cs="Times New Roman"/>
                <w:b/>
                <w:bCs/>
                <w:color w:val="333333"/>
                <w:kern w:val="0"/>
                <w14:ligatures w14:val="none"/>
              </w:rPr>
            </w:pPr>
            <w:r w:rsidRPr="001C47BD">
              <w:rPr>
                <w:rFonts w:ascii="Times New Roman" w:eastAsia="Times New Roman" w:hAnsi="Times New Roman" w:cs="Times New Roman"/>
                <w:b/>
                <w:bCs/>
                <w:color w:val="333333"/>
                <w:kern w:val="0"/>
                <w14:ligatures w14:val="none"/>
              </w:rPr>
              <w:t>P value</w:t>
            </w:r>
          </w:p>
        </w:tc>
      </w:tr>
      <w:tr w:rsidR="001C47BD" w:rsidRPr="001C47BD" w14:paraId="771A3E1C" w14:textId="77777777" w:rsidTr="001C47BD">
        <w:tc>
          <w:tcPr>
            <w:tcW w:w="1757" w:type="pct"/>
            <w:tcBorders>
              <w:top w:val="single" w:sz="4" w:space="0" w:color="auto"/>
            </w:tcBorders>
            <w:tcMar>
              <w:top w:w="48" w:type="dxa"/>
              <w:left w:w="96" w:type="dxa"/>
              <w:bottom w:w="48" w:type="dxa"/>
              <w:right w:w="96" w:type="dxa"/>
            </w:tcMar>
            <w:vAlign w:val="center"/>
            <w:hideMark/>
          </w:tcPr>
          <w:p w14:paraId="7FE00CA2" w14:textId="77777777" w:rsidR="001C47BD" w:rsidRPr="001C47BD" w:rsidRDefault="001C47BD" w:rsidP="001C47BD">
            <w:pPr>
              <w:spacing w:after="0" w:line="240"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Age</w:t>
            </w:r>
          </w:p>
        </w:tc>
        <w:tc>
          <w:tcPr>
            <w:tcW w:w="856" w:type="pct"/>
            <w:tcBorders>
              <w:top w:val="single" w:sz="4" w:space="0" w:color="auto"/>
            </w:tcBorders>
            <w:tcMar>
              <w:top w:w="15" w:type="dxa"/>
              <w:left w:w="15" w:type="dxa"/>
              <w:bottom w:w="15" w:type="dxa"/>
              <w:right w:w="15" w:type="dxa"/>
            </w:tcMar>
            <w:hideMark/>
          </w:tcPr>
          <w:p w14:paraId="5151A9DF"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34.86±4.8</w:t>
            </w:r>
          </w:p>
        </w:tc>
        <w:tc>
          <w:tcPr>
            <w:tcW w:w="901" w:type="pct"/>
            <w:tcBorders>
              <w:top w:val="single" w:sz="4" w:space="0" w:color="auto"/>
            </w:tcBorders>
            <w:tcMar>
              <w:top w:w="15" w:type="dxa"/>
              <w:left w:w="15" w:type="dxa"/>
              <w:bottom w:w="15" w:type="dxa"/>
              <w:right w:w="15" w:type="dxa"/>
            </w:tcMar>
            <w:hideMark/>
          </w:tcPr>
          <w:p w14:paraId="44EEB624"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34.89±6.2</w:t>
            </w:r>
          </w:p>
        </w:tc>
        <w:tc>
          <w:tcPr>
            <w:tcW w:w="856" w:type="pct"/>
            <w:tcBorders>
              <w:top w:val="single" w:sz="4" w:space="0" w:color="auto"/>
            </w:tcBorders>
            <w:tcMar>
              <w:top w:w="15" w:type="dxa"/>
              <w:left w:w="15" w:type="dxa"/>
              <w:bottom w:w="15" w:type="dxa"/>
              <w:right w:w="15" w:type="dxa"/>
            </w:tcMar>
            <w:hideMark/>
          </w:tcPr>
          <w:p w14:paraId="14CE4CA9"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34.75±5.3</w:t>
            </w:r>
          </w:p>
        </w:tc>
        <w:tc>
          <w:tcPr>
            <w:tcW w:w="630" w:type="pct"/>
            <w:tcBorders>
              <w:top w:val="single" w:sz="4" w:space="0" w:color="auto"/>
            </w:tcBorders>
            <w:tcMar>
              <w:top w:w="15" w:type="dxa"/>
              <w:left w:w="15" w:type="dxa"/>
              <w:bottom w:w="15" w:type="dxa"/>
              <w:right w:w="15" w:type="dxa"/>
            </w:tcMar>
            <w:hideMark/>
          </w:tcPr>
          <w:p w14:paraId="495FB11B"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0.145</w:t>
            </w:r>
          </w:p>
        </w:tc>
      </w:tr>
      <w:tr w:rsidR="001C47BD" w:rsidRPr="001C47BD" w14:paraId="44CE8976" w14:textId="77777777" w:rsidTr="001C47BD">
        <w:tc>
          <w:tcPr>
            <w:tcW w:w="1757" w:type="pct"/>
            <w:tcMar>
              <w:top w:w="48" w:type="dxa"/>
              <w:left w:w="96" w:type="dxa"/>
              <w:bottom w:w="48" w:type="dxa"/>
              <w:right w:w="96" w:type="dxa"/>
            </w:tcMar>
            <w:vAlign w:val="center"/>
            <w:hideMark/>
          </w:tcPr>
          <w:p w14:paraId="44CDA831" w14:textId="77777777" w:rsidR="001C47BD" w:rsidRPr="001C47BD" w:rsidRDefault="001C47BD" w:rsidP="001C47BD">
            <w:pPr>
              <w:spacing w:after="0" w:line="240"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Sex: Male/Female</w:t>
            </w:r>
          </w:p>
        </w:tc>
        <w:tc>
          <w:tcPr>
            <w:tcW w:w="856" w:type="pct"/>
            <w:tcMar>
              <w:top w:w="15" w:type="dxa"/>
              <w:left w:w="15" w:type="dxa"/>
              <w:bottom w:w="15" w:type="dxa"/>
              <w:right w:w="15" w:type="dxa"/>
            </w:tcMar>
            <w:vAlign w:val="center"/>
            <w:hideMark/>
          </w:tcPr>
          <w:p w14:paraId="20BA288F"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32/19</w:t>
            </w:r>
          </w:p>
        </w:tc>
        <w:tc>
          <w:tcPr>
            <w:tcW w:w="901" w:type="pct"/>
            <w:tcMar>
              <w:top w:w="15" w:type="dxa"/>
              <w:left w:w="15" w:type="dxa"/>
              <w:bottom w:w="15" w:type="dxa"/>
              <w:right w:w="15" w:type="dxa"/>
            </w:tcMar>
            <w:vAlign w:val="center"/>
            <w:hideMark/>
          </w:tcPr>
          <w:p w14:paraId="20B2B7BD"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25/14</w:t>
            </w:r>
          </w:p>
        </w:tc>
        <w:tc>
          <w:tcPr>
            <w:tcW w:w="856" w:type="pct"/>
            <w:tcMar>
              <w:top w:w="15" w:type="dxa"/>
              <w:left w:w="15" w:type="dxa"/>
              <w:bottom w:w="15" w:type="dxa"/>
              <w:right w:w="15" w:type="dxa"/>
            </w:tcMar>
            <w:hideMark/>
          </w:tcPr>
          <w:p w14:paraId="033F9393"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6/5</w:t>
            </w:r>
          </w:p>
        </w:tc>
        <w:tc>
          <w:tcPr>
            <w:tcW w:w="630" w:type="pct"/>
            <w:tcMar>
              <w:top w:w="15" w:type="dxa"/>
              <w:left w:w="15" w:type="dxa"/>
              <w:bottom w:w="15" w:type="dxa"/>
              <w:right w:w="15" w:type="dxa"/>
            </w:tcMar>
            <w:hideMark/>
          </w:tcPr>
          <w:p w14:paraId="390D0D93"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X2 0.617</w:t>
            </w:r>
          </w:p>
        </w:tc>
      </w:tr>
      <w:tr w:rsidR="001C47BD" w:rsidRPr="001C47BD" w14:paraId="6C0851B8" w14:textId="77777777" w:rsidTr="001C47BD">
        <w:tc>
          <w:tcPr>
            <w:tcW w:w="1757" w:type="pct"/>
            <w:tcMar>
              <w:top w:w="48" w:type="dxa"/>
              <w:left w:w="96" w:type="dxa"/>
              <w:bottom w:w="48" w:type="dxa"/>
              <w:right w:w="96" w:type="dxa"/>
            </w:tcMar>
            <w:vAlign w:val="center"/>
            <w:hideMark/>
          </w:tcPr>
          <w:p w14:paraId="427C422B" w14:textId="77777777" w:rsidR="001C47BD" w:rsidRPr="001C47BD" w:rsidRDefault="001C47BD" w:rsidP="001C47BD">
            <w:pPr>
              <w:spacing w:after="0" w:line="240"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 xml:space="preserve">History of other autoimmune disease </w:t>
            </w:r>
          </w:p>
        </w:tc>
        <w:tc>
          <w:tcPr>
            <w:tcW w:w="856" w:type="pct"/>
            <w:tcMar>
              <w:top w:w="15" w:type="dxa"/>
              <w:left w:w="15" w:type="dxa"/>
              <w:bottom w:w="15" w:type="dxa"/>
              <w:right w:w="15" w:type="dxa"/>
            </w:tcMar>
            <w:vAlign w:val="center"/>
            <w:hideMark/>
          </w:tcPr>
          <w:p w14:paraId="34033E58"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w:t>
            </w:r>
          </w:p>
        </w:tc>
        <w:tc>
          <w:tcPr>
            <w:tcW w:w="901" w:type="pct"/>
            <w:tcMar>
              <w:top w:w="15" w:type="dxa"/>
              <w:left w:w="15" w:type="dxa"/>
              <w:bottom w:w="15" w:type="dxa"/>
              <w:right w:w="15" w:type="dxa"/>
            </w:tcMar>
            <w:vAlign w:val="center"/>
            <w:hideMark/>
          </w:tcPr>
          <w:p w14:paraId="7B7B7DD2"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5(12.8%)</w:t>
            </w:r>
          </w:p>
        </w:tc>
        <w:tc>
          <w:tcPr>
            <w:tcW w:w="856" w:type="pct"/>
            <w:tcMar>
              <w:top w:w="15" w:type="dxa"/>
              <w:left w:w="15" w:type="dxa"/>
              <w:bottom w:w="15" w:type="dxa"/>
              <w:right w:w="15" w:type="dxa"/>
            </w:tcMar>
            <w:hideMark/>
          </w:tcPr>
          <w:p w14:paraId="4B96E8E9"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7(63.6%)</w:t>
            </w:r>
          </w:p>
        </w:tc>
        <w:tc>
          <w:tcPr>
            <w:tcW w:w="630" w:type="pct"/>
            <w:tcMar>
              <w:top w:w="15" w:type="dxa"/>
              <w:left w:w="15" w:type="dxa"/>
              <w:bottom w:w="15" w:type="dxa"/>
              <w:right w:w="15" w:type="dxa"/>
            </w:tcMar>
            <w:hideMark/>
          </w:tcPr>
          <w:p w14:paraId="777203CA"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X2˂0.001*</w:t>
            </w:r>
          </w:p>
        </w:tc>
      </w:tr>
      <w:tr w:rsidR="001C47BD" w:rsidRPr="001C47BD" w14:paraId="067879AF" w14:textId="77777777" w:rsidTr="001C47BD">
        <w:trPr>
          <w:trHeight w:val="221"/>
        </w:trPr>
        <w:tc>
          <w:tcPr>
            <w:tcW w:w="1757" w:type="pct"/>
            <w:tcMar>
              <w:top w:w="48" w:type="dxa"/>
              <w:left w:w="96" w:type="dxa"/>
              <w:bottom w:w="48" w:type="dxa"/>
              <w:right w:w="96" w:type="dxa"/>
            </w:tcMar>
            <w:vAlign w:val="center"/>
            <w:hideMark/>
          </w:tcPr>
          <w:p w14:paraId="1633EB12" w14:textId="77777777" w:rsidR="001C47BD" w:rsidRPr="001C47BD" w:rsidRDefault="001C47BD" w:rsidP="001C47BD">
            <w:pPr>
              <w:spacing w:after="0" w:line="240" w:lineRule="auto"/>
              <w:rPr>
                <w:rFonts w:ascii="Times New Roman" w:eastAsia="Times New Roman" w:hAnsi="Times New Roman" w:cs="Times New Roman"/>
                <w:color w:val="333333"/>
                <w:kern w:val="0"/>
                <w14:ligatures w14:val="none"/>
              </w:rPr>
            </w:pPr>
            <w:bookmarkStart w:id="13" w:name="_Hlk155901393"/>
            <w:r w:rsidRPr="001C47BD">
              <w:rPr>
                <w:rFonts w:ascii="Times New Roman" w:eastAsia="Times New Roman" w:hAnsi="Times New Roman" w:cs="Times New Roman"/>
                <w:color w:val="333333"/>
                <w:kern w:val="0"/>
                <w14:ligatures w14:val="none"/>
              </w:rPr>
              <w:t>BMI</w:t>
            </w:r>
          </w:p>
        </w:tc>
        <w:tc>
          <w:tcPr>
            <w:tcW w:w="856" w:type="pct"/>
            <w:tcMar>
              <w:top w:w="15" w:type="dxa"/>
              <w:left w:w="15" w:type="dxa"/>
              <w:bottom w:w="15" w:type="dxa"/>
              <w:right w:w="15" w:type="dxa"/>
            </w:tcMar>
            <w:hideMark/>
          </w:tcPr>
          <w:p w14:paraId="60CDC251"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23. 6±1.8</w:t>
            </w:r>
          </w:p>
        </w:tc>
        <w:tc>
          <w:tcPr>
            <w:tcW w:w="901" w:type="pct"/>
            <w:tcMar>
              <w:top w:w="15" w:type="dxa"/>
              <w:left w:w="15" w:type="dxa"/>
              <w:bottom w:w="15" w:type="dxa"/>
              <w:right w:w="15" w:type="dxa"/>
            </w:tcMar>
            <w:hideMark/>
          </w:tcPr>
          <w:p w14:paraId="50A480C8"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23.8±1.2</w:t>
            </w:r>
          </w:p>
        </w:tc>
        <w:tc>
          <w:tcPr>
            <w:tcW w:w="856" w:type="pct"/>
            <w:tcMar>
              <w:top w:w="15" w:type="dxa"/>
              <w:left w:w="15" w:type="dxa"/>
              <w:bottom w:w="15" w:type="dxa"/>
              <w:right w:w="15" w:type="dxa"/>
            </w:tcMar>
            <w:hideMark/>
          </w:tcPr>
          <w:p w14:paraId="51ED4CF3"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23.7±1.3</w:t>
            </w:r>
          </w:p>
        </w:tc>
        <w:tc>
          <w:tcPr>
            <w:tcW w:w="630" w:type="pct"/>
            <w:tcMar>
              <w:top w:w="15" w:type="dxa"/>
              <w:left w:w="15" w:type="dxa"/>
              <w:bottom w:w="15" w:type="dxa"/>
              <w:right w:w="15" w:type="dxa"/>
            </w:tcMar>
            <w:hideMark/>
          </w:tcPr>
          <w:p w14:paraId="17ADED62"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0.865</w:t>
            </w:r>
          </w:p>
        </w:tc>
      </w:tr>
      <w:tr w:rsidR="001C47BD" w:rsidRPr="001C47BD" w14:paraId="36336168" w14:textId="77777777" w:rsidTr="001C47BD">
        <w:tc>
          <w:tcPr>
            <w:tcW w:w="1757" w:type="pct"/>
            <w:tcMar>
              <w:top w:w="48" w:type="dxa"/>
              <w:left w:w="96" w:type="dxa"/>
              <w:bottom w:w="48" w:type="dxa"/>
              <w:right w:w="96" w:type="dxa"/>
            </w:tcMar>
            <w:vAlign w:val="center"/>
            <w:hideMark/>
          </w:tcPr>
          <w:p w14:paraId="56E0E113" w14:textId="77777777" w:rsidR="001C47BD" w:rsidRPr="001C47BD" w:rsidRDefault="001C47BD" w:rsidP="001C47BD">
            <w:pPr>
              <w:spacing w:after="0" w:line="240"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ALT</w:t>
            </w:r>
          </w:p>
        </w:tc>
        <w:tc>
          <w:tcPr>
            <w:tcW w:w="856" w:type="pct"/>
            <w:tcMar>
              <w:top w:w="15" w:type="dxa"/>
              <w:left w:w="15" w:type="dxa"/>
              <w:bottom w:w="15" w:type="dxa"/>
              <w:right w:w="15" w:type="dxa"/>
            </w:tcMar>
            <w:hideMark/>
          </w:tcPr>
          <w:p w14:paraId="0C278014"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25.86±2.3</w:t>
            </w:r>
          </w:p>
        </w:tc>
        <w:tc>
          <w:tcPr>
            <w:tcW w:w="901" w:type="pct"/>
            <w:tcMar>
              <w:top w:w="15" w:type="dxa"/>
              <w:left w:w="15" w:type="dxa"/>
              <w:bottom w:w="15" w:type="dxa"/>
              <w:right w:w="15" w:type="dxa"/>
            </w:tcMar>
            <w:hideMark/>
          </w:tcPr>
          <w:p w14:paraId="62694180"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22.89</w:t>
            </w:r>
            <w:bookmarkStart w:id="14" w:name="_Hlk155908102"/>
            <w:r w:rsidRPr="001C47BD">
              <w:rPr>
                <w:rFonts w:ascii="Times New Roman" w:eastAsia="Times New Roman" w:hAnsi="Times New Roman" w:cs="Times New Roman"/>
                <w:color w:val="333333"/>
                <w:kern w:val="0"/>
                <w14:ligatures w14:val="none"/>
              </w:rPr>
              <w:t>±</w:t>
            </w:r>
            <w:bookmarkEnd w:id="14"/>
            <w:r w:rsidRPr="001C47BD">
              <w:rPr>
                <w:rFonts w:ascii="Times New Roman" w:eastAsia="Times New Roman" w:hAnsi="Times New Roman" w:cs="Times New Roman"/>
                <w:color w:val="333333"/>
                <w:kern w:val="0"/>
                <w14:ligatures w14:val="none"/>
              </w:rPr>
              <w:t>3.5</w:t>
            </w:r>
          </w:p>
        </w:tc>
        <w:tc>
          <w:tcPr>
            <w:tcW w:w="856" w:type="pct"/>
            <w:tcMar>
              <w:top w:w="15" w:type="dxa"/>
              <w:left w:w="15" w:type="dxa"/>
              <w:bottom w:w="15" w:type="dxa"/>
              <w:right w:w="15" w:type="dxa"/>
            </w:tcMar>
            <w:hideMark/>
          </w:tcPr>
          <w:p w14:paraId="7B02BB37"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50.75±5.9$, &amp;</w:t>
            </w:r>
          </w:p>
        </w:tc>
        <w:tc>
          <w:tcPr>
            <w:tcW w:w="630" w:type="pct"/>
            <w:tcMar>
              <w:top w:w="15" w:type="dxa"/>
              <w:left w:w="15" w:type="dxa"/>
              <w:bottom w:w="15" w:type="dxa"/>
              <w:right w:w="15" w:type="dxa"/>
            </w:tcMar>
            <w:hideMark/>
          </w:tcPr>
          <w:p w14:paraId="32D52684"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bookmarkStart w:id="15" w:name="_Hlk155905640"/>
            <w:r w:rsidRPr="001C47BD">
              <w:rPr>
                <w:rFonts w:ascii="Times New Roman" w:eastAsia="Times New Roman" w:hAnsi="Times New Roman" w:cs="Times New Roman"/>
                <w:color w:val="333333"/>
                <w:kern w:val="0"/>
                <w14:ligatures w14:val="none"/>
              </w:rPr>
              <w:t>˂0.001*</w:t>
            </w:r>
            <w:bookmarkEnd w:id="15"/>
          </w:p>
        </w:tc>
      </w:tr>
      <w:tr w:rsidR="001C47BD" w:rsidRPr="001C47BD" w14:paraId="4DE1159E" w14:textId="77777777" w:rsidTr="001C47BD">
        <w:tc>
          <w:tcPr>
            <w:tcW w:w="1757" w:type="pct"/>
            <w:tcMar>
              <w:top w:w="48" w:type="dxa"/>
              <w:left w:w="96" w:type="dxa"/>
              <w:bottom w:w="48" w:type="dxa"/>
              <w:right w:w="96" w:type="dxa"/>
            </w:tcMar>
            <w:vAlign w:val="center"/>
            <w:hideMark/>
          </w:tcPr>
          <w:p w14:paraId="6C2CA93F" w14:textId="77777777" w:rsidR="001C47BD" w:rsidRPr="001C47BD" w:rsidRDefault="001C47BD" w:rsidP="001C47BD">
            <w:pPr>
              <w:spacing w:after="0" w:line="240"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AST</w:t>
            </w:r>
          </w:p>
        </w:tc>
        <w:tc>
          <w:tcPr>
            <w:tcW w:w="856" w:type="pct"/>
            <w:tcMar>
              <w:top w:w="15" w:type="dxa"/>
              <w:left w:w="15" w:type="dxa"/>
              <w:bottom w:w="15" w:type="dxa"/>
              <w:right w:w="15" w:type="dxa"/>
            </w:tcMar>
            <w:hideMark/>
          </w:tcPr>
          <w:p w14:paraId="0865C742"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14.86±3.1</w:t>
            </w:r>
          </w:p>
        </w:tc>
        <w:tc>
          <w:tcPr>
            <w:tcW w:w="901" w:type="pct"/>
            <w:tcMar>
              <w:top w:w="15" w:type="dxa"/>
              <w:left w:w="15" w:type="dxa"/>
              <w:bottom w:w="15" w:type="dxa"/>
              <w:right w:w="15" w:type="dxa"/>
            </w:tcMar>
            <w:hideMark/>
          </w:tcPr>
          <w:p w14:paraId="4399DBB5"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21.89±5.26#</w:t>
            </w:r>
          </w:p>
        </w:tc>
        <w:tc>
          <w:tcPr>
            <w:tcW w:w="856" w:type="pct"/>
            <w:tcMar>
              <w:top w:w="15" w:type="dxa"/>
              <w:left w:w="15" w:type="dxa"/>
              <w:bottom w:w="15" w:type="dxa"/>
              <w:right w:w="15" w:type="dxa"/>
            </w:tcMar>
            <w:hideMark/>
          </w:tcPr>
          <w:p w14:paraId="008E9975"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49.75±9.3$, &amp;</w:t>
            </w:r>
          </w:p>
        </w:tc>
        <w:tc>
          <w:tcPr>
            <w:tcW w:w="630" w:type="pct"/>
            <w:tcMar>
              <w:top w:w="15" w:type="dxa"/>
              <w:left w:w="15" w:type="dxa"/>
              <w:bottom w:w="15" w:type="dxa"/>
              <w:right w:w="15" w:type="dxa"/>
            </w:tcMar>
            <w:hideMark/>
          </w:tcPr>
          <w:p w14:paraId="79A1C3CA"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˂0.001*</w:t>
            </w:r>
          </w:p>
        </w:tc>
      </w:tr>
      <w:tr w:rsidR="001C47BD" w:rsidRPr="001C47BD" w14:paraId="66F1241F" w14:textId="77777777" w:rsidTr="001C47BD">
        <w:trPr>
          <w:trHeight w:val="203"/>
        </w:trPr>
        <w:tc>
          <w:tcPr>
            <w:tcW w:w="1757" w:type="pct"/>
            <w:tcMar>
              <w:top w:w="48" w:type="dxa"/>
              <w:left w:w="96" w:type="dxa"/>
              <w:bottom w:w="48" w:type="dxa"/>
              <w:right w:w="96" w:type="dxa"/>
            </w:tcMar>
            <w:vAlign w:val="center"/>
            <w:hideMark/>
          </w:tcPr>
          <w:p w14:paraId="4F072FBB" w14:textId="77777777" w:rsidR="001C47BD" w:rsidRPr="001C47BD" w:rsidRDefault="001C47BD" w:rsidP="001C47BD">
            <w:pPr>
              <w:spacing w:after="0" w:line="240"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 xml:space="preserve">Hb </w:t>
            </w:r>
          </w:p>
        </w:tc>
        <w:tc>
          <w:tcPr>
            <w:tcW w:w="856" w:type="pct"/>
            <w:tcMar>
              <w:top w:w="15" w:type="dxa"/>
              <w:left w:w="15" w:type="dxa"/>
              <w:bottom w:w="15" w:type="dxa"/>
              <w:right w:w="15" w:type="dxa"/>
            </w:tcMar>
            <w:hideMark/>
          </w:tcPr>
          <w:p w14:paraId="61BEF0E6"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12.4±0.2</w:t>
            </w:r>
          </w:p>
        </w:tc>
        <w:tc>
          <w:tcPr>
            <w:tcW w:w="901" w:type="pct"/>
            <w:tcMar>
              <w:top w:w="15" w:type="dxa"/>
              <w:left w:w="15" w:type="dxa"/>
              <w:bottom w:w="15" w:type="dxa"/>
              <w:right w:w="15" w:type="dxa"/>
            </w:tcMar>
            <w:hideMark/>
          </w:tcPr>
          <w:p w14:paraId="752C8AD5"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10.89±1.6#</w:t>
            </w:r>
          </w:p>
        </w:tc>
        <w:tc>
          <w:tcPr>
            <w:tcW w:w="856" w:type="pct"/>
            <w:tcMar>
              <w:top w:w="15" w:type="dxa"/>
              <w:left w:w="15" w:type="dxa"/>
              <w:bottom w:w="15" w:type="dxa"/>
              <w:right w:w="15" w:type="dxa"/>
            </w:tcMar>
            <w:hideMark/>
          </w:tcPr>
          <w:p w14:paraId="48D70111"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8.75±1.8$, &amp;</w:t>
            </w:r>
          </w:p>
        </w:tc>
        <w:tc>
          <w:tcPr>
            <w:tcW w:w="630" w:type="pct"/>
            <w:tcMar>
              <w:top w:w="15" w:type="dxa"/>
              <w:left w:w="15" w:type="dxa"/>
              <w:bottom w:w="15" w:type="dxa"/>
              <w:right w:w="15" w:type="dxa"/>
            </w:tcMar>
            <w:hideMark/>
          </w:tcPr>
          <w:p w14:paraId="7B50D465"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˂0.001*</w:t>
            </w:r>
          </w:p>
        </w:tc>
      </w:tr>
      <w:tr w:rsidR="001C47BD" w:rsidRPr="001C47BD" w14:paraId="20BFA4B6" w14:textId="77777777" w:rsidTr="001C47BD">
        <w:trPr>
          <w:trHeight w:val="239"/>
        </w:trPr>
        <w:tc>
          <w:tcPr>
            <w:tcW w:w="1757" w:type="pct"/>
            <w:tcMar>
              <w:top w:w="48" w:type="dxa"/>
              <w:left w:w="96" w:type="dxa"/>
              <w:bottom w:w="48" w:type="dxa"/>
              <w:right w:w="96" w:type="dxa"/>
            </w:tcMar>
            <w:vAlign w:val="center"/>
            <w:hideMark/>
          </w:tcPr>
          <w:p w14:paraId="4C0395CC" w14:textId="77777777" w:rsidR="001C47BD" w:rsidRPr="001C47BD" w:rsidRDefault="001C47BD" w:rsidP="001C47BD">
            <w:pPr>
              <w:spacing w:line="256"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HbA1c</w:t>
            </w:r>
          </w:p>
        </w:tc>
        <w:tc>
          <w:tcPr>
            <w:tcW w:w="856" w:type="pct"/>
            <w:tcMar>
              <w:top w:w="15" w:type="dxa"/>
              <w:left w:w="15" w:type="dxa"/>
              <w:bottom w:w="15" w:type="dxa"/>
              <w:right w:w="15" w:type="dxa"/>
            </w:tcMar>
            <w:hideMark/>
          </w:tcPr>
          <w:p w14:paraId="40969976"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4.7±0.3</w:t>
            </w:r>
          </w:p>
        </w:tc>
        <w:tc>
          <w:tcPr>
            <w:tcW w:w="901" w:type="pct"/>
            <w:tcMar>
              <w:top w:w="15" w:type="dxa"/>
              <w:left w:w="15" w:type="dxa"/>
              <w:bottom w:w="15" w:type="dxa"/>
              <w:right w:w="15" w:type="dxa"/>
            </w:tcMar>
            <w:hideMark/>
          </w:tcPr>
          <w:p w14:paraId="6C8A2259" w14:textId="77777777" w:rsidR="001C47BD" w:rsidRPr="001C47BD" w:rsidRDefault="001C47BD" w:rsidP="001C47BD">
            <w:pPr>
              <w:spacing w:after="0" w:line="240"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5.9±1.1#</w:t>
            </w:r>
          </w:p>
        </w:tc>
        <w:tc>
          <w:tcPr>
            <w:tcW w:w="856" w:type="pct"/>
            <w:tcMar>
              <w:top w:w="15" w:type="dxa"/>
              <w:left w:w="15" w:type="dxa"/>
              <w:bottom w:w="15" w:type="dxa"/>
              <w:right w:w="15" w:type="dxa"/>
            </w:tcMar>
            <w:hideMark/>
          </w:tcPr>
          <w:p w14:paraId="0A54B269"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6.7 ±0.9$, &amp;</w:t>
            </w:r>
          </w:p>
        </w:tc>
        <w:tc>
          <w:tcPr>
            <w:tcW w:w="630" w:type="pct"/>
            <w:tcMar>
              <w:top w:w="15" w:type="dxa"/>
              <w:left w:w="15" w:type="dxa"/>
              <w:bottom w:w="15" w:type="dxa"/>
              <w:right w:w="15" w:type="dxa"/>
            </w:tcMar>
            <w:hideMark/>
          </w:tcPr>
          <w:p w14:paraId="6E4D2635"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˂0.001*</w:t>
            </w:r>
          </w:p>
        </w:tc>
      </w:tr>
      <w:tr w:rsidR="001C47BD" w:rsidRPr="001C47BD" w14:paraId="3FA063CA" w14:textId="77777777" w:rsidTr="001C47BD">
        <w:tc>
          <w:tcPr>
            <w:tcW w:w="1757" w:type="pct"/>
            <w:tcMar>
              <w:top w:w="48" w:type="dxa"/>
              <w:left w:w="96" w:type="dxa"/>
              <w:bottom w:w="48" w:type="dxa"/>
              <w:right w:w="96" w:type="dxa"/>
            </w:tcMar>
            <w:hideMark/>
          </w:tcPr>
          <w:p w14:paraId="731E8B7E" w14:textId="77777777" w:rsidR="001C47BD" w:rsidRPr="001C47BD" w:rsidRDefault="001C47BD" w:rsidP="001C47BD">
            <w:pPr>
              <w:spacing w:line="256"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FT3 (</w:t>
            </w:r>
            <w:proofErr w:type="spellStart"/>
            <w:r w:rsidRPr="001C47BD">
              <w:rPr>
                <w:rFonts w:ascii="Times New Roman" w:eastAsia="Times New Roman" w:hAnsi="Times New Roman" w:cs="Times New Roman"/>
                <w:color w:val="333333"/>
                <w:kern w:val="0"/>
                <w14:ligatures w14:val="none"/>
              </w:rPr>
              <w:t>pg</w:t>
            </w:r>
            <w:proofErr w:type="spellEnd"/>
            <w:r w:rsidRPr="001C47BD">
              <w:rPr>
                <w:rFonts w:ascii="Times New Roman" w:eastAsia="Times New Roman" w:hAnsi="Times New Roman" w:cs="Times New Roman"/>
                <w:color w:val="333333"/>
                <w:kern w:val="0"/>
                <w14:ligatures w14:val="none"/>
              </w:rPr>
              <w:t>/mL)</w:t>
            </w:r>
          </w:p>
        </w:tc>
        <w:tc>
          <w:tcPr>
            <w:tcW w:w="856" w:type="pct"/>
            <w:tcMar>
              <w:top w:w="15" w:type="dxa"/>
              <w:left w:w="15" w:type="dxa"/>
              <w:bottom w:w="15" w:type="dxa"/>
              <w:right w:w="15" w:type="dxa"/>
            </w:tcMar>
            <w:hideMark/>
          </w:tcPr>
          <w:p w14:paraId="75DA5582"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1.7±0.9</w:t>
            </w:r>
          </w:p>
        </w:tc>
        <w:tc>
          <w:tcPr>
            <w:tcW w:w="901" w:type="pct"/>
            <w:tcMar>
              <w:top w:w="15" w:type="dxa"/>
              <w:left w:w="15" w:type="dxa"/>
              <w:bottom w:w="15" w:type="dxa"/>
              <w:right w:w="15" w:type="dxa"/>
            </w:tcMar>
            <w:hideMark/>
          </w:tcPr>
          <w:p w14:paraId="540F5C6E"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0.9±0.44#</w:t>
            </w:r>
          </w:p>
        </w:tc>
        <w:tc>
          <w:tcPr>
            <w:tcW w:w="856" w:type="pct"/>
            <w:tcMar>
              <w:top w:w="15" w:type="dxa"/>
              <w:left w:w="15" w:type="dxa"/>
              <w:bottom w:w="15" w:type="dxa"/>
              <w:right w:w="15" w:type="dxa"/>
            </w:tcMar>
            <w:hideMark/>
          </w:tcPr>
          <w:p w14:paraId="6C59B9B5"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0.7±0.11$, &amp;</w:t>
            </w:r>
          </w:p>
        </w:tc>
        <w:tc>
          <w:tcPr>
            <w:tcW w:w="630" w:type="pct"/>
            <w:tcMar>
              <w:top w:w="15" w:type="dxa"/>
              <w:left w:w="15" w:type="dxa"/>
              <w:bottom w:w="15" w:type="dxa"/>
              <w:right w:w="15" w:type="dxa"/>
            </w:tcMar>
            <w:hideMark/>
          </w:tcPr>
          <w:p w14:paraId="4936351D"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˂0.001*</w:t>
            </w:r>
          </w:p>
        </w:tc>
      </w:tr>
      <w:tr w:rsidR="001C47BD" w:rsidRPr="001C47BD" w14:paraId="30402C7F" w14:textId="77777777" w:rsidTr="001C47BD">
        <w:tc>
          <w:tcPr>
            <w:tcW w:w="1757" w:type="pct"/>
            <w:tcMar>
              <w:top w:w="48" w:type="dxa"/>
              <w:left w:w="96" w:type="dxa"/>
              <w:bottom w:w="48" w:type="dxa"/>
              <w:right w:w="96" w:type="dxa"/>
            </w:tcMar>
            <w:hideMark/>
          </w:tcPr>
          <w:p w14:paraId="07211673" w14:textId="77777777" w:rsidR="001C47BD" w:rsidRPr="001C47BD" w:rsidRDefault="001C47BD" w:rsidP="001C47BD">
            <w:pPr>
              <w:spacing w:line="256"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FT4 (ng/dL)</w:t>
            </w:r>
          </w:p>
        </w:tc>
        <w:tc>
          <w:tcPr>
            <w:tcW w:w="856" w:type="pct"/>
            <w:tcMar>
              <w:top w:w="15" w:type="dxa"/>
              <w:left w:w="15" w:type="dxa"/>
              <w:bottom w:w="15" w:type="dxa"/>
              <w:right w:w="15" w:type="dxa"/>
            </w:tcMar>
            <w:hideMark/>
          </w:tcPr>
          <w:p w14:paraId="1B66F9FE"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1.4±0.6</w:t>
            </w:r>
          </w:p>
        </w:tc>
        <w:tc>
          <w:tcPr>
            <w:tcW w:w="901" w:type="pct"/>
            <w:tcMar>
              <w:top w:w="15" w:type="dxa"/>
              <w:left w:w="15" w:type="dxa"/>
              <w:bottom w:w="15" w:type="dxa"/>
              <w:right w:w="15" w:type="dxa"/>
            </w:tcMar>
            <w:hideMark/>
          </w:tcPr>
          <w:p w14:paraId="5891524C"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0.6±0.26#</w:t>
            </w:r>
          </w:p>
        </w:tc>
        <w:tc>
          <w:tcPr>
            <w:tcW w:w="856" w:type="pct"/>
            <w:tcMar>
              <w:top w:w="15" w:type="dxa"/>
              <w:left w:w="15" w:type="dxa"/>
              <w:bottom w:w="15" w:type="dxa"/>
              <w:right w:w="15" w:type="dxa"/>
            </w:tcMar>
            <w:hideMark/>
          </w:tcPr>
          <w:p w14:paraId="5A0F2352"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0.5±0.77$, &amp;</w:t>
            </w:r>
          </w:p>
        </w:tc>
        <w:tc>
          <w:tcPr>
            <w:tcW w:w="630" w:type="pct"/>
            <w:tcMar>
              <w:top w:w="15" w:type="dxa"/>
              <w:left w:w="15" w:type="dxa"/>
              <w:bottom w:w="15" w:type="dxa"/>
              <w:right w:w="15" w:type="dxa"/>
            </w:tcMar>
            <w:hideMark/>
          </w:tcPr>
          <w:p w14:paraId="11CAE858"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˂0.001*</w:t>
            </w:r>
          </w:p>
        </w:tc>
      </w:tr>
      <w:tr w:rsidR="001C47BD" w:rsidRPr="001C47BD" w14:paraId="2AC0688B" w14:textId="77777777" w:rsidTr="001C47BD">
        <w:tc>
          <w:tcPr>
            <w:tcW w:w="1757" w:type="pct"/>
            <w:tcMar>
              <w:top w:w="48" w:type="dxa"/>
              <w:left w:w="96" w:type="dxa"/>
              <w:bottom w:w="48" w:type="dxa"/>
              <w:right w:w="96" w:type="dxa"/>
            </w:tcMar>
            <w:hideMark/>
          </w:tcPr>
          <w:p w14:paraId="28F7C447" w14:textId="77777777" w:rsidR="001C47BD" w:rsidRPr="001C47BD" w:rsidRDefault="001C47BD" w:rsidP="001C47BD">
            <w:pPr>
              <w:spacing w:line="256"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TSH (</w:t>
            </w:r>
            <w:proofErr w:type="spellStart"/>
            <w:r w:rsidRPr="001C47BD">
              <w:rPr>
                <w:rFonts w:ascii="Times New Roman" w:eastAsia="Times New Roman" w:hAnsi="Times New Roman" w:cs="Times New Roman"/>
                <w:color w:val="333333"/>
                <w:kern w:val="0"/>
                <w14:ligatures w14:val="none"/>
              </w:rPr>
              <w:t>μU</w:t>
            </w:r>
            <w:proofErr w:type="spellEnd"/>
            <w:r w:rsidRPr="001C47BD">
              <w:rPr>
                <w:rFonts w:ascii="Times New Roman" w:eastAsia="Times New Roman" w:hAnsi="Times New Roman" w:cs="Times New Roman"/>
                <w:color w:val="333333"/>
                <w:kern w:val="0"/>
                <w14:ligatures w14:val="none"/>
              </w:rPr>
              <w:t>/mL)</w:t>
            </w:r>
          </w:p>
        </w:tc>
        <w:tc>
          <w:tcPr>
            <w:tcW w:w="856" w:type="pct"/>
            <w:tcMar>
              <w:top w:w="15" w:type="dxa"/>
              <w:left w:w="15" w:type="dxa"/>
              <w:bottom w:w="15" w:type="dxa"/>
              <w:right w:w="15" w:type="dxa"/>
            </w:tcMar>
            <w:hideMark/>
          </w:tcPr>
          <w:p w14:paraId="44319DDA"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3.4±1.1</w:t>
            </w:r>
          </w:p>
        </w:tc>
        <w:tc>
          <w:tcPr>
            <w:tcW w:w="901" w:type="pct"/>
            <w:tcMar>
              <w:top w:w="15" w:type="dxa"/>
              <w:left w:w="15" w:type="dxa"/>
              <w:bottom w:w="15" w:type="dxa"/>
              <w:right w:w="15" w:type="dxa"/>
            </w:tcMar>
            <w:hideMark/>
          </w:tcPr>
          <w:p w14:paraId="3E8187AA"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5.8±1.5#</w:t>
            </w:r>
          </w:p>
        </w:tc>
        <w:tc>
          <w:tcPr>
            <w:tcW w:w="856" w:type="pct"/>
            <w:tcMar>
              <w:top w:w="15" w:type="dxa"/>
              <w:left w:w="15" w:type="dxa"/>
              <w:bottom w:w="15" w:type="dxa"/>
              <w:right w:w="15" w:type="dxa"/>
            </w:tcMar>
            <w:hideMark/>
          </w:tcPr>
          <w:p w14:paraId="0A3E6BF0"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6.7±2.6$, &amp;</w:t>
            </w:r>
          </w:p>
        </w:tc>
        <w:tc>
          <w:tcPr>
            <w:tcW w:w="630" w:type="pct"/>
            <w:tcMar>
              <w:top w:w="15" w:type="dxa"/>
              <w:left w:w="15" w:type="dxa"/>
              <w:bottom w:w="15" w:type="dxa"/>
              <w:right w:w="15" w:type="dxa"/>
            </w:tcMar>
            <w:hideMark/>
          </w:tcPr>
          <w:p w14:paraId="17BF8E3D"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˂0.001*</w:t>
            </w:r>
          </w:p>
        </w:tc>
      </w:tr>
      <w:tr w:rsidR="001C47BD" w:rsidRPr="001C47BD" w14:paraId="59DE22CF" w14:textId="77777777" w:rsidTr="001C47BD">
        <w:tc>
          <w:tcPr>
            <w:tcW w:w="1757" w:type="pct"/>
            <w:tcMar>
              <w:top w:w="48" w:type="dxa"/>
              <w:left w:w="96" w:type="dxa"/>
              <w:bottom w:w="48" w:type="dxa"/>
              <w:right w:w="96" w:type="dxa"/>
            </w:tcMar>
            <w:hideMark/>
          </w:tcPr>
          <w:p w14:paraId="327760AF" w14:textId="77777777" w:rsidR="001C47BD" w:rsidRPr="001C47BD" w:rsidRDefault="001C47BD" w:rsidP="001C47BD">
            <w:pPr>
              <w:spacing w:line="256"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Anti TPO(IU/ml)</w:t>
            </w:r>
          </w:p>
        </w:tc>
        <w:tc>
          <w:tcPr>
            <w:tcW w:w="856" w:type="pct"/>
            <w:tcMar>
              <w:top w:w="15" w:type="dxa"/>
              <w:left w:w="15" w:type="dxa"/>
              <w:bottom w:w="15" w:type="dxa"/>
              <w:right w:w="15" w:type="dxa"/>
            </w:tcMar>
            <w:hideMark/>
          </w:tcPr>
          <w:p w14:paraId="28C4D84A"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28.3±8.3</w:t>
            </w:r>
          </w:p>
        </w:tc>
        <w:tc>
          <w:tcPr>
            <w:tcW w:w="901" w:type="pct"/>
            <w:tcMar>
              <w:top w:w="15" w:type="dxa"/>
              <w:left w:w="15" w:type="dxa"/>
              <w:bottom w:w="15" w:type="dxa"/>
              <w:right w:w="15" w:type="dxa"/>
            </w:tcMar>
            <w:hideMark/>
          </w:tcPr>
          <w:p w14:paraId="22AA69FF"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206.5 ±11.4#</w:t>
            </w:r>
          </w:p>
        </w:tc>
        <w:tc>
          <w:tcPr>
            <w:tcW w:w="856" w:type="pct"/>
            <w:tcMar>
              <w:top w:w="15" w:type="dxa"/>
              <w:left w:w="15" w:type="dxa"/>
              <w:bottom w:w="15" w:type="dxa"/>
              <w:right w:w="15" w:type="dxa"/>
            </w:tcMar>
            <w:hideMark/>
          </w:tcPr>
          <w:p w14:paraId="7EB130AD"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365.1 ±18.2$, &amp;</w:t>
            </w:r>
          </w:p>
        </w:tc>
        <w:tc>
          <w:tcPr>
            <w:tcW w:w="630" w:type="pct"/>
            <w:tcMar>
              <w:top w:w="15" w:type="dxa"/>
              <w:left w:w="15" w:type="dxa"/>
              <w:bottom w:w="15" w:type="dxa"/>
              <w:right w:w="15" w:type="dxa"/>
            </w:tcMar>
            <w:hideMark/>
          </w:tcPr>
          <w:p w14:paraId="6EA56344"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&lt;0.001*</w:t>
            </w:r>
          </w:p>
        </w:tc>
      </w:tr>
      <w:tr w:rsidR="001C47BD" w:rsidRPr="001C47BD" w14:paraId="13A5F012" w14:textId="77777777" w:rsidTr="001C47BD">
        <w:tc>
          <w:tcPr>
            <w:tcW w:w="1757" w:type="pct"/>
            <w:tcMar>
              <w:top w:w="48" w:type="dxa"/>
              <w:left w:w="96" w:type="dxa"/>
              <w:bottom w:w="48" w:type="dxa"/>
              <w:right w:w="96" w:type="dxa"/>
            </w:tcMar>
            <w:hideMark/>
          </w:tcPr>
          <w:p w14:paraId="39EA49D3" w14:textId="77777777" w:rsidR="001C47BD" w:rsidRPr="001C47BD" w:rsidRDefault="001C47BD" w:rsidP="001C47BD">
            <w:pPr>
              <w:spacing w:line="256"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Anti TG(IU/ml)</w:t>
            </w:r>
          </w:p>
        </w:tc>
        <w:tc>
          <w:tcPr>
            <w:tcW w:w="856" w:type="pct"/>
            <w:tcMar>
              <w:top w:w="15" w:type="dxa"/>
              <w:left w:w="15" w:type="dxa"/>
              <w:bottom w:w="15" w:type="dxa"/>
              <w:right w:w="15" w:type="dxa"/>
            </w:tcMar>
            <w:hideMark/>
          </w:tcPr>
          <w:p w14:paraId="6C1EE955"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45.6±22.3</w:t>
            </w:r>
          </w:p>
        </w:tc>
        <w:tc>
          <w:tcPr>
            <w:tcW w:w="901" w:type="pct"/>
            <w:tcMar>
              <w:top w:w="15" w:type="dxa"/>
              <w:left w:w="15" w:type="dxa"/>
              <w:bottom w:w="15" w:type="dxa"/>
              <w:right w:w="15" w:type="dxa"/>
            </w:tcMar>
            <w:hideMark/>
          </w:tcPr>
          <w:p w14:paraId="78EA5F3B"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393.4±24.6#</w:t>
            </w:r>
          </w:p>
        </w:tc>
        <w:tc>
          <w:tcPr>
            <w:tcW w:w="856" w:type="pct"/>
            <w:tcMar>
              <w:top w:w="15" w:type="dxa"/>
              <w:left w:w="15" w:type="dxa"/>
              <w:bottom w:w="15" w:type="dxa"/>
              <w:right w:w="15" w:type="dxa"/>
            </w:tcMar>
            <w:hideMark/>
          </w:tcPr>
          <w:p w14:paraId="5254564A"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398.4±34.5$</w:t>
            </w:r>
          </w:p>
        </w:tc>
        <w:tc>
          <w:tcPr>
            <w:tcW w:w="630" w:type="pct"/>
            <w:tcMar>
              <w:top w:w="15" w:type="dxa"/>
              <w:left w:w="15" w:type="dxa"/>
              <w:bottom w:w="15" w:type="dxa"/>
              <w:right w:w="15" w:type="dxa"/>
            </w:tcMar>
            <w:hideMark/>
          </w:tcPr>
          <w:p w14:paraId="087F3877"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&lt;0.001*</w:t>
            </w:r>
          </w:p>
        </w:tc>
      </w:tr>
      <w:tr w:rsidR="001C47BD" w:rsidRPr="001C47BD" w14:paraId="673FE995" w14:textId="77777777" w:rsidTr="001C47BD">
        <w:tc>
          <w:tcPr>
            <w:tcW w:w="1757" w:type="pct"/>
            <w:tcBorders>
              <w:bottom w:val="single" w:sz="4" w:space="0" w:color="auto"/>
            </w:tcBorders>
            <w:tcMar>
              <w:top w:w="48" w:type="dxa"/>
              <w:left w:w="96" w:type="dxa"/>
              <w:bottom w:w="48" w:type="dxa"/>
              <w:right w:w="96" w:type="dxa"/>
            </w:tcMar>
            <w:hideMark/>
          </w:tcPr>
          <w:p w14:paraId="5FF796EA" w14:textId="77777777" w:rsidR="001C47BD" w:rsidRPr="001C47BD" w:rsidRDefault="001C47BD" w:rsidP="001C47BD">
            <w:pPr>
              <w:spacing w:line="256" w:lineRule="auto"/>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Anti TTG IgA (U/ml)</w:t>
            </w:r>
          </w:p>
        </w:tc>
        <w:tc>
          <w:tcPr>
            <w:tcW w:w="856" w:type="pct"/>
            <w:tcBorders>
              <w:bottom w:val="single" w:sz="4" w:space="0" w:color="auto"/>
            </w:tcBorders>
            <w:tcMar>
              <w:top w:w="15" w:type="dxa"/>
              <w:left w:w="15" w:type="dxa"/>
              <w:bottom w:w="15" w:type="dxa"/>
              <w:right w:w="15" w:type="dxa"/>
            </w:tcMar>
            <w:hideMark/>
          </w:tcPr>
          <w:p w14:paraId="38656793"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1.26±0.8</w:t>
            </w:r>
          </w:p>
        </w:tc>
        <w:tc>
          <w:tcPr>
            <w:tcW w:w="901" w:type="pct"/>
            <w:tcBorders>
              <w:bottom w:val="single" w:sz="4" w:space="0" w:color="auto"/>
            </w:tcBorders>
            <w:tcMar>
              <w:top w:w="15" w:type="dxa"/>
              <w:left w:w="15" w:type="dxa"/>
              <w:bottom w:w="15" w:type="dxa"/>
              <w:right w:w="15" w:type="dxa"/>
            </w:tcMar>
            <w:hideMark/>
          </w:tcPr>
          <w:p w14:paraId="254340B4"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7.89±4.5#</w:t>
            </w:r>
          </w:p>
        </w:tc>
        <w:tc>
          <w:tcPr>
            <w:tcW w:w="856" w:type="pct"/>
            <w:tcBorders>
              <w:bottom w:val="single" w:sz="4" w:space="0" w:color="auto"/>
            </w:tcBorders>
            <w:tcMar>
              <w:top w:w="15" w:type="dxa"/>
              <w:left w:w="15" w:type="dxa"/>
              <w:bottom w:w="15" w:type="dxa"/>
              <w:right w:w="15" w:type="dxa"/>
            </w:tcMar>
            <w:hideMark/>
          </w:tcPr>
          <w:p w14:paraId="20160C1D" w14:textId="77777777" w:rsidR="001C47BD" w:rsidRPr="001C47BD" w:rsidRDefault="001C47BD" w:rsidP="001C47BD">
            <w:pPr>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20.15±9.6$, &amp;</w:t>
            </w:r>
          </w:p>
        </w:tc>
        <w:tc>
          <w:tcPr>
            <w:tcW w:w="630" w:type="pct"/>
            <w:tcBorders>
              <w:bottom w:val="single" w:sz="4" w:space="0" w:color="auto"/>
            </w:tcBorders>
            <w:tcMar>
              <w:top w:w="15" w:type="dxa"/>
              <w:left w:w="15" w:type="dxa"/>
              <w:bottom w:w="15" w:type="dxa"/>
              <w:right w:w="15" w:type="dxa"/>
            </w:tcMar>
            <w:hideMark/>
          </w:tcPr>
          <w:p w14:paraId="08DB7C65" w14:textId="77777777" w:rsidR="001C47BD" w:rsidRPr="001C47BD" w:rsidRDefault="001C47BD" w:rsidP="001C47BD">
            <w:pPr>
              <w:keepNext/>
              <w:spacing w:line="256" w:lineRule="auto"/>
              <w:jc w:val="center"/>
              <w:rPr>
                <w:rFonts w:ascii="Times New Roman" w:eastAsia="Times New Roman" w:hAnsi="Times New Roman" w:cs="Times New Roman"/>
                <w:color w:val="333333"/>
                <w:kern w:val="0"/>
                <w14:ligatures w14:val="none"/>
              </w:rPr>
            </w:pPr>
            <w:r w:rsidRPr="001C47BD">
              <w:rPr>
                <w:rFonts w:ascii="Times New Roman" w:eastAsia="Times New Roman" w:hAnsi="Times New Roman" w:cs="Times New Roman"/>
                <w:color w:val="333333"/>
                <w:kern w:val="0"/>
                <w14:ligatures w14:val="none"/>
              </w:rPr>
              <w:t>˂0.001*</w:t>
            </w:r>
          </w:p>
        </w:tc>
        <w:bookmarkEnd w:id="13"/>
      </w:tr>
    </w:tbl>
    <w:p w14:paraId="0C0DC982" w14:textId="60EF2378" w:rsidR="001C47BD" w:rsidRPr="001C47BD" w:rsidRDefault="001C47BD" w:rsidP="001C47BD">
      <w:pPr>
        <w:autoSpaceDE w:val="0"/>
        <w:autoSpaceDN w:val="0"/>
        <w:adjustRightInd w:val="0"/>
        <w:spacing w:after="0" w:line="360" w:lineRule="auto"/>
        <w:ind w:firstLine="720"/>
        <w:jc w:val="both"/>
        <w:rPr>
          <w:i/>
          <w:iCs/>
          <w:color w:val="44546A" w:themeColor="text2"/>
          <w:sz w:val="18"/>
          <w:szCs w:val="18"/>
        </w:rPr>
      </w:pPr>
      <w:r w:rsidRPr="001C47BD">
        <w:rPr>
          <w:i/>
          <w:iCs/>
          <w:color w:val="44546A" w:themeColor="text2"/>
          <w:sz w:val="18"/>
          <w:szCs w:val="18"/>
        </w:rPr>
        <w:t xml:space="preserve">BMI; body mass index, ALT; alanine transaminase, AST; aspartate aminotransferase, Hb; hemoglobin, HBA1C; </w:t>
      </w:r>
      <w:r w:rsidR="00512F6A">
        <w:rPr>
          <w:i/>
          <w:iCs/>
          <w:color w:val="44546A" w:themeColor="text2"/>
          <w:sz w:val="18"/>
          <w:szCs w:val="18"/>
        </w:rPr>
        <w:t>hemoglobin</w:t>
      </w:r>
      <w:r w:rsidRPr="001C47BD">
        <w:rPr>
          <w:i/>
          <w:iCs/>
          <w:color w:val="44546A" w:themeColor="text2"/>
          <w:sz w:val="18"/>
          <w:szCs w:val="18"/>
        </w:rPr>
        <w:t xml:space="preserve"> A1c, FT3;</w:t>
      </w:r>
      <w:r w:rsidR="00512F6A">
        <w:rPr>
          <w:i/>
          <w:iCs/>
          <w:color w:val="44546A" w:themeColor="text2"/>
          <w:sz w:val="18"/>
          <w:szCs w:val="18"/>
        </w:rPr>
        <w:t xml:space="preserve"> </w:t>
      </w:r>
      <w:r w:rsidRPr="001C47BD">
        <w:rPr>
          <w:i/>
          <w:iCs/>
          <w:color w:val="44546A" w:themeColor="text2"/>
          <w:sz w:val="18"/>
          <w:szCs w:val="18"/>
        </w:rPr>
        <w:t xml:space="preserve">free </w:t>
      </w:r>
      <w:r w:rsidR="00512F6A">
        <w:rPr>
          <w:i/>
          <w:iCs/>
          <w:color w:val="44546A" w:themeColor="text2"/>
          <w:sz w:val="18"/>
          <w:szCs w:val="18"/>
        </w:rPr>
        <w:t>triiodothyronine</w:t>
      </w:r>
      <w:r w:rsidRPr="001C47BD">
        <w:rPr>
          <w:i/>
          <w:iCs/>
          <w:color w:val="44546A" w:themeColor="text2"/>
          <w:sz w:val="18"/>
          <w:szCs w:val="18"/>
        </w:rPr>
        <w:t>,</w:t>
      </w:r>
      <w:r w:rsidR="00512F6A">
        <w:rPr>
          <w:i/>
          <w:iCs/>
          <w:color w:val="44546A" w:themeColor="text2"/>
          <w:sz w:val="18"/>
          <w:szCs w:val="18"/>
        </w:rPr>
        <w:t xml:space="preserve"> </w:t>
      </w:r>
      <w:r w:rsidRPr="001C47BD">
        <w:rPr>
          <w:i/>
          <w:iCs/>
          <w:color w:val="44546A" w:themeColor="text2"/>
          <w:sz w:val="18"/>
          <w:szCs w:val="18"/>
        </w:rPr>
        <w:t>FT4;</w:t>
      </w:r>
      <w:r w:rsidR="00512F6A">
        <w:rPr>
          <w:i/>
          <w:iCs/>
          <w:color w:val="44546A" w:themeColor="text2"/>
          <w:sz w:val="18"/>
          <w:szCs w:val="18"/>
        </w:rPr>
        <w:t xml:space="preserve"> </w:t>
      </w:r>
      <w:r w:rsidRPr="001C47BD">
        <w:rPr>
          <w:i/>
          <w:iCs/>
          <w:color w:val="44546A" w:themeColor="text2"/>
          <w:sz w:val="18"/>
          <w:szCs w:val="18"/>
        </w:rPr>
        <w:t xml:space="preserve">free thyroxine, TSH, thyroid stimulating hormone; </w:t>
      </w:r>
      <w:r w:rsidR="0060147E">
        <w:rPr>
          <w:i/>
          <w:iCs/>
          <w:color w:val="44546A" w:themeColor="text2"/>
          <w:sz w:val="18"/>
          <w:szCs w:val="18"/>
        </w:rPr>
        <w:t>Anti-TG</w:t>
      </w:r>
      <w:r w:rsidRPr="001C47BD">
        <w:rPr>
          <w:i/>
          <w:iCs/>
          <w:color w:val="44546A" w:themeColor="text2"/>
          <w:sz w:val="18"/>
          <w:szCs w:val="18"/>
        </w:rPr>
        <w:t>;</w:t>
      </w:r>
      <w:r w:rsidR="00512F6A">
        <w:rPr>
          <w:i/>
          <w:iCs/>
          <w:color w:val="44546A" w:themeColor="text2"/>
          <w:sz w:val="18"/>
          <w:szCs w:val="18"/>
        </w:rPr>
        <w:t xml:space="preserve"> anti-thyroglobulin</w:t>
      </w:r>
      <w:r w:rsidRPr="001C47BD">
        <w:rPr>
          <w:i/>
          <w:iCs/>
          <w:color w:val="44546A" w:themeColor="text2"/>
          <w:sz w:val="18"/>
          <w:szCs w:val="18"/>
        </w:rPr>
        <w:t xml:space="preserve"> antibodies, anti-TPO; anti-thyroid peroxidase antibodies, </w:t>
      </w:r>
      <w:r w:rsidR="00512F6A">
        <w:rPr>
          <w:i/>
          <w:iCs/>
          <w:color w:val="44546A" w:themeColor="text2"/>
          <w:sz w:val="18"/>
          <w:szCs w:val="18"/>
        </w:rPr>
        <w:t>Anti-TTG</w:t>
      </w:r>
      <w:r w:rsidRPr="001C47BD">
        <w:rPr>
          <w:i/>
          <w:iCs/>
          <w:color w:val="44546A" w:themeColor="text2"/>
          <w:sz w:val="18"/>
          <w:szCs w:val="18"/>
        </w:rPr>
        <w:t xml:space="preserve"> IgA;</w:t>
      </w:r>
      <w:r w:rsidR="00512F6A">
        <w:rPr>
          <w:i/>
          <w:iCs/>
          <w:color w:val="44546A" w:themeColor="text2"/>
          <w:sz w:val="18"/>
          <w:szCs w:val="18"/>
        </w:rPr>
        <w:t xml:space="preserve"> </w:t>
      </w:r>
      <w:r w:rsidRPr="001C47BD">
        <w:rPr>
          <w:i/>
          <w:iCs/>
          <w:color w:val="44546A" w:themeColor="text2"/>
          <w:sz w:val="18"/>
          <w:szCs w:val="18"/>
        </w:rPr>
        <w:t>tissue transglutaminase IgA antibodies, X2;</w:t>
      </w:r>
      <w:r w:rsidR="00512F6A">
        <w:rPr>
          <w:i/>
          <w:iCs/>
          <w:color w:val="44546A" w:themeColor="text2"/>
          <w:sz w:val="18"/>
          <w:szCs w:val="18"/>
        </w:rPr>
        <w:t xml:space="preserve"> </w:t>
      </w:r>
      <w:r w:rsidRPr="001C47BD">
        <w:rPr>
          <w:i/>
          <w:iCs/>
          <w:color w:val="44546A" w:themeColor="text2"/>
          <w:sz w:val="18"/>
          <w:szCs w:val="18"/>
        </w:rPr>
        <w:t>Chi-square test, * = statistically significant * P&lt; 0.05 =when compared with control group by ANOVA test    and post hoc test:#</w:t>
      </w:r>
      <w:r w:rsidRPr="001C47BD">
        <w:rPr>
          <w:i/>
          <w:iCs/>
          <w:color w:val="44546A" w:themeColor="text2"/>
          <w:sz w:val="18"/>
          <w:szCs w:val="18"/>
          <w:rtl/>
        </w:rPr>
        <w:t xml:space="preserve"> </w:t>
      </w:r>
      <w:r w:rsidRPr="001C47BD">
        <w:rPr>
          <w:i/>
          <w:iCs/>
          <w:color w:val="44546A" w:themeColor="text2"/>
          <w:sz w:val="18"/>
          <w:szCs w:val="18"/>
        </w:rPr>
        <w:t>Signiﬁcant P values (P &lt; 0.05) when comparing the control group with patients without CD</w:t>
      </w:r>
    </w:p>
    <w:p w14:paraId="58460DAA" w14:textId="16AFCD9F" w:rsidR="001C47BD" w:rsidRPr="001C47BD" w:rsidRDefault="001C47BD" w:rsidP="001C47BD">
      <w:pPr>
        <w:autoSpaceDE w:val="0"/>
        <w:autoSpaceDN w:val="0"/>
        <w:adjustRightInd w:val="0"/>
        <w:spacing w:after="0" w:line="360" w:lineRule="auto"/>
        <w:jc w:val="both"/>
        <w:rPr>
          <w:i/>
          <w:iCs/>
          <w:color w:val="44546A" w:themeColor="text2"/>
          <w:sz w:val="18"/>
          <w:szCs w:val="18"/>
        </w:rPr>
      </w:pPr>
      <w:r w:rsidRPr="001C47BD">
        <w:rPr>
          <w:i/>
          <w:iCs/>
          <w:color w:val="44546A" w:themeColor="text2"/>
          <w:sz w:val="18"/>
          <w:szCs w:val="18"/>
        </w:rPr>
        <w:t>$</w:t>
      </w:r>
      <w:r w:rsidRPr="001C47BD">
        <w:rPr>
          <w:i/>
          <w:iCs/>
          <w:color w:val="44546A" w:themeColor="text2"/>
          <w:sz w:val="18"/>
          <w:szCs w:val="18"/>
          <w:rtl/>
        </w:rPr>
        <w:t xml:space="preserve"> </w:t>
      </w:r>
      <w:r w:rsidRPr="001C47BD">
        <w:rPr>
          <w:i/>
          <w:iCs/>
          <w:color w:val="44546A" w:themeColor="text2"/>
          <w:sz w:val="18"/>
          <w:szCs w:val="18"/>
        </w:rPr>
        <w:t>Signiﬁcant P values (P &lt; 0.05) when comparing the control group with patients with CD</w:t>
      </w:r>
      <w:r>
        <w:rPr>
          <w:i/>
          <w:iCs/>
          <w:color w:val="44546A" w:themeColor="text2"/>
          <w:sz w:val="18"/>
          <w:szCs w:val="18"/>
        </w:rPr>
        <w:t xml:space="preserve"> </w:t>
      </w:r>
      <w:r w:rsidRPr="001C47BD">
        <w:rPr>
          <w:i/>
          <w:iCs/>
          <w:color w:val="44546A" w:themeColor="text2"/>
          <w:sz w:val="18"/>
          <w:szCs w:val="18"/>
        </w:rPr>
        <w:t>&amp;Statistically signiﬁcant P values (P &lt; 0.05) when comparing patients without CD with patients with CD.</w:t>
      </w:r>
    </w:p>
    <w:p w14:paraId="6927DF8E" w14:textId="6435668F" w:rsidR="00167793" w:rsidRDefault="002C1DAC" w:rsidP="00330E82">
      <w:pPr>
        <w:autoSpaceDE w:val="0"/>
        <w:autoSpaceDN w:val="0"/>
        <w:adjustRightInd w:val="0"/>
        <w:spacing w:after="0" w:line="360" w:lineRule="auto"/>
        <w:ind w:firstLine="720"/>
        <w:rPr>
          <w:rFonts w:asciiTheme="majorBidi" w:hAnsiTheme="majorBidi" w:cstheme="majorBidi"/>
          <w:b/>
          <w:bCs/>
          <w:sz w:val="24"/>
          <w:szCs w:val="24"/>
        </w:rPr>
      </w:pPr>
      <w:r w:rsidRPr="003F0CBB">
        <w:rPr>
          <w:rFonts w:asciiTheme="majorBidi" w:hAnsiTheme="majorBidi" w:cstheme="majorBidi"/>
          <w:sz w:val="24"/>
          <w:szCs w:val="24"/>
        </w:rPr>
        <w:t xml:space="preserve">It is well established that CD is associated with intestinal and </w:t>
      </w:r>
      <w:r w:rsidR="00C12732" w:rsidRPr="003F0CBB">
        <w:rPr>
          <w:rFonts w:asciiTheme="majorBidi" w:hAnsiTheme="majorBidi" w:cstheme="majorBidi"/>
          <w:sz w:val="24"/>
          <w:szCs w:val="24"/>
        </w:rPr>
        <w:t>extra</w:t>
      </w:r>
      <w:r w:rsidRPr="003F0CBB">
        <w:rPr>
          <w:rFonts w:asciiTheme="majorBidi" w:hAnsiTheme="majorBidi" w:cstheme="majorBidi"/>
          <w:sz w:val="24"/>
          <w:szCs w:val="24"/>
        </w:rPr>
        <w:t xml:space="preserve">-intestinal </w:t>
      </w:r>
      <w:r w:rsidR="00EC4DE9" w:rsidRPr="003F0CBB">
        <w:rPr>
          <w:rFonts w:asciiTheme="majorBidi" w:hAnsiTheme="majorBidi" w:cstheme="majorBidi"/>
          <w:sz w:val="24"/>
          <w:szCs w:val="24"/>
        </w:rPr>
        <w:t>manifestations. Based</w:t>
      </w:r>
      <w:r w:rsidRPr="003F0CBB">
        <w:rPr>
          <w:rFonts w:asciiTheme="majorBidi" w:hAnsiTheme="majorBidi" w:cstheme="majorBidi"/>
          <w:sz w:val="24"/>
          <w:szCs w:val="24"/>
        </w:rPr>
        <w:t xml:space="preserve"> on these findings, we investigated these manifestations to assess the severity and complications of </w:t>
      </w:r>
      <w:r w:rsidR="00C12732" w:rsidRPr="003F0CBB">
        <w:rPr>
          <w:rFonts w:asciiTheme="majorBidi" w:hAnsiTheme="majorBidi" w:cstheme="majorBidi"/>
          <w:sz w:val="24"/>
          <w:szCs w:val="24"/>
        </w:rPr>
        <w:t xml:space="preserve">CD. </w:t>
      </w:r>
      <w:r w:rsidRPr="003F0CBB">
        <w:rPr>
          <w:rFonts w:asciiTheme="majorBidi" w:hAnsiTheme="majorBidi" w:cstheme="majorBidi"/>
          <w:sz w:val="24"/>
          <w:szCs w:val="24"/>
        </w:rPr>
        <w:t>The differences between HT groups regard intestinal manifestations</w:t>
      </w:r>
      <w:r w:rsidR="0088290D">
        <w:rPr>
          <w:rFonts w:asciiTheme="majorBidi" w:hAnsiTheme="majorBidi" w:cstheme="majorBidi"/>
          <w:sz w:val="24"/>
          <w:szCs w:val="24"/>
        </w:rPr>
        <w:t>,</w:t>
      </w:r>
      <w:r w:rsidRPr="003F0CBB">
        <w:rPr>
          <w:rFonts w:asciiTheme="majorBidi" w:hAnsiTheme="majorBidi" w:cstheme="majorBidi"/>
          <w:sz w:val="24"/>
          <w:szCs w:val="24"/>
        </w:rPr>
        <w:t xml:space="preserve"> as demonstrated in Fig 2. </w:t>
      </w:r>
      <w:r w:rsidR="005132A2" w:rsidRPr="003F0CBB">
        <w:rPr>
          <w:rFonts w:asciiTheme="majorBidi" w:hAnsiTheme="majorBidi" w:cstheme="majorBidi"/>
          <w:sz w:val="24"/>
          <w:szCs w:val="24"/>
        </w:rPr>
        <w:t xml:space="preserve">Among </w:t>
      </w:r>
      <w:r w:rsidRPr="003F0CBB">
        <w:rPr>
          <w:rFonts w:asciiTheme="majorBidi" w:hAnsiTheme="majorBidi" w:cstheme="majorBidi"/>
          <w:sz w:val="24"/>
          <w:szCs w:val="24"/>
        </w:rPr>
        <w:t>patients with CD</w:t>
      </w:r>
      <w:r w:rsidR="00C12732" w:rsidRPr="003F0CBB">
        <w:rPr>
          <w:rFonts w:asciiTheme="majorBidi" w:hAnsiTheme="majorBidi" w:cstheme="majorBidi"/>
          <w:sz w:val="24"/>
          <w:szCs w:val="24"/>
        </w:rPr>
        <w:t xml:space="preserve"> </w:t>
      </w:r>
      <w:r w:rsidRPr="003F0CBB">
        <w:rPr>
          <w:rFonts w:asciiTheme="majorBidi" w:hAnsiTheme="majorBidi" w:cstheme="majorBidi"/>
          <w:sz w:val="24"/>
          <w:szCs w:val="24"/>
        </w:rPr>
        <w:t>(n=11) there was significantly higher prevalence of anorexia(n=9),</w:t>
      </w:r>
      <w:r w:rsidR="00330E82">
        <w:rPr>
          <w:rFonts w:asciiTheme="majorBidi" w:hAnsiTheme="majorBidi" w:cstheme="majorBidi"/>
          <w:sz w:val="24"/>
          <w:szCs w:val="24"/>
        </w:rPr>
        <w:t xml:space="preserve"> </w:t>
      </w:r>
      <w:r w:rsidRPr="003F0CBB">
        <w:rPr>
          <w:rFonts w:asciiTheme="majorBidi" w:hAnsiTheme="majorBidi" w:cstheme="majorBidi"/>
          <w:sz w:val="24"/>
          <w:szCs w:val="24"/>
        </w:rPr>
        <w:t>heartburn(n=8),</w:t>
      </w:r>
      <w:r w:rsidR="00330E82">
        <w:rPr>
          <w:rFonts w:asciiTheme="majorBidi" w:hAnsiTheme="majorBidi" w:cstheme="majorBidi"/>
          <w:sz w:val="24"/>
          <w:szCs w:val="24"/>
        </w:rPr>
        <w:t xml:space="preserve"> </w:t>
      </w:r>
      <w:r w:rsidRPr="003F0CBB">
        <w:rPr>
          <w:rFonts w:asciiTheme="majorBidi" w:hAnsiTheme="majorBidi" w:cstheme="majorBidi"/>
          <w:sz w:val="24"/>
          <w:szCs w:val="24"/>
        </w:rPr>
        <w:t>dyspepsia(n=9),</w:t>
      </w:r>
      <w:r w:rsidR="00330E82">
        <w:rPr>
          <w:rFonts w:asciiTheme="majorBidi" w:hAnsiTheme="majorBidi" w:cstheme="majorBidi"/>
          <w:sz w:val="24"/>
          <w:szCs w:val="24"/>
        </w:rPr>
        <w:t xml:space="preserve"> </w:t>
      </w:r>
      <w:r w:rsidRPr="003F0CBB">
        <w:rPr>
          <w:rFonts w:asciiTheme="majorBidi" w:hAnsiTheme="majorBidi" w:cstheme="majorBidi"/>
          <w:sz w:val="24"/>
          <w:szCs w:val="24"/>
        </w:rPr>
        <w:t>nausea(n=9),</w:t>
      </w:r>
      <w:r w:rsidR="00330E82">
        <w:rPr>
          <w:rFonts w:asciiTheme="majorBidi" w:hAnsiTheme="majorBidi" w:cstheme="majorBidi"/>
          <w:sz w:val="24"/>
          <w:szCs w:val="24"/>
        </w:rPr>
        <w:t xml:space="preserve"> </w:t>
      </w:r>
      <w:r w:rsidRPr="003F0CBB">
        <w:rPr>
          <w:rFonts w:asciiTheme="majorBidi" w:hAnsiTheme="majorBidi" w:cstheme="majorBidi"/>
          <w:sz w:val="24"/>
          <w:szCs w:val="24"/>
        </w:rPr>
        <w:t>abdominal distension(n=9) and abdominal pain(n=6)</w:t>
      </w:r>
      <w:r w:rsidR="00EC4DE9" w:rsidRPr="003F0CBB">
        <w:rPr>
          <w:rFonts w:asciiTheme="majorBidi" w:hAnsiTheme="majorBidi" w:cstheme="majorBidi"/>
          <w:sz w:val="24"/>
          <w:szCs w:val="24"/>
        </w:rPr>
        <w:t xml:space="preserve"> </w:t>
      </w:r>
      <w:r w:rsidRPr="003F0CBB">
        <w:rPr>
          <w:rFonts w:asciiTheme="majorBidi" w:hAnsiTheme="majorBidi" w:cstheme="majorBidi"/>
          <w:sz w:val="24"/>
          <w:szCs w:val="24"/>
        </w:rPr>
        <w:t>compared to patients without CD(n=39) as the prevalence of anorexia(n=2),</w:t>
      </w:r>
      <w:r w:rsidR="00330E82">
        <w:rPr>
          <w:rFonts w:asciiTheme="majorBidi" w:hAnsiTheme="majorBidi" w:cstheme="majorBidi"/>
          <w:sz w:val="24"/>
          <w:szCs w:val="24"/>
        </w:rPr>
        <w:t xml:space="preserve"> </w:t>
      </w:r>
      <w:r w:rsidRPr="003F0CBB">
        <w:rPr>
          <w:rFonts w:asciiTheme="majorBidi" w:hAnsiTheme="majorBidi" w:cstheme="majorBidi"/>
          <w:sz w:val="24"/>
          <w:szCs w:val="24"/>
        </w:rPr>
        <w:t>heartburn(n=3),</w:t>
      </w:r>
      <w:r w:rsidR="00330E82">
        <w:rPr>
          <w:rFonts w:asciiTheme="majorBidi" w:hAnsiTheme="majorBidi" w:cstheme="majorBidi"/>
          <w:sz w:val="24"/>
          <w:szCs w:val="24"/>
        </w:rPr>
        <w:t xml:space="preserve"> </w:t>
      </w:r>
      <w:r w:rsidRPr="003F0CBB">
        <w:rPr>
          <w:rFonts w:asciiTheme="majorBidi" w:hAnsiTheme="majorBidi" w:cstheme="majorBidi"/>
          <w:sz w:val="24"/>
          <w:szCs w:val="24"/>
        </w:rPr>
        <w:t>dyspepsia(n=3),</w:t>
      </w:r>
      <w:r w:rsidR="00330E82">
        <w:rPr>
          <w:rFonts w:asciiTheme="majorBidi" w:hAnsiTheme="majorBidi" w:cstheme="majorBidi"/>
          <w:sz w:val="24"/>
          <w:szCs w:val="24"/>
        </w:rPr>
        <w:t xml:space="preserve"> </w:t>
      </w:r>
      <w:r w:rsidRPr="003F0CBB">
        <w:rPr>
          <w:rFonts w:asciiTheme="majorBidi" w:hAnsiTheme="majorBidi" w:cstheme="majorBidi"/>
          <w:sz w:val="24"/>
          <w:szCs w:val="24"/>
        </w:rPr>
        <w:t>nausea(n=3 ),</w:t>
      </w:r>
      <w:r w:rsidR="00330E82">
        <w:rPr>
          <w:rFonts w:asciiTheme="majorBidi" w:hAnsiTheme="majorBidi" w:cstheme="majorBidi"/>
          <w:sz w:val="24"/>
          <w:szCs w:val="24"/>
        </w:rPr>
        <w:t xml:space="preserve"> </w:t>
      </w:r>
      <w:r w:rsidRPr="003F0CBB">
        <w:rPr>
          <w:rFonts w:asciiTheme="majorBidi" w:hAnsiTheme="majorBidi" w:cstheme="majorBidi"/>
          <w:sz w:val="24"/>
          <w:szCs w:val="24"/>
        </w:rPr>
        <w:t>abdominal distension(n=4) and abdominal pain(n=3), p ˂0.001*,</w:t>
      </w:r>
      <w:r w:rsidRPr="003F0CBB">
        <w:rPr>
          <w:rFonts w:asciiTheme="majorBidi" w:hAnsiTheme="majorBidi" w:cstheme="majorBidi"/>
          <w:b/>
          <w:bCs/>
          <w:sz w:val="24"/>
          <w:szCs w:val="24"/>
        </w:rPr>
        <w:t>(Fig 2)</w:t>
      </w:r>
      <w:r w:rsidR="00330E82">
        <w:rPr>
          <w:rFonts w:asciiTheme="majorBidi" w:hAnsiTheme="majorBidi" w:cstheme="majorBidi"/>
          <w:b/>
          <w:bCs/>
          <w:sz w:val="24"/>
          <w:szCs w:val="24"/>
        </w:rPr>
        <w:t>.</w:t>
      </w:r>
    </w:p>
    <w:p w14:paraId="73C0C0F2" w14:textId="77777777" w:rsidR="008C697A" w:rsidRDefault="008C697A" w:rsidP="008C697A">
      <w:pPr>
        <w:keepNext/>
        <w:autoSpaceDE w:val="0"/>
        <w:autoSpaceDN w:val="0"/>
        <w:adjustRightInd w:val="0"/>
        <w:spacing w:after="0" w:line="360" w:lineRule="auto"/>
        <w:ind w:firstLine="720"/>
      </w:pPr>
      <w:r>
        <w:rPr>
          <w:noProof/>
        </w:rPr>
        <w:drawing>
          <wp:inline distT="0" distB="0" distL="0" distR="0" wp14:anchorId="5E40BC54" wp14:editId="6B373ED2">
            <wp:extent cx="5108575" cy="2865120"/>
            <wp:effectExtent l="19050" t="19050" r="15875" b="11430"/>
            <wp:docPr id="1429677062" name="Picture 1" descr="Fig2.  Distribution of Intestinal manifestations in patients with 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77062" name="Picture 1" descr="Fig2.  Distribution of Intestinal manifestations in patients with HT"/>
                    <pic:cNvPicPr>
                      <a:picLocks noChangeAspect="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08575" cy="2865120"/>
                    </a:xfrm>
                    <a:prstGeom prst="rect">
                      <a:avLst/>
                    </a:prstGeom>
                    <a:noFill/>
                    <a:ln>
                      <a:solidFill>
                        <a:sysClr val="windowText" lastClr="000000"/>
                      </a:solidFill>
                    </a:ln>
                  </pic:spPr>
                </pic:pic>
              </a:graphicData>
            </a:graphic>
          </wp:inline>
        </w:drawing>
      </w:r>
    </w:p>
    <w:p w14:paraId="7DF78B48" w14:textId="099FE6F3" w:rsidR="008C697A" w:rsidRPr="008C697A" w:rsidRDefault="008C697A" w:rsidP="008C697A">
      <w:pPr>
        <w:pStyle w:val="Caption"/>
      </w:pPr>
      <w:bookmarkStart w:id="16" w:name="_Toc157866589"/>
      <w:r>
        <w:t>Fig</w:t>
      </w:r>
      <w:r>
        <w:fldChar w:fldCharType="begin"/>
      </w:r>
      <w:r>
        <w:instrText xml:space="preserve"> SEQ Figure \* ARABIC </w:instrText>
      </w:r>
      <w:r>
        <w:fldChar w:fldCharType="separate"/>
      </w:r>
      <w:r w:rsidR="009E3E4D">
        <w:rPr>
          <w:noProof/>
        </w:rPr>
        <w:t>2</w:t>
      </w:r>
      <w:r>
        <w:fldChar w:fldCharType="end"/>
      </w:r>
      <w:r>
        <w:t>.</w:t>
      </w:r>
      <w:r w:rsidRPr="008C697A">
        <w:t xml:space="preserve"> Distribution of Intestinal manifestations in patients with HT</w:t>
      </w:r>
      <w:bookmarkEnd w:id="16"/>
    </w:p>
    <w:p w14:paraId="68BBF6DF" w14:textId="5BAEB064" w:rsidR="00167793" w:rsidRDefault="002C1DAC" w:rsidP="00DF78E8">
      <w:pPr>
        <w:spacing w:line="360" w:lineRule="auto"/>
        <w:ind w:firstLine="720"/>
        <w:jc w:val="both"/>
        <w:rPr>
          <w:rFonts w:asciiTheme="majorBidi" w:hAnsiTheme="majorBidi" w:cstheme="majorBidi"/>
          <w:b/>
          <w:bCs/>
          <w:sz w:val="24"/>
          <w:szCs w:val="24"/>
        </w:rPr>
      </w:pPr>
      <w:r w:rsidRPr="003F0CBB">
        <w:rPr>
          <w:rFonts w:asciiTheme="majorBidi" w:hAnsiTheme="majorBidi" w:cstheme="majorBidi"/>
          <w:sz w:val="24"/>
          <w:szCs w:val="24"/>
        </w:rPr>
        <w:t xml:space="preserve">Regards the extra -intestinal manifestations, patients with CD(n=11) there was significantly higher prevalence of </w:t>
      </w:r>
      <w:bookmarkStart w:id="17" w:name="_Hlk155907672"/>
      <w:r w:rsidR="00400A0C" w:rsidRPr="003F0CBB">
        <w:rPr>
          <w:rFonts w:asciiTheme="majorBidi" w:hAnsiTheme="majorBidi" w:cstheme="majorBidi"/>
          <w:sz w:val="24"/>
          <w:szCs w:val="24"/>
        </w:rPr>
        <w:t>weight loss(n=</w:t>
      </w:r>
      <w:r w:rsidR="00EC4DE9" w:rsidRPr="003F0CBB">
        <w:rPr>
          <w:rFonts w:asciiTheme="majorBidi" w:hAnsiTheme="majorBidi" w:cstheme="majorBidi"/>
          <w:sz w:val="24"/>
          <w:szCs w:val="24"/>
        </w:rPr>
        <w:t>5</w:t>
      </w:r>
      <w:r w:rsidR="00400A0C" w:rsidRPr="003F0CBB">
        <w:rPr>
          <w:rFonts w:asciiTheme="majorBidi" w:hAnsiTheme="majorBidi" w:cstheme="majorBidi"/>
          <w:sz w:val="24"/>
          <w:szCs w:val="24"/>
        </w:rPr>
        <w:t>), anemia(n=</w:t>
      </w:r>
      <w:r w:rsidR="00EC4DE9" w:rsidRPr="003F0CBB">
        <w:rPr>
          <w:rFonts w:asciiTheme="majorBidi" w:hAnsiTheme="majorBidi" w:cstheme="majorBidi"/>
          <w:sz w:val="24"/>
          <w:szCs w:val="24"/>
        </w:rPr>
        <w:t>8</w:t>
      </w:r>
      <w:r w:rsidR="00400A0C" w:rsidRPr="003F0CBB">
        <w:rPr>
          <w:rFonts w:asciiTheme="majorBidi" w:hAnsiTheme="majorBidi" w:cstheme="majorBidi"/>
          <w:sz w:val="24"/>
          <w:szCs w:val="24"/>
        </w:rPr>
        <w:t>),</w:t>
      </w:r>
      <w:r w:rsidR="001317C7">
        <w:rPr>
          <w:rFonts w:asciiTheme="majorBidi" w:hAnsiTheme="majorBidi" w:cstheme="majorBidi"/>
          <w:sz w:val="24"/>
          <w:szCs w:val="24"/>
        </w:rPr>
        <w:t xml:space="preserve"> </w:t>
      </w:r>
      <w:r w:rsidR="00400A0C" w:rsidRPr="003F0CBB">
        <w:rPr>
          <w:rFonts w:asciiTheme="majorBidi" w:hAnsiTheme="majorBidi" w:cstheme="majorBidi"/>
          <w:sz w:val="24"/>
          <w:szCs w:val="24"/>
        </w:rPr>
        <w:t>bleeding tendency(n=</w:t>
      </w:r>
      <w:r w:rsidR="00EC4DE9" w:rsidRPr="003F0CBB">
        <w:rPr>
          <w:rFonts w:asciiTheme="majorBidi" w:hAnsiTheme="majorBidi" w:cstheme="majorBidi"/>
          <w:sz w:val="24"/>
          <w:szCs w:val="24"/>
        </w:rPr>
        <w:t>4</w:t>
      </w:r>
      <w:r w:rsidR="00400A0C" w:rsidRPr="003F0CBB">
        <w:rPr>
          <w:rFonts w:asciiTheme="majorBidi" w:hAnsiTheme="majorBidi" w:cstheme="majorBidi"/>
          <w:sz w:val="24"/>
          <w:szCs w:val="24"/>
        </w:rPr>
        <w:t>),bone aches(n=</w:t>
      </w:r>
      <w:r w:rsidR="00EC4DE9" w:rsidRPr="003F0CBB">
        <w:rPr>
          <w:rFonts w:asciiTheme="majorBidi" w:hAnsiTheme="majorBidi" w:cstheme="majorBidi"/>
          <w:sz w:val="24"/>
          <w:szCs w:val="24"/>
        </w:rPr>
        <w:t>7</w:t>
      </w:r>
      <w:r w:rsidR="00400A0C" w:rsidRPr="003F0CBB">
        <w:rPr>
          <w:rFonts w:asciiTheme="majorBidi" w:hAnsiTheme="majorBidi" w:cstheme="majorBidi"/>
          <w:sz w:val="24"/>
          <w:szCs w:val="24"/>
        </w:rPr>
        <w:t>),</w:t>
      </w:r>
      <w:r w:rsidR="001317C7">
        <w:rPr>
          <w:rFonts w:asciiTheme="majorBidi" w:hAnsiTheme="majorBidi" w:cstheme="majorBidi"/>
          <w:sz w:val="24"/>
          <w:szCs w:val="24"/>
        </w:rPr>
        <w:t xml:space="preserve"> </w:t>
      </w:r>
      <w:r w:rsidR="00400A0C" w:rsidRPr="003F0CBB">
        <w:rPr>
          <w:rFonts w:asciiTheme="majorBidi" w:hAnsiTheme="majorBidi" w:cstheme="majorBidi"/>
          <w:sz w:val="24"/>
          <w:szCs w:val="24"/>
        </w:rPr>
        <w:t>dental enamel hypoplasia(n=</w:t>
      </w:r>
      <w:r w:rsidR="00EC4DE9" w:rsidRPr="003F0CBB">
        <w:rPr>
          <w:rFonts w:asciiTheme="majorBidi" w:hAnsiTheme="majorBidi" w:cstheme="majorBidi"/>
          <w:sz w:val="24"/>
          <w:szCs w:val="24"/>
        </w:rPr>
        <w:t>5</w:t>
      </w:r>
      <w:r w:rsidR="00400A0C" w:rsidRPr="003F0CBB">
        <w:rPr>
          <w:rFonts w:asciiTheme="majorBidi" w:hAnsiTheme="majorBidi" w:cstheme="majorBidi"/>
          <w:sz w:val="24"/>
          <w:szCs w:val="24"/>
        </w:rPr>
        <w:t>),</w:t>
      </w:r>
      <w:r w:rsidR="001317C7">
        <w:rPr>
          <w:rFonts w:asciiTheme="majorBidi" w:hAnsiTheme="majorBidi" w:cstheme="majorBidi"/>
          <w:sz w:val="24"/>
          <w:szCs w:val="24"/>
        </w:rPr>
        <w:t xml:space="preserve"> </w:t>
      </w:r>
      <w:r w:rsidR="00400A0C" w:rsidRPr="003F0CBB">
        <w:rPr>
          <w:rFonts w:asciiTheme="majorBidi" w:hAnsiTheme="majorBidi" w:cstheme="majorBidi"/>
          <w:sz w:val="24"/>
          <w:szCs w:val="24"/>
        </w:rPr>
        <w:t>and oral ulcers(n=</w:t>
      </w:r>
      <w:r w:rsidR="00EC4DE9" w:rsidRPr="003F0CBB">
        <w:rPr>
          <w:rFonts w:asciiTheme="majorBidi" w:hAnsiTheme="majorBidi" w:cstheme="majorBidi"/>
          <w:sz w:val="24"/>
          <w:szCs w:val="24"/>
        </w:rPr>
        <w:t>6</w:t>
      </w:r>
      <w:r w:rsidR="00400A0C" w:rsidRPr="003F0CBB">
        <w:rPr>
          <w:rFonts w:asciiTheme="majorBidi" w:hAnsiTheme="majorBidi" w:cstheme="majorBidi"/>
          <w:sz w:val="24"/>
          <w:szCs w:val="24"/>
        </w:rPr>
        <w:t>)</w:t>
      </w:r>
      <w:r w:rsidR="00EC4DE9" w:rsidRPr="003F0CBB">
        <w:rPr>
          <w:rFonts w:asciiTheme="majorBidi" w:hAnsiTheme="majorBidi" w:cstheme="majorBidi"/>
          <w:sz w:val="24"/>
          <w:szCs w:val="24"/>
        </w:rPr>
        <w:t xml:space="preserve"> </w:t>
      </w:r>
      <w:bookmarkEnd w:id="17"/>
      <w:r w:rsidR="00EC4DE9" w:rsidRPr="003F0CBB">
        <w:rPr>
          <w:rFonts w:asciiTheme="majorBidi" w:hAnsiTheme="majorBidi" w:cstheme="majorBidi"/>
          <w:sz w:val="24"/>
          <w:szCs w:val="24"/>
        </w:rPr>
        <w:t>compared to patients without CD(n=39)  as the frequency of weight loss(n=2), anemia(n=2),bleeding tendency(n=1),bone aches(n=6),</w:t>
      </w:r>
      <w:r w:rsidR="001317C7">
        <w:rPr>
          <w:rFonts w:asciiTheme="majorBidi" w:hAnsiTheme="majorBidi" w:cstheme="majorBidi"/>
          <w:sz w:val="24"/>
          <w:szCs w:val="24"/>
        </w:rPr>
        <w:t xml:space="preserve"> </w:t>
      </w:r>
      <w:r w:rsidR="00EC4DE9" w:rsidRPr="003F0CBB">
        <w:rPr>
          <w:rFonts w:asciiTheme="majorBidi" w:hAnsiTheme="majorBidi" w:cstheme="majorBidi"/>
          <w:sz w:val="24"/>
          <w:szCs w:val="24"/>
        </w:rPr>
        <w:t>dental enamel hypoplasia(n=2),</w:t>
      </w:r>
      <w:r w:rsidR="001317C7">
        <w:rPr>
          <w:rFonts w:asciiTheme="majorBidi" w:hAnsiTheme="majorBidi" w:cstheme="majorBidi"/>
          <w:sz w:val="24"/>
          <w:szCs w:val="24"/>
        </w:rPr>
        <w:t xml:space="preserve"> </w:t>
      </w:r>
      <w:r w:rsidR="00EC4DE9" w:rsidRPr="003F0CBB">
        <w:rPr>
          <w:rFonts w:asciiTheme="majorBidi" w:hAnsiTheme="majorBidi" w:cstheme="majorBidi"/>
          <w:sz w:val="24"/>
          <w:szCs w:val="24"/>
        </w:rPr>
        <w:t>and oral ulcers(n=1) , p ˂0.001*,</w:t>
      </w:r>
      <w:r w:rsidR="00EC4DE9" w:rsidRPr="003F0CBB">
        <w:rPr>
          <w:rFonts w:asciiTheme="majorBidi" w:hAnsiTheme="majorBidi" w:cstheme="majorBidi"/>
          <w:b/>
          <w:bCs/>
          <w:sz w:val="24"/>
          <w:szCs w:val="24"/>
        </w:rPr>
        <w:t>(Fig 3)</w:t>
      </w:r>
      <w:r w:rsidR="00330E82">
        <w:rPr>
          <w:rFonts w:asciiTheme="majorBidi" w:hAnsiTheme="majorBidi" w:cstheme="majorBidi"/>
          <w:b/>
          <w:bCs/>
          <w:sz w:val="24"/>
          <w:szCs w:val="24"/>
        </w:rPr>
        <w:t>.</w:t>
      </w:r>
    </w:p>
    <w:p w14:paraId="1EC07EAA" w14:textId="77777777" w:rsidR="0089328E" w:rsidRDefault="0089328E" w:rsidP="0089328E">
      <w:pPr>
        <w:keepNext/>
        <w:spacing w:line="360" w:lineRule="auto"/>
        <w:ind w:firstLine="720"/>
        <w:jc w:val="both"/>
      </w:pPr>
      <w:r>
        <w:rPr>
          <w:noProof/>
        </w:rPr>
        <w:drawing>
          <wp:inline distT="0" distB="0" distL="0" distR="0" wp14:anchorId="6CB46F24" wp14:editId="1B20D325">
            <wp:extent cx="5187950" cy="3054350"/>
            <wp:effectExtent l="19050" t="19050" r="12700" b="12700"/>
            <wp:docPr id="964465707" name="Picture 2" descr="Fig3. Distribution of Extra Intestinal manifestations in patients with 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65707" name="Picture 2" descr="Fig3. Distribution of Extra Intestinal manifestations in patients with HT"/>
                    <pic:cNvPicPr>
                      <a:picLocks noChangeAspect="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87950" cy="3054350"/>
                    </a:xfrm>
                    <a:prstGeom prst="rect">
                      <a:avLst/>
                    </a:prstGeom>
                    <a:noFill/>
                    <a:ln>
                      <a:solidFill>
                        <a:sysClr val="windowText" lastClr="000000"/>
                      </a:solidFill>
                    </a:ln>
                  </pic:spPr>
                </pic:pic>
              </a:graphicData>
            </a:graphic>
          </wp:inline>
        </w:drawing>
      </w:r>
    </w:p>
    <w:p w14:paraId="381C6C0E" w14:textId="213D8441" w:rsidR="0089328E" w:rsidRPr="0089328E" w:rsidRDefault="0089328E" w:rsidP="0089328E">
      <w:pPr>
        <w:pStyle w:val="Caption"/>
        <w:jc w:val="both"/>
      </w:pPr>
      <w:bookmarkStart w:id="18" w:name="_Toc157866590"/>
      <w:r>
        <w:t>Fig</w:t>
      </w:r>
      <w:r>
        <w:fldChar w:fldCharType="begin"/>
      </w:r>
      <w:r>
        <w:instrText xml:space="preserve"> SEQ Figure \* ARABIC </w:instrText>
      </w:r>
      <w:r>
        <w:fldChar w:fldCharType="separate"/>
      </w:r>
      <w:r w:rsidR="009E3E4D">
        <w:rPr>
          <w:noProof/>
        </w:rPr>
        <w:t>3</w:t>
      </w:r>
      <w:r>
        <w:fldChar w:fldCharType="end"/>
      </w:r>
      <w:r>
        <w:t>.</w:t>
      </w:r>
      <w:r w:rsidRPr="0089328E">
        <w:t xml:space="preserve"> Distribution of Extra Intestinal manifestations in patients with HT</w:t>
      </w:r>
      <w:bookmarkEnd w:id="18"/>
    </w:p>
    <w:p w14:paraId="38A1208A" w14:textId="50DE1BB5" w:rsidR="00EC4DE9" w:rsidRDefault="002C1DAC" w:rsidP="00DF78E8">
      <w:pPr>
        <w:spacing w:line="360" w:lineRule="auto"/>
        <w:ind w:firstLine="720"/>
        <w:jc w:val="both"/>
        <w:rPr>
          <w:rFonts w:asciiTheme="majorBidi" w:hAnsiTheme="majorBidi" w:cstheme="majorBidi"/>
          <w:b/>
          <w:bCs/>
          <w:sz w:val="24"/>
          <w:szCs w:val="24"/>
        </w:rPr>
      </w:pPr>
      <w:r w:rsidRPr="003F0CBB">
        <w:rPr>
          <w:rFonts w:asciiTheme="majorBidi" w:eastAsia="Times New Roman" w:hAnsiTheme="majorBidi" w:cstheme="majorBidi"/>
          <w:sz w:val="24"/>
          <w:szCs w:val="24"/>
          <w:lang w:bidi="ar-EG"/>
        </w:rPr>
        <w:t>The most important findings of the current research</w:t>
      </w:r>
      <w:r w:rsidRPr="003F0CBB">
        <w:rPr>
          <w:rFonts w:asciiTheme="majorBidi" w:hAnsiTheme="majorBidi" w:cstheme="majorBidi"/>
          <w:sz w:val="24"/>
          <w:szCs w:val="24"/>
        </w:rPr>
        <w:t xml:space="preserve"> were the results of RT-</w:t>
      </w:r>
      <w:r w:rsidR="00FA5C04" w:rsidRPr="003F0CBB">
        <w:rPr>
          <w:rFonts w:asciiTheme="majorBidi" w:hAnsiTheme="majorBidi" w:cstheme="majorBidi"/>
          <w:sz w:val="24"/>
          <w:szCs w:val="24"/>
        </w:rPr>
        <w:t>PCR</w:t>
      </w:r>
      <w:r w:rsidR="0088290D">
        <w:rPr>
          <w:rFonts w:asciiTheme="majorBidi" w:hAnsiTheme="majorBidi" w:cstheme="majorBidi"/>
          <w:sz w:val="24"/>
          <w:szCs w:val="24"/>
        </w:rPr>
        <w:t>,</w:t>
      </w:r>
      <w:r w:rsidR="00FA5C04" w:rsidRPr="003F0CBB">
        <w:rPr>
          <w:rFonts w:asciiTheme="majorBidi" w:hAnsiTheme="majorBidi" w:cstheme="majorBidi"/>
          <w:sz w:val="24"/>
          <w:szCs w:val="24"/>
        </w:rPr>
        <w:t xml:space="preserve"> which</w:t>
      </w:r>
      <w:r w:rsidRPr="003F0CBB">
        <w:rPr>
          <w:rFonts w:asciiTheme="majorBidi" w:hAnsiTheme="majorBidi" w:cstheme="majorBidi"/>
          <w:sz w:val="24"/>
          <w:szCs w:val="24"/>
        </w:rPr>
        <w:t xml:space="preserve"> </w:t>
      </w:r>
      <w:r w:rsidR="0088290D">
        <w:rPr>
          <w:rFonts w:asciiTheme="majorBidi" w:hAnsiTheme="majorBidi" w:cstheme="majorBidi"/>
          <w:sz w:val="24"/>
          <w:szCs w:val="24"/>
        </w:rPr>
        <w:t>assesses</w:t>
      </w:r>
      <w:r w:rsidRPr="003F0CBB">
        <w:rPr>
          <w:rFonts w:asciiTheme="majorBidi" w:hAnsiTheme="majorBidi" w:cstheme="majorBidi"/>
          <w:sz w:val="24"/>
          <w:szCs w:val="24"/>
        </w:rPr>
        <w:t xml:space="preserve"> the level of </w:t>
      </w:r>
      <w:r w:rsidRPr="003F0CBB">
        <w:rPr>
          <w:rFonts w:asciiTheme="majorBidi" w:eastAsia="Times New Roman" w:hAnsiTheme="majorBidi" w:cstheme="majorBidi"/>
          <w:sz w:val="24"/>
          <w:szCs w:val="24"/>
          <w:lang w:bidi="ar-EG"/>
        </w:rPr>
        <w:t>lncRNA IFNG-AS1</w:t>
      </w:r>
      <w:r w:rsidR="00FA5C04" w:rsidRPr="003F0CBB">
        <w:rPr>
          <w:rFonts w:asciiTheme="majorBidi" w:eastAsia="Times New Roman" w:hAnsiTheme="majorBidi" w:cstheme="majorBidi"/>
          <w:sz w:val="24"/>
          <w:szCs w:val="24"/>
          <w:lang w:bidi="ar-EG"/>
        </w:rPr>
        <w:t>relative expression</w:t>
      </w:r>
      <w:r w:rsidR="0088290D">
        <w:rPr>
          <w:rFonts w:asciiTheme="majorBidi" w:eastAsia="Times New Roman" w:hAnsiTheme="majorBidi" w:cstheme="majorBidi"/>
          <w:sz w:val="24"/>
          <w:szCs w:val="24"/>
          <w:lang w:bidi="ar-EG"/>
        </w:rPr>
        <w:t>; there</w:t>
      </w:r>
      <w:r w:rsidR="005132A2" w:rsidRPr="003F0CBB">
        <w:rPr>
          <w:rFonts w:asciiTheme="majorBidi" w:eastAsia="Times New Roman" w:hAnsiTheme="majorBidi" w:cstheme="majorBidi"/>
          <w:sz w:val="24"/>
          <w:szCs w:val="24"/>
          <w:lang w:bidi="ar-EG"/>
        </w:rPr>
        <w:t xml:space="preserve"> were significantly higher </w:t>
      </w:r>
      <w:r w:rsidR="00191476" w:rsidRPr="003F0CBB">
        <w:rPr>
          <w:rFonts w:asciiTheme="majorBidi" w:eastAsia="Times New Roman" w:hAnsiTheme="majorBidi" w:cstheme="majorBidi"/>
          <w:sz w:val="24"/>
          <w:szCs w:val="24"/>
          <w:lang w:bidi="ar-EG"/>
        </w:rPr>
        <w:t>values in</w:t>
      </w:r>
      <w:r w:rsidRPr="003F0CBB">
        <w:rPr>
          <w:rFonts w:asciiTheme="majorBidi" w:eastAsia="Times New Roman" w:hAnsiTheme="majorBidi" w:cstheme="majorBidi"/>
          <w:sz w:val="24"/>
          <w:szCs w:val="24"/>
          <w:lang w:bidi="ar-EG"/>
        </w:rPr>
        <w:t xml:space="preserve"> patients with CD</w:t>
      </w:r>
      <w:r w:rsidR="00106F2C" w:rsidRPr="003F0CBB">
        <w:rPr>
          <w:rFonts w:asciiTheme="majorBidi" w:eastAsia="Times New Roman" w:hAnsiTheme="majorBidi" w:cstheme="majorBidi"/>
          <w:sz w:val="24"/>
          <w:szCs w:val="24"/>
          <w:lang w:bidi="ar-EG"/>
        </w:rPr>
        <w:t xml:space="preserve"> </w:t>
      </w:r>
      <w:r w:rsidRPr="003F0CBB">
        <w:rPr>
          <w:rFonts w:asciiTheme="majorBidi" w:eastAsia="Times New Roman" w:hAnsiTheme="majorBidi" w:cstheme="majorBidi"/>
          <w:sz w:val="24"/>
          <w:szCs w:val="24"/>
          <w:lang w:bidi="ar-EG"/>
        </w:rPr>
        <w:t>(4.17</w:t>
      </w:r>
      <w:r w:rsidRPr="003F0CBB">
        <w:rPr>
          <w:rFonts w:asciiTheme="majorBidi" w:hAnsiTheme="majorBidi" w:cstheme="majorBidi"/>
          <w:sz w:val="24"/>
          <w:szCs w:val="24"/>
        </w:rPr>
        <w:t>±</w:t>
      </w:r>
      <w:r w:rsidRPr="003F0CBB">
        <w:rPr>
          <w:rFonts w:asciiTheme="majorBidi" w:eastAsia="Times New Roman" w:hAnsiTheme="majorBidi" w:cstheme="majorBidi"/>
          <w:sz w:val="24"/>
          <w:szCs w:val="24"/>
          <w:lang w:bidi="ar-EG"/>
        </w:rPr>
        <w:t xml:space="preserve">0.618) compared to patients without </w:t>
      </w:r>
      <w:r w:rsidR="009A4F01" w:rsidRPr="003F0CBB">
        <w:rPr>
          <w:rFonts w:asciiTheme="majorBidi" w:eastAsia="Times New Roman" w:hAnsiTheme="majorBidi" w:cstheme="majorBidi"/>
          <w:sz w:val="24"/>
          <w:szCs w:val="24"/>
          <w:lang w:bidi="ar-EG"/>
        </w:rPr>
        <w:t>CD</w:t>
      </w:r>
      <w:r w:rsidR="001139F0" w:rsidRPr="003F0CBB">
        <w:rPr>
          <w:rFonts w:asciiTheme="majorBidi" w:eastAsia="Times New Roman" w:hAnsiTheme="majorBidi" w:cstheme="majorBidi"/>
          <w:sz w:val="24"/>
          <w:szCs w:val="24"/>
          <w:lang w:bidi="ar-EG"/>
        </w:rPr>
        <w:t xml:space="preserve"> </w:t>
      </w:r>
      <w:r w:rsidR="009A4F01" w:rsidRPr="003F0CBB">
        <w:rPr>
          <w:rFonts w:asciiTheme="majorBidi" w:eastAsia="Times New Roman" w:hAnsiTheme="majorBidi" w:cstheme="majorBidi"/>
          <w:sz w:val="24"/>
          <w:szCs w:val="24"/>
          <w:lang w:bidi="ar-EG"/>
        </w:rPr>
        <w:t>(1</w:t>
      </w:r>
      <w:r w:rsidRPr="003F0CBB">
        <w:rPr>
          <w:rFonts w:asciiTheme="majorBidi" w:eastAsia="Times New Roman" w:hAnsiTheme="majorBidi" w:cstheme="majorBidi"/>
          <w:sz w:val="24"/>
          <w:szCs w:val="24"/>
          <w:lang w:bidi="ar-EG"/>
        </w:rPr>
        <w:t>.92</w:t>
      </w:r>
      <w:r w:rsidRPr="003F0CBB">
        <w:rPr>
          <w:rFonts w:asciiTheme="majorBidi" w:hAnsiTheme="majorBidi" w:cstheme="majorBidi"/>
          <w:sz w:val="24"/>
          <w:szCs w:val="24"/>
        </w:rPr>
        <w:t>±</w:t>
      </w:r>
      <w:r w:rsidRPr="003F0CBB">
        <w:rPr>
          <w:rFonts w:asciiTheme="majorBidi" w:eastAsia="Times New Roman" w:hAnsiTheme="majorBidi" w:cstheme="majorBidi"/>
          <w:sz w:val="24"/>
          <w:szCs w:val="24"/>
          <w:lang w:bidi="ar-EG"/>
        </w:rPr>
        <w:t>0.52) and control group (0.98±</w:t>
      </w:r>
      <w:r w:rsidR="009A4F01" w:rsidRPr="003F0CBB">
        <w:rPr>
          <w:rFonts w:asciiTheme="majorBidi" w:eastAsia="Times New Roman" w:hAnsiTheme="majorBidi" w:cstheme="majorBidi"/>
          <w:sz w:val="24"/>
          <w:szCs w:val="24"/>
          <w:lang w:bidi="ar-EG"/>
        </w:rPr>
        <w:t>0</w:t>
      </w:r>
      <w:r w:rsidRPr="003F0CBB">
        <w:rPr>
          <w:rFonts w:asciiTheme="majorBidi" w:eastAsia="Times New Roman" w:hAnsiTheme="majorBidi" w:cstheme="majorBidi"/>
          <w:sz w:val="24"/>
          <w:szCs w:val="24"/>
          <w:lang w:bidi="ar-EG"/>
        </w:rPr>
        <w:t>.</w:t>
      </w:r>
      <w:r w:rsidR="001139F0" w:rsidRPr="003F0CBB">
        <w:rPr>
          <w:rFonts w:asciiTheme="majorBidi" w:eastAsia="Times New Roman" w:hAnsiTheme="majorBidi" w:cstheme="majorBidi"/>
          <w:sz w:val="24"/>
          <w:szCs w:val="24"/>
          <w:lang w:bidi="ar-EG"/>
        </w:rPr>
        <w:t>21)</w:t>
      </w:r>
      <w:r w:rsidRPr="003F0CBB">
        <w:rPr>
          <w:rFonts w:asciiTheme="majorBidi" w:eastAsia="Times New Roman" w:hAnsiTheme="majorBidi" w:cstheme="majorBidi"/>
          <w:sz w:val="24"/>
          <w:szCs w:val="24"/>
          <w:lang w:bidi="ar-EG"/>
        </w:rPr>
        <w:t>,</w:t>
      </w:r>
      <w:r w:rsidRPr="003F0CBB">
        <w:rPr>
          <w:rFonts w:asciiTheme="majorBidi" w:hAnsiTheme="majorBidi" w:cstheme="majorBidi"/>
          <w:sz w:val="24"/>
          <w:szCs w:val="24"/>
        </w:rPr>
        <w:t xml:space="preserve"> p ˂0.001</w:t>
      </w:r>
      <w:r w:rsidR="0088290D" w:rsidRPr="003F0CBB">
        <w:rPr>
          <w:rFonts w:asciiTheme="majorBidi" w:hAnsiTheme="majorBidi" w:cstheme="majorBidi"/>
          <w:sz w:val="24"/>
          <w:szCs w:val="24"/>
        </w:rPr>
        <w:t>*,</w:t>
      </w:r>
      <w:r w:rsidR="0088290D" w:rsidRPr="003F0CBB">
        <w:rPr>
          <w:rFonts w:asciiTheme="majorBidi" w:hAnsiTheme="majorBidi" w:cstheme="majorBidi"/>
          <w:b/>
          <w:bCs/>
          <w:sz w:val="24"/>
          <w:szCs w:val="24"/>
        </w:rPr>
        <w:t xml:space="preserve"> (</w:t>
      </w:r>
      <w:r w:rsidRPr="003F0CBB">
        <w:rPr>
          <w:rFonts w:asciiTheme="majorBidi" w:hAnsiTheme="majorBidi" w:cstheme="majorBidi"/>
          <w:b/>
          <w:bCs/>
          <w:sz w:val="24"/>
          <w:szCs w:val="24"/>
        </w:rPr>
        <w:t>Fig4)</w:t>
      </w:r>
      <w:r w:rsidR="0089328E">
        <w:rPr>
          <w:rFonts w:asciiTheme="majorBidi" w:hAnsiTheme="majorBidi" w:cstheme="majorBidi"/>
          <w:b/>
          <w:bCs/>
          <w:sz w:val="24"/>
          <w:szCs w:val="24"/>
        </w:rPr>
        <w:t>.</w:t>
      </w:r>
    </w:p>
    <w:p w14:paraId="2D23ABE0" w14:textId="77777777" w:rsidR="0089328E" w:rsidRDefault="0089328E" w:rsidP="0089328E">
      <w:pPr>
        <w:keepNext/>
        <w:spacing w:line="360" w:lineRule="auto"/>
        <w:ind w:firstLine="720"/>
        <w:jc w:val="both"/>
      </w:pPr>
      <w:r>
        <w:rPr>
          <w:noProof/>
        </w:rPr>
        <w:drawing>
          <wp:inline distT="0" distB="0" distL="0" distR="0" wp14:anchorId="3A3B76B6" wp14:editId="7E447C8A">
            <wp:extent cx="4038600" cy="2971800"/>
            <wp:effectExtent l="19050" t="19050" r="19050" b="19050"/>
            <wp:docPr id="1129797396" name="Picture 5" descr="Fig4. Comparison of lncRNA IFNG-AS1 relative expression level  in studied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97396" name="Picture 5" descr="Fig4. Comparison of lncRNA IFNG-AS1 relative expression level  in studied groups"/>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0" cy="2971800"/>
                    </a:xfrm>
                    <a:prstGeom prst="rect">
                      <a:avLst/>
                    </a:prstGeom>
                    <a:noFill/>
                    <a:ln>
                      <a:solidFill>
                        <a:sysClr val="windowText" lastClr="000000"/>
                      </a:solidFill>
                    </a:ln>
                  </pic:spPr>
                </pic:pic>
              </a:graphicData>
            </a:graphic>
          </wp:inline>
        </w:drawing>
      </w:r>
    </w:p>
    <w:p w14:paraId="35065761" w14:textId="3345A5D8" w:rsidR="0089328E" w:rsidRPr="0089328E" w:rsidRDefault="0089328E" w:rsidP="0089328E">
      <w:pPr>
        <w:pStyle w:val="Caption"/>
        <w:jc w:val="both"/>
        <w:rPr>
          <w:lang w:val="en-GB"/>
        </w:rPr>
      </w:pPr>
      <w:bookmarkStart w:id="19" w:name="_Toc157866591"/>
      <w:r>
        <w:t>Fig</w:t>
      </w:r>
      <w:r>
        <w:fldChar w:fldCharType="begin"/>
      </w:r>
      <w:r>
        <w:instrText xml:space="preserve"> SEQ Figure \* ARABIC </w:instrText>
      </w:r>
      <w:r>
        <w:fldChar w:fldCharType="separate"/>
      </w:r>
      <w:r w:rsidR="009E3E4D">
        <w:rPr>
          <w:noProof/>
        </w:rPr>
        <w:t>4</w:t>
      </w:r>
      <w:r>
        <w:fldChar w:fldCharType="end"/>
      </w:r>
      <w:r>
        <w:t xml:space="preserve">. </w:t>
      </w:r>
      <w:r w:rsidRPr="0089328E">
        <w:rPr>
          <w:lang w:val="en-GB"/>
        </w:rPr>
        <w:t>Comparison of lncRNA IFNG-AS1 relative expression level in studied groups</w:t>
      </w:r>
      <w:bookmarkEnd w:id="19"/>
    </w:p>
    <w:p w14:paraId="60F5EB28" w14:textId="79BD3D30" w:rsidR="003B4C31" w:rsidRDefault="0088290D" w:rsidP="00DF78E8">
      <w:pPr>
        <w:spacing w:line="360" w:lineRule="auto"/>
        <w:ind w:firstLine="720"/>
        <w:jc w:val="both"/>
        <w:rPr>
          <w:rFonts w:asciiTheme="majorBidi" w:eastAsia="Times New Roman" w:hAnsiTheme="majorBidi" w:cstheme="majorBidi"/>
          <w:sz w:val="24"/>
          <w:szCs w:val="24"/>
          <w:lang w:bidi="ar-EG"/>
        </w:rPr>
      </w:pPr>
      <w:r>
        <w:rPr>
          <w:rFonts w:asciiTheme="majorBidi" w:eastAsia="Times New Roman" w:hAnsiTheme="majorBidi" w:cstheme="majorBidi"/>
          <w:sz w:val="24"/>
          <w:szCs w:val="24"/>
          <w:lang w:bidi="ar-EG"/>
        </w:rPr>
        <w:t xml:space="preserve">This study analyzed the correlation between lncRNA IFNG-AS1relative expression and intestinal and extra-intestinal manifestations in both </w:t>
      </w:r>
      <w:r w:rsidR="00CC4AF3" w:rsidRPr="003F0CBB">
        <w:rPr>
          <w:rFonts w:asciiTheme="majorBidi" w:eastAsia="Times New Roman" w:hAnsiTheme="majorBidi" w:cstheme="majorBidi"/>
          <w:sz w:val="24"/>
          <w:szCs w:val="24"/>
          <w:lang w:bidi="ar-EG"/>
        </w:rPr>
        <w:t>case groups</w:t>
      </w:r>
      <w:r w:rsidRPr="003F0CBB">
        <w:rPr>
          <w:rFonts w:asciiTheme="majorBidi" w:eastAsia="Times New Roman" w:hAnsiTheme="majorBidi" w:cstheme="majorBidi"/>
          <w:sz w:val="24"/>
          <w:szCs w:val="24"/>
          <w:lang w:bidi="ar-EG"/>
        </w:rPr>
        <w:t>. Among HT, patients with CD had significantly positive associations with anorexia, heartburn, dyspepsia, nausea, abdominal distension, abdominal pain, diarrhea, weight loss, anemia, bone aches, dental enamel hypoplasia,</w:t>
      </w:r>
      <w:r w:rsidR="00F25F7D" w:rsidRPr="003F0CBB">
        <w:rPr>
          <w:rFonts w:asciiTheme="majorBidi" w:eastAsia="Times New Roman" w:hAnsiTheme="majorBidi" w:cstheme="majorBidi"/>
          <w:sz w:val="24"/>
          <w:szCs w:val="24"/>
          <w:lang w:bidi="ar-EG"/>
        </w:rPr>
        <w:t xml:space="preserve"> and</w:t>
      </w:r>
      <w:r w:rsidRPr="003F0CBB">
        <w:rPr>
          <w:rFonts w:asciiTheme="majorBidi" w:eastAsia="Times New Roman" w:hAnsiTheme="majorBidi" w:cstheme="majorBidi"/>
          <w:sz w:val="24"/>
          <w:szCs w:val="24"/>
          <w:lang w:bidi="ar-EG"/>
        </w:rPr>
        <w:t xml:space="preserve"> oral ulcers</w:t>
      </w:r>
      <w:r w:rsidRPr="003F0CBB">
        <w:rPr>
          <w:rFonts w:asciiTheme="majorBidi" w:hAnsiTheme="majorBidi" w:cstheme="majorBidi"/>
          <w:sz w:val="24"/>
          <w:szCs w:val="24"/>
        </w:rPr>
        <w:t xml:space="preserve">, </w:t>
      </w:r>
      <w:r w:rsidR="006920F0" w:rsidRPr="003F0CBB">
        <w:rPr>
          <w:rFonts w:asciiTheme="majorBidi" w:hAnsiTheme="majorBidi" w:cstheme="majorBidi"/>
          <w:sz w:val="24"/>
          <w:szCs w:val="24"/>
        </w:rPr>
        <w:t>P</w:t>
      </w:r>
      <w:r w:rsidRPr="003F0CBB">
        <w:rPr>
          <w:rFonts w:asciiTheme="majorBidi" w:eastAsia="Times New Roman" w:hAnsiTheme="majorBidi" w:cstheme="majorBidi"/>
          <w:sz w:val="24"/>
          <w:szCs w:val="24"/>
          <w:lang w:bidi="ar-EG"/>
        </w:rPr>
        <w:t xml:space="preserve">˂0.001*. Concerning laboratory parameters, patients with CD had significantly positive associations with ALT, AST, </w:t>
      </w:r>
      <w:r w:rsidR="00106F2C" w:rsidRPr="003F0CBB">
        <w:rPr>
          <w:rFonts w:asciiTheme="majorBidi" w:hAnsiTheme="majorBidi" w:cstheme="majorBidi"/>
          <w:sz w:val="24"/>
          <w:szCs w:val="24"/>
        </w:rPr>
        <w:t>HbA1c</w:t>
      </w:r>
      <w:r w:rsidRPr="003F0CBB">
        <w:rPr>
          <w:rFonts w:asciiTheme="majorBidi" w:eastAsia="Times New Roman" w:hAnsiTheme="majorBidi" w:cstheme="majorBidi"/>
          <w:sz w:val="24"/>
          <w:szCs w:val="24"/>
          <w:lang w:bidi="ar-EG"/>
        </w:rPr>
        <w:t xml:space="preserve">, TSH, anti-TG, anti-TPO, and anti-TTG IgA. On the other hand, there was a </w:t>
      </w:r>
      <w:r w:rsidR="003C1F20" w:rsidRPr="0088290D">
        <w:rPr>
          <w:rFonts w:asciiTheme="majorBidi" w:eastAsia="Times New Roman" w:hAnsiTheme="majorBidi" w:cstheme="majorBidi"/>
          <w:sz w:val="24"/>
          <w:szCs w:val="24"/>
          <w:lang w:bidi="ar-EG"/>
        </w:rPr>
        <w:t>significantly</w:t>
      </w:r>
      <w:r w:rsidRPr="003F0CBB">
        <w:rPr>
          <w:rFonts w:asciiTheme="majorBidi" w:eastAsia="Times New Roman" w:hAnsiTheme="majorBidi" w:cstheme="majorBidi"/>
          <w:sz w:val="24"/>
          <w:szCs w:val="24"/>
          <w:lang w:bidi="ar-EG"/>
        </w:rPr>
        <w:t xml:space="preserve"> negative correlation </w:t>
      </w:r>
      <w:r w:rsidR="00106F2C" w:rsidRPr="003F0CBB">
        <w:rPr>
          <w:rFonts w:asciiTheme="majorBidi" w:eastAsia="Times New Roman" w:hAnsiTheme="majorBidi" w:cstheme="majorBidi"/>
          <w:sz w:val="24"/>
          <w:szCs w:val="24"/>
          <w:lang w:bidi="ar-EG"/>
        </w:rPr>
        <w:t xml:space="preserve">with </w:t>
      </w:r>
      <w:r w:rsidR="00F25F7D" w:rsidRPr="003F0CBB">
        <w:rPr>
          <w:rFonts w:asciiTheme="majorBidi" w:eastAsia="Times New Roman" w:hAnsiTheme="majorBidi" w:cstheme="majorBidi"/>
          <w:sz w:val="24"/>
          <w:szCs w:val="24"/>
          <w:lang w:bidi="ar-EG"/>
        </w:rPr>
        <w:t>Hb, FT</w:t>
      </w:r>
      <w:r w:rsidRPr="003F0CBB">
        <w:rPr>
          <w:rFonts w:asciiTheme="majorBidi" w:eastAsia="Times New Roman" w:hAnsiTheme="majorBidi" w:cstheme="majorBidi"/>
          <w:sz w:val="24"/>
          <w:szCs w:val="24"/>
          <w:lang w:bidi="ar-EG"/>
        </w:rPr>
        <w:t xml:space="preserve">3, and FT4, p ˂0.001* </w:t>
      </w:r>
      <w:r w:rsidRPr="003F0CBB">
        <w:rPr>
          <w:rFonts w:asciiTheme="majorBidi" w:eastAsia="Times New Roman" w:hAnsiTheme="majorBidi" w:cstheme="majorBidi"/>
          <w:b/>
          <w:bCs/>
          <w:sz w:val="24"/>
          <w:szCs w:val="24"/>
          <w:lang w:bidi="ar-EG"/>
        </w:rPr>
        <w:t>(Tab</w:t>
      </w:r>
      <w:r w:rsidR="00106F2C" w:rsidRPr="003F0CBB">
        <w:rPr>
          <w:rFonts w:asciiTheme="majorBidi" w:eastAsia="Times New Roman" w:hAnsiTheme="majorBidi" w:cstheme="majorBidi"/>
          <w:b/>
          <w:bCs/>
          <w:sz w:val="24"/>
          <w:szCs w:val="24"/>
          <w:lang w:bidi="ar-EG"/>
        </w:rPr>
        <w:t>2</w:t>
      </w:r>
      <w:r w:rsidRPr="003F0CBB">
        <w:rPr>
          <w:rFonts w:asciiTheme="majorBidi" w:eastAsia="Times New Roman" w:hAnsiTheme="majorBidi" w:cstheme="majorBidi"/>
          <w:b/>
          <w:bCs/>
          <w:sz w:val="24"/>
          <w:szCs w:val="24"/>
          <w:lang w:bidi="ar-EG"/>
        </w:rPr>
        <w:t>).</w:t>
      </w:r>
      <w:r w:rsidRPr="003F0CBB">
        <w:rPr>
          <w:rFonts w:asciiTheme="majorBidi" w:eastAsia="Times New Roman" w:hAnsiTheme="majorBidi" w:cstheme="majorBidi"/>
          <w:sz w:val="24"/>
          <w:szCs w:val="24"/>
          <w:lang w:bidi="ar-EG"/>
        </w:rPr>
        <w:t xml:space="preserve"> </w:t>
      </w:r>
    </w:p>
    <w:p w14:paraId="47EC0E85" w14:textId="303910B0" w:rsidR="00D95C6E" w:rsidRDefault="00D95C6E" w:rsidP="00D95C6E">
      <w:pPr>
        <w:pStyle w:val="Caption"/>
        <w:keepNext/>
      </w:pPr>
      <w:bookmarkStart w:id="20" w:name="_Toc157866289"/>
      <w:bookmarkStart w:id="21" w:name="_Toc157866468"/>
      <w:r>
        <w:t>Tab</w:t>
      </w:r>
      <w:r w:rsidR="002C1DAC">
        <w:fldChar w:fldCharType="begin"/>
      </w:r>
      <w:r w:rsidR="002C1DAC">
        <w:instrText xml:space="preserve"> SEQ Table \* ARABIC </w:instrText>
      </w:r>
      <w:r w:rsidR="002C1DAC">
        <w:fldChar w:fldCharType="separate"/>
      </w:r>
      <w:r w:rsidR="009E3E4D">
        <w:rPr>
          <w:noProof/>
        </w:rPr>
        <w:t>2</w:t>
      </w:r>
      <w:r w:rsidR="002C1DAC">
        <w:rPr>
          <w:noProof/>
        </w:rPr>
        <w:fldChar w:fldCharType="end"/>
      </w:r>
      <w:r>
        <w:t>.</w:t>
      </w:r>
      <w:r w:rsidRPr="00D95C6E">
        <w:t xml:space="preserve"> correlations between lncRNA IFNG-AS1 relative expression level and clinical </w:t>
      </w:r>
      <w:r>
        <w:t>and</w:t>
      </w:r>
      <w:r w:rsidRPr="00D95C6E">
        <w:t xml:space="preserve"> laboratory characteristics of HT groups</w:t>
      </w:r>
      <w:r>
        <w:t>.</w:t>
      </w:r>
      <w:bookmarkEnd w:id="20"/>
      <w:bookmarkEnd w:id="21"/>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correlations between lncRNA IFNG-AS1 relative expression level and clinical as well as laboratory characteristics of HT groups"/>
        <w:tblDescription w:val="p&lt;0.05"/>
      </w:tblPr>
      <w:tblGrid>
        <w:gridCol w:w="3183"/>
        <w:gridCol w:w="1400"/>
        <w:gridCol w:w="1376"/>
        <w:gridCol w:w="1185"/>
        <w:gridCol w:w="1486"/>
      </w:tblGrid>
      <w:tr w:rsidR="00D95C6E" w:rsidRPr="00D95C6E" w14:paraId="14CC1996" w14:textId="77777777" w:rsidTr="00D95C6E">
        <w:trPr>
          <w:trHeight w:val="405"/>
        </w:trPr>
        <w:tc>
          <w:tcPr>
            <w:tcW w:w="3183" w:type="dxa"/>
            <w:vMerge w:val="restart"/>
            <w:tcBorders>
              <w:top w:val="single" w:sz="4" w:space="0" w:color="auto"/>
            </w:tcBorders>
            <w:hideMark/>
          </w:tcPr>
          <w:p w14:paraId="3FD5AFF4" w14:textId="77777777" w:rsidR="00D95C6E" w:rsidRPr="00D95C6E" w:rsidRDefault="00D95C6E" w:rsidP="00D95C6E">
            <w:pPr>
              <w:autoSpaceDE w:val="0"/>
              <w:autoSpaceDN w:val="0"/>
              <w:adjustRightInd w:val="0"/>
              <w:rPr>
                <w:rFonts w:ascii="Times New Roman" w:eastAsia="Times New Roman" w:hAnsi="Times New Roman" w:cs="Times New Roman"/>
                <w:b/>
                <w:bCs/>
                <w:sz w:val="24"/>
                <w:szCs w:val="24"/>
              </w:rPr>
            </w:pPr>
            <w:r w:rsidRPr="00D95C6E">
              <w:rPr>
                <w:rFonts w:ascii="Times New Roman" w:eastAsia="Times New Roman" w:hAnsi="Times New Roman" w:cs="Times New Roman"/>
                <w:b/>
                <w:bCs/>
                <w:sz w:val="24"/>
                <w:szCs w:val="24"/>
              </w:rPr>
              <w:t>Characteristics</w:t>
            </w:r>
          </w:p>
        </w:tc>
        <w:tc>
          <w:tcPr>
            <w:tcW w:w="2776" w:type="dxa"/>
            <w:gridSpan w:val="2"/>
            <w:tcBorders>
              <w:top w:val="single" w:sz="4" w:space="0" w:color="auto"/>
            </w:tcBorders>
            <w:vAlign w:val="center"/>
            <w:hideMark/>
          </w:tcPr>
          <w:p w14:paraId="03CBECB3"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eastAsia="Times New Roman" w:hAnsi="Times New Roman" w:cs="Times New Roman"/>
                <w:b/>
                <w:bCs/>
              </w:rPr>
              <w:t>HT group without CD, n=39</w:t>
            </w:r>
          </w:p>
        </w:tc>
        <w:tc>
          <w:tcPr>
            <w:tcW w:w="2671" w:type="dxa"/>
            <w:gridSpan w:val="2"/>
            <w:tcBorders>
              <w:top w:val="single" w:sz="4" w:space="0" w:color="auto"/>
            </w:tcBorders>
            <w:hideMark/>
          </w:tcPr>
          <w:p w14:paraId="41444653" w14:textId="7FBB7CEA" w:rsidR="00D95C6E" w:rsidRPr="00D95C6E" w:rsidRDefault="00D95C6E" w:rsidP="00D95C6E">
            <w:pPr>
              <w:autoSpaceDE w:val="0"/>
              <w:autoSpaceDN w:val="0"/>
              <w:adjustRightInd w:val="0"/>
              <w:jc w:val="center"/>
              <w:rPr>
                <w:rFonts w:ascii="Times New Roman" w:eastAsia="Times New Roman" w:hAnsi="Times New Roman" w:cs="Times New Roman"/>
                <w:b/>
                <w:bCs/>
              </w:rPr>
            </w:pPr>
            <w:r w:rsidRPr="00D95C6E">
              <w:rPr>
                <w:rFonts w:ascii="Times New Roman" w:eastAsia="Times New Roman" w:hAnsi="Times New Roman" w:cs="Times New Roman"/>
                <w:b/>
                <w:bCs/>
              </w:rPr>
              <w:t>HT group with CD,</w:t>
            </w:r>
          </w:p>
          <w:p w14:paraId="734AB9F0"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eastAsia="Times New Roman" w:hAnsi="Times New Roman" w:cs="Times New Roman"/>
                <w:b/>
                <w:bCs/>
              </w:rPr>
              <w:t>n=11</w:t>
            </w:r>
          </w:p>
        </w:tc>
      </w:tr>
      <w:tr w:rsidR="00D95C6E" w:rsidRPr="00D95C6E" w14:paraId="3108D7A6" w14:textId="77777777" w:rsidTr="00D95C6E">
        <w:trPr>
          <w:trHeight w:val="260"/>
        </w:trPr>
        <w:tc>
          <w:tcPr>
            <w:tcW w:w="0" w:type="auto"/>
            <w:vMerge/>
            <w:tcBorders>
              <w:bottom w:val="single" w:sz="4" w:space="0" w:color="auto"/>
            </w:tcBorders>
            <w:vAlign w:val="center"/>
            <w:hideMark/>
          </w:tcPr>
          <w:p w14:paraId="74FE4A75" w14:textId="77777777" w:rsidR="00D95C6E" w:rsidRPr="00D95C6E" w:rsidRDefault="00D95C6E" w:rsidP="00D95C6E">
            <w:pPr>
              <w:rPr>
                <w:rFonts w:ascii="Times New Roman" w:eastAsia="Times New Roman" w:hAnsi="Times New Roman" w:cs="Times New Roman"/>
                <w:b/>
                <w:bCs/>
                <w:sz w:val="24"/>
                <w:szCs w:val="24"/>
              </w:rPr>
            </w:pPr>
          </w:p>
        </w:tc>
        <w:tc>
          <w:tcPr>
            <w:tcW w:w="1400" w:type="dxa"/>
            <w:tcBorders>
              <w:bottom w:val="single" w:sz="4" w:space="0" w:color="auto"/>
            </w:tcBorders>
            <w:hideMark/>
          </w:tcPr>
          <w:p w14:paraId="5A7B68D5" w14:textId="77777777" w:rsidR="00D95C6E" w:rsidRPr="00D95C6E" w:rsidRDefault="00D95C6E" w:rsidP="00D95C6E">
            <w:pPr>
              <w:autoSpaceDE w:val="0"/>
              <w:autoSpaceDN w:val="0"/>
              <w:adjustRightInd w:val="0"/>
              <w:jc w:val="center"/>
              <w:rPr>
                <w:rFonts w:ascii="Times New Roman" w:hAnsi="Times New Roman" w:cs="Times New Roman"/>
                <w:color w:val="000000"/>
                <w:sz w:val="24"/>
                <w:szCs w:val="24"/>
                <w:shd w:val="clear" w:color="auto" w:fill="FFFFFF"/>
              </w:rPr>
            </w:pPr>
            <w:r w:rsidRPr="00D95C6E">
              <w:rPr>
                <w:rFonts w:ascii="Times New Roman" w:hAnsi="Times New Roman" w:cs="Times New Roman"/>
                <w:color w:val="000000"/>
                <w:sz w:val="24"/>
                <w:szCs w:val="24"/>
                <w:shd w:val="clear" w:color="auto" w:fill="FFFFFF"/>
              </w:rPr>
              <w:t>r</w:t>
            </w:r>
          </w:p>
        </w:tc>
        <w:tc>
          <w:tcPr>
            <w:tcW w:w="1376" w:type="dxa"/>
            <w:tcBorders>
              <w:bottom w:val="single" w:sz="4" w:space="0" w:color="auto"/>
            </w:tcBorders>
            <w:hideMark/>
          </w:tcPr>
          <w:p w14:paraId="4B7196CF" w14:textId="77777777" w:rsidR="00D95C6E" w:rsidRPr="00D95C6E" w:rsidRDefault="00D95C6E" w:rsidP="00D95C6E">
            <w:pPr>
              <w:autoSpaceDE w:val="0"/>
              <w:autoSpaceDN w:val="0"/>
              <w:adjustRightInd w:val="0"/>
              <w:jc w:val="center"/>
              <w:rPr>
                <w:rFonts w:ascii="Times New Roman" w:hAnsi="Times New Roman" w:cs="Times New Roman"/>
                <w:color w:val="000000"/>
                <w:sz w:val="24"/>
                <w:szCs w:val="24"/>
                <w:shd w:val="clear" w:color="auto" w:fill="FFFFFF"/>
              </w:rPr>
            </w:pPr>
            <w:r w:rsidRPr="00D95C6E">
              <w:rPr>
                <w:rFonts w:ascii="Times New Roman" w:hAnsi="Times New Roman" w:cs="Times New Roman"/>
                <w:color w:val="000000"/>
                <w:sz w:val="24"/>
                <w:szCs w:val="24"/>
                <w:shd w:val="clear" w:color="auto" w:fill="FFFFFF"/>
              </w:rPr>
              <w:t>p</w:t>
            </w:r>
          </w:p>
        </w:tc>
        <w:tc>
          <w:tcPr>
            <w:tcW w:w="1185" w:type="dxa"/>
            <w:tcBorders>
              <w:bottom w:val="single" w:sz="4" w:space="0" w:color="auto"/>
            </w:tcBorders>
            <w:hideMark/>
          </w:tcPr>
          <w:p w14:paraId="5FB35E76" w14:textId="77777777" w:rsidR="00D95C6E" w:rsidRPr="00D95C6E" w:rsidRDefault="00D95C6E" w:rsidP="00D95C6E">
            <w:pPr>
              <w:autoSpaceDE w:val="0"/>
              <w:autoSpaceDN w:val="0"/>
              <w:adjustRightInd w:val="0"/>
              <w:jc w:val="center"/>
              <w:rPr>
                <w:rFonts w:ascii="Times New Roman" w:hAnsi="Times New Roman" w:cs="Times New Roman"/>
                <w:color w:val="000000"/>
                <w:sz w:val="24"/>
                <w:szCs w:val="24"/>
                <w:shd w:val="clear" w:color="auto" w:fill="FFFFFF"/>
              </w:rPr>
            </w:pPr>
            <w:r w:rsidRPr="00D95C6E">
              <w:rPr>
                <w:rFonts w:ascii="Times New Roman" w:hAnsi="Times New Roman" w:cs="Times New Roman"/>
                <w:color w:val="000000"/>
                <w:sz w:val="24"/>
                <w:szCs w:val="24"/>
                <w:shd w:val="clear" w:color="auto" w:fill="FFFFFF"/>
              </w:rPr>
              <w:t>r</w:t>
            </w:r>
          </w:p>
        </w:tc>
        <w:tc>
          <w:tcPr>
            <w:tcW w:w="1486" w:type="dxa"/>
            <w:tcBorders>
              <w:bottom w:val="single" w:sz="4" w:space="0" w:color="auto"/>
            </w:tcBorders>
            <w:hideMark/>
          </w:tcPr>
          <w:p w14:paraId="7F3BB7D8" w14:textId="77777777" w:rsidR="00D95C6E" w:rsidRPr="00D95C6E" w:rsidRDefault="00D95C6E" w:rsidP="00D95C6E">
            <w:pPr>
              <w:autoSpaceDE w:val="0"/>
              <w:autoSpaceDN w:val="0"/>
              <w:adjustRightInd w:val="0"/>
              <w:jc w:val="center"/>
              <w:rPr>
                <w:rFonts w:ascii="Times New Roman" w:hAnsi="Times New Roman" w:cs="Times New Roman"/>
                <w:color w:val="000000"/>
                <w:sz w:val="24"/>
                <w:szCs w:val="24"/>
                <w:shd w:val="clear" w:color="auto" w:fill="FFFFFF"/>
              </w:rPr>
            </w:pPr>
            <w:r w:rsidRPr="00D95C6E">
              <w:rPr>
                <w:rFonts w:ascii="Times New Roman" w:hAnsi="Times New Roman" w:cs="Times New Roman"/>
                <w:color w:val="000000"/>
                <w:sz w:val="24"/>
                <w:szCs w:val="24"/>
                <w:shd w:val="clear" w:color="auto" w:fill="FFFFFF"/>
              </w:rPr>
              <w:t>p</w:t>
            </w:r>
          </w:p>
        </w:tc>
      </w:tr>
      <w:tr w:rsidR="00D95C6E" w:rsidRPr="00D95C6E" w14:paraId="53DFAD0A" w14:textId="77777777" w:rsidTr="00D95C6E">
        <w:trPr>
          <w:trHeight w:val="197"/>
        </w:trPr>
        <w:tc>
          <w:tcPr>
            <w:tcW w:w="3183" w:type="dxa"/>
            <w:tcBorders>
              <w:top w:val="single" w:sz="4" w:space="0" w:color="auto"/>
            </w:tcBorders>
            <w:hideMark/>
          </w:tcPr>
          <w:p w14:paraId="3B45D0A6" w14:textId="77777777" w:rsidR="00D95C6E" w:rsidRPr="00D95C6E" w:rsidRDefault="00D95C6E" w:rsidP="00D95C6E">
            <w:pPr>
              <w:autoSpaceDE w:val="0"/>
              <w:autoSpaceDN w:val="0"/>
              <w:adjustRightInd w:val="0"/>
              <w:rPr>
                <w:rFonts w:ascii="Times New Roman" w:hAnsi="Times New Roman" w:cs="Times New Roman"/>
              </w:rPr>
            </w:pPr>
            <w:bookmarkStart w:id="22" w:name="_Hlk155910678"/>
            <w:r w:rsidRPr="00D95C6E">
              <w:rPr>
                <w:rFonts w:ascii="Times New Roman" w:hAnsi="Times New Roman" w:cs="Times New Roman"/>
                <w:sz w:val="24"/>
                <w:szCs w:val="24"/>
              </w:rPr>
              <w:t>Anorexia</w:t>
            </w:r>
          </w:p>
        </w:tc>
        <w:tc>
          <w:tcPr>
            <w:tcW w:w="1400" w:type="dxa"/>
            <w:tcBorders>
              <w:top w:val="single" w:sz="4" w:space="0" w:color="auto"/>
            </w:tcBorders>
            <w:hideMark/>
          </w:tcPr>
          <w:p w14:paraId="006245E1"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0.384</w:t>
            </w:r>
          </w:p>
        </w:tc>
        <w:tc>
          <w:tcPr>
            <w:tcW w:w="1376" w:type="dxa"/>
            <w:tcBorders>
              <w:top w:val="single" w:sz="4" w:space="0" w:color="auto"/>
            </w:tcBorders>
            <w:hideMark/>
          </w:tcPr>
          <w:p w14:paraId="551F667C"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tcBorders>
              <w:top w:val="single" w:sz="4" w:space="0" w:color="auto"/>
            </w:tcBorders>
            <w:hideMark/>
          </w:tcPr>
          <w:p w14:paraId="30AB8129"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0.483</w:t>
            </w:r>
          </w:p>
        </w:tc>
        <w:tc>
          <w:tcPr>
            <w:tcW w:w="1486" w:type="dxa"/>
            <w:tcBorders>
              <w:top w:val="single" w:sz="4" w:space="0" w:color="auto"/>
            </w:tcBorders>
            <w:hideMark/>
          </w:tcPr>
          <w:p w14:paraId="3E86C927"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5BA572A3" w14:textId="77777777" w:rsidTr="00D95C6E">
        <w:trPr>
          <w:trHeight w:val="197"/>
        </w:trPr>
        <w:tc>
          <w:tcPr>
            <w:tcW w:w="3183" w:type="dxa"/>
            <w:hideMark/>
          </w:tcPr>
          <w:p w14:paraId="46FE4A99"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Heartburn</w:t>
            </w:r>
          </w:p>
        </w:tc>
        <w:tc>
          <w:tcPr>
            <w:tcW w:w="1400" w:type="dxa"/>
            <w:hideMark/>
          </w:tcPr>
          <w:p w14:paraId="2480B3FD"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0.377</w:t>
            </w:r>
          </w:p>
        </w:tc>
        <w:tc>
          <w:tcPr>
            <w:tcW w:w="1376" w:type="dxa"/>
            <w:hideMark/>
          </w:tcPr>
          <w:p w14:paraId="7885B3AB"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3C4AA141"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0.449</w:t>
            </w:r>
          </w:p>
        </w:tc>
        <w:tc>
          <w:tcPr>
            <w:tcW w:w="1486" w:type="dxa"/>
            <w:hideMark/>
          </w:tcPr>
          <w:p w14:paraId="16191774"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6FC76B96" w14:textId="77777777" w:rsidTr="00D95C6E">
        <w:trPr>
          <w:trHeight w:val="197"/>
        </w:trPr>
        <w:tc>
          <w:tcPr>
            <w:tcW w:w="3183" w:type="dxa"/>
            <w:hideMark/>
          </w:tcPr>
          <w:p w14:paraId="752BCB93"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Dyspepsia</w:t>
            </w:r>
          </w:p>
        </w:tc>
        <w:tc>
          <w:tcPr>
            <w:tcW w:w="1400" w:type="dxa"/>
            <w:hideMark/>
          </w:tcPr>
          <w:p w14:paraId="2C2DC9FA"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0.363</w:t>
            </w:r>
          </w:p>
        </w:tc>
        <w:tc>
          <w:tcPr>
            <w:tcW w:w="1376" w:type="dxa"/>
            <w:hideMark/>
          </w:tcPr>
          <w:p w14:paraId="73AA5428"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686B88A7"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0.487</w:t>
            </w:r>
          </w:p>
        </w:tc>
        <w:tc>
          <w:tcPr>
            <w:tcW w:w="1486" w:type="dxa"/>
            <w:hideMark/>
          </w:tcPr>
          <w:p w14:paraId="00664DE8"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21621E9F" w14:textId="77777777" w:rsidTr="00D95C6E">
        <w:trPr>
          <w:trHeight w:val="197"/>
        </w:trPr>
        <w:tc>
          <w:tcPr>
            <w:tcW w:w="3183" w:type="dxa"/>
            <w:hideMark/>
          </w:tcPr>
          <w:p w14:paraId="50773D13"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Nausea</w:t>
            </w:r>
          </w:p>
        </w:tc>
        <w:tc>
          <w:tcPr>
            <w:tcW w:w="1400" w:type="dxa"/>
            <w:hideMark/>
          </w:tcPr>
          <w:p w14:paraId="096ED334"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0.569</w:t>
            </w:r>
          </w:p>
        </w:tc>
        <w:tc>
          <w:tcPr>
            <w:tcW w:w="1376" w:type="dxa"/>
            <w:hideMark/>
          </w:tcPr>
          <w:p w14:paraId="7BA9286F"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23813385"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0.456</w:t>
            </w:r>
          </w:p>
        </w:tc>
        <w:tc>
          <w:tcPr>
            <w:tcW w:w="1486" w:type="dxa"/>
            <w:hideMark/>
          </w:tcPr>
          <w:p w14:paraId="2EA23F46"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bookmarkEnd w:id="22"/>
      </w:tr>
      <w:tr w:rsidR="00D95C6E" w:rsidRPr="00D95C6E" w14:paraId="04F939E2" w14:textId="77777777" w:rsidTr="00D95C6E">
        <w:trPr>
          <w:trHeight w:val="197"/>
        </w:trPr>
        <w:tc>
          <w:tcPr>
            <w:tcW w:w="3183" w:type="dxa"/>
            <w:hideMark/>
          </w:tcPr>
          <w:p w14:paraId="4C3D8A76" w14:textId="77777777" w:rsidR="00D95C6E" w:rsidRPr="00D95C6E" w:rsidRDefault="00D95C6E" w:rsidP="00D95C6E">
            <w:pPr>
              <w:autoSpaceDE w:val="0"/>
              <w:autoSpaceDN w:val="0"/>
              <w:adjustRightInd w:val="0"/>
              <w:rPr>
                <w:rFonts w:ascii="Times New Roman" w:hAnsi="Times New Roman" w:cs="Times New Roman"/>
              </w:rPr>
            </w:pPr>
            <w:bookmarkStart w:id="23" w:name="_Hlk155910782"/>
            <w:r w:rsidRPr="00D95C6E">
              <w:rPr>
                <w:rFonts w:ascii="Times New Roman" w:hAnsi="Times New Roman" w:cs="Times New Roman"/>
                <w:sz w:val="24"/>
                <w:szCs w:val="24"/>
              </w:rPr>
              <w:t>Abdominal distension</w:t>
            </w:r>
          </w:p>
        </w:tc>
        <w:tc>
          <w:tcPr>
            <w:tcW w:w="1400" w:type="dxa"/>
            <w:hideMark/>
          </w:tcPr>
          <w:p w14:paraId="6FF59C64"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0.164</w:t>
            </w:r>
          </w:p>
        </w:tc>
        <w:tc>
          <w:tcPr>
            <w:tcW w:w="1376" w:type="dxa"/>
            <w:hideMark/>
          </w:tcPr>
          <w:p w14:paraId="3C7DAC21"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0.103</w:t>
            </w:r>
          </w:p>
        </w:tc>
        <w:tc>
          <w:tcPr>
            <w:tcW w:w="1185" w:type="dxa"/>
            <w:hideMark/>
          </w:tcPr>
          <w:p w14:paraId="3C4134F2"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0.53</w:t>
            </w:r>
            <w:r w:rsidRPr="00D95C6E">
              <w:rPr>
                <w:rFonts w:ascii="Times New Roman" w:eastAsia="Times New Roman" w:hAnsi="Times New Roman" w:cs="Times New Roman"/>
                <w:sz w:val="24"/>
                <w:szCs w:val="24"/>
              </w:rPr>
              <w:t>8</w:t>
            </w:r>
          </w:p>
        </w:tc>
        <w:tc>
          <w:tcPr>
            <w:tcW w:w="1486" w:type="dxa"/>
            <w:hideMark/>
          </w:tcPr>
          <w:p w14:paraId="2C990247"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10F87B93" w14:textId="77777777" w:rsidTr="00D95C6E">
        <w:trPr>
          <w:trHeight w:val="197"/>
        </w:trPr>
        <w:tc>
          <w:tcPr>
            <w:tcW w:w="3183" w:type="dxa"/>
            <w:hideMark/>
          </w:tcPr>
          <w:p w14:paraId="682E4FA4"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Abdominal pain</w:t>
            </w:r>
          </w:p>
        </w:tc>
        <w:tc>
          <w:tcPr>
            <w:tcW w:w="1400" w:type="dxa"/>
            <w:hideMark/>
          </w:tcPr>
          <w:p w14:paraId="53B23DCA"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eastAsia="Times New Roman" w:hAnsi="Times New Roman" w:cs="Times New Roman"/>
                <w:sz w:val="24"/>
                <w:szCs w:val="24"/>
              </w:rPr>
              <w:t>0.500.</w:t>
            </w:r>
          </w:p>
        </w:tc>
        <w:tc>
          <w:tcPr>
            <w:tcW w:w="1376" w:type="dxa"/>
            <w:hideMark/>
          </w:tcPr>
          <w:p w14:paraId="77F947D8"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31462507"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eastAsia="Times New Roman" w:hAnsi="Times New Roman" w:cs="Times New Roman"/>
                <w:sz w:val="24"/>
                <w:szCs w:val="24"/>
              </w:rPr>
              <w:t>0.454</w:t>
            </w:r>
          </w:p>
        </w:tc>
        <w:tc>
          <w:tcPr>
            <w:tcW w:w="1486" w:type="dxa"/>
            <w:hideMark/>
          </w:tcPr>
          <w:p w14:paraId="6B07453F"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53B01F0E" w14:textId="77777777" w:rsidTr="00D95C6E">
        <w:trPr>
          <w:trHeight w:val="197"/>
        </w:trPr>
        <w:tc>
          <w:tcPr>
            <w:tcW w:w="3183" w:type="dxa"/>
            <w:hideMark/>
          </w:tcPr>
          <w:p w14:paraId="27A96948"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Diarrhea</w:t>
            </w:r>
          </w:p>
        </w:tc>
        <w:tc>
          <w:tcPr>
            <w:tcW w:w="1400" w:type="dxa"/>
            <w:hideMark/>
          </w:tcPr>
          <w:p w14:paraId="2938AF72"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0.031</w:t>
            </w:r>
          </w:p>
        </w:tc>
        <w:tc>
          <w:tcPr>
            <w:tcW w:w="1376" w:type="dxa"/>
            <w:hideMark/>
          </w:tcPr>
          <w:p w14:paraId="7EAF7C68"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0.670</w:t>
            </w:r>
          </w:p>
        </w:tc>
        <w:tc>
          <w:tcPr>
            <w:tcW w:w="1185" w:type="dxa"/>
            <w:hideMark/>
          </w:tcPr>
          <w:p w14:paraId="2D449360"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0.523</w:t>
            </w:r>
          </w:p>
        </w:tc>
        <w:tc>
          <w:tcPr>
            <w:tcW w:w="1486" w:type="dxa"/>
            <w:hideMark/>
          </w:tcPr>
          <w:p w14:paraId="3AD68B70"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14BA3956" w14:textId="77777777" w:rsidTr="00D95C6E">
        <w:trPr>
          <w:trHeight w:val="197"/>
        </w:trPr>
        <w:tc>
          <w:tcPr>
            <w:tcW w:w="3183" w:type="dxa"/>
            <w:hideMark/>
          </w:tcPr>
          <w:p w14:paraId="26A42DFC"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Constipation</w:t>
            </w:r>
          </w:p>
        </w:tc>
        <w:tc>
          <w:tcPr>
            <w:tcW w:w="1400" w:type="dxa"/>
            <w:hideMark/>
          </w:tcPr>
          <w:p w14:paraId="0384E47B"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0.568</w:t>
            </w:r>
          </w:p>
        </w:tc>
        <w:tc>
          <w:tcPr>
            <w:tcW w:w="1376" w:type="dxa"/>
            <w:hideMark/>
          </w:tcPr>
          <w:p w14:paraId="1C3E048C"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12413BBD"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0.123</w:t>
            </w:r>
          </w:p>
        </w:tc>
        <w:tc>
          <w:tcPr>
            <w:tcW w:w="1486" w:type="dxa"/>
            <w:hideMark/>
          </w:tcPr>
          <w:p w14:paraId="6B9D8312"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0.224</w:t>
            </w:r>
          </w:p>
        </w:tc>
      </w:tr>
      <w:tr w:rsidR="00D95C6E" w:rsidRPr="00D95C6E" w14:paraId="7AE439F9" w14:textId="77777777" w:rsidTr="00D95C6E">
        <w:trPr>
          <w:trHeight w:val="197"/>
        </w:trPr>
        <w:tc>
          <w:tcPr>
            <w:tcW w:w="3183" w:type="dxa"/>
            <w:hideMark/>
          </w:tcPr>
          <w:p w14:paraId="47364C04"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Weight loss</w:t>
            </w:r>
          </w:p>
        </w:tc>
        <w:tc>
          <w:tcPr>
            <w:tcW w:w="1400" w:type="dxa"/>
            <w:hideMark/>
          </w:tcPr>
          <w:p w14:paraId="090F2301"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0.652</w:t>
            </w:r>
          </w:p>
        </w:tc>
        <w:tc>
          <w:tcPr>
            <w:tcW w:w="1376" w:type="dxa"/>
            <w:hideMark/>
          </w:tcPr>
          <w:p w14:paraId="24BE7FE8"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3B3DB701"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0.547</w:t>
            </w:r>
          </w:p>
        </w:tc>
        <w:tc>
          <w:tcPr>
            <w:tcW w:w="1486" w:type="dxa"/>
            <w:hideMark/>
          </w:tcPr>
          <w:p w14:paraId="49A28564"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5D3E0995" w14:textId="77777777" w:rsidTr="00D95C6E">
        <w:trPr>
          <w:trHeight w:val="197"/>
        </w:trPr>
        <w:tc>
          <w:tcPr>
            <w:tcW w:w="3183" w:type="dxa"/>
            <w:hideMark/>
          </w:tcPr>
          <w:p w14:paraId="2090EDD6"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Anemia</w:t>
            </w:r>
          </w:p>
        </w:tc>
        <w:tc>
          <w:tcPr>
            <w:tcW w:w="1400" w:type="dxa"/>
            <w:hideMark/>
          </w:tcPr>
          <w:p w14:paraId="7300DF44"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0.069</w:t>
            </w:r>
          </w:p>
        </w:tc>
        <w:tc>
          <w:tcPr>
            <w:tcW w:w="1376" w:type="dxa"/>
            <w:hideMark/>
          </w:tcPr>
          <w:p w14:paraId="03821A36"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0.497</w:t>
            </w:r>
          </w:p>
        </w:tc>
        <w:tc>
          <w:tcPr>
            <w:tcW w:w="1185" w:type="dxa"/>
            <w:hideMark/>
          </w:tcPr>
          <w:p w14:paraId="31342950"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0.456</w:t>
            </w:r>
          </w:p>
        </w:tc>
        <w:tc>
          <w:tcPr>
            <w:tcW w:w="1486" w:type="dxa"/>
            <w:hideMark/>
          </w:tcPr>
          <w:p w14:paraId="3921B589"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78FC75E3" w14:textId="77777777" w:rsidTr="00D95C6E">
        <w:trPr>
          <w:trHeight w:val="197"/>
        </w:trPr>
        <w:tc>
          <w:tcPr>
            <w:tcW w:w="3183" w:type="dxa"/>
            <w:hideMark/>
          </w:tcPr>
          <w:p w14:paraId="3002778A"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Bleeding tendency</w:t>
            </w:r>
          </w:p>
        </w:tc>
        <w:tc>
          <w:tcPr>
            <w:tcW w:w="1400" w:type="dxa"/>
            <w:hideMark/>
          </w:tcPr>
          <w:p w14:paraId="69B0BDE0"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0.108</w:t>
            </w:r>
          </w:p>
        </w:tc>
        <w:tc>
          <w:tcPr>
            <w:tcW w:w="1376" w:type="dxa"/>
            <w:hideMark/>
          </w:tcPr>
          <w:p w14:paraId="3C7124EC"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0.285</w:t>
            </w:r>
          </w:p>
        </w:tc>
        <w:tc>
          <w:tcPr>
            <w:tcW w:w="1185" w:type="dxa"/>
            <w:hideMark/>
          </w:tcPr>
          <w:p w14:paraId="5BA256D0"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0.127</w:t>
            </w:r>
          </w:p>
        </w:tc>
        <w:tc>
          <w:tcPr>
            <w:tcW w:w="1486" w:type="dxa"/>
            <w:hideMark/>
          </w:tcPr>
          <w:p w14:paraId="7DE944AC"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0.207</w:t>
            </w:r>
          </w:p>
        </w:tc>
      </w:tr>
      <w:tr w:rsidR="00D95C6E" w:rsidRPr="00D95C6E" w14:paraId="2773F3C5" w14:textId="77777777" w:rsidTr="00D95C6E">
        <w:trPr>
          <w:trHeight w:val="197"/>
        </w:trPr>
        <w:tc>
          <w:tcPr>
            <w:tcW w:w="3183" w:type="dxa"/>
            <w:hideMark/>
          </w:tcPr>
          <w:p w14:paraId="08438BF7"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Bone aches</w:t>
            </w:r>
          </w:p>
        </w:tc>
        <w:tc>
          <w:tcPr>
            <w:tcW w:w="1400" w:type="dxa"/>
            <w:hideMark/>
          </w:tcPr>
          <w:p w14:paraId="225D3802"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eastAsia="Times New Roman" w:hAnsi="Times New Roman" w:cs="Times New Roman"/>
                <w:sz w:val="24"/>
                <w:szCs w:val="24"/>
              </w:rPr>
              <w:t>0.500.</w:t>
            </w:r>
          </w:p>
        </w:tc>
        <w:tc>
          <w:tcPr>
            <w:tcW w:w="1376" w:type="dxa"/>
            <w:hideMark/>
          </w:tcPr>
          <w:p w14:paraId="6D3A5DD2"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732E2ADC"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eastAsia="Times New Roman" w:hAnsi="Times New Roman" w:cs="Times New Roman"/>
                <w:sz w:val="24"/>
                <w:szCs w:val="24"/>
              </w:rPr>
              <w:t>0.654</w:t>
            </w:r>
          </w:p>
        </w:tc>
        <w:tc>
          <w:tcPr>
            <w:tcW w:w="1486" w:type="dxa"/>
            <w:hideMark/>
          </w:tcPr>
          <w:p w14:paraId="4D2F3793"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74BF9ACC" w14:textId="77777777" w:rsidTr="00D95C6E">
        <w:trPr>
          <w:trHeight w:val="197"/>
        </w:trPr>
        <w:tc>
          <w:tcPr>
            <w:tcW w:w="3183" w:type="dxa"/>
            <w:hideMark/>
          </w:tcPr>
          <w:p w14:paraId="265B9F97"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Dental enamel hypoplasia</w:t>
            </w:r>
          </w:p>
        </w:tc>
        <w:tc>
          <w:tcPr>
            <w:tcW w:w="1400" w:type="dxa"/>
            <w:hideMark/>
          </w:tcPr>
          <w:p w14:paraId="24062139"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0.030</w:t>
            </w:r>
          </w:p>
        </w:tc>
        <w:tc>
          <w:tcPr>
            <w:tcW w:w="1376" w:type="dxa"/>
            <w:hideMark/>
          </w:tcPr>
          <w:p w14:paraId="1A35587B"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0.765</w:t>
            </w:r>
          </w:p>
        </w:tc>
        <w:tc>
          <w:tcPr>
            <w:tcW w:w="1185" w:type="dxa"/>
            <w:hideMark/>
          </w:tcPr>
          <w:p w14:paraId="0B90392F"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color w:val="000000"/>
                <w:sz w:val="24"/>
                <w:szCs w:val="24"/>
              </w:rPr>
              <w:t>0.523</w:t>
            </w:r>
          </w:p>
        </w:tc>
        <w:tc>
          <w:tcPr>
            <w:tcW w:w="1486" w:type="dxa"/>
            <w:hideMark/>
          </w:tcPr>
          <w:p w14:paraId="36EE7307"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3E0ED958" w14:textId="77777777" w:rsidTr="00D95C6E">
        <w:trPr>
          <w:trHeight w:val="197"/>
        </w:trPr>
        <w:tc>
          <w:tcPr>
            <w:tcW w:w="3183" w:type="dxa"/>
            <w:hideMark/>
          </w:tcPr>
          <w:p w14:paraId="75A27A58" w14:textId="77777777" w:rsidR="00D95C6E" w:rsidRPr="00D95C6E" w:rsidRDefault="00D95C6E" w:rsidP="00D95C6E">
            <w:pPr>
              <w:autoSpaceDE w:val="0"/>
              <w:autoSpaceDN w:val="0"/>
              <w:adjustRightInd w:val="0"/>
              <w:rPr>
                <w:rFonts w:ascii="Times New Roman" w:hAnsi="Times New Roman" w:cs="Times New Roman"/>
              </w:rPr>
            </w:pPr>
            <w:r w:rsidRPr="00D95C6E">
              <w:rPr>
                <w:rFonts w:ascii="Times New Roman" w:hAnsi="Times New Roman" w:cs="Times New Roman"/>
                <w:sz w:val="24"/>
                <w:szCs w:val="24"/>
              </w:rPr>
              <w:t>Oral ulcers</w:t>
            </w:r>
          </w:p>
        </w:tc>
        <w:tc>
          <w:tcPr>
            <w:tcW w:w="1400" w:type="dxa"/>
            <w:hideMark/>
          </w:tcPr>
          <w:p w14:paraId="753C7415"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0.011</w:t>
            </w:r>
          </w:p>
        </w:tc>
        <w:tc>
          <w:tcPr>
            <w:tcW w:w="1376" w:type="dxa"/>
            <w:hideMark/>
          </w:tcPr>
          <w:p w14:paraId="2B3E3C0C"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0.911</w:t>
            </w:r>
          </w:p>
        </w:tc>
        <w:tc>
          <w:tcPr>
            <w:tcW w:w="1185" w:type="dxa"/>
            <w:hideMark/>
          </w:tcPr>
          <w:p w14:paraId="0D9259ED"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0.453</w:t>
            </w:r>
          </w:p>
        </w:tc>
        <w:tc>
          <w:tcPr>
            <w:tcW w:w="1486" w:type="dxa"/>
            <w:hideMark/>
          </w:tcPr>
          <w:p w14:paraId="42908A1A" w14:textId="77777777" w:rsidR="00D95C6E" w:rsidRPr="00D95C6E" w:rsidRDefault="00D95C6E" w:rsidP="00D95C6E">
            <w:pPr>
              <w:autoSpaceDE w:val="0"/>
              <w:autoSpaceDN w:val="0"/>
              <w:adjustRightInd w:val="0"/>
              <w:jc w:val="center"/>
              <w:rPr>
                <w:rFonts w:ascii="Times New Roman" w:hAnsi="Times New Roman" w:cs="Times New Roman"/>
                <w:sz w:val="24"/>
                <w:szCs w:val="24"/>
              </w:rPr>
            </w:pPr>
            <w:r w:rsidRPr="00D95C6E">
              <w:rPr>
                <w:rFonts w:ascii="Times New Roman" w:hAnsi="Times New Roman" w:cs="Times New Roman"/>
                <w:sz w:val="24"/>
                <w:szCs w:val="24"/>
              </w:rPr>
              <w:t>˂0.001*</w:t>
            </w:r>
          </w:p>
        </w:tc>
        <w:bookmarkEnd w:id="23"/>
      </w:tr>
      <w:tr w:rsidR="00D95C6E" w:rsidRPr="00D95C6E" w14:paraId="12A7C801" w14:textId="77777777" w:rsidTr="00D95C6E">
        <w:trPr>
          <w:trHeight w:val="197"/>
        </w:trPr>
        <w:tc>
          <w:tcPr>
            <w:tcW w:w="3183" w:type="dxa"/>
            <w:vAlign w:val="center"/>
            <w:hideMark/>
          </w:tcPr>
          <w:p w14:paraId="5AB4CCE6"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hAnsi="Times New Roman" w:cs="Times New Roman"/>
              </w:rPr>
              <w:t>BMI</w:t>
            </w:r>
          </w:p>
        </w:tc>
        <w:tc>
          <w:tcPr>
            <w:tcW w:w="1400" w:type="dxa"/>
            <w:hideMark/>
          </w:tcPr>
          <w:p w14:paraId="65257BC7"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0.067</w:t>
            </w:r>
          </w:p>
        </w:tc>
        <w:tc>
          <w:tcPr>
            <w:tcW w:w="1376" w:type="dxa"/>
            <w:hideMark/>
          </w:tcPr>
          <w:p w14:paraId="6A0A7488"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0.506</w:t>
            </w:r>
          </w:p>
        </w:tc>
        <w:tc>
          <w:tcPr>
            <w:tcW w:w="1185" w:type="dxa"/>
            <w:hideMark/>
          </w:tcPr>
          <w:p w14:paraId="2E256D2F"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0.026</w:t>
            </w:r>
          </w:p>
        </w:tc>
        <w:tc>
          <w:tcPr>
            <w:tcW w:w="1486" w:type="dxa"/>
            <w:hideMark/>
          </w:tcPr>
          <w:p w14:paraId="6CDA6D80"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0.801</w:t>
            </w:r>
          </w:p>
        </w:tc>
      </w:tr>
      <w:tr w:rsidR="00D95C6E" w:rsidRPr="00D95C6E" w14:paraId="35B50C59" w14:textId="77777777" w:rsidTr="00D95C6E">
        <w:tc>
          <w:tcPr>
            <w:tcW w:w="3183" w:type="dxa"/>
            <w:vAlign w:val="center"/>
            <w:hideMark/>
          </w:tcPr>
          <w:p w14:paraId="49B0959F"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ALT</w:t>
            </w:r>
          </w:p>
        </w:tc>
        <w:tc>
          <w:tcPr>
            <w:tcW w:w="1400" w:type="dxa"/>
            <w:hideMark/>
          </w:tcPr>
          <w:p w14:paraId="1668C4A3"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0.670</w:t>
            </w:r>
          </w:p>
        </w:tc>
        <w:tc>
          <w:tcPr>
            <w:tcW w:w="1376" w:type="dxa"/>
            <w:hideMark/>
          </w:tcPr>
          <w:p w14:paraId="4C4C6CD1"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2AF77255"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0.715</w:t>
            </w:r>
          </w:p>
        </w:tc>
        <w:tc>
          <w:tcPr>
            <w:tcW w:w="1486" w:type="dxa"/>
            <w:hideMark/>
          </w:tcPr>
          <w:p w14:paraId="71E9E9A3"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04E41E68" w14:textId="77777777" w:rsidTr="00D95C6E">
        <w:tc>
          <w:tcPr>
            <w:tcW w:w="3183" w:type="dxa"/>
            <w:vAlign w:val="center"/>
            <w:hideMark/>
          </w:tcPr>
          <w:p w14:paraId="7DA78F2A"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AST</w:t>
            </w:r>
          </w:p>
        </w:tc>
        <w:tc>
          <w:tcPr>
            <w:tcW w:w="1400" w:type="dxa"/>
            <w:hideMark/>
          </w:tcPr>
          <w:p w14:paraId="202C407C"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color w:val="000000"/>
                <w:sz w:val="24"/>
                <w:szCs w:val="24"/>
              </w:rPr>
              <w:t>0.665</w:t>
            </w:r>
          </w:p>
        </w:tc>
        <w:tc>
          <w:tcPr>
            <w:tcW w:w="1376" w:type="dxa"/>
            <w:hideMark/>
          </w:tcPr>
          <w:p w14:paraId="5CB2A332"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4C2BA050"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color w:val="000000"/>
                <w:sz w:val="24"/>
                <w:szCs w:val="24"/>
              </w:rPr>
              <w:t>0.718</w:t>
            </w:r>
          </w:p>
        </w:tc>
        <w:tc>
          <w:tcPr>
            <w:tcW w:w="1486" w:type="dxa"/>
            <w:hideMark/>
          </w:tcPr>
          <w:p w14:paraId="40B1ED29"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6844E759" w14:textId="77777777" w:rsidTr="00D95C6E">
        <w:tc>
          <w:tcPr>
            <w:tcW w:w="3183" w:type="dxa"/>
            <w:vAlign w:val="center"/>
            <w:hideMark/>
          </w:tcPr>
          <w:p w14:paraId="3E6F2D76"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 xml:space="preserve">Hb </w:t>
            </w:r>
          </w:p>
        </w:tc>
        <w:tc>
          <w:tcPr>
            <w:tcW w:w="1400" w:type="dxa"/>
            <w:hideMark/>
          </w:tcPr>
          <w:p w14:paraId="4A2FCBC0"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color w:val="000000"/>
                <w:sz w:val="24"/>
                <w:szCs w:val="24"/>
              </w:rPr>
              <w:t>-0.094</w:t>
            </w:r>
          </w:p>
        </w:tc>
        <w:tc>
          <w:tcPr>
            <w:tcW w:w="1376" w:type="dxa"/>
            <w:hideMark/>
          </w:tcPr>
          <w:p w14:paraId="26A87452"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0.352</w:t>
            </w:r>
          </w:p>
        </w:tc>
        <w:tc>
          <w:tcPr>
            <w:tcW w:w="1185" w:type="dxa"/>
            <w:hideMark/>
          </w:tcPr>
          <w:p w14:paraId="27833306"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color w:val="000000"/>
                <w:sz w:val="24"/>
                <w:szCs w:val="24"/>
              </w:rPr>
              <w:t>-0.617</w:t>
            </w:r>
          </w:p>
        </w:tc>
        <w:tc>
          <w:tcPr>
            <w:tcW w:w="1486" w:type="dxa"/>
            <w:hideMark/>
          </w:tcPr>
          <w:p w14:paraId="6F4940B9"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454BC97A" w14:textId="77777777" w:rsidTr="00D95C6E">
        <w:tc>
          <w:tcPr>
            <w:tcW w:w="3183" w:type="dxa"/>
            <w:vAlign w:val="center"/>
            <w:hideMark/>
          </w:tcPr>
          <w:p w14:paraId="366C4222"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hAnsi="Times New Roman" w:cs="Times New Roman"/>
                <w:sz w:val="24"/>
                <w:szCs w:val="24"/>
              </w:rPr>
              <w:t>HbA1c</w:t>
            </w:r>
          </w:p>
        </w:tc>
        <w:tc>
          <w:tcPr>
            <w:tcW w:w="1400" w:type="dxa"/>
            <w:hideMark/>
          </w:tcPr>
          <w:p w14:paraId="7231F567"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0.585</w:t>
            </w:r>
          </w:p>
        </w:tc>
        <w:tc>
          <w:tcPr>
            <w:tcW w:w="1376" w:type="dxa"/>
            <w:hideMark/>
          </w:tcPr>
          <w:p w14:paraId="01A07592"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03CB0CFA"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0.506</w:t>
            </w:r>
          </w:p>
        </w:tc>
        <w:tc>
          <w:tcPr>
            <w:tcW w:w="1486" w:type="dxa"/>
            <w:hideMark/>
          </w:tcPr>
          <w:p w14:paraId="1FBD895F"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6CCCAB08" w14:textId="77777777" w:rsidTr="00D95C6E">
        <w:tc>
          <w:tcPr>
            <w:tcW w:w="3183" w:type="dxa"/>
            <w:hideMark/>
          </w:tcPr>
          <w:p w14:paraId="077D1E36"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FT</w:t>
            </w:r>
            <w:r w:rsidRPr="00D95C6E">
              <w:rPr>
                <w:rFonts w:ascii="Times New Roman" w:eastAsia="Times New Roman" w:hAnsi="Times New Roman" w:cs="Times New Roman"/>
                <w:vertAlign w:val="subscript"/>
              </w:rPr>
              <w:t>3</w:t>
            </w:r>
            <w:r w:rsidRPr="00D95C6E">
              <w:rPr>
                <w:rFonts w:ascii="Times New Roman" w:eastAsia="Times New Roman" w:hAnsi="Times New Roman" w:cs="Times New Roman"/>
              </w:rPr>
              <w:t> (</w:t>
            </w:r>
            <w:proofErr w:type="spellStart"/>
            <w:r w:rsidRPr="00D95C6E">
              <w:rPr>
                <w:rFonts w:ascii="Times New Roman" w:eastAsia="Times New Roman" w:hAnsi="Times New Roman" w:cs="Times New Roman"/>
              </w:rPr>
              <w:t>pg</w:t>
            </w:r>
            <w:proofErr w:type="spellEnd"/>
            <w:r w:rsidRPr="00D95C6E">
              <w:rPr>
                <w:rFonts w:ascii="Times New Roman" w:eastAsia="Times New Roman" w:hAnsi="Times New Roman" w:cs="Times New Roman"/>
              </w:rPr>
              <w:t>/mL)</w:t>
            </w:r>
          </w:p>
        </w:tc>
        <w:tc>
          <w:tcPr>
            <w:tcW w:w="1400" w:type="dxa"/>
            <w:hideMark/>
          </w:tcPr>
          <w:p w14:paraId="65FCA0FB"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-0.769</w:t>
            </w:r>
          </w:p>
        </w:tc>
        <w:tc>
          <w:tcPr>
            <w:tcW w:w="1376" w:type="dxa"/>
            <w:hideMark/>
          </w:tcPr>
          <w:p w14:paraId="27B8B333"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73BF6239"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-0.699</w:t>
            </w:r>
          </w:p>
        </w:tc>
        <w:tc>
          <w:tcPr>
            <w:tcW w:w="1486" w:type="dxa"/>
            <w:hideMark/>
          </w:tcPr>
          <w:p w14:paraId="1028157A"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2907B1F3" w14:textId="77777777" w:rsidTr="00D95C6E">
        <w:tc>
          <w:tcPr>
            <w:tcW w:w="3183" w:type="dxa"/>
            <w:hideMark/>
          </w:tcPr>
          <w:p w14:paraId="02CA3737"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FT</w:t>
            </w:r>
            <w:r w:rsidRPr="00D95C6E">
              <w:rPr>
                <w:rFonts w:ascii="Times New Roman" w:eastAsia="Times New Roman" w:hAnsi="Times New Roman" w:cs="Times New Roman"/>
                <w:vertAlign w:val="subscript"/>
              </w:rPr>
              <w:t>4</w:t>
            </w:r>
            <w:r w:rsidRPr="00D95C6E">
              <w:rPr>
                <w:rFonts w:ascii="Times New Roman" w:eastAsia="Times New Roman" w:hAnsi="Times New Roman" w:cs="Times New Roman"/>
              </w:rPr>
              <w:t> (ng/dL)</w:t>
            </w:r>
          </w:p>
        </w:tc>
        <w:tc>
          <w:tcPr>
            <w:tcW w:w="1400" w:type="dxa"/>
            <w:hideMark/>
          </w:tcPr>
          <w:p w14:paraId="22B4DC46"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color w:val="000000"/>
                <w:sz w:val="24"/>
                <w:szCs w:val="24"/>
              </w:rPr>
              <w:t>-0.682</w:t>
            </w:r>
          </w:p>
        </w:tc>
        <w:tc>
          <w:tcPr>
            <w:tcW w:w="1376" w:type="dxa"/>
            <w:hideMark/>
          </w:tcPr>
          <w:p w14:paraId="0F73321E"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5156545B"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eastAsia="Times New Roman" w:hAnsi="Times New Roman" w:cs="Times New Roman"/>
                <w:sz w:val="24"/>
                <w:szCs w:val="24"/>
              </w:rPr>
              <w:t>-0.583</w:t>
            </w:r>
          </w:p>
        </w:tc>
        <w:tc>
          <w:tcPr>
            <w:tcW w:w="1486" w:type="dxa"/>
            <w:hideMark/>
          </w:tcPr>
          <w:p w14:paraId="77EF0E62"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12A4563F" w14:textId="77777777" w:rsidTr="00D95C6E">
        <w:tc>
          <w:tcPr>
            <w:tcW w:w="3183" w:type="dxa"/>
            <w:hideMark/>
          </w:tcPr>
          <w:p w14:paraId="274283EE"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TSH (</w:t>
            </w:r>
            <w:proofErr w:type="spellStart"/>
            <w:r w:rsidRPr="00D95C6E">
              <w:rPr>
                <w:rFonts w:ascii="Times New Roman" w:eastAsia="Times New Roman" w:hAnsi="Times New Roman" w:cs="Times New Roman"/>
              </w:rPr>
              <w:t>μU</w:t>
            </w:r>
            <w:proofErr w:type="spellEnd"/>
            <w:r w:rsidRPr="00D95C6E">
              <w:rPr>
                <w:rFonts w:ascii="Times New Roman" w:eastAsia="Times New Roman" w:hAnsi="Times New Roman" w:cs="Times New Roman"/>
              </w:rPr>
              <w:t>/mL)</w:t>
            </w:r>
          </w:p>
        </w:tc>
        <w:tc>
          <w:tcPr>
            <w:tcW w:w="1400" w:type="dxa"/>
            <w:hideMark/>
          </w:tcPr>
          <w:p w14:paraId="3DCC1455"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color w:val="000000"/>
                <w:sz w:val="24"/>
                <w:szCs w:val="24"/>
              </w:rPr>
              <w:t>0.491</w:t>
            </w:r>
          </w:p>
        </w:tc>
        <w:tc>
          <w:tcPr>
            <w:tcW w:w="1376" w:type="dxa"/>
            <w:hideMark/>
          </w:tcPr>
          <w:p w14:paraId="5934D6AC"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5B1C5D7F"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eastAsia="Times New Roman" w:hAnsi="Times New Roman" w:cs="Times New Roman"/>
                <w:sz w:val="24"/>
                <w:szCs w:val="24"/>
              </w:rPr>
              <w:t>0.468</w:t>
            </w:r>
          </w:p>
        </w:tc>
        <w:tc>
          <w:tcPr>
            <w:tcW w:w="1486" w:type="dxa"/>
            <w:hideMark/>
          </w:tcPr>
          <w:p w14:paraId="6A3BC93F"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76553EEB" w14:textId="77777777" w:rsidTr="00D95C6E">
        <w:tc>
          <w:tcPr>
            <w:tcW w:w="3183" w:type="dxa"/>
            <w:hideMark/>
          </w:tcPr>
          <w:p w14:paraId="458D78FE"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Anti-</w:t>
            </w:r>
            <w:proofErr w:type="spellStart"/>
            <w:r w:rsidRPr="00D95C6E">
              <w:rPr>
                <w:rFonts w:ascii="Times New Roman" w:eastAsia="Times New Roman" w:hAnsi="Times New Roman" w:cs="Times New Roman"/>
              </w:rPr>
              <w:t>Tg</w:t>
            </w:r>
            <w:proofErr w:type="spellEnd"/>
            <w:r w:rsidRPr="00D95C6E">
              <w:rPr>
                <w:rFonts w:ascii="Times New Roman" w:eastAsia="Times New Roman" w:hAnsi="Times New Roman" w:cs="Times New Roman"/>
              </w:rPr>
              <w:t xml:space="preserve"> (IU/mL)</w:t>
            </w:r>
          </w:p>
        </w:tc>
        <w:tc>
          <w:tcPr>
            <w:tcW w:w="1400" w:type="dxa"/>
            <w:hideMark/>
          </w:tcPr>
          <w:p w14:paraId="5F677466"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0.474</w:t>
            </w:r>
          </w:p>
        </w:tc>
        <w:tc>
          <w:tcPr>
            <w:tcW w:w="1376" w:type="dxa"/>
            <w:hideMark/>
          </w:tcPr>
          <w:p w14:paraId="1EE95BE0"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79766CA6"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0.532</w:t>
            </w:r>
          </w:p>
        </w:tc>
        <w:tc>
          <w:tcPr>
            <w:tcW w:w="1486" w:type="dxa"/>
            <w:hideMark/>
          </w:tcPr>
          <w:p w14:paraId="4F33190F"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30314FC3" w14:textId="77777777" w:rsidTr="00D95C6E">
        <w:tc>
          <w:tcPr>
            <w:tcW w:w="3183" w:type="dxa"/>
            <w:hideMark/>
          </w:tcPr>
          <w:p w14:paraId="3F5BC1D8" w14:textId="77777777" w:rsidR="00D95C6E" w:rsidRPr="00D95C6E" w:rsidRDefault="00D95C6E" w:rsidP="00D95C6E">
            <w:pPr>
              <w:autoSpaceDE w:val="0"/>
              <w:autoSpaceDN w:val="0"/>
              <w:adjustRightInd w:val="0"/>
              <w:rPr>
                <w:rFonts w:ascii="Times New Roman" w:eastAsia="Times New Roman" w:hAnsi="Times New Roman" w:cs="Times New Roman"/>
                <w:sz w:val="24"/>
                <w:szCs w:val="24"/>
              </w:rPr>
            </w:pPr>
            <w:r w:rsidRPr="00D95C6E">
              <w:rPr>
                <w:rFonts w:ascii="Times New Roman" w:eastAsia="Times New Roman" w:hAnsi="Times New Roman" w:cs="Times New Roman"/>
              </w:rPr>
              <w:t>Anti-TPO (IU/mL)</w:t>
            </w:r>
          </w:p>
        </w:tc>
        <w:tc>
          <w:tcPr>
            <w:tcW w:w="1400" w:type="dxa"/>
            <w:hideMark/>
          </w:tcPr>
          <w:p w14:paraId="3E285AB4"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0.603</w:t>
            </w:r>
          </w:p>
        </w:tc>
        <w:tc>
          <w:tcPr>
            <w:tcW w:w="1376" w:type="dxa"/>
            <w:hideMark/>
          </w:tcPr>
          <w:p w14:paraId="2D2C8010"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hideMark/>
          </w:tcPr>
          <w:p w14:paraId="1F39A308"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0.734</w:t>
            </w:r>
          </w:p>
        </w:tc>
        <w:tc>
          <w:tcPr>
            <w:tcW w:w="1486" w:type="dxa"/>
            <w:hideMark/>
          </w:tcPr>
          <w:p w14:paraId="01302CBF"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r w:rsidR="00D95C6E" w:rsidRPr="00D95C6E" w14:paraId="08E4E921" w14:textId="77777777" w:rsidTr="00D95C6E">
        <w:tc>
          <w:tcPr>
            <w:tcW w:w="3183" w:type="dxa"/>
            <w:tcBorders>
              <w:bottom w:val="single" w:sz="4" w:space="0" w:color="auto"/>
            </w:tcBorders>
            <w:hideMark/>
          </w:tcPr>
          <w:p w14:paraId="6ECDC467" w14:textId="77777777" w:rsidR="00D95C6E" w:rsidRPr="00D95C6E" w:rsidRDefault="00D95C6E" w:rsidP="00D95C6E">
            <w:pPr>
              <w:autoSpaceDE w:val="0"/>
              <w:autoSpaceDN w:val="0"/>
              <w:adjustRightInd w:val="0"/>
              <w:rPr>
                <w:rFonts w:ascii="Times New Roman" w:hAnsi="Times New Roman" w:cs="Times New Roman"/>
                <w:sz w:val="24"/>
                <w:szCs w:val="24"/>
              </w:rPr>
            </w:pPr>
            <w:r w:rsidRPr="00D95C6E">
              <w:rPr>
                <w:rFonts w:ascii="Times New Roman" w:eastAsia="Times New Roman" w:hAnsi="Times New Roman" w:cs="Times New Roman"/>
              </w:rPr>
              <w:t>Anti TTG IgA (U/ml)</w:t>
            </w:r>
          </w:p>
        </w:tc>
        <w:tc>
          <w:tcPr>
            <w:tcW w:w="1400" w:type="dxa"/>
            <w:tcBorders>
              <w:bottom w:val="single" w:sz="4" w:space="0" w:color="auto"/>
            </w:tcBorders>
            <w:hideMark/>
          </w:tcPr>
          <w:p w14:paraId="66F4A395"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0.943</w:t>
            </w:r>
          </w:p>
        </w:tc>
        <w:tc>
          <w:tcPr>
            <w:tcW w:w="1376" w:type="dxa"/>
            <w:tcBorders>
              <w:bottom w:val="single" w:sz="4" w:space="0" w:color="auto"/>
            </w:tcBorders>
            <w:hideMark/>
          </w:tcPr>
          <w:p w14:paraId="52346C9C"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c>
          <w:tcPr>
            <w:tcW w:w="1185" w:type="dxa"/>
            <w:tcBorders>
              <w:bottom w:val="single" w:sz="4" w:space="0" w:color="auto"/>
            </w:tcBorders>
            <w:hideMark/>
          </w:tcPr>
          <w:p w14:paraId="40378293" w14:textId="77777777" w:rsidR="00D95C6E" w:rsidRPr="00D95C6E" w:rsidRDefault="00D95C6E" w:rsidP="00D95C6E">
            <w:pPr>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0.837</w:t>
            </w:r>
          </w:p>
        </w:tc>
        <w:tc>
          <w:tcPr>
            <w:tcW w:w="1486" w:type="dxa"/>
            <w:tcBorders>
              <w:bottom w:val="single" w:sz="4" w:space="0" w:color="auto"/>
            </w:tcBorders>
            <w:hideMark/>
          </w:tcPr>
          <w:p w14:paraId="2C991C71" w14:textId="77777777" w:rsidR="00D95C6E" w:rsidRPr="00D95C6E" w:rsidRDefault="00D95C6E" w:rsidP="00D95C6E">
            <w:pPr>
              <w:keepNext/>
              <w:autoSpaceDE w:val="0"/>
              <w:autoSpaceDN w:val="0"/>
              <w:adjustRightInd w:val="0"/>
              <w:jc w:val="center"/>
              <w:rPr>
                <w:rFonts w:ascii="Times New Roman" w:eastAsia="Times New Roman" w:hAnsi="Times New Roman" w:cs="Times New Roman"/>
                <w:sz w:val="24"/>
                <w:szCs w:val="24"/>
              </w:rPr>
            </w:pPr>
            <w:r w:rsidRPr="00D95C6E">
              <w:rPr>
                <w:rFonts w:ascii="Times New Roman" w:hAnsi="Times New Roman" w:cs="Times New Roman"/>
                <w:sz w:val="24"/>
                <w:szCs w:val="24"/>
              </w:rPr>
              <w:t>˂0.001*</w:t>
            </w:r>
          </w:p>
        </w:tc>
      </w:tr>
    </w:tbl>
    <w:p w14:paraId="5C751108" w14:textId="77777777" w:rsidR="00D95C6E" w:rsidRPr="00D95C6E" w:rsidRDefault="00D95C6E" w:rsidP="00D95C6E">
      <w:pPr>
        <w:spacing w:line="360" w:lineRule="auto"/>
        <w:jc w:val="both"/>
        <w:rPr>
          <w:i/>
          <w:iCs/>
          <w:color w:val="44546A" w:themeColor="text2"/>
          <w:sz w:val="18"/>
          <w:szCs w:val="18"/>
        </w:rPr>
      </w:pPr>
      <w:r w:rsidRPr="00D95C6E">
        <w:rPr>
          <w:i/>
          <w:iCs/>
          <w:color w:val="44546A" w:themeColor="text2"/>
          <w:sz w:val="18"/>
          <w:szCs w:val="18"/>
        </w:rPr>
        <w:t>p&lt;0.05</w:t>
      </w:r>
    </w:p>
    <w:p w14:paraId="1C9AEF79" w14:textId="1FC6C85C" w:rsidR="003B4C31" w:rsidRDefault="002C1DAC" w:rsidP="00DF78E8">
      <w:pPr>
        <w:spacing w:line="360" w:lineRule="auto"/>
        <w:ind w:firstLine="720"/>
        <w:jc w:val="both"/>
        <w:rPr>
          <w:rFonts w:asciiTheme="majorBidi" w:eastAsia="Times New Roman" w:hAnsiTheme="majorBidi" w:cstheme="majorBidi"/>
          <w:b/>
          <w:bCs/>
          <w:sz w:val="24"/>
          <w:szCs w:val="24"/>
          <w:lang w:bidi="ar-EG"/>
        </w:rPr>
      </w:pPr>
      <w:r w:rsidRPr="003F0CBB">
        <w:rPr>
          <w:rFonts w:asciiTheme="majorBidi" w:eastAsia="Times New Roman" w:hAnsiTheme="majorBidi" w:cstheme="majorBidi"/>
          <w:sz w:val="24"/>
          <w:szCs w:val="24"/>
          <w:lang w:bidi="ar-EG"/>
        </w:rPr>
        <w:t xml:space="preserve">Regarding patients without CD, there were </w:t>
      </w:r>
      <w:r w:rsidR="003C1F20" w:rsidRPr="0088290D">
        <w:rPr>
          <w:rFonts w:asciiTheme="majorBidi" w:eastAsia="Times New Roman" w:hAnsiTheme="majorBidi" w:cstheme="majorBidi"/>
          <w:sz w:val="24"/>
          <w:szCs w:val="24"/>
          <w:lang w:bidi="ar-EG"/>
        </w:rPr>
        <w:t>significantly</w:t>
      </w:r>
      <w:r w:rsidRPr="003F0CBB">
        <w:rPr>
          <w:rFonts w:asciiTheme="majorBidi" w:eastAsia="Times New Roman" w:hAnsiTheme="majorBidi" w:cstheme="majorBidi"/>
          <w:sz w:val="24"/>
          <w:szCs w:val="24"/>
          <w:lang w:bidi="ar-EG"/>
        </w:rPr>
        <w:t xml:space="preserve"> </w:t>
      </w:r>
      <w:r w:rsidR="006A2DEB" w:rsidRPr="003F0CBB">
        <w:rPr>
          <w:rFonts w:asciiTheme="majorBidi" w:eastAsia="Times New Roman" w:hAnsiTheme="majorBidi" w:cstheme="majorBidi"/>
          <w:sz w:val="24"/>
          <w:szCs w:val="24"/>
          <w:lang w:bidi="ar-EG"/>
        </w:rPr>
        <w:t>positive</w:t>
      </w:r>
      <w:r w:rsidRPr="003F0CBB">
        <w:rPr>
          <w:rFonts w:asciiTheme="majorBidi" w:eastAsia="Times New Roman" w:hAnsiTheme="majorBidi" w:cstheme="majorBidi"/>
          <w:sz w:val="24"/>
          <w:szCs w:val="24"/>
          <w:lang w:bidi="ar-EG"/>
        </w:rPr>
        <w:t xml:space="preserve"> correlations with anorexia, heartburn, dyspepsia, nausea, abdominal pain, constipation, weight loss, </w:t>
      </w:r>
      <w:r w:rsidR="00F25F7D" w:rsidRPr="003F0CBB">
        <w:rPr>
          <w:rFonts w:asciiTheme="majorBidi" w:eastAsia="Times New Roman" w:hAnsiTheme="majorBidi" w:cstheme="majorBidi"/>
          <w:sz w:val="24"/>
          <w:szCs w:val="24"/>
          <w:lang w:bidi="ar-EG"/>
        </w:rPr>
        <w:t xml:space="preserve">anemia, and bone </w:t>
      </w:r>
      <w:r w:rsidRPr="003F0CBB">
        <w:rPr>
          <w:rFonts w:asciiTheme="majorBidi" w:eastAsia="Times New Roman" w:hAnsiTheme="majorBidi" w:cstheme="majorBidi"/>
          <w:sz w:val="24"/>
          <w:szCs w:val="24"/>
          <w:lang w:bidi="ar-EG"/>
        </w:rPr>
        <w:t>aches, P ˂0.001</w:t>
      </w:r>
      <w:r w:rsidR="00F25F7D" w:rsidRPr="003F0CBB">
        <w:rPr>
          <w:rFonts w:asciiTheme="majorBidi" w:eastAsia="Times New Roman" w:hAnsiTheme="majorBidi" w:cstheme="majorBidi"/>
          <w:sz w:val="24"/>
          <w:szCs w:val="24"/>
          <w:lang w:bidi="ar-EG"/>
        </w:rPr>
        <w:t>*. About</w:t>
      </w:r>
      <w:r w:rsidRPr="003F0CBB">
        <w:rPr>
          <w:rFonts w:asciiTheme="majorBidi" w:eastAsia="Times New Roman" w:hAnsiTheme="majorBidi" w:cstheme="majorBidi"/>
          <w:sz w:val="24"/>
          <w:szCs w:val="24"/>
          <w:lang w:bidi="ar-EG"/>
        </w:rPr>
        <w:t xml:space="preserve"> laboratory parameters, patients with</w:t>
      </w:r>
      <w:r w:rsidR="00F25F7D" w:rsidRPr="003F0CBB">
        <w:rPr>
          <w:rFonts w:asciiTheme="majorBidi" w:eastAsia="Times New Roman" w:hAnsiTheme="majorBidi" w:cstheme="majorBidi"/>
          <w:sz w:val="24"/>
          <w:szCs w:val="24"/>
          <w:lang w:bidi="ar-EG"/>
        </w:rPr>
        <w:t>out</w:t>
      </w:r>
      <w:r w:rsidRPr="003F0CBB">
        <w:rPr>
          <w:rFonts w:asciiTheme="majorBidi" w:eastAsia="Times New Roman" w:hAnsiTheme="majorBidi" w:cstheme="majorBidi"/>
          <w:sz w:val="24"/>
          <w:szCs w:val="24"/>
          <w:lang w:bidi="ar-EG"/>
        </w:rPr>
        <w:t xml:space="preserve"> CD had significantly positive associations with ALT, AST, HbA1c, TSH, anti-</w:t>
      </w:r>
      <w:r w:rsidR="00F25F7D" w:rsidRPr="003F0CBB">
        <w:rPr>
          <w:rFonts w:asciiTheme="majorBidi" w:eastAsia="Times New Roman" w:hAnsiTheme="majorBidi" w:cstheme="majorBidi"/>
          <w:sz w:val="24"/>
          <w:szCs w:val="24"/>
          <w:lang w:bidi="ar-EG"/>
        </w:rPr>
        <w:t>TG, anti</w:t>
      </w:r>
      <w:r w:rsidRPr="003F0CBB">
        <w:rPr>
          <w:rFonts w:asciiTheme="majorBidi" w:eastAsia="Times New Roman" w:hAnsiTheme="majorBidi" w:cstheme="majorBidi"/>
          <w:sz w:val="24"/>
          <w:szCs w:val="24"/>
          <w:lang w:bidi="ar-EG"/>
        </w:rPr>
        <w:t>-</w:t>
      </w:r>
      <w:r w:rsidR="00F25F7D" w:rsidRPr="003F0CBB">
        <w:rPr>
          <w:rFonts w:asciiTheme="majorBidi" w:eastAsia="Times New Roman" w:hAnsiTheme="majorBidi" w:cstheme="majorBidi"/>
          <w:sz w:val="24"/>
          <w:szCs w:val="24"/>
          <w:lang w:bidi="ar-EG"/>
        </w:rPr>
        <w:t>TPO, an</w:t>
      </w:r>
      <w:r w:rsidRPr="003F0CBB">
        <w:rPr>
          <w:rFonts w:asciiTheme="majorBidi" w:eastAsia="Times New Roman" w:hAnsiTheme="majorBidi" w:cstheme="majorBidi"/>
          <w:sz w:val="24"/>
          <w:szCs w:val="24"/>
          <w:lang w:bidi="ar-EG"/>
        </w:rPr>
        <w:t xml:space="preserve">d TTG IgA. </w:t>
      </w:r>
      <w:r w:rsidR="0088290D">
        <w:rPr>
          <w:rFonts w:asciiTheme="majorBidi" w:eastAsia="Times New Roman" w:hAnsiTheme="majorBidi" w:cstheme="majorBidi"/>
          <w:sz w:val="24"/>
          <w:szCs w:val="24"/>
          <w:lang w:bidi="ar-EG"/>
        </w:rPr>
        <w:t>Conversely</w:t>
      </w:r>
      <w:r w:rsidR="00F25F7D" w:rsidRPr="003F0CBB">
        <w:rPr>
          <w:rFonts w:asciiTheme="majorBidi" w:eastAsia="Times New Roman" w:hAnsiTheme="majorBidi" w:cstheme="majorBidi"/>
          <w:sz w:val="24"/>
          <w:szCs w:val="24"/>
          <w:lang w:bidi="ar-EG"/>
        </w:rPr>
        <w:t>,</w:t>
      </w:r>
      <w:r w:rsidRPr="003F0CBB">
        <w:rPr>
          <w:rFonts w:asciiTheme="majorBidi" w:eastAsia="Times New Roman" w:hAnsiTheme="majorBidi" w:cstheme="majorBidi"/>
          <w:sz w:val="24"/>
          <w:szCs w:val="24"/>
          <w:lang w:bidi="ar-EG"/>
        </w:rPr>
        <w:t xml:space="preserve"> there was a </w:t>
      </w:r>
      <w:r w:rsidR="00F25F7D" w:rsidRPr="003F0CBB">
        <w:rPr>
          <w:rFonts w:asciiTheme="majorBidi" w:eastAsia="Times New Roman" w:hAnsiTheme="majorBidi" w:cstheme="majorBidi"/>
          <w:sz w:val="24"/>
          <w:szCs w:val="24"/>
          <w:lang w:bidi="ar-EG"/>
        </w:rPr>
        <w:t>profoundly</w:t>
      </w:r>
      <w:r w:rsidRPr="003F0CBB">
        <w:rPr>
          <w:rFonts w:asciiTheme="majorBidi" w:eastAsia="Times New Roman" w:hAnsiTheme="majorBidi" w:cstheme="majorBidi"/>
          <w:sz w:val="24"/>
          <w:szCs w:val="24"/>
          <w:lang w:bidi="ar-EG"/>
        </w:rPr>
        <w:t xml:space="preserve"> </w:t>
      </w:r>
      <w:r w:rsidR="00F25F7D" w:rsidRPr="003F0CBB">
        <w:rPr>
          <w:rFonts w:asciiTheme="majorBidi" w:eastAsia="Times New Roman" w:hAnsiTheme="majorBidi" w:cstheme="majorBidi"/>
          <w:sz w:val="24"/>
          <w:szCs w:val="24"/>
          <w:lang w:bidi="ar-EG"/>
        </w:rPr>
        <w:t xml:space="preserve">negative correlation with </w:t>
      </w:r>
      <w:r w:rsidRPr="003F0CBB">
        <w:rPr>
          <w:rFonts w:asciiTheme="majorBidi" w:eastAsia="Times New Roman" w:hAnsiTheme="majorBidi" w:cstheme="majorBidi"/>
          <w:sz w:val="24"/>
          <w:szCs w:val="24"/>
          <w:lang w:bidi="ar-EG"/>
        </w:rPr>
        <w:t xml:space="preserve">FT3 and FT4, p ˂0.001* </w:t>
      </w:r>
      <w:r w:rsidRPr="003F0CBB">
        <w:rPr>
          <w:rFonts w:asciiTheme="majorBidi" w:eastAsia="Times New Roman" w:hAnsiTheme="majorBidi" w:cstheme="majorBidi"/>
          <w:b/>
          <w:bCs/>
          <w:sz w:val="24"/>
          <w:szCs w:val="24"/>
          <w:lang w:bidi="ar-EG"/>
        </w:rPr>
        <w:t xml:space="preserve">(Tab </w:t>
      </w:r>
      <w:r w:rsidR="00F25F7D" w:rsidRPr="003F0CBB">
        <w:rPr>
          <w:rFonts w:asciiTheme="majorBidi" w:eastAsia="Times New Roman" w:hAnsiTheme="majorBidi" w:cstheme="majorBidi"/>
          <w:b/>
          <w:bCs/>
          <w:sz w:val="24"/>
          <w:szCs w:val="24"/>
          <w:lang w:bidi="ar-EG"/>
        </w:rPr>
        <w:t>2</w:t>
      </w:r>
      <w:r w:rsidRPr="003F0CBB">
        <w:rPr>
          <w:rFonts w:asciiTheme="majorBidi" w:eastAsia="Times New Roman" w:hAnsiTheme="majorBidi" w:cstheme="majorBidi"/>
          <w:b/>
          <w:bCs/>
          <w:sz w:val="24"/>
          <w:szCs w:val="24"/>
          <w:lang w:bidi="ar-EG"/>
        </w:rPr>
        <w:t>).</w:t>
      </w:r>
    </w:p>
    <w:p w14:paraId="19ACB4AD" w14:textId="43CA1072" w:rsidR="00F36C63" w:rsidRDefault="002C1DAC" w:rsidP="00DF78E8">
      <w:pPr>
        <w:spacing w:line="360" w:lineRule="auto"/>
        <w:ind w:firstLine="720"/>
        <w:jc w:val="both"/>
        <w:rPr>
          <w:rFonts w:asciiTheme="majorBidi" w:eastAsia="Times New Roman" w:hAnsiTheme="majorBidi" w:cstheme="majorBidi"/>
          <w:sz w:val="24"/>
          <w:szCs w:val="24"/>
          <w:lang w:bidi="ar-EG"/>
        </w:rPr>
      </w:pPr>
      <w:r w:rsidRPr="0088290D">
        <w:rPr>
          <w:rFonts w:asciiTheme="majorBidi" w:eastAsia="Times New Roman" w:hAnsiTheme="majorBidi" w:cstheme="majorBidi"/>
          <w:sz w:val="24"/>
          <w:szCs w:val="24"/>
          <w:lang w:bidi="ar-EG"/>
        </w:rPr>
        <w:t>As shown in Table 3</w:t>
      </w:r>
      <w:r w:rsidR="0088290D" w:rsidRPr="0088290D">
        <w:rPr>
          <w:rFonts w:asciiTheme="majorBidi" w:eastAsia="Times New Roman" w:hAnsiTheme="majorBidi" w:cstheme="majorBidi"/>
          <w:sz w:val="24"/>
          <w:szCs w:val="24"/>
          <w:lang w:bidi="ar-EG"/>
        </w:rPr>
        <w:t>, the</w:t>
      </w:r>
      <w:r w:rsidRPr="0088290D">
        <w:rPr>
          <w:rFonts w:asciiTheme="majorBidi" w:eastAsia="Times New Roman" w:hAnsiTheme="majorBidi" w:cstheme="majorBidi"/>
          <w:sz w:val="24"/>
          <w:szCs w:val="24"/>
          <w:lang w:bidi="ar-EG"/>
        </w:rPr>
        <w:t xml:space="preserve"> Multivariate Regression test detected that the only variables independently associated with lncRNA IFNG-AS1 relative expression in the prediction of CD among studied parameters were</w:t>
      </w:r>
      <w:r w:rsidR="0088290D" w:rsidRPr="0088290D">
        <w:rPr>
          <w:rFonts w:asciiTheme="majorBidi" w:eastAsia="Times New Roman" w:hAnsiTheme="majorBidi" w:cstheme="majorBidi"/>
          <w:sz w:val="24"/>
          <w:szCs w:val="24"/>
          <w:lang w:bidi="ar-EG"/>
        </w:rPr>
        <w:t xml:space="preserve"> </w:t>
      </w:r>
      <w:r w:rsidRPr="0088290D">
        <w:rPr>
          <w:rFonts w:asciiTheme="majorBidi" w:eastAsia="Times New Roman" w:hAnsiTheme="majorBidi" w:cstheme="majorBidi"/>
          <w:sz w:val="24"/>
          <w:szCs w:val="24"/>
          <w:lang w:bidi="ar-EG"/>
        </w:rPr>
        <w:t>anti-TG, anti-TPO, and TTG IgA</w:t>
      </w:r>
      <w:r w:rsidR="0088290D" w:rsidRPr="0088290D">
        <w:rPr>
          <w:rFonts w:asciiTheme="majorBidi" w:eastAsia="Times New Roman" w:hAnsiTheme="majorBidi" w:cstheme="majorBidi"/>
          <w:sz w:val="24"/>
          <w:szCs w:val="24"/>
          <w:lang w:bidi="ar-EG"/>
        </w:rPr>
        <w:t>.</w:t>
      </w:r>
      <w:r>
        <w:rPr>
          <w:rFonts w:asciiTheme="majorBidi" w:eastAsia="Times New Roman" w:hAnsiTheme="majorBidi" w:cstheme="majorBidi"/>
          <w:sz w:val="24"/>
          <w:szCs w:val="24"/>
          <w:lang w:bidi="ar-EG"/>
        </w:rPr>
        <w:t xml:space="preserve"> </w:t>
      </w:r>
    </w:p>
    <w:p w14:paraId="24EAD430" w14:textId="58BCCDC7" w:rsidR="00D95C6E" w:rsidRDefault="00D95C6E" w:rsidP="00D95C6E">
      <w:pPr>
        <w:pStyle w:val="Caption"/>
        <w:keepNext/>
      </w:pPr>
      <w:bookmarkStart w:id="24" w:name="_Toc157866290"/>
      <w:bookmarkStart w:id="25" w:name="_Toc157866469"/>
      <w:r>
        <w:t>Tab</w:t>
      </w:r>
      <w:r w:rsidR="002C1DAC">
        <w:fldChar w:fldCharType="begin"/>
      </w:r>
      <w:r w:rsidR="002C1DAC">
        <w:instrText xml:space="preserve"> SEQ Table \* ARABIC </w:instrText>
      </w:r>
      <w:r w:rsidR="002C1DAC">
        <w:fldChar w:fldCharType="separate"/>
      </w:r>
      <w:r w:rsidR="009E3E4D">
        <w:rPr>
          <w:noProof/>
        </w:rPr>
        <w:t>3</w:t>
      </w:r>
      <w:r w:rsidR="002C1DAC">
        <w:rPr>
          <w:noProof/>
        </w:rPr>
        <w:fldChar w:fldCharType="end"/>
      </w:r>
      <w:r>
        <w:t>.</w:t>
      </w:r>
      <w:r w:rsidRPr="00D95C6E">
        <w:t xml:space="preserve"> </w:t>
      </w:r>
      <w:r>
        <w:t xml:space="preserve">A multivariate regression test was used to evaluate the independent variable associated with lncRNA IFNG-AS1 relative expression in the </w:t>
      </w:r>
      <w:r w:rsidRPr="00D95C6E">
        <w:t>prediction of CD.</w:t>
      </w:r>
      <w:bookmarkEnd w:id="24"/>
      <w:bookmarkEnd w:id="25"/>
    </w:p>
    <w:tbl>
      <w:tblPr>
        <w:tblW w:w="5000" w:type="pct"/>
        <w:jc w:val="center"/>
        <w:tblCellMar>
          <w:left w:w="0" w:type="dxa"/>
          <w:right w:w="0" w:type="dxa"/>
        </w:tblCellMar>
        <w:tblLook w:val="04A0" w:firstRow="1" w:lastRow="0" w:firstColumn="1" w:lastColumn="0" w:noHBand="0" w:noVBand="1"/>
        <w:tblCaption w:val="Table 3: Multivariate Regression test to evaluate the independent variable associated with lncRNA IFNG-AS1 relative expression in prediction of CD."/>
      </w:tblPr>
      <w:tblGrid>
        <w:gridCol w:w="135"/>
        <w:gridCol w:w="1384"/>
        <w:gridCol w:w="899"/>
        <w:gridCol w:w="760"/>
        <w:gridCol w:w="1244"/>
        <w:gridCol w:w="899"/>
        <w:gridCol w:w="829"/>
        <w:gridCol w:w="1175"/>
        <w:gridCol w:w="1315"/>
      </w:tblGrid>
      <w:tr w:rsidR="00D95C6E" w:rsidRPr="00D95C6E" w14:paraId="151E878B" w14:textId="77777777" w:rsidTr="00D95C6E">
        <w:trPr>
          <w:cantSplit/>
          <w:jc w:val="center"/>
        </w:trPr>
        <w:tc>
          <w:tcPr>
            <w:tcW w:w="879" w:type="pct"/>
            <w:gridSpan w:val="2"/>
            <w:vMerge w:val="restart"/>
            <w:tcBorders>
              <w:top w:val="single" w:sz="4" w:space="0" w:color="auto"/>
            </w:tcBorders>
            <w:vAlign w:val="bottom"/>
            <w:hideMark/>
          </w:tcPr>
          <w:p w14:paraId="50B8EE99"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Model</w:t>
            </w:r>
          </w:p>
        </w:tc>
        <w:tc>
          <w:tcPr>
            <w:tcW w:w="960" w:type="pct"/>
            <w:gridSpan w:val="2"/>
            <w:tcBorders>
              <w:top w:val="single" w:sz="4" w:space="0" w:color="auto"/>
            </w:tcBorders>
            <w:vAlign w:val="bottom"/>
            <w:hideMark/>
          </w:tcPr>
          <w:p w14:paraId="61A644FD"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Unstandardized Coefficients</w:t>
            </w:r>
          </w:p>
        </w:tc>
        <w:tc>
          <w:tcPr>
            <w:tcW w:w="720" w:type="pct"/>
            <w:tcBorders>
              <w:top w:val="single" w:sz="4" w:space="0" w:color="auto"/>
            </w:tcBorders>
            <w:vAlign w:val="bottom"/>
            <w:hideMark/>
          </w:tcPr>
          <w:p w14:paraId="42B17CD8"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Standardized Coefficients</w:t>
            </w:r>
          </w:p>
        </w:tc>
        <w:tc>
          <w:tcPr>
            <w:tcW w:w="520" w:type="pct"/>
            <w:vMerge w:val="restart"/>
            <w:tcBorders>
              <w:top w:val="single" w:sz="4" w:space="0" w:color="auto"/>
            </w:tcBorders>
            <w:vAlign w:val="bottom"/>
            <w:hideMark/>
          </w:tcPr>
          <w:p w14:paraId="2E0F49A1"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t</w:t>
            </w:r>
          </w:p>
        </w:tc>
        <w:tc>
          <w:tcPr>
            <w:tcW w:w="480" w:type="pct"/>
            <w:vMerge w:val="restart"/>
            <w:tcBorders>
              <w:top w:val="single" w:sz="4" w:space="0" w:color="auto"/>
            </w:tcBorders>
            <w:vAlign w:val="bottom"/>
            <w:hideMark/>
          </w:tcPr>
          <w:p w14:paraId="1B887331"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P value</w:t>
            </w:r>
          </w:p>
        </w:tc>
        <w:tc>
          <w:tcPr>
            <w:tcW w:w="1441" w:type="pct"/>
            <w:gridSpan w:val="2"/>
            <w:tcBorders>
              <w:top w:val="single" w:sz="4" w:space="0" w:color="auto"/>
            </w:tcBorders>
            <w:vAlign w:val="bottom"/>
            <w:hideMark/>
          </w:tcPr>
          <w:p w14:paraId="5CB7E023"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95% C.I.</w:t>
            </w:r>
          </w:p>
        </w:tc>
      </w:tr>
      <w:tr w:rsidR="00D95C6E" w:rsidRPr="00D95C6E" w14:paraId="5683A13D" w14:textId="77777777" w:rsidTr="00D95C6E">
        <w:trPr>
          <w:cantSplit/>
          <w:jc w:val="center"/>
        </w:trPr>
        <w:tc>
          <w:tcPr>
            <w:tcW w:w="879" w:type="pct"/>
            <w:gridSpan w:val="2"/>
            <w:vMerge/>
            <w:vAlign w:val="center"/>
            <w:hideMark/>
          </w:tcPr>
          <w:p w14:paraId="4F429764"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520" w:type="pct"/>
            <w:vAlign w:val="bottom"/>
            <w:hideMark/>
          </w:tcPr>
          <w:p w14:paraId="48B6C480"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B</w:t>
            </w:r>
          </w:p>
        </w:tc>
        <w:tc>
          <w:tcPr>
            <w:tcW w:w="440" w:type="pct"/>
            <w:vAlign w:val="bottom"/>
            <w:hideMark/>
          </w:tcPr>
          <w:p w14:paraId="269D2EEE"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Std. Error</w:t>
            </w:r>
          </w:p>
        </w:tc>
        <w:tc>
          <w:tcPr>
            <w:tcW w:w="720" w:type="pct"/>
            <w:vAlign w:val="bottom"/>
            <w:hideMark/>
          </w:tcPr>
          <w:p w14:paraId="771E1E6C"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Beta</w:t>
            </w:r>
          </w:p>
        </w:tc>
        <w:tc>
          <w:tcPr>
            <w:tcW w:w="520" w:type="pct"/>
            <w:vMerge/>
            <w:vAlign w:val="center"/>
            <w:hideMark/>
          </w:tcPr>
          <w:p w14:paraId="59821DC1"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480" w:type="pct"/>
            <w:vMerge/>
            <w:vAlign w:val="center"/>
            <w:hideMark/>
          </w:tcPr>
          <w:p w14:paraId="6FBC4D27"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680" w:type="pct"/>
            <w:vAlign w:val="bottom"/>
            <w:hideMark/>
          </w:tcPr>
          <w:p w14:paraId="25E8BB6B"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Lower Bound</w:t>
            </w:r>
          </w:p>
        </w:tc>
        <w:tc>
          <w:tcPr>
            <w:tcW w:w="761" w:type="pct"/>
            <w:vAlign w:val="bottom"/>
            <w:hideMark/>
          </w:tcPr>
          <w:p w14:paraId="6C6AC139"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Upper Bound</w:t>
            </w:r>
          </w:p>
        </w:tc>
      </w:tr>
      <w:tr w:rsidR="00D95C6E" w:rsidRPr="00D95C6E" w14:paraId="344FBBF6" w14:textId="77777777" w:rsidTr="00D95C6E">
        <w:trPr>
          <w:cantSplit/>
          <w:jc w:val="center"/>
        </w:trPr>
        <w:tc>
          <w:tcPr>
            <w:tcW w:w="78" w:type="pct"/>
            <w:vMerge w:val="restart"/>
            <w:hideMark/>
          </w:tcPr>
          <w:p w14:paraId="12CD92FB" w14:textId="58FA7580"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p>
        </w:tc>
        <w:tc>
          <w:tcPr>
            <w:tcW w:w="801" w:type="pct"/>
            <w:tcBorders>
              <w:bottom w:val="single" w:sz="4" w:space="0" w:color="auto"/>
            </w:tcBorders>
            <w:hideMark/>
          </w:tcPr>
          <w:p w14:paraId="738C5749"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(Constant)</w:t>
            </w:r>
          </w:p>
        </w:tc>
        <w:tc>
          <w:tcPr>
            <w:tcW w:w="520" w:type="pct"/>
            <w:tcBorders>
              <w:bottom w:val="single" w:sz="4" w:space="0" w:color="auto"/>
            </w:tcBorders>
            <w:hideMark/>
          </w:tcPr>
          <w:p w14:paraId="69FD7CE2"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0.484</w:t>
            </w:r>
          </w:p>
        </w:tc>
        <w:tc>
          <w:tcPr>
            <w:tcW w:w="440" w:type="pct"/>
            <w:tcBorders>
              <w:bottom w:val="single" w:sz="4" w:space="0" w:color="auto"/>
            </w:tcBorders>
            <w:hideMark/>
          </w:tcPr>
          <w:p w14:paraId="3CACE390"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0.346</w:t>
            </w:r>
          </w:p>
        </w:tc>
        <w:tc>
          <w:tcPr>
            <w:tcW w:w="720" w:type="pct"/>
            <w:tcBorders>
              <w:bottom w:val="single" w:sz="4" w:space="0" w:color="auto"/>
            </w:tcBorders>
            <w:vAlign w:val="center"/>
          </w:tcPr>
          <w:p w14:paraId="4FA2CFA5"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p>
        </w:tc>
        <w:tc>
          <w:tcPr>
            <w:tcW w:w="520" w:type="pct"/>
            <w:tcBorders>
              <w:bottom w:val="single" w:sz="4" w:space="0" w:color="auto"/>
            </w:tcBorders>
            <w:hideMark/>
          </w:tcPr>
          <w:p w14:paraId="3404DFF5"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1.400</w:t>
            </w:r>
          </w:p>
        </w:tc>
        <w:tc>
          <w:tcPr>
            <w:tcW w:w="480" w:type="pct"/>
            <w:tcBorders>
              <w:bottom w:val="single" w:sz="4" w:space="0" w:color="auto"/>
            </w:tcBorders>
            <w:hideMark/>
          </w:tcPr>
          <w:p w14:paraId="3A108CE0"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0.165</w:t>
            </w:r>
          </w:p>
        </w:tc>
        <w:tc>
          <w:tcPr>
            <w:tcW w:w="680" w:type="pct"/>
            <w:tcBorders>
              <w:bottom w:val="single" w:sz="4" w:space="0" w:color="auto"/>
            </w:tcBorders>
            <w:hideMark/>
          </w:tcPr>
          <w:p w14:paraId="27F9432B"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-0.202</w:t>
            </w:r>
          </w:p>
        </w:tc>
        <w:tc>
          <w:tcPr>
            <w:tcW w:w="761" w:type="pct"/>
            <w:tcBorders>
              <w:bottom w:val="single" w:sz="4" w:space="0" w:color="auto"/>
            </w:tcBorders>
            <w:hideMark/>
          </w:tcPr>
          <w:p w14:paraId="2092A1A3"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1.171</w:t>
            </w:r>
          </w:p>
        </w:tc>
      </w:tr>
      <w:tr w:rsidR="00D95C6E" w:rsidRPr="00D95C6E" w14:paraId="3ACAF635" w14:textId="77777777" w:rsidTr="00D95C6E">
        <w:trPr>
          <w:cantSplit/>
          <w:jc w:val="center"/>
        </w:trPr>
        <w:tc>
          <w:tcPr>
            <w:tcW w:w="78" w:type="pct"/>
            <w:vMerge/>
            <w:vAlign w:val="center"/>
            <w:hideMark/>
          </w:tcPr>
          <w:p w14:paraId="71EAACB9"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801" w:type="pct"/>
            <w:tcBorders>
              <w:top w:val="single" w:sz="4" w:space="0" w:color="auto"/>
            </w:tcBorders>
            <w:hideMark/>
          </w:tcPr>
          <w:p w14:paraId="52F125AC"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Anti TTG IgA</w:t>
            </w:r>
          </w:p>
        </w:tc>
        <w:tc>
          <w:tcPr>
            <w:tcW w:w="520" w:type="pct"/>
            <w:tcBorders>
              <w:top w:val="single" w:sz="4" w:space="0" w:color="auto"/>
            </w:tcBorders>
            <w:hideMark/>
          </w:tcPr>
          <w:p w14:paraId="083F2A0E"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0.041</w:t>
            </w:r>
          </w:p>
        </w:tc>
        <w:tc>
          <w:tcPr>
            <w:tcW w:w="440" w:type="pct"/>
            <w:tcBorders>
              <w:top w:val="single" w:sz="4" w:space="0" w:color="auto"/>
            </w:tcBorders>
            <w:hideMark/>
          </w:tcPr>
          <w:p w14:paraId="7A3D0425"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0.020</w:t>
            </w:r>
          </w:p>
        </w:tc>
        <w:tc>
          <w:tcPr>
            <w:tcW w:w="720" w:type="pct"/>
            <w:tcBorders>
              <w:top w:val="single" w:sz="4" w:space="0" w:color="auto"/>
            </w:tcBorders>
            <w:hideMark/>
          </w:tcPr>
          <w:p w14:paraId="11D4EDF7"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0.239</w:t>
            </w:r>
          </w:p>
        </w:tc>
        <w:tc>
          <w:tcPr>
            <w:tcW w:w="520" w:type="pct"/>
            <w:tcBorders>
              <w:top w:val="single" w:sz="4" w:space="0" w:color="auto"/>
            </w:tcBorders>
            <w:hideMark/>
          </w:tcPr>
          <w:p w14:paraId="30B9CD36"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2.101</w:t>
            </w:r>
          </w:p>
        </w:tc>
        <w:tc>
          <w:tcPr>
            <w:tcW w:w="480" w:type="pct"/>
            <w:tcBorders>
              <w:top w:val="single" w:sz="4" w:space="0" w:color="auto"/>
            </w:tcBorders>
            <w:hideMark/>
          </w:tcPr>
          <w:p w14:paraId="63025819"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˂0.05*</w:t>
            </w:r>
          </w:p>
        </w:tc>
        <w:tc>
          <w:tcPr>
            <w:tcW w:w="680" w:type="pct"/>
            <w:tcBorders>
              <w:top w:val="single" w:sz="4" w:space="0" w:color="auto"/>
            </w:tcBorders>
            <w:hideMark/>
          </w:tcPr>
          <w:p w14:paraId="6BFA9BDC"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0.002</w:t>
            </w:r>
          </w:p>
        </w:tc>
        <w:tc>
          <w:tcPr>
            <w:tcW w:w="761" w:type="pct"/>
            <w:tcBorders>
              <w:top w:val="single" w:sz="4" w:space="0" w:color="auto"/>
            </w:tcBorders>
            <w:hideMark/>
          </w:tcPr>
          <w:p w14:paraId="083A2C87"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0.081</w:t>
            </w:r>
          </w:p>
        </w:tc>
      </w:tr>
      <w:tr w:rsidR="00D95C6E" w:rsidRPr="00D95C6E" w14:paraId="4BBBF758" w14:textId="77777777" w:rsidTr="00D95C6E">
        <w:trPr>
          <w:cantSplit/>
          <w:jc w:val="center"/>
        </w:trPr>
        <w:tc>
          <w:tcPr>
            <w:tcW w:w="78" w:type="pct"/>
            <w:vMerge/>
            <w:vAlign w:val="center"/>
            <w:hideMark/>
          </w:tcPr>
          <w:p w14:paraId="17542DD1"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801" w:type="pct"/>
            <w:hideMark/>
          </w:tcPr>
          <w:p w14:paraId="136E673F"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TSH</w:t>
            </w:r>
          </w:p>
        </w:tc>
        <w:tc>
          <w:tcPr>
            <w:tcW w:w="520" w:type="pct"/>
            <w:hideMark/>
          </w:tcPr>
          <w:p w14:paraId="0D7B97D5"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-0.062</w:t>
            </w:r>
          </w:p>
        </w:tc>
        <w:tc>
          <w:tcPr>
            <w:tcW w:w="440" w:type="pct"/>
            <w:hideMark/>
          </w:tcPr>
          <w:p w14:paraId="597C85D8"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0.062</w:t>
            </w:r>
          </w:p>
        </w:tc>
        <w:tc>
          <w:tcPr>
            <w:tcW w:w="720" w:type="pct"/>
            <w:hideMark/>
          </w:tcPr>
          <w:p w14:paraId="1927838A"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-0.087</w:t>
            </w:r>
          </w:p>
        </w:tc>
        <w:tc>
          <w:tcPr>
            <w:tcW w:w="520" w:type="pct"/>
            <w:hideMark/>
          </w:tcPr>
          <w:p w14:paraId="1BEE1755"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-1.013</w:t>
            </w:r>
          </w:p>
        </w:tc>
        <w:tc>
          <w:tcPr>
            <w:tcW w:w="480" w:type="pct"/>
            <w:hideMark/>
          </w:tcPr>
          <w:p w14:paraId="1801D553"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0.314</w:t>
            </w:r>
          </w:p>
        </w:tc>
        <w:tc>
          <w:tcPr>
            <w:tcW w:w="680" w:type="pct"/>
            <w:hideMark/>
          </w:tcPr>
          <w:p w14:paraId="19618288"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-0.185</w:t>
            </w:r>
          </w:p>
        </w:tc>
        <w:tc>
          <w:tcPr>
            <w:tcW w:w="761" w:type="pct"/>
            <w:hideMark/>
          </w:tcPr>
          <w:p w14:paraId="4CD969C8"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0.060</w:t>
            </w:r>
          </w:p>
        </w:tc>
      </w:tr>
      <w:tr w:rsidR="00D95C6E" w:rsidRPr="00D95C6E" w14:paraId="46AAA8EA" w14:textId="77777777" w:rsidTr="00D95C6E">
        <w:trPr>
          <w:cantSplit/>
          <w:jc w:val="center"/>
        </w:trPr>
        <w:tc>
          <w:tcPr>
            <w:tcW w:w="78" w:type="pct"/>
            <w:vMerge/>
            <w:vAlign w:val="center"/>
            <w:hideMark/>
          </w:tcPr>
          <w:p w14:paraId="050CD512"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801" w:type="pct"/>
            <w:hideMark/>
          </w:tcPr>
          <w:p w14:paraId="5856CECE" w14:textId="4AD9136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Anti-</w:t>
            </w:r>
            <w:proofErr w:type="spellStart"/>
            <w:r w:rsidRPr="00D95C6E">
              <w:rPr>
                <w:rFonts w:ascii="Times New Roman" w:eastAsia="Times New Roman" w:hAnsi="Times New Roman" w:cs="Times New Roman"/>
                <w:color w:val="333333"/>
                <w:kern w:val="0"/>
                <w14:ligatures w14:val="none"/>
              </w:rPr>
              <w:t>Tg</w:t>
            </w:r>
            <w:proofErr w:type="spellEnd"/>
          </w:p>
        </w:tc>
        <w:tc>
          <w:tcPr>
            <w:tcW w:w="520" w:type="pct"/>
            <w:hideMark/>
          </w:tcPr>
          <w:p w14:paraId="1548A8AE"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-0.003</w:t>
            </w:r>
          </w:p>
        </w:tc>
        <w:tc>
          <w:tcPr>
            <w:tcW w:w="440" w:type="pct"/>
            <w:hideMark/>
          </w:tcPr>
          <w:p w14:paraId="1F7BC7A5"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0.001</w:t>
            </w:r>
          </w:p>
        </w:tc>
        <w:tc>
          <w:tcPr>
            <w:tcW w:w="720" w:type="pct"/>
            <w:hideMark/>
          </w:tcPr>
          <w:p w14:paraId="6AA6D3C4"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-0.472</w:t>
            </w:r>
          </w:p>
        </w:tc>
        <w:tc>
          <w:tcPr>
            <w:tcW w:w="520" w:type="pct"/>
            <w:hideMark/>
          </w:tcPr>
          <w:p w14:paraId="1D16E357"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-4.014</w:t>
            </w:r>
          </w:p>
        </w:tc>
        <w:tc>
          <w:tcPr>
            <w:tcW w:w="480" w:type="pct"/>
            <w:hideMark/>
          </w:tcPr>
          <w:p w14:paraId="121C51FB"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˂0.001*</w:t>
            </w:r>
          </w:p>
        </w:tc>
        <w:tc>
          <w:tcPr>
            <w:tcW w:w="680" w:type="pct"/>
            <w:hideMark/>
          </w:tcPr>
          <w:p w14:paraId="6381C7B3"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-0.004</w:t>
            </w:r>
          </w:p>
        </w:tc>
        <w:tc>
          <w:tcPr>
            <w:tcW w:w="761" w:type="pct"/>
            <w:hideMark/>
          </w:tcPr>
          <w:p w14:paraId="04D6FCBE"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-0.001</w:t>
            </w:r>
          </w:p>
        </w:tc>
      </w:tr>
      <w:tr w:rsidR="00D95C6E" w:rsidRPr="00D95C6E" w14:paraId="67194055" w14:textId="77777777" w:rsidTr="00D95C6E">
        <w:trPr>
          <w:cantSplit/>
          <w:jc w:val="center"/>
        </w:trPr>
        <w:tc>
          <w:tcPr>
            <w:tcW w:w="78" w:type="pct"/>
            <w:vMerge/>
            <w:vAlign w:val="center"/>
            <w:hideMark/>
          </w:tcPr>
          <w:p w14:paraId="1C1EF313"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801" w:type="pct"/>
            <w:hideMark/>
          </w:tcPr>
          <w:p w14:paraId="6A5FE01D"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 xml:space="preserve">Anti-TPO  </w:t>
            </w:r>
          </w:p>
        </w:tc>
        <w:tc>
          <w:tcPr>
            <w:tcW w:w="520" w:type="pct"/>
            <w:hideMark/>
          </w:tcPr>
          <w:p w14:paraId="7B25ABEC"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0.012</w:t>
            </w:r>
          </w:p>
        </w:tc>
        <w:tc>
          <w:tcPr>
            <w:tcW w:w="440" w:type="pct"/>
            <w:hideMark/>
          </w:tcPr>
          <w:p w14:paraId="6F417272"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0.001</w:t>
            </w:r>
          </w:p>
        </w:tc>
        <w:tc>
          <w:tcPr>
            <w:tcW w:w="720" w:type="pct"/>
            <w:hideMark/>
          </w:tcPr>
          <w:p w14:paraId="3CD0670A"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1.309</w:t>
            </w:r>
          </w:p>
        </w:tc>
        <w:tc>
          <w:tcPr>
            <w:tcW w:w="520" w:type="pct"/>
            <w:hideMark/>
          </w:tcPr>
          <w:p w14:paraId="220DCC91"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7.836</w:t>
            </w:r>
          </w:p>
        </w:tc>
        <w:tc>
          <w:tcPr>
            <w:tcW w:w="480" w:type="pct"/>
            <w:hideMark/>
          </w:tcPr>
          <w:p w14:paraId="066D99AA"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˂0.001*</w:t>
            </w:r>
          </w:p>
        </w:tc>
        <w:tc>
          <w:tcPr>
            <w:tcW w:w="680" w:type="pct"/>
            <w:hideMark/>
          </w:tcPr>
          <w:p w14:paraId="35ACD112"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0.009</w:t>
            </w:r>
          </w:p>
        </w:tc>
        <w:tc>
          <w:tcPr>
            <w:tcW w:w="761" w:type="pct"/>
            <w:hideMark/>
          </w:tcPr>
          <w:p w14:paraId="41DD6FDD"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00.014</w:t>
            </w:r>
          </w:p>
        </w:tc>
      </w:tr>
      <w:tr w:rsidR="00D95C6E" w:rsidRPr="00D95C6E" w14:paraId="16706A14" w14:textId="77777777" w:rsidTr="00D95C6E">
        <w:trPr>
          <w:cantSplit/>
          <w:jc w:val="center"/>
        </w:trPr>
        <w:tc>
          <w:tcPr>
            <w:tcW w:w="78" w:type="pct"/>
            <w:vMerge/>
            <w:vAlign w:val="center"/>
            <w:hideMark/>
          </w:tcPr>
          <w:p w14:paraId="4EC5EEEB" w14:textId="77777777" w:rsidR="00D95C6E" w:rsidRPr="00D95C6E" w:rsidRDefault="00D95C6E" w:rsidP="00D95C6E">
            <w:pPr>
              <w:spacing w:after="0" w:line="256" w:lineRule="auto"/>
              <w:rPr>
                <w:rFonts w:ascii="Times New Roman" w:eastAsia="Times New Roman" w:hAnsi="Times New Roman" w:cs="Times New Roman"/>
                <w:color w:val="333333"/>
                <w:kern w:val="0"/>
                <w14:ligatures w14:val="none"/>
              </w:rPr>
            </w:pPr>
          </w:p>
        </w:tc>
        <w:tc>
          <w:tcPr>
            <w:tcW w:w="801" w:type="pct"/>
            <w:tcBorders>
              <w:bottom w:val="single" w:sz="4" w:space="0" w:color="auto"/>
            </w:tcBorders>
            <w:hideMark/>
          </w:tcPr>
          <w:p w14:paraId="1A6B98BF"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FT4</w:t>
            </w:r>
          </w:p>
        </w:tc>
        <w:tc>
          <w:tcPr>
            <w:tcW w:w="520" w:type="pct"/>
            <w:tcBorders>
              <w:bottom w:val="single" w:sz="4" w:space="0" w:color="auto"/>
            </w:tcBorders>
            <w:hideMark/>
          </w:tcPr>
          <w:p w14:paraId="2CCF9607"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0.311</w:t>
            </w:r>
          </w:p>
        </w:tc>
        <w:tc>
          <w:tcPr>
            <w:tcW w:w="440" w:type="pct"/>
            <w:tcBorders>
              <w:bottom w:val="single" w:sz="4" w:space="0" w:color="auto"/>
            </w:tcBorders>
            <w:hideMark/>
          </w:tcPr>
          <w:p w14:paraId="32BB5EB0"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0.187</w:t>
            </w:r>
          </w:p>
        </w:tc>
        <w:tc>
          <w:tcPr>
            <w:tcW w:w="720" w:type="pct"/>
            <w:tcBorders>
              <w:bottom w:val="single" w:sz="4" w:space="0" w:color="auto"/>
            </w:tcBorders>
            <w:hideMark/>
          </w:tcPr>
          <w:p w14:paraId="592C5F1A"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0.119</w:t>
            </w:r>
          </w:p>
        </w:tc>
        <w:tc>
          <w:tcPr>
            <w:tcW w:w="520" w:type="pct"/>
            <w:tcBorders>
              <w:bottom w:val="single" w:sz="4" w:space="0" w:color="auto"/>
            </w:tcBorders>
            <w:hideMark/>
          </w:tcPr>
          <w:p w14:paraId="16494822"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1.659</w:t>
            </w:r>
          </w:p>
        </w:tc>
        <w:tc>
          <w:tcPr>
            <w:tcW w:w="480" w:type="pct"/>
            <w:tcBorders>
              <w:bottom w:val="single" w:sz="4" w:space="0" w:color="auto"/>
            </w:tcBorders>
            <w:hideMark/>
          </w:tcPr>
          <w:p w14:paraId="1460F21B"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0.101</w:t>
            </w:r>
          </w:p>
        </w:tc>
        <w:tc>
          <w:tcPr>
            <w:tcW w:w="680" w:type="pct"/>
            <w:tcBorders>
              <w:bottom w:val="single" w:sz="4" w:space="0" w:color="auto"/>
            </w:tcBorders>
            <w:hideMark/>
          </w:tcPr>
          <w:p w14:paraId="6634C0A9"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-0.061</w:t>
            </w:r>
          </w:p>
        </w:tc>
        <w:tc>
          <w:tcPr>
            <w:tcW w:w="761" w:type="pct"/>
            <w:tcBorders>
              <w:bottom w:val="single" w:sz="4" w:space="0" w:color="auto"/>
            </w:tcBorders>
            <w:hideMark/>
          </w:tcPr>
          <w:p w14:paraId="10CFFED8" w14:textId="77777777" w:rsidR="00D95C6E" w:rsidRPr="00D95C6E" w:rsidRDefault="00D95C6E" w:rsidP="00D95C6E">
            <w:pPr>
              <w:spacing w:line="256" w:lineRule="auto"/>
              <w:jc w:val="both"/>
              <w:rPr>
                <w:rFonts w:ascii="Times New Roman" w:eastAsia="Times New Roman" w:hAnsi="Times New Roman" w:cs="Times New Roman"/>
                <w:color w:val="333333"/>
                <w:kern w:val="0"/>
                <w14:ligatures w14:val="none"/>
              </w:rPr>
            </w:pPr>
            <w:r w:rsidRPr="00D95C6E">
              <w:rPr>
                <w:rFonts w:ascii="Times New Roman" w:eastAsia="Times New Roman" w:hAnsi="Times New Roman" w:cs="Times New Roman"/>
                <w:color w:val="333333"/>
                <w:kern w:val="0"/>
                <w14:ligatures w14:val="none"/>
              </w:rPr>
              <w:t>.683</w:t>
            </w:r>
          </w:p>
        </w:tc>
      </w:tr>
    </w:tbl>
    <w:p w14:paraId="559B0055" w14:textId="77777777" w:rsidR="00D95C6E" w:rsidRPr="00F36C63" w:rsidRDefault="00D95C6E" w:rsidP="00DF78E8">
      <w:pPr>
        <w:spacing w:line="360" w:lineRule="auto"/>
        <w:ind w:firstLine="720"/>
        <w:jc w:val="both"/>
        <w:rPr>
          <w:rFonts w:asciiTheme="majorBidi" w:eastAsia="Times New Roman" w:hAnsiTheme="majorBidi" w:cstheme="majorBidi"/>
          <w:sz w:val="24"/>
          <w:szCs w:val="24"/>
          <w:lang w:bidi="ar-EG"/>
        </w:rPr>
      </w:pPr>
    </w:p>
    <w:p w14:paraId="15E9152C" w14:textId="77777777" w:rsidR="0089328E" w:rsidRDefault="002C1DAC" w:rsidP="00DF78E8">
      <w:pPr>
        <w:spacing w:line="360" w:lineRule="auto"/>
        <w:ind w:firstLine="720"/>
        <w:jc w:val="both"/>
        <w:rPr>
          <w:rFonts w:asciiTheme="majorBidi" w:eastAsia="Times New Roman" w:hAnsiTheme="majorBidi" w:cstheme="majorBidi"/>
          <w:sz w:val="24"/>
          <w:szCs w:val="24"/>
          <w:lang w:bidi="ar-EG"/>
        </w:rPr>
      </w:pPr>
      <w:r w:rsidRPr="0088290D">
        <w:rPr>
          <w:rFonts w:asciiTheme="majorBidi" w:eastAsia="Times New Roman" w:hAnsiTheme="majorBidi" w:cstheme="majorBidi"/>
          <w:sz w:val="24"/>
          <w:szCs w:val="24"/>
          <w:lang w:bidi="ar-EG"/>
        </w:rPr>
        <w:t>As shown in figure 5a and 5</w:t>
      </w:r>
      <w:r w:rsidR="00F10709" w:rsidRPr="0088290D">
        <w:rPr>
          <w:rFonts w:asciiTheme="majorBidi" w:eastAsia="Times New Roman" w:hAnsiTheme="majorBidi" w:cstheme="majorBidi"/>
          <w:sz w:val="24"/>
          <w:szCs w:val="24"/>
          <w:lang w:bidi="ar-EG"/>
        </w:rPr>
        <w:t>b</w:t>
      </w:r>
      <w:r w:rsidR="00F10709">
        <w:rPr>
          <w:rFonts w:asciiTheme="majorBidi" w:eastAsia="Times New Roman" w:hAnsiTheme="majorBidi" w:cstheme="majorBidi"/>
          <w:sz w:val="24"/>
          <w:szCs w:val="24"/>
          <w:lang w:bidi="ar-EG"/>
        </w:rPr>
        <w:t>, respectively.</w:t>
      </w:r>
      <w:r w:rsidR="00F10709" w:rsidRPr="003F0CBB">
        <w:rPr>
          <w:rFonts w:asciiTheme="majorBidi" w:eastAsia="Times New Roman" w:hAnsiTheme="majorBidi" w:cstheme="majorBidi"/>
          <w:sz w:val="24"/>
          <w:szCs w:val="24"/>
          <w:lang w:bidi="ar-EG"/>
        </w:rPr>
        <w:t xml:space="preserve"> It</w:t>
      </w:r>
      <w:r w:rsidRPr="003F0CBB">
        <w:rPr>
          <w:rFonts w:asciiTheme="majorBidi" w:eastAsia="Times New Roman" w:hAnsiTheme="majorBidi" w:cstheme="majorBidi"/>
          <w:sz w:val="24"/>
          <w:szCs w:val="24"/>
          <w:lang w:bidi="ar-EG"/>
        </w:rPr>
        <w:t xml:space="preserve"> is necessary to identify new biomarkers for </w:t>
      </w:r>
      <w:r w:rsidR="00BF5648" w:rsidRPr="003F0CBB">
        <w:rPr>
          <w:rFonts w:asciiTheme="majorBidi" w:eastAsia="Times New Roman" w:hAnsiTheme="majorBidi" w:cstheme="majorBidi"/>
          <w:sz w:val="24"/>
          <w:szCs w:val="24"/>
          <w:lang w:bidi="ar-EG"/>
        </w:rPr>
        <w:t>HT</w:t>
      </w:r>
      <w:r w:rsidRPr="003F0CBB">
        <w:rPr>
          <w:rFonts w:asciiTheme="majorBidi" w:eastAsia="Times New Roman" w:hAnsiTheme="majorBidi" w:cstheme="majorBidi"/>
          <w:sz w:val="24"/>
          <w:szCs w:val="24"/>
          <w:lang w:bidi="ar-EG"/>
        </w:rPr>
        <w:t xml:space="preserve"> patients. Hence, we explored the potential diagnostic value of IFNG-AS1 in </w:t>
      </w:r>
      <w:r w:rsidR="00BF5648" w:rsidRPr="003F0CBB">
        <w:rPr>
          <w:rFonts w:asciiTheme="majorBidi" w:eastAsia="Times New Roman" w:hAnsiTheme="majorBidi" w:cstheme="majorBidi"/>
          <w:sz w:val="24"/>
          <w:szCs w:val="24"/>
          <w:lang w:bidi="ar-EG"/>
        </w:rPr>
        <w:t>HT</w:t>
      </w:r>
      <w:r w:rsidRPr="003F0CBB">
        <w:rPr>
          <w:rFonts w:asciiTheme="majorBidi" w:eastAsia="Times New Roman" w:hAnsiTheme="majorBidi" w:cstheme="majorBidi"/>
          <w:sz w:val="24"/>
          <w:szCs w:val="24"/>
          <w:lang w:bidi="ar-EG"/>
        </w:rPr>
        <w:t xml:space="preserve">. Our </w:t>
      </w:r>
      <w:r w:rsidR="00BF5648" w:rsidRPr="003F0CBB">
        <w:rPr>
          <w:rFonts w:asciiTheme="majorBidi" w:eastAsia="Times New Roman" w:hAnsiTheme="majorBidi" w:cstheme="majorBidi"/>
          <w:sz w:val="24"/>
          <w:szCs w:val="24"/>
          <w:lang w:bidi="ar-EG"/>
        </w:rPr>
        <w:t>findings</w:t>
      </w:r>
      <w:r w:rsidRPr="003F0CBB">
        <w:rPr>
          <w:rFonts w:asciiTheme="majorBidi" w:eastAsia="Times New Roman" w:hAnsiTheme="majorBidi" w:cstheme="majorBidi"/>
          <w:sz w:val="24"/>
          <w:szCs w:val="24"/>
          <w:lang w:bidi="ar-EG"/>
        </w:rPr>
        <w:t xml:space="preserve"> </w:t>
      </w:r>
      <w:r w:rsidR="00116610" w:rsidRPr="003F0CBB">
        <w:rPr>
          <w:rFonts w:asciiTheme="majorBidi" w:eastAsia="Times New Roman" w:hAnsiTheme="majorBidi" w:cstheme="majorBidi"/>
          <w:sz w:val="24"/>
          <w:szCs w:val="24"/>
          <w:lang w:bidi="ar-EG"/>
        </w:rPr>
        <w:t>detected</w:t>
      </w:r>
      <w:r w:rsidRPr="003F0CBB">
        <w:rPr>
          <w:rFonts w:asciiTheme="majorBidi" w:eastAsia="Times New Roman" w:hAnsiTheme="majorBidi" w:cstheme="majorBidi"/>
          <w:sz w:val="24"/>
          <w:szCs w:val="24"/>
          <w:lang w:bidi="ar-EG"/>
        </w:rPr>
        <w:t xml:space="preserve"> that the AUC was up to 0.</w:t>
      </w:r>
      <w:r w:rsidR="00116610" w:rsidRPr="003F0CBB">
        <w:rPr>
          <w:rFonts w:asciiTheme="majorBidi" w:eastAsia="Times New Roman" w:hAnsiTheme="majorBidi" w:cstheme="majorBidi"/>
          <w:sz w:val="24"/>
          <w:szCs w:val="24"/>
          <w:lang w:bidi="ar-EG"/>
        </w:rPr>
        <w:t>974 with C.I(0.937-1.000)</w:t>
      </w:r>
      <w:r w:rsidR="0088290D">
        <w:rPr>
          <w:rFonts w:asciiTheme="majorBidi" w:eastAsia="Times New Roman" w:hAnsiTheme="majorBidi" w:cstheme="majorBidi"/>
          <w:sz w:val="24"/>
          <w:szCs w:val="24"/>
          <w:lang w:bidi="ar-EG"/>
        </w:rPr>
        <w:t>, and the sensitivity and specificity were 96% and 94%, respectively,</w:t>
      </w:r>
      <w:r w:rsidR="00116610" w:rsidRPr="003F0CBB">
        <w:rPr>
          <w:rFonts w:asciiTheme="majorBidi" w:eastAsia="Times New Roman" w:hAnsiTheme="majorBidi" w:cstheme="majorBidi"/>
          <w:sz w:val="24"/>
          <w:szCs w:val="24"/>
          <w:lang w:bidi="ar-EG"/>
        </w:rPr>
        <w:t xml:space="preserve"> at a cutoff of 1.67</w:t>
      </w:r>
      <w:r w:rsidRPr="003F0CBB">
        <w:rPr>
          <w:rFonts w:asciiTheme="majorBidi" w:eastAsia="Times New Roman" w:hAnsiTheme="majorBidi" w:cstheme="majorBidi"/>
          <w:sz w:val="24"/>
          <w:szCs w:val="24"/>
          <w:lang w:bidi="ar-EG"/>
        </w:rPr>
        <w:t xml:space="preserve">. </w:t>
      </w:r>
      <w:r w:rsidR="00116610" w:rsidRPr="003F0CBB">
        <w:rPr>
          <w:rFonts w:asciiTheme="majorBidi" w:eastAsia="Times New Roman" w:hAnsiTheme="majorBidi" w:cstheme="majorBidi"/>
          <w:sz w:val="24"/>
          <w:szCs w:val="24"/>
          <w:lang w:bidi="ar-EG"/>
        </w:rPr>
        <w:t xml:space="preserve">Although, the predictive power of IFNG-AS1 </w:t>
      </w:r>
      <w:r w:rsidR="00112012" w:rsidRPr="003F0CBB">
        <w:rPr>
          <w:rFonts w:asciiTheme="majorBidi" w:eastAsia="Times New Roman" w:hAnsiTheme="majorBidi" w:cstheme="majorBidi"/>
          <w:sz w:val="24"/>
          <w:szCs w:val="24"/>
          <w:lang w:bidi="ar-EG"/>
        </w:rPr>
        <w:t>for</w:t>
      </w:r>
      <w:r w:rsidR="00116610" w:rsidRPr="003F0CBB">
        <w:rPr>
          <w:rFonts w:asciiTheme="majorBidi" w:eastAsia="Times New Roman" w:hAnsiTheme="majorBidi" w:cstheme="majorBidi"/>
          <w:sz w:val="24"/>
          <w:szCs w:val="24"/>
          <w:lang w:bidi="ar-EG"/>
        </w:rPr>
        <w:t xml:space="preserve"> </w:t>
      </w:r>
      <w:r w:rsidR="00112012" w:rsidRPr="003F0CBB">
        <w:rPr>
          <w:rFonts w:asciiTheme="majorBidi" w:eastAsia="Times New Roman" w:hAnsiTheme="majorBidi" w:cstheme="majorBidi"/>
          <w:sz w:val="24"/>
          <w:szCs w:val="24"/>
          <w:lang w:bidi="ar-EG"/>
        </w:rPr>
        <w:t>CD. Our results perceived that the AUC was up to 0.683 with C.I(0.537</w:t>
      </w:r>
      <w:r w:rsidR="00112012" w:rsidRPr="0088290D">
        <w:rPr>
          <w:rFonts w:asciiTheme="majorBidi" w:eastAsia="Times New Roman" w:hAnsiTheme="majorBidi" w:cstheme="majorBidi"/>
          <w:sz w:val="24"/>
          <w:szCs w:val="24"/>
          <w:lang w:bidi="ar-EG"/>
        </w:rPr>
        <w:t>-0.828)</w:t>
      </w:r>
      <w:r w:rsidR="0088290D" w:rsidRPr="0088290D">
        <w:rPr>
          <w:rFonts w:asciiTheme="majorBidi" w:eastAsia="Times New Roman" w:hAnsiTheme="majorBidi" w:cstheme="majorBidi"/>
          <w:sz w:val="24"/>
          <w:szCs w:val="24"/>
          <w:lang w:bidi="ar-EG"/>
        </w:rPr>
        <w:t>, and the sensitivity and specificity were 63.3% and 53%, respectively,</w:t>
      </w:r>
      <w:r w:rsidR="00112012" w:rsidRPr="0088290D">
        <w:rPr>
          <w:rFonts w:asciiTheme="majorBidi" w:eastAsia="Times New Roman" w:hAnsiTheme="majorBidi" w:cstheme="majorBidi"/>
          <w:sz w:val="24"/>
          <w:szCs w:val="24"/>
          <w:lang w:bidi="ar-EG"/>
        </w:rPr>
        <w:t xml:space="preserve"> at a cutoff of 1.77.</w:t>
      </w:r>
    </w:p>
    <w:p w14:paraId="79BCD420" w14:textId="77777777" w:rsidR="0089328E" w:rsidRDefault="0089328E" w:rsidP="0089328E">
      <w:pPr>
        <w:keepNext/>
        <w:spacing w:line="360" w:lineRule="auto"/>
        <w:ind w:firstLine="720"/>
        <w:jc w:val="both"/>
      </w:pPr>
      <w:r>
        <w:rPr>
          <w:noProof/>
        </w:rPr>
        <w:drawing>
          <wp:inline distT="0" distB="0" distL="0" distR="0" wp14:anchorId="589DD7BF" wp14:editId="32EA468F">
            <wp:extent cx="3683000" cy="3384550"/>
            <wp:effectExtent l="19050" t="19050" r="12700" b="25400"/>
            <wp:docPr id="1494182186" name="Picture 7" descr="Fig5a. The accuracy of lncRNA IFNG-AS1 expression for distinguishing patients with HT from the contr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82186" name="Picture 7" descr="Fig5a. The accuracy of lncRNA IFNG-AS1 expression for distinguishing patients with HT from the control group."/>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3000" cy="3384550"/>
                    </a:xfrm>
                    <a:prstGeom prst="rect">
                      <a:avLst/>
                    </a:prstGeom>
                    <a:noFill/>
                    <a:ln>
                      <a:solidFill>
                        <a:sysClr val="windowText" lastClr="000000"/>
                      </a:solidFill>
                    </a:ln>
                  </pic:spPr>
                </pic:pic>
              </a:graphicData>
            </a:graphic>
          </wp:inline>
        </w:drawing>
      </w:r>
    </w:p>
    <w:p w14:paraId="57E0A039" w14:textId="2403BC58" w:rsidR="0089328E" w:rsidRPr="0089328E" w:rsidRDefault="0089328E" w:rsidP="0089328E">
      <w:pPr>
        <w:pStyle w:val="Caption"/>
        <w:jc w:val="both"/>
        <w:rPr>
          <w:lang w:val="en-GB"/>
        </w:rPr>
      </w:pPr>
      <w:bookmarkStart w:id="26" w:name="_Toc157866592"/>
      <w:r>
        <w:t>Fig</w:t>
      </w:r>
      <w:r>
        <w:fldChar w:fldCharType="begin"/>
      </w:r>
      <w:r>
        <w:instrText xml:space="preserve"> SEQ Figure \* ARABIC </w:instrText>
      </w:r>
      <w:r>
        <w:fldChar w:fldCharType="separate"/>
      </w:r>
      <w:r w:rsidR="009E3E4D">
        <w:rPr>
          <w:noProof/>
        </w:rPr>
        <w:t>5</w:t>
      </w:r>
      <w:r>
        <w:fldChar w:fldCharType="end"/>
      </w:r>
      <w:r>
        <w:t>a.</w:t>
      </w:r>
      <w:r w:rsidRPr="0089328E">
        <w:rPr>
          <w:lang w:val="en-GB"/>
        </w:rPr>
        <w:t xml:space="preserve"> The accuracy of lncRNA IFNG-AS1 expression for distinguishing patients with HT from </w:t>
      </w:r>
      <w:r>
        <w:rPr>
          <w:lang w:val="en-GB"/>
        </w:rPr>
        <w:t xml:space="preserve">the </w:t>
      </w:r>
      <w:r w:rsidRPr="0089328E">
        <w:rPr>
          <w:lang w:val="en-GB"/>
        </w:rPr>
        <w:t>control group.</w:t>
      </w:r>
      <w:bookmarkEnd w:id="26"/>
    </w:p>
    <w:p w14:paraId="5C22CF27" w14:textId="5F6F9867" w:rsidR="0089328E" w:rsidRDefault="0089328E" w:rsidP="0089328E">
      <w:pPr>
        <w:pStyle w:val="Caption"/>
        <w:jc w:val="both"/>
      </w:pPr>
    </w:p>
    <w:bookmarkEnd w:id="12"/>
    <w:p w14:paraId="0B20D47F" w14:textId="77777777" w:rsidR="00665E15" w:rsidRDefault="0089328E" w:rsidP="00665E15">
      <w:pPr>
        <w:keepNext/>
        <w:spacing w:line="360" w:lineRule="auto"/>
        <w:ind w:firstLine="720"/>
        <w:jc w:val="both"/>
      </w:pPr>
      <w:r>
        <w:rPr>
          <w:noProof/>
        </w:rPr>
        <w:drawing>
          <wp:inline distT="0" distB="0" distL="0" distR="0" wp14:anchorId="387331A5" wp14:editId="2960967C">
            <wp:extent cx="3532505" cy="3048000"/>
            <wp:effectExtent l="19050" t="19050" r="10795" b="19050"/>
            <wp:docPr id="1206954705" name="Picture 6" descr="Fig6b. The accuracy of lncRNA IFNG-AS1 expression for recognizing patients with CD from others without CD among HT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54705" name="Picture 6" descr="Fig6b. The accuracy of lncRNA IFNG-AS1 expression for recognizing patients with CD from others without CD among HT patients."/>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2505" cy="3048000"/>
                    </a:xfrm>
                    <a:prstGeom prst="rect">
                      <a:avLst/>
                    </a:prstGeom>
                    <a:noFill/>
                    <a:ln>
                      <a:solidFill>
                        <a:sysClr val="windowText" lastClr="000000"/>
                      </a:solidFill>
                    </a:ln>
                  </pic:spPr>
                </pic:pic>
              </a:graphicData>
            </a:graphic>
          </wp:inline>
        </w:drawing>
      </w:r>
    </w:p>
    <w:p w14:paraId="21DEBF7E" w14:textId="419631F7" w:rsidR="00665E15" w:rsidRPr="00665E15" w:rsidRDefault="00665E15" w:rsidP="00665E15">
      <w:pPr>
        <w:pStyle w:val="Caption"/>
        <w:jc w:val="both"/>
        <w:rPr>
          <w:lang w:val="en-GB"/>
        </w:rPr>
      </w:pPr>
      <w:bookmarkStart w:id="27" w:name="_Toc157866593"/>
      <w:r>
        <w:t>Fig</w:t>
      </w:r>
      <w:r>
        <w:fldChar w:fldCharType="begin"/>
      </w:r>
      <w:r>
        <w:instrText xml:space="preserve"> SEQ Figure \* ARABIC </w:instrText>
      </w:r>
      <w:r>
        <w:fldChar w:fldCharType="separate"/>
      </w:r>
      <w:r w:rsidR="009E3E4D">
        <w:rPr>
          <w:noProof/>
        </w:rPr>
        <w:t>6</w:t>
      </w:r>
      <w:r>
        <w:fldChar w:fldCharType="end"/>
      </w:r>
      <w:r w:rsidR="00197D98">
        <w:t>b</w:t>
      </w:r>
      <w:r>
        <w:t>.</w:t>
      </w:r>
      <w:r w:rsidRPr="00665E15">
        <w:rPr>
          <w:rFonts w:asciiTheme="majorBidi" w:hAnsiTheme="majorBidi" w:cstheme="majorBidi"/>
          <w:sz w:val="24"/>
          <w:szCs w:val="24"/>
          <w:lang w:val="en-GB"/>
        </w:rPr>
        <w:t xml:space="preserve"> </w:t>
      </w:r>
      <w:r w:rsidRPr="00665E15">
        <w:rPr>
          <w:lang w:val="en-GB"/>
        </w:rPr>
        <w:t xml:space="preserve">The accuracy of lncRNA IFNG-AS1 expression for recognizing patients with CD from </w:t>
      </w:r>
      <w:r w:rsidR="00197D98">
        <w:rPr>
          <w:lang w:val="en-GB"/>
        </w:rPr>
        <w:t>others</w:t>
      </w:r>
      <w:r w:rsidRPr="00665E15">
        <w:rPr>
          <w:lang w:val="en-GB"/>
        </w:rPr>
        <w:t xml:space="preserve"> without CD among HT patients.</w:t>
      </w:r>
      <w:bookmarkEnd w:id="27"/>
    </w:p>
    <w:p w14:paraId="72B3346C" w14:textId="03427E3B" w:rsidR="003E2678" w:rsidRPr="003F0CBB" w:rsidRDefault="002C1DAC" w:rsidP="00DF78E8">
      <w:pPr>
        <w:spacing w:line="360" w:lineRule="auto"/>
        <w:jc w:val="both"/>
        <w:rPr>
          <w:rFonts w:asciiTheme="majorBidi" w:hAnsiTheme="majorBidi" w:cstheme="majorBidi"/>
          <w:b/>
          <w:bCs/>
          <w:sz w:val="24"/>
          <w:szCs w:val="24"/>
        </w:rPr>
      </w:pPr>
      <w:r w:rsidRPr="003F0CBB">
        <w:rPr>
          <w:rFonts w:asciiTheme="majorBidi" w:hAnsiTheme="majorBidi" w:cstheme="majorBidi"/>
          <w:b/>
          <w:bCs/>
          <w:sz w:val="24"/>
          <w:szCs w:val="24"/>
        </w:rPr>
        <w:t xml:space="preserve">Discussion </w:t>
      </w:r>
    </w:p>
    <w:p w14:paraId="40467950" w14:textId="5B2463A0" w:rsidR="00A26316" w:rsidRPr="003F0CBB"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It has been observed that the distribution of CD is increasing worldwide</w:t>
      </w:r>
      <w:r w:rsidR="0088290D">
        <w:rPr>
          <w:rFonts w:asciiTheme="majorBidi" w:hAnsiTheme="majorBidi" w:cstheme="majorBidi"/>
          <w:sz w:val="24"/>
          <w:szCs w:val="24"/>
        </w:rPr>
        <w:t>,</w:t>
      </w:r>
      <w:r w:rsidRPr="003F0CBB">
        <w:rPr>
          <w:rFonts w:asciiTheme="majorBidi" w:hAnsiTheme="majorBidi" w:cstheme="majorBidi"/>
          <w:sz w:val="24"/>
          <w:szCs w:val="24"/>
        </w:rPr>
        <w:t xml:space="preserve"> especially in our region, as the prevalence of CD in Egypt is about 0.53</w:t>
      </w:r>
      <w:r w:rsidR="008A5805" w:rsidRPr="003F0CBB">
        <w:rPr>
          <w:rFonts w:asciiTheme="majorBidi" w:hAnsiTheme="majorBidi" w:cstheme="majorBidi"/>
          <w:sz w:val="24"/>
          <w:szCs w:val="24"/>
        </w:rPr>
        <w:t>%.</w:t>
      </w:r>
      <w:r w:rsidRPr="003F0CBB">
        <w:rPr>
          <w:rFonts w:asciiTheme="majorBidi" w:hAnsiTheme="majorBidi" w:cstheme="majorBidi"/>
          <w:sz w:val="24"/>
          <w:szCs w:val="24"/>
        </w:rPr>
        <w:t xml:space="preserve"> Although </w:t>
      </w:r>
      <w:r w:rsidR="0088290D" w:rsidRPr="003F0CBB">
        <w:rPr>
          <w:rFonts w:asciiTheme="majorBidi" w:hAnsiTheme="majorBidi" w:cstheme="majorBidi"/>
          <w:sz w:val="24"/>
          <w:szCs w:val="24"/>
        </w:rPr>
        <w:t>the</w:t>
      </w:r>
      <w:r w:rsidRPr="003F0CBB">
        <w:rPr>
          <w:rFonts w:asciiTheme="majorBidi" w:hAnsiTheme="majorBidi" w:cstheme="majorBidi"/>
          <w:sz w:val="24"/>
          <w:szCs w:val="24"/>
        </w:rPr>
        <w:t xml:space="preserve"> prevalence of CD is increasing, the diagnosis rate is low. </w:t>
      </w:r>
      <w:r w:rsidR="0088290D">
        <w:rPr>
          <w:rFonts w:asciiTheme="majorBidi" w:hAnsiTheme="majorBidi" w:cstheme="majorBidi"/>
          <w:sz w:val="24"/>
          <w:szCs w:val="24"/>
        </w:rPr>
        <w:t xml:space="preserve">In some nations, this could contribute to a </w:t>
      </w:r>
      <w:r w:rsidR="001317C7">
        <w:rPr>
          <w:rFonts w:asciiTheme="majorBidi" w:hAnsiTheme="majorBidi" w:cstheme="majorBidi"/>
          <w:sz w:val="24"/>
          <w:szCs w:val="24"/>
        </w:rPr>
        <w:t>need for</w:t>
      </w:r>
      <w:r w:rsidR="0088290D">
        <w:rPr>
          <w:rFonts w:asciiTheme="majorBidi" w:hAnsiTheme="majorBidi" w:cstheme="majorBidi"/>
          <w:sz w:val="24"/>
          <w:szCs w:val="24"/>
        </w:rPr>
        <w:t xml:space="preserve"> disease recognition and restricted investigative capabilities</w:t>
      </w:r>
      <w:r w:rsidRPr="003F0CBB">
        <w:rPr>
          <w:rFonts w:asciiTheme="majorBidi" w:hAnsiTheme="majorBidi" w:cstheme="majorBidi"/>
          <w:sz w:val="24"/>
          <w:szCs w:val="24"/>
        </w:rPr>
        <w:t>. Therefore, early CD diagnosis is crucial, as it might prevent complications [1</w:t>
      </w:r>
      <w:r w:rsidR="00F475C0" w:rsidRPr="003F0CBB">
        <w:rPr>
          <w:rFonts w:asciiTheme="majorBidi" w:hAnsiTheme="majorBidi" w:cstheme="majorBidi"/>
          <w:sz w:val="24"/>
          <w:szCs w:val="24"/>
        </w:rPr>
        <w:t>4</w:t>
      </w:r>
      <w:r w:rsidRPr="003F0CBB">
        <w:rPr>
          <w:rFonts w:asciiTheme="majorBidi" w:hAnsiTheme="majorBidi" w:cstheme="majorBidi"/>
          <w:sz w:val="24"/>
          <w:szCs w:val="24"/>
        </w:rPr>
        <w:t>].</w:t>
      </w:r>
    </w:p>
    <w:p w14:paraId="72755058" w14:textId="6292EDB9" w:rsidR="00677080" w:rsidRPr="003F0CBB" w:rsidRDefault="0088290D" w:rsidP="00DF78E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 wealth of research highlights</w:t>
      </w:r>
      <w:r w:rsidR="00BA5615" w:rsidRPr="003F0CBB">
        <w:rPr>
          <w:rFonts w:asciiTheme="majorBidi" w:hAnsiTheme="majorBidi" w:cstheme="majorBidi"/>
          <w:sz w:val="24"/>
          <w:szCs w:val="24"/>
        </w:rPr>
        <w:t xml:space="preserve"> </w:t>
      </w:r>
      <w:r w:rsidR="00C629FC" w:rsidRPr="003F0CBB">
        <w:rPr>
          <w:rFonts w:asciiTheme="majorBidi" w:hAnsiTheme="majorBidi" w:cstheme="majorBidi"/>
          <w:sz w:val="24"/>
          <w:szCs w:val="24"/>
        </w:rPr>
        <w:t>the interaction</w:t>
      </w:r>
      <w:r w:rsidR="00BA5615" w:rsidRPr="003F0CBB">
        <w:rPr>
          <w:rFonts w:asciiTheme="majorBidi" w:hAnsiTheme="majorBidi" w:cstheme="majorBidi"/>
          <w:sz w:val="24"/>
          <w:szCs w:val="24"/>
        </w:rPr>
        <w:t xml:space="preserve"> between genetic susceptibility and environmental triggers </w:t>
      </w:r>
      <w:r w:rsidR="00C629FC" w:rsidRPr="003F0CBB">
        <w:rPr>
          <w:rFonts w:asciiTheme="majorBidi" w:hAnsiTheme="majorBidi" w:cstheme="majorBidi"/>
          <w:sz w:val="24"/>
          <w:szCs w:val="24"/>
        </w:rPr>
        <w:t>in the pathogenesis of HT and CD</w:t>
      </w:r>
      <w:r w:rsidR="00BA5615" w:rsidRPr="003F0CBB">
        <w:rPr>
          <w:rFonts w:asciiTheme="majorBidi" w:hAnsiTheme="majorBidi" w:cstheme="majorBidi"/>
          <w:sz w:val="24"/>
          <w:szCs w:val="24"/>
        </w:rPr>
        <w:t xml:space="preserve"> [</w:t>
      </w:r>
      <w:r w:rsidR="00C629FC" w:rsidRPr="003F0CBB">
        <w:rPr>
          <w:rFonts w:asciiTheme="majorBidi" w:hAnsiTheme="majorBidi" w:cstheme="majorBidi"/>
          <w:sz w:val="24"/>
          <w:szCs w:val="24"/>
        </w:rPr>
        <w:t>1</w:t>
      </w:r>
      <w:r w:rsidR="00F475C0" w:rsidRPr="003F0CBB">
        <w:rPr>
          <w:rFonts w:asciiTheme="majorBidi" w:hAnsiTheme="majorBidi" w:cstheme="majorBidi"/>
          <w:sz w:val="24"/>
          <w:szCs w:val="24"/>
        </w:rPr>
        <w:t>5</w:t>
      </w:r>
      <w:r w:rsidR="00C629FC" w:rsidRPr="003F0CBB">
        <w:rPr>
          <w:rFonts w:asciiTheme="majorBidi" w:hAnsiTheme="majorBidi" w:cstheme="majorBidi"/>
          <w:sz w:val="24"/>
          <w:szCs w:val="24"/>
        </w:rPr>
        <w:t>]. This</w:t>
      </w:r>
      <w:r w:rsidR="00BA5615" w:rsidRPr="003F0CBB">
        <w:rPr>
          <w:rFonts w:asciiTheme="majorBidi" w:hAnsiTheme="majorBidi" w:cstheme="majorBidi"/>
          <w:sz w:val="24"/>
          <w:szCs w:val="24"/>
        </w:rPr>
        <w:t xml:space="preserve"> is </w:t>
      </w:r>
      <w:r>
        <w:rPr>
          <w:rFonts w:asciiTheme="majorBidi" w:hAnsiTheme="majorBidi" w:cstheme="majorBidi"/>
          <w:sz w:val="24"/>
          <w:szCs w:val="24"/>
        </w:rPr>
        <w:t>unsurprising given the well-recognized connection between CD and</w:t>
      </w:r>
      <w:r w:rsidR="00BA5615" w:rsidRPr="003F0CBB">
        <w:rPr>
          <w:rFonts w:asciiTheme="majorBidi" w:hAnsiTheme="majorBidi" w:cstheme="majorBidi"/>
          <w:sz w:val="24"/>
          <w:szCs w:val="24"/>
        </w:rPr>
        <w:t xml:space="preserve"> HT [</w:t>
      </w:r>
      <w:r w:rsidR="00C629FC" w:rsidRPr="003F0CBB">
        <w:rPr>
          <w:rFonts w:asciiTheme="majorBidi" w:hAnsiTheme="majorBidi" w:cstheme="majorBidi"/>
          <w:sz w:val="24"/>
          <w:szCs w:val="24"/>
        </w:rPr>
        <w:t>1</w:t>
      </w:r>
      <w:r w:rsidR="00F475C0" w:rsidRPr="003F0CBB">
        <w:rPr>
          <w:rFonts w:asciiTheme="majorBidi" w:hAnsiTheme="majorBidi" w:cstheme="majorBidi"/>
          <w:sz w:val="24"/>
          <w:szCs w:val="24"/>
        </w:rPr>
        <w:t>6</w:t>
      </w:r>
      <w:r w:rsidR="00BA5615" w:rsidRPr="003F0CBB">
        <w:rPr>
          <w:rFonts w:asciiTheme="majorBidi" w:hAnsiTheme="majorBidi" w:cstheme="majorBidi"/>
          <w:sz w:val="24"/>
          <w:szCs w:val="24"/>
        </w:rPr>
        <w:t xml:space="preserve">]. According to the existing research, the </w:t>
      </w:r>
      <w:r>
        <w:rPr>
          <w:rFonts w:asciiTheme="majorBidi" w:hAnsiTheme="majorBidi" w:cstheme="majorBidi"/>
          <w:sz w:val="24"/>
          <w:szCs w:val="24"/>
        </w:rPr>
        <w:t>shared</w:t>
      </w:r>
      <w:r w:rsidR="00BA5615" w:rsidRPr="003F0CBB">
        <w:rPr>
          <w:rFonts w:asciiTheme="majorBidi" w:hAnsiTheme="majorBidi" w:cstheme="majorBidi"/>
          <w:sz w:val="24"/>
          <w:szCs w:val="24"/>
        </w:rPr>
        <w:t xml:space="preserve"> genetic background is the key factor influencing the association's high </w:t>
      </w:r>
      <w:r w:rsidR="00C629FC" w:rsidRPr="003F0CBB">
        <w:rPr>
          <w:rFonts w:asciiTheme="majorBidi" w:hAnsiTheme="majorBidi" w:cstheme="majorBidi"/>
          <w:sz w:val="24"/>
          <w:szCs w:val="24"/>
        </w:rPr>
        <w:t>incidence.</w:t>
      </w:r>
      <w:r w:rsidR="00BA5615" w:rsidRPr="003F0CBB">
        <w:rPr>
          <w:rFonts w:asciiTheme="majorBidi" w:hAnsiTheme="majorBidi" w:cstheme="majorBidi"/>
          <w:sz w:val="24"/>
          <w:szCs w:val="24"/>
        </w:rPr>
        <w:t xml:space="preserve"> </w:t>
      </w:r>
      <w:proofErr w:type="spellStart"/>
      <w:r w:rsidR="00C629FC" w:rsidRPr="003F0CBB">
        <w:rPr>
          <w:rFonts w:asciiTheme="majorBidi" w:hAnsiTheme="majorBidi" w:cstheme="majorBidi"/>
          <w:sz w:val="24"/>
          <w:szCs w:val="24"/>
        </w:rPr>
        <w:t>lncRNAs</w:t>
      </w:r>
      <w:proofErr w:type="spellEnd"/>
      <w:r w:rsidR="00C629FC" w:rsidRPr="003F0CBB">
        <w:rPr>
          <w:rFonts w:asciiTheme="majorBidi" w:hAnsiTheme="majorBidi" w:cstheme="majorBidi"/>
          <w:sz w:val="24"/>
          <w:szCs w:val="24"/>
        </w:rPr>
        <w:t xml:space="preserve"> show a significant function in the regulation of immunity. Therefore, </w:t>
      </w:r>
      <w:r w:rsidR="00FE6991" w:rsidRPr="003F0CBB">
        <w:rPr>
          <w:rFonts w:asciiTheme="majorBidi" w:hAnsiTheme="majorBidi" w:cstheme="majorBidi"/>
          <w:sz w:val="24"/>
          <w:szCs w:val="24"/>
        </w:rPr>
        <w:t xml:space="preserve">we conducted this case-control study </w:t>
      </w:r>
      <w:r w:rsidR="00C629FC" w:rsidRPr="003F0CBB">
        <w:rPr>
          <w:rFonts w:asciiTheme="majorBidi" w:hAnsiTheme="majorBidi" w:cstheme="majorBidi"/>
          <w:sz w:val="24"/>
          <w:szCs w:val="24"/>
        </w:rPr>
        <w:t xml:space="preserve">to investigate the lncRNA IFNG-AS1 level in HT and </w:t>
      </w:r>
      <w:r>
        <w:rPr>
          <w:rFonts w:asciiTheme="majorBidi" w:hAnsiTheme="majorBidi" w:cstheme="majorBidi"/>
          <w:sz w:val="24"/>
          <w:szCs w:val="24"/>
        </w:rPr>
        <w:t>evaluate its predictive and diagnostic CD values</w:t>
      </w:r>
      <w:r w:rsidR="00C629FC" w:rsidRPr="003F0CBB">
        <w:rPr>
          <w:rFonts w:asciiTheme="majorBidi" w:hAnsiTheme="majorBidi" w:cstheme="majorBidi"/>
          <w:sz w:val="24"/>
          <w:szCs w:val="24"/>
        </w:rPr>
        <w:t xml:space="preserve"> among patients with HT.</w:t>
      </w:r>
      <w:r w:rsidR="006679D9" w:rsidRPr="003F0CBB">
        <w:rPr>
          <w:rFonts w:asciiTheme="majorBidi" w:hAnsiTheme="majorBidi" w:cstheme="majorBidi"/>
          <w:sz w:val="24"/>
          <w:szCs w:val="24"/>
        </w:rPr>
        <w:t xml:space="preserve"> Among one hundred age and sex-matched participants</w:t>
      </w:r>
      <w:r>
        <w:rPr>
          <w:rFonts w:asciiTheme="majorBidi" w:hAnsiTheme="majorBidi" w:cstheme="majorBidi"/>
          <w:sz w:val="24"/>
          <w:szCs w:val="24"/>
        </w:rPr>
        <w:t>, 50 were subjected as control and 50 patients with HT (39 patients without CD</w:t>
      </w:r>
      <w:r w:rsidR="006679D9" w:rsidRPr="003F0CBB">
        <w:rPr>
          <w:rFonts w:asciiTheme="majorBidi" w:hAnsiTheme="majorBidi" w:cstheme="majorBidi"/>
          <w:sz w:val="24"/>
          <w:szCs w:val="24"/>
        </w:rPr>
        <w:t xml:space="preserve"> and 11 patients with CD). </w:t>
      </w:r>
      <w:r w:rsidR="000A3498" w:rsidRPr="003F0CBB">
        <w:rPr>
          <w:rFonts w:asciiTheme="majorBidi" w:hAnsiTheme="majorBidi" w:cstheme="majorBidi"/>
          <w:sz w:val="24"/>
          <w:szCs w:val="24"/>
        </w:rPr>
        <w:t>Notably, patients</w:t>
      </w:r>
      <w:r w:rsidR="00A26316" w:rsidRPr="003F0CBB">
        <w:rPr>
          <w:rFonts w:asciiTheme="majorBidi" w:hAnsiTheme="majorBidi" w:cstheme="majorBidi"/>
          <w:sz w:val="24"/>
          <w:szCs w:val="24"/>
        </w:rPr>
        <w:t xml:space="preserve"> with CD had a higher </w:t>
      </w:r>
      <w:r>
        <w:rPr>
          <w:rFonts w:asciiTheme="majorBidi" w:hAnsiTheme="majorBidi" w:cstheme="majorBidi"/>
          <w:sz w:val="24"/>
          <w:szCs w:val="24"/>
        </w:rPr>
        <w:t>thyroid autoantibody titer than</w:t>
      </w:r>
      <w:r w:rsidR="00A26316" w:rsidRPr="003F0CBB">
        <w:rPr>
          <w:rFonts w:asciiTheme="majorBidi" w:hAnsiTheme="majorBidi" w:cstheme="majorBidi"/>
          <w:sz w:val="24"/>
          <w:szCs w:val="24"/>
        </w:rPr>
        <w:t xml:space="preserve"> HT patients without CD</w:t>
      </w:r>
      <w:r w:rsidR="000A3498" w:rsidRPr="003F0CBB">
        <w:rPr>
          <w:rFonts w:asciiTheme="majorBidi" w:hAnsiTheme="majorBidi" w:cstheme="majorBidi"/>
          <w:sz w:val="24"/>
          <w:szCs w:val="24"/>
        </w:rPr>
        <w:t>.</w:t>
      </w:r>
    </w:p>
    <w:p w14:paraId="7875B0A4" w14:textId="4A4E9D34" w:rsidR="00677080" w:rsidRPr="003F0CBB"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This is in keeping with the evidence that the prevalence of CD in patients with autoimmune disease is four times the prevalence of CD in general populations [1</w:t>
      </w:r>
      <w:r w:rsidR="00F475C0" w:rsidRPr="003F0CBB">
        <w:rPr>
          <w:rFonts w:asciiTheme="majorBidi" w:hAnsiTheme="majorBidi" w:cstheme="majorBidi"/>
          <w:sz w:val="24"/>
          <w:szCs w:val="24"/>
        </w:rPr>
        <w:t>7</w:t>
      </w:r>
      <w:r w:rsidRPr="003F0CBB">
        <w:rPr>
          <w:rFonts w:asciiTheme="majorBidi" w:hAnsiTheme="majorBidi" w:cstheme="majorBidi"/>
          <w:sz w:val="24"/>
          <w:szCs w:val="24"/>
        </w:rPr>
        <w:t>]. Similar results were observed in the Turkish study</w:t>
      </w:r>
      <w:r w:rsidR="0088290D">
        <w:rPr>
          <w:rFonts w:asciiTheme="majorBidi" w:hAnsiTheme="majorBidi" w:cstheme="majorBidi"/>
          <w:sz w:val="24"/>
          <w:szCs w:val="24"/>
        </w:rPr>
        <w:t>, which examined the distribution of CD among patients with thyroiditis,</w:t>
      </w:r>
      <w:r w:rsidRPr="003F0CBB">
        <w:rPr>
          <w:rFonts w:asciiTheme="majorBidi" w:hAnsiTheme="majorBidi" w:cstheme="majorBidi"/>
          <w:sz w:val="24"/>
          <w:szCs w:val="24"/>
        </w:rPr>
        <w:t xml:space="preserve"> and they found that about 3 % of patients with thyroiditis had CD [</w:t>
      </w:r>
      <w:r w:rsidR="00F475C0" w:rsidRPr="003F0CBB">
        <w:rPr>
          <w:rFonts w:asciiTheme="majorBidi" w:hAnsiTheme="majorBidi" w:cstheme="majorBidi"/>
          <w:sz w:val="24"/>
          <w:szCs w:val="24"/>
        </w:rPr>
        <w:t>18</w:t>
      </w:r>
      <w:r w:rsidRPr="003F0CBB">
        <w:rPr>
          <w:rFonts w:asciiTheme="majorBidi" w:hAnsiTheme="majorBidi" w:cstheme="majorBidi"/>
          <w:sz w:val="24"/>
          <w:szCs w:val="24"/>
        </w:rPr>
        <w:t xml:space="preserve">]. In contrast, </w:t>
      </w:r>
      <w:r w:rsidR="0088290D">
        <w:rPr>
          <w:rFonts w:asciiTheme="majorBidi" w:hAnsiTheme="majorBidi" w:cstheme="majorBidi"/>
          <w:sz w:val="24"/>
          <w:szCs w:val="24"/>
        </w:rPr>
        <w:t>a study conducted by Elfstrom et al.</w:t>
      </w:r>
      <w:r w:rsidRPr="003F0CBB">
        <w:rPr>
          <w:rFonts w:asciiTheme="majorBidi" w:hAnsiTheme="majorBidi" w:cstheme="majorBidi"/>
          <w:sz w:val="24"/>
          <w:szCs w:val="24"/>
        </w:rPr>
        <w:t xml:space="preserve"> observed a lower prevalence of CD in patients with </w:t>
      </w:r>
      <w:r w:rsidR="003307EA" w:rsidRPr="003F0CBB">
        <w:rPr>
          <w:rFonts w:asciiTheme="majorBidi" w:hAnsiTheme="majorBidi" w:cstheme="majorBidi"/>
          <w:sz w:val="24"/>
          <w:szCs w:val="24"/>
        </w:rPr>
        <w:t>thyroiditis [</w:t>
      </w:r>
      <w:r w:rsidR="00F475C0" w:rsidRPr="003F0CBB">
        <w:rPr>
          <w:rFonts w:asciiTheme="majorBidi" w:hAnsiTheme="majorBidi" w:cstheme="majorBidi"/>
          <w:sz w:val="24"/>
          <w:szCs w:val="24"/>
        </w:rPr>
        <w:t>19</w:t>
      </w:r>
      <w:r w:rsidR="00A70C9B" w:rsidRPr="003F0CBB">
        <w:rPr>
          <w:rFonts w:asciiTheme="majorBidi" w:hAnsiTheme="majorBidi" w:cstheme="majorBidi"/>
          <w:sz w:val="24"/>
          <w:szCs w:val="24"/>
        </w:rPr>
        <w:t xml:space="preserve">]. This discrepancy could be due to differences in the diagnostic test as they used </w:t>
      </w:r>
      <w:r w:rsidR="006A2DEB" w:rsidRPr="003F0CBB">
        <w:rPr>
          <w:rFonts w:asciiTheme="majorBidi" w:hAnsiTheme="majorBidi" w:cstheme="majorBidi"/>
          <w:sz w:val="24"/>
          <w:szCs w:val="24"/>
        </w:rPr>
        <w:t>an antigliadin antibodies test</w:t>
      </w:r>
      <w:r w:rsidR="0088290D">
        <w:rPr>
          <w:rFonts w:asciiTheme="majorBidi" w:hAnsiTheme="majorBidi" w:cstheme="majorBidi"/>
          <w:sz w:val="24"/>
          <w:szCs w:val="24"/>
        </w:rPr>
        <w:t>, and this test sensitivity is low,</w:t>
      </w:r>
      <w:r w:rsidR="006A2DEB" w:rsidRPr="003F0CBB">
        <w:rPr>
          <w:rFonts w:asciiTheme="majorBidi" w:hAnsiTheme="majorBidi" w:cstheme="majorBidi"/>
          <w:sz w:val="24"/>
          <w:szCs w:val="24"/>
        </w:rPr>
        <w:t xml:space="preserve"> as confirmed by another study [</w:t>
      </w:r>
      <w:r w:rsidR="00F475C0" w:rsidRPr="003F0CBB">
        <w:rPr>
          <w:rFonts w:asciiTheme="majorBidi" w:hAnsiTheme="majorBidi" w:cstheme="majorBidi"/>
          <w:sz w:val="24"/>
          <w:szCs w:val="24"/>
        </w:rPr>
        <w:t>20</w:t>
      </w:r>
      <w:r w:rsidR="006A2DEB" w:rsidRPr="003F0CBB">
        <w:rPr>
          <w:rFonts w:asciiTheme="majorBidi" w:hAnsiTheme="majorBidi" w:cstheme="majorBidi"/>
          <w:sz w:val="24"/>
          <w:szCs w:val="24"/>
        </w:rPr>
        <w:t>].</w:t>
      </w:r>
    </w:p>
    <w:p w14:paraId="2A00B78E" w14:textId="31B95D29" w:rsidR="006A2DEB" w:rsidRPr="003F0CBB" w:rsidRDefault="00175F1C" w:rsidP="00DF78E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work investigates</w:t>
      </w:r>
      <w:r w:rsidRPr="003F0CBB">
        <w:rPr>
          <w:rFonts w:asciiTheme="majorBidi" w:hAnsiTheme="majorBidi" w:cstheme="majorBidi"/>
          <w:sz w:val="24"/>
          <w:szCs w:val="24"/>
        </w:rPr>
        <w:t xml:space="preserve"> </w:t>
      </w:r>
      <w:r w:rsidR="0088290D">
        <w:rPr>
          <w:rFonts w:asciiTheme="majorBidi" w:hAnsiTheme="majorBidi" w:cstheme="majorBidi"/>
          <w:sz w:val="24"/>
          <w:szCs w:val="24"/>
        </w:rPr>
        <w:t>HT and CD's potential clinical and laboratory characteristics</w:t>
      </w:r>
      <w:r w:rsidRPr="003F0CBB">
        <w:rPr>
          <w:rFonts w:asciiTheme="majorBidi" w:hAnsiTheme="majorBidi" w:cstheme="majorBidi"/>
          <w:sz w:val="24"/>
          <w:szCs w:val="24"/>
        </w:rPr>
        <w:t xml:space="preserve">. It is </w:t>
      </w:r>
      <w:r w:rsidR="0088290D">
        <w:rPr>
          <w:rFonts w:asciiTheme="majorBidi" w:hAnsiTheme="majorBidi" w:cstheme="majorBidi"/>
          <w:sz w:val="24"/>
          <w:szCs w:val="24"/>
        </w:rPr>
        <w:t xml:space="preserve">confirmed that CD is associated with </w:t>
      </w:r>
      <w:r w:rsidRPr="003F0CBB">
        <w:rPr>
          <w:rFonts w:asciiTheme="majorBidi" w:hAnsiTheme="majorBidi" w:cstheme="majorBidi"/>
          <w:sz w:val="24"/>
          <w:szCs w:val="24"/>
        </w:rPr>
        <w:t xml:space="preserve">intestinal and extra-intestinal manifestations. </w:t>
      </w:r>
      <w:r w:rsidR="0088290D">
        <w:rPr>
          <w:rFonts w:asciiTheme="majorBidi" w:hAnsiTheme="majorBidi" w:cstheme="majorBidi"/>
          <w:sz w:val="24"/>
          <w:szCs w:val="24"/>
        </w:rPr>
        <w:t>In</w:t>
      </w:r>
      <w:r w:rsidRPr="003F0CBB">
        <w:rPr>
          <w:rFonts w:asciiTheme="majorBidi" w:hAnsiTheme="majorBidi" w:cstheme="majorBidi"/>
          <w:sz w:val="24"/>
          <w:szCs w:val="24"/>
        </w:rPr>
        <w:t xml:space="preserve"> keeping with the evidence, we examined these manifestations to assess the severity and complications of CD. We detected a high prevalence of intestinal manifestations of anorexia, heartburn, dyspepsia, nausea, and abdominal distension, and concerning the extra-intestinal manifestations, patients with CD had a higher prevalence of weight </w:t>
      </w:r>
      <w:r w:rsidR="0094524E" w:rsidRPr="003F0CBB">
        <w:rPr>
          <w:rFonts w:asciiTheme="majorBidi" w:hAnsiTheme="majorBidi" w:cstheme="majorBidi"/>
          <w:sz w:val="24"/>
          <w:szCs w:val="24"/>
        </w:rPr>
        <w:t>loss, anemia</w:t>
      </w:r>
      <w:r w:rsidRPr="003F0CBB">
        <w:rPr>
          <w:rFonts w:asciiTheme="majorBidi" w:hAnsiTheme="majorBidi" w:cstheme="majorBidi"/>
          <w:sz w:val="24"/>
          <w:szCs w:val="24"/>
        </w:rPr>
        <w:t>, bleeding tendency, bone aches, dental enamel hypoplasia, and oral ulcers.</w:t>
      </w:r>
    </w:p>
    <w:p w14:paraId="13E02313" w14:textId="55CBB023" w:rsidR="0094524E" w:rsidRPr="003F0CBB" w:rsidRDefault="002C1DAC" w:rsidP="0088290D">
      <w:p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It has been shown that </w:t>
      </w:r>
      <w:proofErr w:type="spellStart"/>
      <w:r w:rsidRPr="003F0CBB">
        <w:rPr>
          <w:rFonts w:asciiTheme="majorBidi" w:hAnsiTheme="majorBidi" w:cstheme="majorBidi"/>
          <w:sz w:val="24"/>
          <w:szCs w:val="24"/>
        </w:rPr>
        <w:t>lncRNAs</w:t>
      </w:r>
      <w:proofErr w:type="spellEnd"/>
      <w:r w:rsidRPr="003F0CBB">
        <w:rPr>
          <w:rFonts w:asciiTheme="majorBidi" w:hAnsiTheme="majorBidi" w:cstheme="majorBidi"/>
          <w:sz w:val="24"/>
          <w:szCs w:val="24"/>
        </w:rPr>
        <w:t xml:space="preserve"> perform essential functions in various diseases, </w:t>
      </w:r>
      <w:r w:rsidR="0088290D">
        <w:rPr>
          <w:rFonts w:asciiTheme="majorBidi" w:hAnsiTheme="majorBidi" w:cstheme="majorBidi"/>
          <w:sz w:val="24"/>
          <w:szCs w:val="24"/>
        </w:rPr>
        <w:t>particularly</w:t>
      </w:r>
      <w:r w:rsidRPr="003F0CBB">
        <w:rPr>
          <w:rFonts w:asciiTheme="majorBidi" w:hAnsiTheme="majorBidi" w:cstheme="majorBidi"/>
          <w:sz w:val="24"/>
          <w:szCs w:val="24"/>
        </w:rPr>
        <w:t xml:space="preserve"> autoimmune diseases [ </w:t>
      </w:r>
      <w:r w:rsidR="00F475C0" w:rsidRPr="003F0CBB">
        <w:rPr>
          <w:rFonts w:asciiTheme="majorBidi" w:hAnsiTheme="majorBidi" w:cstheme="majorBidi"/>
          <w:sz w:val="24"/>
          <w:szCs w:val="24"/>
        </w:rPr>
        <w:t>21</w:t>
      </w:r>
      <w:r w:rsidRPr="003F0CBB">
        <w:rPr>
          <w:rFonts w:asciiTheme="majorBidi" w:hAnsiTheme="majorBidi" w:cstheme="majorBidi"/>
          <w:sz w:val="24"/>
          <w:szCs w:val="24"/>
        </w:rPr>
        <w:t xml:space="preserve">]. The most important findings of the current research </w:t>
      </w:r>
      <w:r w:rsidR="003307EA" w:rsidRPr="003F0CBB">
        <w:rPr>
          <w:rFonts w:asciiTheme="majorBidi" w:hAnsiTheme="majorBidi" w:cstheme="majorBidi"/>
          <w:sz w:val="24"/>
          <w:szCs w:val="24"/>
        </w:rPr>
        <w:t>were</w:t>
      </w:r>
      <w:r w:rsidRPr="003F0CBB">
        <w:rPr>
          <w:rFonts w:asciiTheme="majorBidi" w:hAnsiTheme="majorBidi" w:cstheme="majorBidi"/>
          <w:sz w:val="24"/>
          <w:szCs w:val="24"/>
        </w:rPr>
        <w:t xml:space="preserve"> that patients with CD had significantly higher values </w:t>
      </w:r>
      <w:r w:rsidR="003307EA" w:rsidRPr="003F0CBB">
        <w:rPr>
          <w:rFonts w:asciiTheme="majorBidi" w:hAnsiTheme="majorBidi" w:cstheme="majorBidi"/>
          <w:sz w:val="24"/>
          <w:szCs w:val="24"/>
        </w:rPr>
        <w:t>of lncRNA</w:t>
      </w:r>
      <w:r w:rsidRPr="003F0CBB">
        <w:rPr>
          <w:rFonts w:asciiTheme="majorBidi" w:hAnsiTheme="majorBidi" w:cstheme="majorBidi"/>
          <w:sz w:val="24"/>
          <w:szCs w:val="24"/>
        </w:rPr>
        <w:t xml:space="preserve"> relative expression</w:t>
      </w:r>
      <w:r w:rsidR="0088290D">
        <w:rPr>
          <w:rFonts w:asciiTheme="majorBidi" w:hAnsiTheme="majorBidi" w:cstheme="majorBidi"/>
          <w:sz w:val="24"/>
          <w:szCs w:val="24"/>
        </w:rPr>
        <w:t xml:space="preserve"> and considerably</w:t>
      </w:r>
      <w:r w:rsidRPr="003F0CBB">
        <w:rPr>
          <w:rFonts w:asciiTheme="majorBidi" w:hAnsiTheme="majorBidi" w:cstheme="majorBidi"/>
          <w:sz w:val="24"/>
          <w:szCs w:val="24"/>
        </w:rPr>
        <w:t xml:space="preserve"> higher values in patients with CD compared to </w:t>
      </w:r>
      <w:r w:rsidR="003307EA" w:rsidRPr="003F0CBB">
        <w:rPr>
          <w:rFonts w:asciiTheme="majorBidi" w:hAnsiTheme="majorBidi" w:cstheme="majorBidi"/>
          <w:sz w:val="24"/>
          <w:szCs w:val="24"/>
        </w:rPr>
        <w:t xml:space="preserve">other groups. </w:t>
      </w:r>
      <w:r w:rsidRPr="003F0CBB">
        <w:rPr>
          <w:rFonts w:asciiTheme="majorBidi" w:hAnsiTheme="majorBidi" w:cstheme="majorBidi"/>
          <w:sz w:val="24"/>
          <w:szCs w:val="24"/>
        </w:rPr>
        <w:t xml:space="preserve">This notion is supported by Peng </w:t>
      </w:r>
      <w:r w:rsidR="0088290D">
        <w:rPr>
          <w:rFonts w:asciiTheme="majorBidi" w:hAnsiTheme="majorBidi" w:cstheme="majorBidi"/>
          <w:sz w:val="24"/>
          <w:szCs w:val="24"/>
        </w:rPr>
        <w:t>et al.</w:t>
      </w:r>
      <w:r w:rsidRPr="003F0CBB">
        <w:rPr>
          <w:rFonts w:asciiTheme="majorBidi" w:hAnsiTheme="majorBidi" w:cstheme="majorBidi"/>
          <w:sz w:val="24"/>
          <w:szCs w:val="24"/>
        </w:rPr>
        <w:t>, who detected meaningfully higher levels of lncRNA IFNG-AS1 in HT patients [2</w:t>
      </w:r>
      <w:r w:rsidR="00F475C0" w:rsidRPr="003F0CBB">
        <w:rPr>
          <w:rFonts w:asciiTheme="majorBidi" w:hAnsiTheme="majorBidi" w:cstheme="majorBidi"/>
          <w:sz w:val="24"/>
          <w:szCs w:val="24"/>
        </w:rPr>
        <w:t>2</w:t>
      </w:r>
      <w:r w:rsidRPr="003F0CBB">
        <w:rPr>
          <w:rFonts w:asciiTheme="majorBidi" w:hAnsiTheme="majorBidi" w:cstheme="majorBidi"/>
          <w:sz w:val="24"/>
          <w:szCs w:val="24"/>
        </w:rPr>
        <w:t>].</w:t>
      </w:r>
    </w:p>
    <w:p w14:paraId="3F501034" w14:textId="20FDD59A" w:rsidR="000A3498" w:rsidRPr="003F0CBB"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 xml:space="preserve">Additionally, in the CD group, lncRNA IFNG-AS1 levels were positively associated with anorexia, heartburn, dyspepsia, nausea, abdominal distension, abdominal pain, diarrhea, weight loss, anemia, bone aches, dental enamel hypoplasia, and oral ulcers. Furthermore, lncRNA IFNG-AS1 levels were positively associated with ALT, AST, HbA1c, TSH, anti-TG, anti-TPO, and TTG IgA. On the contrary, it was negatively correlated with FT3 and FT4. </w:t>
      </w:r>
      <w:r w:rsidR="00F36C63" w:rsidRPr="0088290D">
        <w:rPr>
          <w:rFonts w:asciiTheme="majorBidi" w:hAnsiTheme="majorBidi" w:cstheme="majorBidi"/>
          <w:sz w:val="24"/>
          <w:szCs w:val="24"/>
        </w:rPr>
        <w:t>Interestingly</w:t>
      </w:r>
      <w:r w:rsidR="0088290D" w:rsidRPr="0088290D">
        <w:rPr>
          <w:rFonts w:asciiTheme="majorBidi" w:hAnsiTheme="majorBidi" w:cstheme="majorBidi"/>
          <w:sz w:val="24"/>
          <w:szCs w:val="24"/>
        </w:rPr>
        <w:t>, our results confirmed that the only variables independently associated with lncRNA IFNG-AS1 relative expression in the prediction of CD among studied parameters were anti-TG, anti-TPO, and TTG IgA. Some intriguing similarities have been found with Peng et al.</w:t>
      </w:r>
      <w:r w:rsidR="0088290D">
        <w:rPr>
          <w:rFonts w:asciiTheme="majorBidi" w:hAnsiTheme="majorBidi" w:cstheme="majorBidi"/>
          <w:sz w:val="24"/>
          <w:szCs w:val="24"/>
        </w:rPr>
        <w:t>, who</w:t>
      </w:r>
      <w:r w:rsidR="00E670C6" w:rsidRPr="003F0CBB">
        <w:rPr>
          <w:rFonts w:asciiTheme="majorBidi" w:hAnsiTheme="majorBidi" w:cstheme="majorBidi"/>
          <w:sz w:val="24"/>
          <w:szCs w:val="24"/>
        </w:rPr>
        <w:t xml:space="preserve"> observed positive relationships between lncRNA IFNG-AS1 and thyroid autoantibodies</w:t>
      </w:r>
      <w:r w:rsidR="00CF4331" w:rsidRPr="003F0CBB">
        <w:rPr>
          <w:rFonts w:asciiTheme="majorBidi" w:hAnsiTheme="majorBidi" w:cstheme="majorBidi"/>
          <w:sz w:val="24"/>
          <w:szCs w:val="24"/>
        </w:rPr>
        <w:t xml:space="preserve"> [2</w:t>
      </w:r>
      <w:r w:rsidR="00F475C0" w:rsidRPr="003F0CBB">
        <w:rPr>
          <w:rFonts w:asciiTheme="majorBidi" w:hAnsiTheme="majorBidi" w:cstheme="majorBidi"/>
          <w:sz w:val="24"/>
          <w:szCs w:val="24"/>
        </w:rPr>
        <w:t>2</w:t>
      </w:r>
      <w:r w:rsidR="00CF4331" w:rsidRPr="003F0CBB">
        <w:rPr>
          <w:rFonts w:asciiTheme="majorBidi" w:hAnsiTheme="majorBidi" w:cstheme="majorBidi"/>
          <w:sz w:val="24"/>
          <w:szCs w:val="24"/>
        </w:rPr>
        <w:t>]</w:t>
      </w:r>
      <w:r w:rsidR="00E670C6" w:rsidRPr="003F0CBB">
        <w:rPr>
          <w:rFonts w:asciiTheme="majorBidi" w:hAnsiTheme="majorBidi" w:cstheme="majorBidi"/>
          <w:sz w:val="24"/>
          <w:szCs w:val="24"/>
        </w:rPr>
        <w:t>.</w:t>
      </w:r>
    </w:p>
    <w:p w14:paraId="186EA56D" w14:textId="3D2202A3" w:rsidR="003C1F20"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 xml:space="preserve">For further assessment of the diagnostic value of IFNG-AS1 in HT, we found high sensitivity and specificity of 96% and 94%, respectively. Concerning </w:t>
      </w:r>
      <w:r w:rsidR="003A68E3" w:rsidRPr="003F0CBB">
        <w:rPr>
          <w:rFonts w:asciiTheme="majorBidi" w:hAnsiTheme="majorBidi" w:cstheme="majorBidi"/>
          <w:sz w:val="24"/>
          <w:szCs w:val="24"/>
        </w:rPr>
        <w:t>CD, the</w:t>
      </w:r>
      <w:r w:rsidRPr="003F0CBB">
        <w:rPr>
          <w:rFonts w:asciiTheme="majorBidi" w:hAnsiTheme="majorBidi" w:cstheme="majorBidi"/>
          <w:sz w:val="24"/>
          <w:szCs w:val="24"/>
        </w:rPr>
        <w:t xml:space="preserve"> predictive power of IFNG-AS1 </w:t>
      </w:r>
      <w:r w:rsidR="003A68E3" w:rsidRPr="003F0CBB">
        <w:rPr>
          <w:rFonts w:asciiTheme="majorBidi" w:hAnsiTheme="majorBidi" w:cstheme="majorBidi"/>
          <w:sz w:val="24"/>
          <w:szCs w:val="24"/>
        </w:rPr>
        <w:t>had sensitivity</w:t>
      </w:r>
      <w:r w:rsidRPr="003F0CBB">
        <w:rPr>
          <w:rFonts w:asciiTheme="majorBidi" w:hAnsiTheme="majorBidi" w:cstheme="majorBidi"/>
          <w:sz w:val="24"/>
          <w:szCs w:val="24"/>
        </w:rPr>
        <w:t xml:space="preserve"> and specificity </w:t>
      </w:r>
      <w:r w:rsidR="003A68E3" w:rsidRPr="003F0CBB">
        <w:rPr>
          <w:rFonts w:asciiTheme="majorBidi" w:hAnsiTheme="majorBidi" w:cstheme="majorBidi"/>
          <w:sz w:val="24"/>
          <w:szCs w:val="24"/>
        </w:rPr>
        <w:t>of</w:t>
      </w:r>
      <w:r w:rsidRPr="003F0CBB">
        <w:rPr>
          <w:rFonts w:asciiTheme="majorBidi" w:hAnsiTheme="majorBidi" w:cstheme="majorBidi"/>
          <w:sz w:val="24"/>
          <w:szCs w:val="24"/>
        </w:rPr>
        <w:t xml:space="preserve"> 63.3% and 53%, </w:t>
      </w:r>
      <w:r w:rsidR="003A68E3" w:rsidRPr="003F0CBB">
        <w:rPr>
          <w:rFonts w:asciiTheme="majorBidi" w:hAnsiTheme="majorBidi" w:cstheme="majorBidi"/>
          <w:sz w:val="24"/>
          <w:szCs w:val="24"/>
        </w:rPr>
        <w:t>respectively. These</w:t>
      </w:r>
      <w:r w:rsidRPr="003F0CBB">
        <w:rPr>
          <w:rFonts w:asciiTheme="majorBidi" w:hAnsiTheme="majorBidi" w:cstheme="majorBidi"/>
          <w:sz w:val="24"/>
          <w:szCs w:val="24"/>
        </w:rPr>
        <w:t xml:space="preserve"> data suggested that IFNG-AS1 expression </w:t>
      </w:r>
      <w:r w:rsidR="001317C7">
        <w:rPr>
          <w:rFonts w:asciiTheme="majorBidi" w:hAnsiTheme="majorBidi" w:cstheme="majorBidi"/>
          <w:sz w:val="24"/>
          <w:szCs w:val="24"/>
        </w:rPr>
        <w:t>could</w:t>
      </w:r>
      <w:r w:rsidR="0088290D">
        <w:rPr>
          <w:rFonts w:asciiTheme="majorBidi" w:hAnsiTheme="majorBidi" w:cstheme="majorBidi"/>
          <w:sz w:val="24"/>
          <w:szCs w:val="24"/>
        </w:rPr>
        <w:t xml:space="preserve"> significantly predict HT and CD</w:t>
      </w:r>
      <w:r w:rsidR="003A68E3" w:rsidRPr="003F0CBB">
        <w:rPr>
          <w:rFonts w:asciiTheme="majorBidi" w:hAnsiTheme="majorBidi" w:cstheme="majorBidi"/>
          <w:sz w:val="24"/>
          <w:szCs w:val="24"/>
        </w:rPr>
        <w:t xml:space="preserve">. </w:t>
      </w:r>
    </w:p>
    <w:p w14:paraId="00F1ABB7" w14:textId="5ADECF7B" w:rsidR="00EE79C5" w:rsidRDefault="002C1DAC" w:rsidP="00DF78E8">
      <w:pPr>
        <w:spacing w:line="360" w:lineRule="auto"/>
        <w:ind w:firstLine="720"/>
        <w:jc w:val="both"/>
        <w:rPr>
          <w:rFonts w:asciiTheme="majorBidi" w:hAnsiTheme="majorBidi" w:cstheme="majorBidi"/>
          <w:sz w:val="24"/>
          <w:szCs w:val="24"/>
        </w:rPr>
      </w:pPr>
      <w:r w:rsidRPr="003F0CBB">
        <w:rPr>
          <w:rFonts w:asciiTheme="majorBidi" w:hAnsiTheme="majorBidi" w:cstheme="majorBidi"/>
          <w:sz w:val="24"/>
          <w:szCs w:val="24"/>
        </w:rPr>
        <w:t>The conduction of these studies would cover the future usage of these techniques in clinical settings. Integrative assessment of omics data</w:t>
      </w:r>
      <w:r w:rsidR="0088290D">
        <w:rPr>
          <w:rFonts w:asciiTheme="majorBidi" w:hAnsiTheme="majorBidi" w:cstheme="majorBidi"/>
          <w:sz w:val="24"/>
          <w:szCs w:val="24"/>
        </w:rPr>
        <w:t>, including lncRNA signature,</w:t>
      </w:r>
      <w:r w:rsidRPr="003F0CBB">
        <w:rPr>
          <w:rFonts w:asciiTheme="majorBidi" w:hAnsiTheme="majorBidi" w:cstheme="majorBidi"/>
          <w:sz w:val="24"/>
          <w:szCs w:val="24"/>
        </w:rPr>
        <w:t xml:space="preserve"> could facilitate the identification of new pathways and biomarkers and empathy of targets for prediction and treatment of HT and CD.</w:t>
      </w:r>
    </w:p>
    <w:p w14:paraId="456EF935" w14:textId="089502A7" w:rsidR="00AD4454" w:rsidRPr="0088290D" w:rsidRDefault="002C1DAC" w:rsidP="00DF78E8">
      <w:pPr>
        <w:spacing w:line="360" w:lineRule="auto"/>
        <w:jc w:val="both"/>
        <w:rPr>
          <w:rFonts w:asciiTheme="majorBidi" w:hAnsiTheme="majorBidi" w:cstheme="majorBidi"/>
          <w:b/>
          <w:bCs/>
          <w:sz w:val="24"/>
          <w:szCs w:val="24"/>
        </w:rPr>
      </w:pPr>
      <w:r w:rsidRPr="0088290D">
        <w:rPr>
          <w:rFonts w:asciiTheme="majorBidi" w:hAnsiTheme="majorBidi" w:cstheme="majorBidi"/>
          <w:b/>
          <w:bCs/>
          <w:sz w:val="24"/>
          <w:szCs w:val="24"/>
        </w:rPr>
        <w:t xml:space="preserve">The strengths and </w:t>
      </w:r>
      <w:r w:rsidR="0088290D" w:rsidRPr="0088290D">
        <w:rPr>
          <w:rFonts w:asciiTheme="majorBidi" w:hAnsiTheme="majorBidi" w:cstheme="majorBidi"/>
          <w:b/>
          <w:bCs/>
          <w:sz w:val="24"/>
          <w:szCs w:val="24"/>
        </w:rPr>
        <w:t>limitations</w:t>
      </w:r>
      <w:r w:rsidRPr="0088290D">
        <w:rPr>
          <w:rFonts w:asciiTheme="majorBidi" w:hAnsiTheme="majorBidi" w:cstheme="majorBidi"/>
          <w:b/>
          <w:bCs/>
          <w:sz w:val="24"/>
          <w:szCs w:val="24"/>
        </w:rPr>
        <w:t xml:space="preserve"> of the study</w:t>
      </w:r>
    </w:p>
    <w:p w14:paraId="3DD089AD" w14:textId="48D2F837" w:rsidR="00AD4454" w:rsidRPr="0088290D" w:rsidRDefault="002C1DAC" w:rsidP="00DF78E8">
      <w:pPr>
        <w:spacing w:line="360" w:lineRule="auto"/>
        <w:ind w:firstLine="720"/>
        <w:jc w:val="both"/>
        <w:rPr>
          <w:rFonts w:asciiTheme="majorBidi" w:hAnsiTheme="majorBidi" w:cstheme="majorBidi"/>
          <w:sz w:val="24"/>
          <w:szCs w:val="24"/>
        </w:rPr>
      </w:pPr>
      <w:r w:rsidRPr="0088290D">
        <w:rPr>
          <w:rFonts w:asciiTheme="majorBidi" w:hAnsiTheme="majorBidi" w:cstheme="majorBidi"/>
          <w:sz w:val="24"/>
          <w:szCs w:val="24"/>
        </w:rPr>
        <w:t xml:space="preserve">The current study has unique </w:t>
      </w:r>
      <w:r w:rsidR="00D241B6" w:rsidRPr="0088290D">
        <w:rPr>
          <w:rFonts w:asciiTheme="majorBidi" w:hAnsiTheme="majorBidi" w:cstheme="majorBidi"/>
          <w:sz w:val="24"/>
          <w:szCs w:val="24"/>
        </w:rPr>
        <w:t>strengths</w:t>
      </w:r>
      <w:r w:rsidRPr="0088290D">
        <w:rPr>
          <w:rFonts w:asciiTheme="majorBidi" w:hAnsiTheme="majorBidi" w:cstheme="majorBidi"/>
          <w:sz w:val="24"/>
          <w:szCs w:val="24"/>
        </w:rPr>
        <w:t xml:space="preserve">. It is the first Egyptian study ever published aiming to investigate whether IFNG-AS1 expression levels could be used as a diagnostic marker of CD in HT </w:t>
      </w:r>
      <w:r w:rsidR="00D241B6" w:rsidRPr="0088290D">
        <w:rPr>
          <w:rFonts w:asciiTheme="majorBidi" w:hAnsiTheme="majorBidi" w:cstheme="majorBidi"/>
          <w:sz w:val="24"/>
          <w:szCs w:val="24"/>
        </w:rPr>
        <w:t>patients. The</w:t>
      </w:r>
      <w:r w:rsidRPr="0088290D">
        <w:rPr>
          <w:rFonts w:asciiTheme="majorBidi" w:hAnsiTheme="majorBidi" w:cstheme="majorBidi"/>
          <w:sz w:val="24"/>
          <w:szCs w:val="24"/>
        </w:rPr>
        <w:t xml:space="preserve"> diagnosis of CD is based on serology and endoscopy.</w:t>
      </w:r>
    </w:p>
    <w:p w14:paraId="553FA836" w14:textId="1FDA1316" w:rsidR="00AD4454" w:rsidRDefault="002C1DAC" w:rsidP="00DF78E8">
      <w:pPr>
        <w:spacing w:line="360" w:lineRule="auto"/>
        <w:jc w:val="both"/>
        <w:rPr>
          <w:rFonts w:asciiTheme="majorBidi" w:hAnsiTheme="majorBidi" w:cstheme="majorBidi"/>
          <w:sz w:val="24"/>
          <w:szCs w:val="24"/>
        </w:rPr>
      </w:pPr>
      <w:r w:rsidRPr="0088290D">
        <w:rPr>
          <w:rFonts w:asciiTheme="majorBidi" w:hAnsiTheme="majorBidi" w:cstheme="majorBidi"/>
          <w:sz w:val="24"/>
          <w:szCs w:val="24"/>
        </w:rPr>
        <w:t>The limitations of our study</w:t>
      </w:r>
      <w:r w:rsidR="0088290D" w:rsidRPr="0088290D">
        <w:rPr>
          <w:rFonts w:asciiTheme="majorBidi" w:hAnsiTheme="majorBidi" w:cstheme="majorBidi"/>
          <w:sz w:val="24"/>
          <w:szCs w:val="24"/>
        </w:rPr>
        <w:t xml:space="preserve"> are the </w:t>
      </w:r>
      <w:r w:rsidRPr="0088290D">
        <w:rPr>
          <w:rFonts w:asciiTheme="majorBidi" w:hAnsiTheme="majorBidi" w:cstheme="majorBidi"/>
          <w:sz w:val="24"/>
          <w:szCs w:val="24"/>
        </w:rPr>
        <w:t xml:space="preserve">small sample size of the </w:t>
      </w:r>
      <w:r w:rsidR="0088290D" w:rsidRPr="0088290D">
        <w:rPr>
          <w:rFonts w:asciiTheme="majorBidi" w:hAnsiTheme="majorBidi" w:cstheme="majorBidi"/>
          <w:sz w:val="24"/>
          <w:szCs w:val="24"/>
        </w:rPr>
        <w:t>research</w:t>
      </w:r>
      <w:r w:rsidRPr="0088290D">
        <w:rPr>
          <w:rFonts w:asciiTheme="majorBidi" w:hAnsiTheme="majorBidi" w:cstheme="majorBidi"/>
          <w:sz w:val="24"/>
          <w:szCs w:val="24"/>
        </w:rPr>
        <w:t xml:space="preserve"> and</w:t>
      </w:r>
      <w:r w:rsidR="0088290D" w:rsidRPr="0088290D">
        <w:rPr>
          <w:rFonts w:asciiTheme="majorBidi" w:hAnsiTheme="majorBidi" w:cstheme="majorBidi"/>
          <w:sz w:val="24"/>
          <w:szCs w:val="24"/>
        </w:rPr>
        <w:t xml:space="preserve"> patients with CD. Still, as mentioned before,</w:t>
      </w:r>
      <w:r w:rsidR="00BC3D0A" w:rsidRPr="0088290D">
        <w:rPr>
          <w:rFonts w:asciiTheme="majorBidi" w:hAnsiTheme="majorBidi" w:cstheme="majorBidi"/>
          <w:sz w:val="24"/>
          <w:szCs w:val="24"/>
        </w:rPr>
        <w:t xml:space="preserve"> </w:t>
      </w:r>
      <w:r w:rsidRPr="0088290D">
        <w:rPr>
          <w:rFonts w:asciiTheme="majorBidi" w:hAnsiTheme="majorBidi" w:cstheme="majorBidi"/>
          <w:sz w:val="24"/>
          <w:szCs w:val="24"/>
        </w:rPr>
        <w:t xml:space="preserve">we depend on both serology and </w:t>
      </w:r>
      <w:r w:rsidR="00BC3D0A" w:rsidRPr="0088290D">
        <w:rPr>
          <w:rFonts w:asciiTheme="majorBidi" w:hAnsiTheme="majorBidi" w:cstheme="majorBidi"/>
          <w:sz w:val="24"/>
          <w:szCs w:val="24"/>
        </w:rPr>
        <w:t xml:space="preserve">endoscopy </w:t>
      </w:r>
      <w:r w:rsidR="0088290D" w:rsidRPr="0088290D">
        <w:rPr>
          <w:rFonts w:asciiTheme="majorBidi" w:hAnsiTheme="majorBidi" w:cstheme="majorBidi"/>
          <w:sz w:val="24"/>
          <w:szCs w:val="24"/>
        </w:rPr>
        <w:t>to diagnose</w:t>
      </w:r>
      <w:r w:rsidR="00BC3D0A" w:rsidRPr="0088290D">
        <w:rPr>
          <w:rFonts w:asciiTheme="majorBidi" w:hAnsiTheme="majorBidi" w:cstheme="majorBidi"/>
          <w:sz w:val="24"/>
          <w:szCs w:val="24"/>
        </w:rPr>
        <w:t xml:space="preserve"> CD.</w:t>
      </w:r>
      <w:r w:rsidRPr="0088290D">
        <w:rPr>
          <w:rFonts w:asciiTheme="majorBidi" w:hAnsiTheme="majorBidi" w:cstheme="majorBidi"/>
          <w:sz w:val="24"/>
          <w:szCs w:val="24"/>
        </w:rPr>
        <w:t xml:space="preserve"> </w:t>
      </w:r>
      <w:r w:rsidR="00BC3D0A" w:rsidRPr="0088290D">
        <w:rPr>
          <w:rFonts w:asciiTheme="majorBidi" w:hAnsiTheme="majorBidi" w:cstheme="majorBidi"/>
          <w:sz w:val="24"/>
          <w:szCs w:val="24"/>
        </w:rPr>
        <w:t>Also,</w:t>
      </w:r>
      <w:r w:rsidRPr="0088290D">
        <w:rPr>
          <w:rFonts w:asciiTheme="majorBidi" w:hAnsiTheme="majorBidi" w:cstheme="majorBidi"/>
          <w:sz w:val="24"/>
          <w:szCs w:val="24"/>
        </w:rPr>
        <w:t xml:space="preserve"> </w:t>
      </w:r>
      <w:r w:rsidR="00BC3D0A" w:rsidRPr="0088290D">
        <w:rPr>
          <w:rFonts w:asciiTheme="majorBidi" w:hAnsiTheme="majorBidi" w:cstheme="majorBidi"/>
          <w:sz w:val="24"/>
          <w:szCs w:val="24"/>
        </w:rPr>
        <w:t>in the current study, we included only</w:t>
      </w:r>
      <w:r w:rsidRPr="0088290D">
        <w:rPr>
          <w:rFonts w:asciiTheme="majorBidi" w:hAnsiTheme="majorBidi" w:cstheme="majorBidi"/>
          <w:sz w:val="24"/>
          <w:szCs w:val="24"/>
        </w:rPr>
        <w:t xml:space="preserve"> Egyptian</w:t>
      </w:r>
      <w:r w:rsidR="00BC3D0A" w:rsidRPr="0088290D">
        <w:rPr>
          <w:rFonts w:asciiTheme="majorBidi" w:hAnsiTheme="majorBidi" w:cstheme="majorBidi"/>
          <w:sz w:val="24"/>
          <w:szCs w:val="24"/>
        </w:rPr>
        <w:t xml:space="preserve"> patients,</w:t>
      </w:r>
      <w:r w:rsidRPr="0088290D">
        <w:rPr>
          <w:rFonts w:asciiTheme="majorBidi" w:hAnsiTheme="majorBidi" w:cstheme="majorBidi"/>
          <w:sz w:val="24"/>
          <w:szCs w:val="24"/>
        </w:rPr>
        <w:t xml:space="preserve"> and therefore, it remains unclear whether our findings apply to other ethnic groups</w:t>
      </w:r>
      <w:r w:rsidRPr="00AD4454">
        <w:rPr>
          <w:rFonts w:asciiTheme="majorBidi" w:hAnsiTheme="majorBidi" w:cstheme="majorBidi"/>
          <w:sz w:val="24"/>
          <w:szCs w:val="24"/>
        </w:rPr>
        <w:t>.</w:t>
      </w:r>
    </w:p>
    <w:p w14:paraId="46FB884C" w14:textId="77777777" w:rsidR="0046286B" w:rsidRPr="003F0CBB" w:rsidRDefault="002C1DAC" w:rsidP="00DF78E8">
      <w:pPr>
        <w:spacing w:line="360" w:lineRule="auto"/>
        <w:jc w:val="both"/>
        <w:rPr>
          <w:rFonts w:asciiTheme="majorBidi" w:hAnsiTheme="majorBidi" w:cstheme="majorBidi"/>
          <w:b/>
          <w:bCs/>
          <w:sz w:val="24"/>
          <w:szCs w:val="24"/>
        </w:rPr>
      </w:pPr>
      <w:r w:rsidRPr="003F0CBB">
        <w:rPr>
          <w:rFonts w:asciiTheme="majorBidi" w:hAnsiTheme="majorBidi" w:cstheme="majorBidi"/>
          <w:b/>
          <w:bCs/>
          <w:sz w:val="24"/>
          <w:szCs w:val="24"/>
        </w:rPr>
        <w:t>Conclusions</w:t>
      </w:r>
    </w:p>
    <w:p w14:paraId="3E78812F" w14:textId="2F37B41B" w:rsidR="003E2678" w:rsidRDefault="002C1DAC" w:rsidP="00DF78E8">
      <w:pPr>
        <w:spacing w:line="360" w:lineRule="auto"/>
        <w:jc w:val="both"/>
        <w:rPr>
          <w:rFonts w:asciiTheme="majorBidi" w:hAnsiTheme="majorBidi" w:cstheme="majorBidi"/>
          <w:b/>
          <w:bCs/>
          <w:sz w:val="24"/>
          <w:szCs w:val="24"/>
        </w:rPr>
      </w:pPr>
      <w:r w:rsidRPr="003F0CBB">
        <w:rPr>
          <w:rFonts w:asciiTheme="majorBidi" w:hAnsiTheme="majorBidi" w:cstheme="majorBidi"/>
          <w:sz w:val="24"/>
          <w:szCs w:val="24"/>
        </w:rPr>
        <w:t xml:space="preserve">Our results demonstrated that IFNG-AS1 is significantly </w:t>
      </w:r>
      <w:r w:rsidR="00170354" w:rsidRPr="003F0CBB">
        <w:rPr>
          <w:rFonts w:asciiTheme="majorBidi" w:hAnsiTheme="majorBidi" w:cstheme="majorBidi"/>
          <w:sz w:val="24"/>
          <w:szCs w:val="24"/>
        </w:rPr>
        <w:t>enhanced</w:t>
      </w:r>
      <w:r w:rsidRPr="003F0CBB">
        <w:rPr>
          <w:rFonts w:asciiTheme="majorBidi" w:hAnsiTheme="majorBidi" w:cstheme="majorBidi"/>
          <w:sz w:val="24"/>
          <w:szCs w:val="24"/>
        </w:rPr>
        <w:t xml:space="preserve"> in </w:t>
      </w:r>
      <w:r w:rsidR="00170354" w:rsidRPr="003F0CBB">
        <w:rPr>
          <w:rFonts w:asciiTheme="majorBidi" w:hAnsiTheme="majorBidi" w:cstheme="majorBidi"/>
          <w:sz w:val="24"/>
          <w:szCs w:val="24"/>
        </w:rPr>
        <w:t>patients with HT</w:t>
      </w:r>
      <w:r w:rsidR="0088290D">
        <w:rPr>
          <w:rFonts w:asciiTheme="majorBidi" w:hAnsiTheme="majorBidi" w:cstheme="majorBidi"/>
          <w:sz w:val="24"/>
          <w:szCs w:val="24"/>
        </w:rPr>
        <w:t>, specifically</w:t>
      </w:r>
      <w:r w:rsidR="00170354" w:rsidRPr="003F0CBB">
        <w:rPr>
          <w:rFonts w:asciiTheme="majorBidi" w:hAnsiTheme="majorBidi" w:cstheme="majorBidi"/>
          <w:sz w:val="24"/>
          <w:szCs w:val="24"/>
        </w:rPr>
        <w:t xml:space="preserve"> patients with CD.</w:t>
      </w:r>
      <w:r w:rsidRPr="003F0CBB">
        <w:rPr>
          <w:rFonts w:asciiTheme="majorBidi" w:hAnsiTheme="majorBidi" w:cstheme="majorBidi"/>
          <w:sz w:val="24"/>
          <w:szCs w:val="24"/>
        </w:rPr>
        <w:t xml:space="preserve"> The significant correlation between overexpressed IFNG-AS</w:t>
      </w:r>
      <w:r w:rsidR="00170354" w:rsidRPr="003F0CBB">
        <w:rPr>
          <w:rFonts w:asciiTheme="majorBidi" w:hAnsiTheme="majorBidi" w:cstheme="majorBidi"/>
          <w:sz w:val="24"/>
          <w:szCs w:val="24"/>
        </w:rPr>
        <w:t>1 and clinical</w:t>
      </w:r>
      <w:r w:rsidR="0088290D">
        <w:rPr>
          <w:rFonts w:asciiTheme="majorBidi" w:hAnsiTheme="majorBidi" w:cstheme="majorBidi"/>
          <w:sz w:val="24"/>
          <w:szCs w:val="24"/>
        </w:rPr>
        <w:t xml:space="preserve"> and laboratory parameters</w:t>
      </w:r>
      <w:r w:rsidR="00AC6CA5" w:rsidRPr="003F0CBB">
        <w:rPr>
          <w:rFonts w:asciiTheme="majorBidi" w:hAnsiTheme="majorBidi" w:cstheme="majorBidi"/>
          <w:sz w:val="24"/>
          <w:szCs w:val="24"/>
        </w:rPr>
        <w:t xml:space="preserve"> indicates that it could be used as a noninvasive predictive prognostic marker of HT and CD. The</w:t>
      </w:r>
      <w:r w:rsidR="003A68E3" w:rsidRPr="003F0CBB">
        <w:rPr>
          <w:rFonts w:asciiTheme="majorBidi" w:hAnsiTheme="majorBidi" w:cstheme="majorBidi"/>
          <w:sz w:val="24"/>
          <w:szCs w:val="24"/>
        </w:rPr>
        <w:t xml:space="preserve"> prevalence of celiac disease is increasing worldwide</w:t>
      </w:r>
      <w:r w:rsidR="0088290D">
        <w:rPr>
          <w:rFonts w:asciiTheme="majorBidi" w:hAnsiTheme="majorBidi" w:cstheme="majorBidi"/>
          <w:sz w:val="24"/>
          <w:szCs w:val="24"/>
        </w:rPr>
        <w:t>,</w:t>
      </w:r>
      <w:r w:rsidR="003A68E3" w:rsidRPr="003F0CBB">
        <w:rPr>
          <w:rFonts w:asciiTheme="majorBidi" w:hAnsiTheme="majorBidi" w:cstheme="majorBidi"/>
          <w:sz w:val="24"/>
          <w:szCs w:val="24"/>
        </w:rPr>
        <w:t xml:space="preserve"> and many patients with celiac disease remain undiagnosed</w:t>
      </w:r>
      <w:r w:rsidR="00AC6CA5" w:rsidRPr="003F0CBB">
        <w:rPr>
          <w:rFonts w:asciiTheme="majorBidi" w:hAnsiTheme="majorBidi" w:cstheme="majorBidi"/>
          <w:sz w:val="24"/>
          <w:szCs w:val="24"/>
        </w:rPr>
        <w:t xml:space="preserve"> and have many complications.</w:t>
      </w:r>
      <w:r w:rsidR="003A68E3" w:rsidRPr="003F0CBB">
        <w:rPr>
          <w:rFonts w:asciiTheme="majorBidi" w:hAnsiTheme="majorBidi" w:cstheme="majorBidi"/>
          <w:sz w:val="24"/>
          <w:szCs w:val="24"/>
        </w:rPr>
        <w:t xml:space="preserve"> </w:t>
      </w:r>
      <w:r w:rsidR="00AC6CA5" w:rsidRPr="003F0CBB">
        <w:rPr>
          <w:rFonts w:asciiTheme="majorBidi" w:hAnsiTheme="majorBidi" w:cstheme="majorBidi"/>
          <w:sz w:val="24"/>
          <w:szCs w:val="24"/>
        </w:rPr>
        <w:t>H</w:t>
      </w:r>
      <w:r w:rsidR="003A68E3" w:rsidRPr="003F0CBB">
        <w:rPr>
          <w:rFonts w:asciiTheme="majorBidi" w:hAnsiTheme="majorBidi" w:cstheme="majorBidi"/>
          <w:sz w:val="24"/>
          <w:szCs w:val="24"/>
        </w:rPr>
        <w:t xml:space="preserve">ighlighting the need for </w:t>
      </w:r>
      <w:r w:rsidR="00AC6CA5" w:rsidRPr="003F0CBB">
        <w:rPr>
          <w:rFonts w:asciiTheme="majorBidi" w:hAnsiTheme="majorBidi" w:cstheme="majorBidi"/>
          <w:sz w:val="24"/>
          <w:szCs w:val="24"/>
        </w:rPr>
        <w:t>F</w:t>
      </w:r>
      <w:r w:rsidRPr="003F0CBB">
        <w:rPr>
          <w:rFonts w:asciiTheme="majorBidi" w:hAnsiTheme="majorBidi" w:cstheme="majorBidi"/>
          <w:sz w:val="24"/>
          <w:szCs w:val="24"/>
        </w:rPr>
        <w:t xml:space="preserve">urther studies with </w:t>
      </w:r>
      <w:r w:rsidR="00AC6CA5" w:rsidRPr="003F0CBB">
        <w:rPr>
          <w:rFonts w:asciiTheme="majorBidi" w:hAnsiTheme="majorBidi" w:cstheme="majorBidi"/>
          <w:sz w:val="24"/>
          <w:szCs w:val="24"/>
        </w:rPr>
        <w:t>a larger</w:t>
      </w:r>
      <w:r w:rsidRPr="003F0CBB">
        <w:rPr>
          <w:rFonts w:asciiTheme="majorBidi" w:hAnsiTheme="majorBidi" w:cstheme="majorBidi"/>
          <w:sz w:val="24"/>
          <w:szCs w:val="24"/>
        </w:rPr>
        <w:t xml:space="preserve"> </w:t>
      </w:r>
      <w:r w:rsidR="003A68E3" w:rsidRPr="003F0CBB">
        <w:rPr>
          <w:rFonts w:asciiTheme="majorBidi" w:hAnsiTheme="majorBidi" w:cstheme="majorBidi"/>
          <w:sz w:val="24"/>
          <w:szCs w:val="24"/>
        </w:rPr>
        <w:t xml:space="preserve">sample </w:t>
      </w:r>
      <w:r w:rsidR="00AC6CA5" w:rsidRPr="003F0CBB">
        <w:rPr>
          <w:rFonts w:asciiTheme="majorBidi" w:hAnsiTheme="majorBidi" w:cstheme="majorBidi"/>
          <w:sz w:val="24"/>
          <w:szCs w:val="24"/>
        </w:rPr>
        <w:t>size is very important</w:t>
      </w:r>
      <w:r w:rsidRPr="003F0CBB">
        <w:rPr>
          <w:rFonts w:asciiTheme="majorBidi" w:hAnsiTheme="majorBidi" w:cstheme="majorBidi"/>
          <w:b/>
          <w:bCs/>
          <w:sz w:val="24"/>
          <w:szCs w:val="24"/>
        </w:rPr>
        <w:t>.</w:t>
      </w:r>
    </w:p>
    <w:p w14:paraId="1AAA12F2" w14:textId="77777777" w:rsidR="001317C7" w:rsidRPr="001317C7" w:rsidRDefault="001317C7" w:rsidP="001317C7">
      <w:pPr>
        <w:spacing w:line="240" w:lineRule="auto"/>
        <w:ind w:firstLine="180"/>
        <w:jc w:val="lowKashida"/>
        <w:rPr>
          <w:rFonts w:ascii="Times New Roman" w:eastAsia="Calibri" w:hAnsi="Times New Roman" w:cs="Times New Roman"/>
          <w:b/>
          <w:bCs/>
          <w:kern w:val="0"/>
          <w:sz w:val="24"/>
          <w:szCs w:val="24"/>
          <w14:ligatures w14:val="none"/>
        </w:rPr>
      </w:pPr>
      <w:r w:rsidRPr="001317C7">
        <w:rPr>
          <w:rFonts w:ascii="Times New Roman" w:eastAsia="Calibri" w:hAnsi="Times New Roman" w:cs="Times New Roman"/>
          <w:b/>
          <w:bCs/>
          <w:kern w:val="0"/>
          <w:sz w:val="24"/>
          <w:szCs w:val="24"/>
          <w14:ligatures w14:val="none"/>
        </w:rPr>
        <w:t>Footnotes.</w:t>
      </w:r>
    </w:p>
    <w:p w14:paraId="09A59B3E" w14:textId="74AA9A40" w:rsidR="001317C7" w:rsidRPr="001317C7" w:rsidRDefault="001317C7" w:rsidP="001317C7">
      <w:pPr>
        <w:spacing w:line="240" w:lineRule="auto"/>
        <w:ind w:firstLine="180"/>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Peer-Reviewers:</w:t>
      </w:r>
      <w:r w:rsidRPr="001317C7">
        <w:rPr>
          <w:rFonts w:ascii="Times New Roman" w:eastAsia="Calibri" w:hAnsi="Times New Roman" w:cs="Times New Roman"/>
          <w:kern w:val="0"/>
          <w:sz w:val="24"/>
          <w:szCs w:val="24"/>
          <w14:ligatures w14:val="none"/>
        </w:rPr>
        <w:t xml:space="preserve"> Amany Mohamed Abdallah (Assistant professor of community medicine), </w:t>
      </w:r>
      <w:r w:rsidR="004D611C">
        <w:rPr>
          <w:rFonts w:ascii="Times New Roman" w:eastAsia="Calibri" w:hAnsi="Times New Roman" w:cs="Times New Roman"/>
          <w:kern w:val="0"/>
          <w:sz w:val="24"/>
          <w:szCs w:val="24"/>
          <w14:ligatures w14:val="none"/>
        </w:rPr>
        <w:t>Marwa Shabana (Assistant professor of clinical pathology), Mohamed Emara (professor of gastroenterology, hepatology, and infectious diseases</w:t>
      </w:r>
      <w:r w:rsidRPr="001317C7">
        <w:rPr>
          <w:rFonts w:ascii="Times New Roman" w:eastAsia="Calibri" w:hAnsi="Times New Roman" w:cs="Times New Roman"/>
          <w:kern w:val="0"/>
          <w:sz w:val="24"/>
          <w:szCs w:val="24"/>
          <w14:ligatures w14:val="none"/>
        </w:rPr>
        <w:t>).</w:t>
      </w:r>
    </w:p>
    <w:p w14:paraId="31415E62" w14:textId="77777777" w:rsidR="001317C7" w:rsidRPr="001317C7" w:rsidRDefault="001317C7" w:rsidP="001317C7">
      <w:pPr>
        <w:spacing w:line="240" w:lineRule="auto"/>
        <w:ind w:firstLine="180"/>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E- Editor:</w:t>
      </w:r>
      <w:r w:rsidRPr="001317C7">
        <w:rPr>
          <w:rFonts w:ascii="Times New Roman" w:eastAsia="Calibri" w:hAnsi="Times New Roman" w:cs="Times New Roman"/>
          <w:kern w:val="0"/>
          <w:sz w:val="24"/>
          <w:szCs w:val="24"/>
          <w14:ligatures w14:val="none"/>
        </w:rPr>
        <w:t xml:space="preserve"> Salem Youssef Mohamed, Osama Ahmed Khalil, Mohamed Hassan Ali Emara.</w:t>
      </w:r>
    </w:p>
    <w:p w14:paraId="33CEACAB" w14:textId="77777777" w:rsidR="001317C7" w:rsidRPr="001317C7" w:rsidRDefault="001317C7" w:rsidP="001317C7">
      <w:pPr>
        <w:spacing w:line="240" w:lineRule="auto"/>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Copyright ©.</w:t>
      </w:r>
      <w:r w:rsidRPr="001317C7">
        <w:rPr>
          <w:rFonts w:ascii="Times New Roman" w:eastAsia="Calibri" w:hAnsi="Times New Roman" w:cs="Times New Roman"/>
          <w:kern w:val="0"/>
          <w:sz w:val="24"/>
          <w:szCs w:val="24"/>
          <w14:ligatures w14:val="none"/>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1AC2F883" w14:textId="77777777" w:rsidR="001317C7" w:rsidRPr="001317C7" w:rsidRDefault="001317C7" w:rsidP="001317C7">
      <w:pPr>
        <w:spacing w:line="240" w:lineRule="auto"/>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Disclaimer:</w:t>
      </w:r>
      <w:r w:rsidRPr="001317C7">
        <w:rPr>
          <w:rFonts w:ascii="Times New Roman" w:eastAsia="Calibri" w:hAnsi="Times New Roman" w:cs="Times New Roman"/>
          <w:kern w:val="0"/>
          <w:sz w:val="24"/>
          <w:szCs w:val="24"/>
          <w14:ligatures w14:val="none"/>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44C46BA4" w14:textId="40E53AB9" w:rsidR="001317C7" w:rsidRPr="001317C7" w:rsidRDefault="001317C7" w:rsidP="001317C7">
      <w:pPr>
        <w:spacing w:line="360" w:lineRule="auto"/>
        <w:jc w:val="both"/>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Ethics Approval and Consent to Participate</w:t>
      </w:r>
      <w:r w:rsidRPr="001317C7">
        <w:rPr>
          <w:rFonts w:ascii="Times New Roman" w:eastAsia="Calibri" w:hAnsi="Times New Roman" w:cs="Times New Roman"/>
          <w:kern w:val="0"/>
          <w:sz w:val="24"/>
          <w:szCs w:val="24"/>
          <w14:ligatures w14:val="none"/>
        </w:rPr>
        <w:t>: The Internal Medicine Department and the Institutional Review Board Committee, Zagazig University approved the experimental protocol.</w:t>
      </w:r>
    </w:p>
    <w:p w14:paraId="3E62594E" w14:textId="77777777" w:rsidR="001317C7" w:rsidRPr="001317C7" w:rsidRDefault="001317C7" w:rsidP="001317C7">
      <w:pPr>
        <w:spacing w:line="240" w:lineRule="auto"/>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Consent for publication</w:t>
      </w:r>
      <w:r w:rsidRPr="001317C7">
        <w:rPr>
          <w:rFonts w:ascii="Times New Roman" w:eastAsia="Calibri" w:hAnsi="Times New Roman" w:cs="Times New Roman"/>
          <w:kern w:val="0"/>
          <w:sz w:val="24"/>
          <w:szCs w:val="24"/>
          <w14:ligatures w14:val="none"/>
        </w:rPr>
        <w:t>: All patients included in this research gave written informed permission to publish the data contained within this study.</w:t>
      </w:r>
    </w:p>
    <w:p w14:paraId="5E08E04C" w14:textId="77777777" w:rsidR="001317C7" w:rsidRPr="001317C7" w:rsidRDefault="001317C7" w:rsidP="001317C7">
      <w:pPr>
        <w:spacing w:line="240" w:lineRule="auto"/>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Availability of data and materials:</w:t>
      </w:r>
      <w:r w:rsidRPr="001317C7">
        <w:rPr>
          <w:rFonts w:ascii="Times New Roman" w:eastAsia="Calibri" w:hAnsi="Times New Roman" w:cs="Times New Roman"/>
          <w:kern w:val="0"/>
          <w:sz w:val="24"/>
          <w:szCs w:val="24"/>
          <w14:ligatures w14:val="none"/>
        </w:rPr>
        <w:t xml:space="preserve"> The datasets used or analyzed during the current study are available from the corresponding author upon reasonable request.</w:t>
      </w:r>
    </w:p>
    <w:p w14:paraId="1591B115" w14:textId="77777777" w:rsidR="001317C7" w:rsidRPr="001317C7" w:rsidRDefault="001317C7" w:rsidP="001317C7">
      <w:pPr>
        <w:spacing w:line="240" w:lineRule="auto"/>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Competing interests</w:t>
      </w:r>
      <w:r w:rsidRPr="001317C7">
        <w:rPr>
          <w:rFonts w:ascii="Times New Roman" w:eastAsia="Calibri" w:hAnsi="Times New Roman" w:cs="Times New Roman"/>
          <w:kern w:val="0"/>
          <w:sz w:val="24"/>
          <w:szCs w:val="24"/>
          <w14:ligatures w14:val="none"/>
        </w:rPr>
        <w:t>: The authors declare that they have no competing interests.</w:t>
      </w:r>
    </w:p>
    <w:p w14:paraId="11433492" w14:textId="77777777" w:rsidR="001317C7" w:rsidRPr="001317C7" w:rsidRDefault="001317C7" w:rsidP="001317C7">
      <w:pPr>
        <w:spacing w:line="240" w:lineRule="auto"/>
        <w:jc w:val="lowKashida"/>
        <w:rPr>
          <w:rFonts w:ascii="Times New Roman" w:eastAsia="Calibri" w:hAnsi="Times New Roman" w:cs="Times New Roman"/>
          <w:kern w:val="0"/>
          <w:sz w:val="24"/>
          <w:szCs w:val="24"/>
          <w14:ligatures w14:val="none"/>
        </w:rPr>
      </w:pPr>
      <w:r w:rsidRPr="001317C7">
        <w:rPr>
          <w:rFonts w:ascii="Times New Roman" w:eastAsia="Calibri" w:hAnsi="Times New Roman" w:cs="Times New Roman"/>
          <w:b/>
          <w:bCs/>
          <w:kern w:val="0"/>
          <w:sz w:val="24"/>
          <w:szCs w:val="24"/>
          <w14:ligatures w14:val="none"/>
        </w:rPr>
        <w:t>Funding</w:t>
      </w:r>
      <w:r w:rsidRPr="001317C7">
        <w:rPr>
          <w:rFonts w:ascii="Times New Roman" w:eastAsia="Calibri" w:hAnsi="Times New Roman" w:cs="Times New Roman"/>
          <w:kern w:val="0"/>
          <w:sz w:val="24"/>
          <w:szCs w:val="24"/>
          <w14:ligatures w14:val="none"/>
        </w:rPr>
        <w:t>: This study had no funding from any resource.</w:t>
      </w:r>
    </w:p>
    <w:p w14:paraId="5A447285" w14:textId="77777777" w:rsidR="001317C7" w:rsidRPr="001317C7" w:rsidRDefault="001317C7" w:rsidP="001317C7">
      <w:pPr>
        <w:spacing w:after="0" w:line="240" w:lineRule="auto"/>
        <w:jc w:val="lowKashida"/>
        <w:rPr>
          <w:rFonts w:ascii="Times New Roman" w:eastAsia="Calibri" w:hAnsi="Times New Roman" w:cs="Times New Roman"/>
          <w:b/>
          <w:bCs/>
          <w:kern w:val="0"/>
          <w:sz w:val="24"/>
          <w:szCs w:val="24"/>
          <w14:ligatures w14:val="none"/>
        </w:rPr>
      </w:pPr>
      <w:r w:rsidRPr="001317C7">
        <w:rPr>
          <w:rFonts w:ascii="Times New Roman" w:eastAsia="Calibri" w:hAnsi="Times New Roman" w:cs="Times New Roman"/>
          <w:b/>
          <w:bCs/>
          <w:kern w:val="0"/>
          <w:sz w:val="24"/>
          <w:szCs w:val="24"/>
          <w14:ligatures w14:val="none"/>
        </w:rPr>
        <w:t>Authors’ contributions</w:t>
      </w:r>
    </w:p>
    <w:p w14:paraId="0EEA3BF9" w14:textId="1AC6445B" w:rsidR="001317C7" w:rsidRPr="001317C7" w:rsidRDefault="0051635E" w:rsidP="0051635E">
      <w:pPr>
        <w:spacing w:line="360" w:lineRule="auto"/>
        <w:jc w:val="both"/>
        <w:rPr>
          <w:rFonts w:ascii="Times New Roman" w:eastAsia="Times New Roman" w:hAnsi="Times New Roman" w:cs="Times New Roman"/>
          <w:b/>
          <w:color w:val="000000"/>
          <w:kern w:val="0"/>
          <w:sz w:val="24"/>
          <w:szCs w:val="24"/>
          <w14:ligatures w14:val="none"/>
        </w:rPr>
      </w:pPr>
      <w:r w:rsidRPr="0051635E">
        <w:rPr>
          <w:rFonts w:ascii="Times New Roman" w:eastAsia="Times New Roman" w:hAnsi="Times New Roman" w:cs="Times New Roman"/>
          <w:color w:val="000000"/>
          <w:kern w:val="0"/>
          <w:sz w:val="24"/>
          <w:szCs w:val="24"/>
          <w14:ligatures w14:val="none"/>
        </w:rPr>
        <w:t>N M. R, M O W</w:t>
      </w:r>
      <w:r w:rsidRPr="0051635E">
        <w:rPr>
          <w:rFonts w:ascii="Times New Roman" w:eastAsia="Times New Roman" w:hAnsi="Times New Roman" w:cs="Times New Roman"/>
          <w:color w:val="000000"/>
          <w:kern w:val="0"/>
          <w:sz w:val="24"/>
          <w:szCs w:val="24"/>
          <w14:ligatures w14:val="none"/>
        </w:rPr>
        <w:t xml:space="preserve"> </w:t>
      </w:r>
      <w:r w:rsidR="001317C7" w:rsidRPr="001317C7">
        <w:rPr>
          <w:rFonts w:ascii="Times New Roman" w:eastAsia="Times New Roman" w:hAnsi="Times New Roman" w:cs="Times New Roman"/>
          <w:color w:val="000000"/>
          <w:kern w:val="0"/>
          <w:sz w:val="24"/>
          <w:szCs w:val="24"/>
          <w14:ligatures w14:val="none"/>
        </w:rPr>
        <w:t xml:space="preserve">were responsible for conception and revision, and </w:t>
      </w:r>
      <w:r w:rsidRPr="0051635E">
        <w:rPr>
          <w:rFonts w:ascii="Times New Roman" w:eastAsia="Times New Roman" w:hAnsi="Times New Roman" w:cs="Times New Roman"/>
          <w:color w:val="000000"/>
          <w:kern w:val="0"/>
          <w:sz w:val="24"/>
          <w:szCs w:val="24"/>
          <w14:ligatures w14:val="none"/>
        </w:rPr>
        <w:t>A M S, M H. S</w:t>
      </w:r>
      <w:r w:rsidRPr="0051635E">
        <w:rPr>
          <w:rFonts w:ascii="Times New Roman" w:eastAsia="Times New Roman" w:hAnsi="Times New Roman" w:cs="Times New Roman"/>
          <w:color w:val="000000"/>
          <w:kern w:val="0"/>
          <w:sz w:val="24"/>
          <w:szCs w:val="24"/>
          <w14:ligatures w14:val="none"/>
        </w:rPr>
        <w:t xml:space="preserve"> </w:t>
      </w:r>
      <w:r w:rsidR="001317C7" w:rsidRPr="001317C7">
        <w:rPr>
          <w:rFonts w:ascii="Times New Roman" w:eastAsia="Times New Roman" w:hAnsi="Times New Roman" w:cs="Times New Roman"/>
          <w:color w:val="000000"/>
          <w:kern w:val="0"/>
          <w:sz w:val="24"/>
          <w:szCs w:val="24"/>
          <w14:ligatures w14:val="none"/>
        </w:rPr>
        <w:t xml:space="preserve">were </w:t>
      </w:r>
      <w:r>
        <w:rPr>
          <w:rFonts w:ascii="Times New Roman" w:eastAsia="Times New Roman" w:hAnsi="Times New Roman" w:cs="Times New Roman"/>
          <w:color w:val="000000"/>
          <w:kern w:val="0"/>
          <w:sz w:val="24"/>
          <w:szCs w:val="24"/>
          <w14:ligatures w14:val="none"/>
        </w:rPr>
        <w:t>accountable</w:t>
      </w:r>
      <w:r w:rsidR="001317C7" w:rsidRPr="001317C7">
        <w:rPr>
          <w:rFonts w:ascii="Times New Roman" w:eastAsia="Times New Roman" w:hAnsi="Times New Roman" w:cs="Times New Roman"/>
          <w:color w:val="000000"/>
          <w:kern w:val="0"/>
          <w:sz w:val="24"/>
          <w:szCs w:val="24"/>
          <w14:ligatures w14:val="none"/>
        </w:rPr>
        <w:t xml:space="preserve"> for the </w:t>
      </w:r>
      <w:r w:rsidR="001317C7" w:rsidRPr="001317C7">
        <w:rPr>
          <w:rFonts w:ascii="Times New Roman" w:eastAsia="Times New Roman" w:hAnsi="Times New Roman" w:cs="Times New Roman"/>
          <w:kern w:val="0"/>
          <w:sz w:val="24"/>
          <w:szCs w:val="24"/>
          <w14:ligatures w14:val="none"/>
        </w:rPr>
        <w:t>interpretation and analysis of data.</w:t>
      </w:r>
      <w:r w:rsidR="001317C7" w:rsidRPr="001317C7">
        <w:rPr>
          <w:rFonts w:ascii="Times New Roman" w:eastAsia="Times New Roman" w:hAnsi="Times New Roman" w:cs="Times New Roman"/>
          <w:color w:val="000000"/>
          <w:kern w:val="0"/>
          <w:sz w:val="24"/>
          <w:szCs w:val="24"/>
          <w14:ligatures w14:val="none"/>
        </w:rPr>
        <w:t xml:space="preserve"> </w:t>
      </w:r>
      <w:r w:rsidRPr="0051635E">
        <w:rPr>
          <w:rFonts w:ascii="Times New Roman" w:eastAsia="Times New Roman" w:hAnsi="Times New Roman" w:cs="Times New Roman"/>
          <w:kern w:val="0"/>
          <w:sz w:val="24"/>
          <w:szCs w:val="24"/>
          <w14:ligatures w14:val="none"/>
        </w:rPr>
        <w:t>M H.S. H, A S, A T H</w:t>
      </w:r>
      <w:r w:rsidR="001317C7" w:rsidRPr="001317C7">
        <w:rPr>
          <w:rFonts w:ascii="Times New Roman" w:eastAsia="Times New Roman" w:hAnsi="Times New Roman" w:cs="Times New Roman"/>
          <w:kern w:val="0"/>
          <w:sz w:val="24"/>
          <w:szCs w:val="24"/>
          <w14:ligatures w14:val="none"/>
        </w:rPr>
        <w:t xml:space="preserve"> wrote the manuscript that was revised and approved by all co-authors.</w:t>
      </w:r>
    </w:p>
    <w:p w14:paraId="62A88E29" w14:textId="77777777" w:rsidR="003A68E3" w:rsidRPr="003F0CBB" w:rsidRDefault="002C1DAC" w:rsidP="00DF78E8">
      <w:pPr>
        <w:spacing w:line="360" w:lineRule="auto"/>
        <w:rPr>
          <w:rFonts w:asciiTheme="majorBidi" w:hAnsiTheme="majorBidi" w:cstheme="majorBidi"/>
          <w:b/>
          <w:bCs/>
          <w:sz w:val="24"/>
          <w:szCs w:val="24"/>
        </w:rPr>
      </w:pPr>
      <w:r w:rsidRPr="003F0CBB">
        <w:rPr>
          <w:rFonts w:asciiTheme="majorBidi" w:hAnsiTheme="majorBidi" w:cstheme="majorBidi"/>
          <w:b/>
          <w:bCs/>
          <w:sz w:val="24"/>
          <w:szCs w:val="24"/>
        </w:rPr>
        <w:t>References</w:t>
      </w:r>
    </w:p>
    <w:p w14:paraId="7762AFDB" w14:textId="6A112265"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Fallahi P, Ferrari SM, </w:t>
      </w:r>
      <w:proofErr w:type="spellStart"/>
      <w:r w:rsidRPr="003F0CBB">
        <w:rPr>
          <w:rFonts w:asciiTheme="majorBidi" w:hAnsiTheme="majorBidi" w:cstheme="majorBidi"/>
          <w:sz w:val="24"/>
          <w:szCs w:val="24"/>
        </w:rPr>
        <w:t>Ruffilli</w:t>
      </w:r>
      <w:proofErr w:type="spellEnd"/>
      <w:r w:rsidRPr="003F0CBB">
        <w:rPr>
          <w:rFonts w:asciiTheme="majorBidi" w:hAnsiTheme="majorBidi" w:cstheme="majorBidi"/>
          <w:sz w:val="24"/>
          <w:szCs w:val="24"/>
        </w:rPr>
        <w:t xml:space="preserve"> </w:t>
      </w:r>
      <w:r w:rsidR="0088290D" w:rsidRPr="003F0CBB">
        <w:rPr>
          <w:rFonts w:asciiTheme="majorBidi" w:hAnsiTheme="majorBidi" w:cstheme="majorBidi"/>
          <w:sz w:val="24"/>
          <w:szCs w:val="24"/>
        </w:rPr>
        <w:t>I, et al.</w:t>
      </w:r>
      <w:r w:rsidRPr="003F0CBB">
        <w:rPr>
          <w:rFonts w:asciiTheme="majorBidi" w:hAnsiTheme="majorBidi" w:cstheme="majorBidi"/>
          <w:sz w:val="24"/>
          <w:szCs w:val="24"/>
        </w:rPr>
        <w:t xml:space="preserve"> The association of other autoimmune diseases in patients with autoimmune thyroiditis: review of the literature and report of </w:t>
      </w:r>
      <w:r w:rsidR="0088290D">
        <w:rPr>
          <w:rFonts w:asciiTheme="majorBidi" w:hAnsiTheme="majorBidi" w:cstheme="majorBidi"/>
          <w:sz w:val="24"/>
          <w:szCs w:val="24"/>
        </w:rPr>
        <w:t>an extensive</w:t>
      </w:r>
      <w:r w:rsidRPr="003F0CBB">
        <w:rPr>
          <w:rFonts w:asciiTheme="majorBidi" w:hAnsiTheme="majorBidi" w:cstheme="majorBidi"/>
          <w:sz w:val="24"/>
          <w:szCs w:val="24"/>
        </w:rPr>
        <w:t xml:space="preserve"> series of patients. Autoimmun</w:t>
      </w:r>
      <w:r w:rsidR="00DC45F4">
        <w:rPr>
          <w:rFonts w:asciiTheme="majorBidi" w:hAnsiTheme="majorBidi" w:cstheme="majorBidi"/>
          <w:sz w:val="24"/>
          <w:szCs w:val="24"/>
        </w:rPr>
        <w:t>e</w:t>
      </w:r>
      <w:r w:rsidRPr="003F0CBB">
        <w:rPr>
          <w:rFonts w:asciiTheme="majorBidi" w:hAnsiTheme="majorBidi" w:cstheme="majorBidi"/>
          <w:sz w:val="24"/>
          <w:szCs w:val="24"/>
        </w:rPr>
        <w:t xml:space="preserve"> Rev </w:t>
      </w:r>
      <w:r w:rsidR="00C542E9">
        <w:rPr>
          <w:rFonts w:asciiTheme="majorBidi" w:hAnsiTheme="majorBidi" w:cstheme="majorBidi"/>
          <w:sz w:val="24"/>
          <w:szCs w:val="24"/>
        </w:rPr>
        <w:t>.</w:t>
      </w:r>
      <w:r w:rsidRPr="003F0CBB">
        <w:rPr>
          <w:rFonts w:asciiTheme="majorBidi" w:hAnsiTheme="majorBidi" w:cstheme="majorBidi"/>
          <w:sz w:val="24"/>
          <w:szCs w:val="24"/>
        </w:rPr>
        <w:t>2016</w:t>
      </w:r>
      <w:r w:rsidR="00C542E9">
        <w:rPr>
          <w:rFonts w:asciiTheme="majorBidi" w:hAnsiTheme="majorBidi" w:cstheme="majorBidi"/>
          <w:sz w:val="24"/>
          <w:szCs w:val="24"/>
        </w:rPr>
        <w:t>;</w:t>
      </w:r>
      <w:r w:rsidRPr="003F0CBB">
        <w:rPr>
          <w:rFonts w:asciiTheme="majorBidi" w:hAnsiTheme="majorBidi" w:cstheme="majorBidi"/>
          <w:sz w:val="24"/>
          <w:szCs w:val="24"/>
        </w:rPr>
        <w:t xml:space="preserve">15:1125–8. </w:t>
      </w:r>
    </w:p>
    <w:p w14:paraId="20015328" w14:textId="6C4C1702"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A.P. Weetman</w:t>
      </w:r>
      <w:r w:rsidR="00DC45F4">
        <w:rPr>
          <w:rFonts w:asciiTheme="majorBidi" w:hAnsiTheme="majorBidi" w:cstheme="majorBidi"/>
          <w:sz w:val="24"/>
          <w:szCs w:val="24"/>
        </w:rPr>
        <w:t xml:space="preserve">: </w:t>
      </w:r>
      <w:r w:rsidRPr="003F0CBB">
        <w:rPr>
          <w:rFonts w:asciiTheme="majorBidi" w:hAnsiTheme="majorBidi" w:cstheme="majorBidi"/>
          <w:sz w:val="24"/>
          <w:szCs w:val="24"/>
        </w:rPr>
        <w:t xml:space="preserve">Non-thyroid autoantibodies in autoimmune thyroid disease Best </w:t>
      </w:r>
      <w:proofErr w:type="spellStart"/>
      <w:r w:rsidRPr="003F0CBB">
        <w:rPr>
          <w:rFonts w:asciiTheme="majorBidi" w:hAnsiTheme="majorBidi" w:cstheme="majorBidi"/>
          <w:sz w:val="24"/>
          <w:szCs w:val="24"/>
        </w:rPr>
        <w:t>Pract</w:t>
      </w:r>
      <w:proofErr w:type="spellEnd"/>
      <w:r w:rsidRPr="003F0CBB">
        <w:rPr>
          <w:rFonts w:asciiTheme="majorBidi" w:hAnsiTheme="majorBidi" w:cstheme="majorBidi"/>
          <w:sz w:val="24"/>
          <w:szCs w:val="24"/>
        </w:rPr>
        <w:t xml:space="preserve">. Res. Clin. Endocrinol. </w:t>
      </w:r>
      <w:proofErr w:type="spellStart"/>
      <w:r w:rsidRPr="003F0CBB">
        <w:rPr>
          <w:rFonts w:asciiTheme="majorBidi" w:hAnsiTheme="majorBidi" w:cstheme="majorBidi"/>
          <w:sz w:val="24"/>
          <w:szCs w:val="24"/>
        </w:rPr>
        <w:t>Metab</w:t>
      </w:r>
      <w:proofErr w:type="spellEnd"/>
      <w:r w:rsidRPr="003F0CBB">
        <w:rPr>
          <w:rFonts w:asciiTheme="majorBidi" w:hAnsiTheme="majorBidi" w:cstheme="majorBidi"/>
          <w:sz w:val="24"/>
          <w:szCs w:val="24"/>
        </w:rPr>
        <w:t>., 19 (2005), pp. 17-32.</w:t>
      </w:r>
    </w:p>
    <w:p w14:paraId="6DDFDCE7" w14:textId="487116A8"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 </w:t>
      </w:r>
      <w:proofErr w:type="spellStart"/>
      <w:r w:rsidRPr="003F0CBB">
        <w:rPr>
          <w:rFonts w:asciiTheme="majorBidi" w:hAnsiTheme="majorBidi" w:cstheme="majorBidi"/>
          <w:sz w:val="24"/>
          <w:szCs w:val="24"/>
        </w:rPr>
        <w:t>Betterle</w:t>
      </w:r>
      <w:proofErr w:type="spellEnd"/>
      <w:r w:rsidRPr="003F0CBB">
        <w:rPr>
          <w:rFonts w:asciiTheme="majorBidi" w:hAnsiTheme="majorBidi" w:cstheme="majorBidi"/>
          <w:sz w:val="24"/>
          <w:szCs w:val="24"/>
        </w:rPr>
        <w:t xml:space="preserve"> C, Zanchetta R. Update on autoimmune polyendocrine syndromes (APS). Acta Bio-Medica </w:t>
      </w:r>
      <w:proofErr w:type="spellStart"/>
      <w:r w:rsidRPr="003F0CBB">
        <w:rPr>
          <w:rFonts w:asciiTheme="majorBidi" w:hAnsiTheme="majorBidi" w:cstheme="majorBidi"/>
          <w:sz w:val="24"/>
          <w:szCs w:val="24"/>
        </w:rPr>
        <w:t>Atenei</w:t>
      </w:r>
      <w:proofErr w:type="spellEnd"/>
      <w:r w:rsidRPr="003F0CBB">
        <w:rPr>
          <w:rFonts w:asciiTheme="majorBidi" w:hAnsiTheme="majorBidi" w:cstheme="majorBidi"/>
          <w:sz w:val="24"/>
          <w:szCs w:val="24"/>
        </w:rPr>
        <w:t xml:space="preserve"> Parm. </w:t>
      </w:r>
      <w:r w:rsidR="0088290D" w:rsidRPr="003F0CBB">
        <w:rPr>
          <w:rFonts w:asciiTheme="majorBidi" w:hAnsiTheme="majorBidi" w:cstheme="majorBidi"/>
          <w:sz w:val="24"/>
          <w:szCs w:val="24"/>
        </w:rPr>
        <w:t>2003; 74:9</w:t>
      </w:r>
      <w:r w:rsidRPr="003F0CBB">
        <w:rPr>
          <w:rFonts w:asciiTheme="majorBidi" w:hAnsiTheme="majorBidi" w:cstheme="majorBidi"/>
          <w:sz w:val="24"/>
          <w:szCs w:val="24"/>
        </w:rPr>
        <w:t>e33.</w:t>
      </w:r>
    </w:p>
    <w:p w14:paraId="402A6CAC" w14:textId="12901B64"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Neumann WL, </w:t>
      </w:r>
      <w:proofErr w:type="spellStart"/>
      <w:r w:rsidRPr="003F0CBB">
        <w:rPr>
          <w:rFonts w:asciiTheme="majorBidi" w:hAnsiTheme="majorBidi" w:cstheme="majorBidi"/>
          <w:sz w:val="24"/>
          <w:szCs w:val="24"/>
        </w:rPr>
        <w:t>Coss</w:t>
      </w:r>
      <w:proofErr w:type="spellEnd"/>
      <w:r w:rsidRPr="003F0CBB">
        <w:rPr>
          <w:rFonts w:asciiTheme="majorBidi" w:hAnsiTheme="majorBidi" w:cstheme="majorBidi"/>
          <w:sz w:val="24"/>
          <w:szCs w:val="24"/>
        </w:rPr>
        <w:t xml:space="preserve"> E, Rugge M, et al. Autoimmune atrophic gastritis pathogenesis, </w:t>
      </w:r>
      <w:r w:rsidR="0088290D" w:rsidRPr="003F0CBB">
        <w:rPr>
          <w:rFonts w:asciiTheme="majorBidi" w:hAnsiTheme="majorBidi" w:cstheme="majorBidi"/>
          <w:sz w:val="24"/>
          <w:szCs w:val="24"/>
        </w:rPr>
        <w:t>pathology,</w:t>
      </w:r>
      <w:r w:rsidRPr="003F0CBB">
        <w:rPr>
          <w:rFonts w:asciiTheme="majorBidi" w:hAnsiTheme="majorBidi" w:cstheme="majorBidi"/>
          <w:sz w:val="24"/>
          <w:szCs w:val="24"/>
        </w:rPr>
        <w:t xml:space="preserve"> and management. NatRev Gastroenterol Hepatol </w:t>
      </w:r>
      <w:r w:rsidR="0088290D" w:rsidRPr="003F0CBB">
        <w:rPr>
          <w:rFonts w:asciiTheme="majorBidi" w:hAnsiTheme="majorBidi" w:cstheme="majorBidi"/>
          <w:sz w:val="24"/>
          <w:szCs w:val="24"/>
        </w:rPr>
        <w:t>2013; 10:529</w:t>
      </w:r>
      <w:r w:rsidRPr="003F0CBB">
        <w:rPr>
          <w:rFonts w:asciiTheme="majorBidi" w:hAnsiTheme="majorBidi" w:cstheme="majorBidi"/>
          <w:sz w:val="24"/>
          <w:szCs w:val="24"/>
        </w:rPr>
        <w:t>e41.</w:t>
      </w:r>
    </w:p>
    <w:p w14:paraId="3697EBE9" w14:textId="52528715"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proofErr w:type="spellStart"/>
      <w:r w:rsidRPr="003F0CBB">
        <w:rPr>
          <w:rFonts w:asciiTheme="majorBidi" w:hAnsiTheme="majorBidi" w:cstheme="majorBidi"/>
          <w:sz w:val="24"/>
          <w:szCs w:val="24"/>
        </w:rPr>
        <w:t>Cavalcoli</w:t>
      </w:r>
      <w:proofErr w:type="spellEnd"/>
      <w:r w:rsidRPr="003F0CBB">
        <w:rPr>
          <w:rFonts w:asciiTheme="majorBidi" w:hAnsiTheme="majorBidi" w:cstheme="majorBidi"/>
          <w:sz w:val="24"/>
          <w:szCs w:val="24"/>
        </w:rPr>
        <w:t xml:space="preserve"> F, Zilli A, Conte D, et al. Micronutrient deficiencies in patients with chronic atrophic autoimmune gastritis: </w:t>
      </w:r>
      <w:r w:rsidR="0088290D">
        <w:rPr>
          <w:rFonts w:asciiTheme="majorBidi" w:hAnsiTheme="majorBidi" w:cstheme="majorBidi"/>
          <w:sz w:val="24"/>
          <w:szCs w:val="24"/>
        </w:rPr>
        <w:t>a review</w:t>
      </w:r>
      <w:r w:rsidRPr="003F0CBB">
        <w:rPr>
          <w:rFonts w:asciiTheme="majorBidi" w:hAnsiTheme="majorBidi" w:cstheme="majorBidi"/>
          <w:sz w:val="24"/>
          <w:szCs w:val="24"/>
        </w:rPr>
        <w:t>. World J Gastroenterol 2017;23(4):563e72.</w:t>
      </w:r>
    </w:p>
    <w:p w14:paraId="7D4212EC" w14:textId="2970B037"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proofErr w:type="spellStart"/>
      <w:r w:rsidRPr="003F0CBB">
        <w:rPr>
          <w:rFonts w:asciiTheme="majorBidi" w:hAnsiTheme="majorBidi" w:cstheme="majorBidi"/>
          <w:sz w:val="24"/>
          <w:szCs w:val="24"/>
        </w:rPr>
        <w:t>Virili</w:t>
      </w:r>
      <w:proofErr w:type="spellEnd"/>
      <w:r w:rsidRPr="003F0CBB">
        <w:rPr>
          <w:rFonts w:asciiTheme="majorBidi" w:hAnsiTheme="majorBidi" w:cstheme="majorBidi"/>
          <w:sz w:val="24"/>
          <w:szCs w:val="24"/>
        </w:rPr>
        <w:t xml:space="preserve"> C, </w:t>
      </w:r>
      <w:proofErr w:type="spellStart"/>
      <w:r w:rsidRPr="003F0CBB">
        <w:rPr>
          <w:rFonts w:asciiTheme="majorBidi" w:hAnsiTheme="majorBidi" w:cstheme="majorBidi"/>
          <w:sz w:val="24"/>
          <w:szCs w:val="24"/>
        </w:rPr>
        <w:t>Bassotti</w:t>
      </w:r>
      <w:proofErr w:type="spellEnd"/>
      <w:r w:rsidRPr="003F0CBB">
        <w:rPr>
          <w:rFonts w:asciiTheme="majorBidi" w:hAnsiTheme="majorBidi" w:cstheme="majorBidi"/>
          <w:sz w:val="24"/>
          <w:szCs w:val="24"/>
        </w:rPr>
        <w:t xml:space="preserve"> G, Santaguida MG, et al. Atypical celiac disease as </w:t>
      </w:r>
      <w:r w:rsidR="0088290D">
        <w:rPr>
          <w:rFonts w:asciiTheme="majorBidi" w:hAnsiTheme="majorBidi" w:cstheme="majorBidi"/>
          <w:sz w:val="24"/>
          <w:szCs w:val="24"/>
        </w:rPr>
        <w:t xml:space="preserve">a cause of the </w:t>
      </w:r>
      <w:r w:rsidRPr="003F0CBB">
        <w:rPr>
          <w:rFonts w:asciiTheme="majorBidi" w:hAnsiTheme="majorBidi" w:cstheme="majorBidi"/>
          <w:sz w:val="24"/>
          <w:szCs w:val="24"/>
        </w:rPr>
        <w:t xml:space="preserve">increased need for thyroxine: a systematic study. J Clin Endocrinol </w:t>
      </w:r>
      <w:proofErr w:type="spellStart"/>
      <w:r w:rsidRPr="003F0CBB">
        <w:rPr>
          <w:rFonts w:asciiTheme="majorBidi" w:hAnsiTheme="majorBidi" w:cstheme="majorBidi"/>
          <w:sz w:val="24"/>
          <w:szCs w:val="24"/>
        </w:rPr>
        <w:t>Metab</w:t>
      </w:r>
      <w:proofErr w:type="spellEnd"/>
      <w:r w:rsidRPr="003F0CBB">
        <w:rPr>
          <w:rFonts w:asciiTheme="majorBidi" w:hAnsiTheme="majorBidi" w:cstheme="majorBidi"/>
          <w:sz w:val="24"/>
          <w:szCs w:val="24"/>
        </w:rPr>
        <w:t xml:space="preserve"> 2012;</w:t>
      </w:r>
      <w:r w:rsidR="0088290D" w:rsidRPr="003F0CBB">
        <w:rPr>
          <w:rFonts w:asciiTheme="majorBidi" w:hAnsiTheme="majorBidi" w:cstheme="majorBidi"/>
          <w:sz w:val="24"/>
          <w:szCs w:val="24"/>
        </w:rPr>
        <w:t>97: E</w:t>
      </w:r>
      <w:r w:rsidRPr="003F0CBB">
        <w:rPr>
          <w:rFonts w:asciiTheme="majorBidi" w:hAnsiTheme="majorBidi" w:cstheme="majorBidi"/>
          <w:sz w:val="24"/>
          <w:szCs w:val="24"/>
        </w:rPr>
        <w:t>419e22.</w:t>
      </w:r>
    </w:p>
    <w:p w14:paraId="6ADCDA4C" w14:textId="5BADEF35" w:rsidR="003A68E3" w:rsidRPr="003F0CBB" w:rsidRDefault="002C1DAC" w:rsidP="00C542E9">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 Lahner E, Capasso M, </w:t>
      </w:r>
      <w:proofErr w:type="spellStart"/>
      <w:r w:rsidRPr="003F0CBB">
        <w:rPr>
          <w:rFonts w:asciiTheme="majorBidi" w:hAnsiTheme="majorBidi" w:cstheme="majorBidi"/>
          <w:sz w:val="24"/>
          <w:szCs w:val="24"/>
        </w:rPr>
        <w:t>Carabotti</w:t>
      </w:r>
      <w:proofErr w:type="spellEnd"/>
      <w:r w:rsidRPr="003F0CBB">
        <w:rPr>
          <w:rFonts w:asciiTheme="majorBidi" w:hAnsiTheme="majorBidi" w:cstheme="majorBidi"/>
          <w:sz w:val="24"/>
          <w:szCs w:val="24"/>
        </w:rPr>
        <w:t xml:space="preserve"> M, et al. Incidence of cancer (other than gastric cancer) in pernicious </w:t>
      </w:r>
      <w:r w:rsidR="0088290D">
        <w:rPr>
          <w:rFonts w:asciiTheme="majorBidi" w:hAnsiTheme="majorBidi" w:cstheme="majorBidi"/>
          <w:sz w:val="24"/>
          <w:szCs w:val="24"/>
        </w:rPr>
        <w:t>anemia: a systematic</w:t>
      </w:r>
      <w:r w:rsidRPr="003F0CBB">
        <w:rPr>
          <w:rFonts w:asciiTheme="majorBidi" w:hAnsiTheme="majorBidi" w:cstheme="majorBidi"/>
          <w:sz w:val="24"/>
          <w:szCs w:val="24"/>
        </w:rPr>
        <w:t xml:space="preserve"> review with meta-analysis. Dig Liver Dis 2018 Aug;50(8):780e6. </w:t>
      </w:r>
    </w:p>
    <w:p w14:paraId="35AF8B79" w14:textId="33F4FBAF"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Lenti MV, Miceli E, </w:t>
      </w:r>
      <w:proofErr w:type="spellStart"/>
      <w:r w:rsidRPr="003F0CBB">
        <w:rPr>
          <w:rFonts w:asciiTheme="majorBidi" w:hAnsiTheme="majorBidi" w:cstheme="majorBidi"/>
          <w:sz w:val="24"/>
          <w:szCs w:val="24"/>
        </w:rPr>
        <w:t>Cococcia</w:t>
      </w:r>
      <w:proofErr w:type="spellEnd"/>
      <w:r w:rsidRPr="003F0CBB">
        <w:rPr>
          <w:rFonts w:asciiTheme="majorBidi" w:hAnsiTheme="majorBidi" w:cstheme="majorBidi"/>
          <w:sz w:val="24"/>
          <w:szCs w:val="24"/>
        </w:rPr>
        <w:t xml:space="preserve"> S, et al. Determinants of diagnostic delay in autoimmune atrophic gastritis. </w:t>
      </w:r>
      <w:proofErr w:type="spellStart"/>
      <w:r w:rsidRPr="003F0CBB">
        <w:rPr>
          <w:rFonts w:asciiTheme="majorBidi" w:hAnsiTheme="majorBidi" w:cstheme="majorBidi"/>
          <w:sz w:val="24"/>
          <w:szCs w:val="24"/>
        </w:rPr>
        <w:t>AlimentPharmacol</w:t>
      </w:r>
      <w:proofErr w:type="spellEnd"/>
      <w:r w:rsidRPr="003F0CBB">
        <w:rPr>
          <w:rFonts w:asciiTheme="majorBidi" w:hAnsiTheme="majorBidi" w:cstheme="majorBidi"/>
          <w:sz w:val="24"/>
          <w:szCs w:val="24"/>
        </w:rPr>
        <w:t xml:space="preserve"> Ther </w:t>
      </w:r>
      <w:r w:rsidR="00C542E9" w:rsidRPr="003F0CBB">
        <w:rPr>
          <w:rFonts w:asciiTheme="majorBidi" w:hAnsiTheme="majorBidi" w:cstheme="majorBidi"/>
          <w:sz w:val="24"/>
          <w:szCs w:val="24"/>
        </w:rPr>
        <w:t>2019; 50:167</w:t>
      </w:r>
      <w:r w:rsidRPr="003F0CBB">
        <w:rPr>
          <w:rFonts w:asciiTheme="majorBidi" w:hAnsiTheme="majorBidi" w:cstheme="majorBidi"/>
          <w:sz w:val="24"/>
          <w:szCs w:val="24"/>
        </w:rPr>
        <w:t>e75</w:t>
      </w:r>
    </w:p>
    <w:p w14:paraId="2A867028" w14:textId="7C9EDBD4"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 Husby S, </w:t>
      </w:r>
      <w:proofErr w:type="spellStart"/>
      <w:r w:rsidRPr="003F0CBB">
        <w:rPr>
          <w:rFonts w:asciiTheme="majorBidi" w:hAnsiTheme="majorBidi" w:cstheme="majorBidi"/>
          <w:sz w:val="24"/>
          <w:szCs w:val="24"/>
        </w:rPr>
        <w:t>Koletzko</w:t>
      </w:r>
      <w:proofErr w:type="spellEnd"/>
      <w:r w:rsidRPr="003F0CBB">
        <w:rPr>
          <w:rFonts w:asciiTheme="majorBidi" w:hAnsiTheme="majorBidi" w:cstheme="majorBidi"/>
          <w:sz w:val="24"/>
          <w:szCs w:val="24"/>
        </w:rPr>
        <w:t xml:space="preserve"> S, Korponay-</w:t>
      </w:r>
      <w:proofErr w:type="spellStart"/>
      <w:r w:rsidRPr="003F0CBB">
        <w:rPr>
          <w:rFonts w:asciiTheme="majorBidi" w:hAnsiTheme="majorBidi" w:cstheme="majorBidi"/>
          <w:sz w:val="24"/>
          <w:szCs w:val="24"/>
        </w:rPr>
        <w:t>szabó</w:t>
      </w:r>
      <w:proofErr w:type="spellEnd"/>
      <w:r w:rsidRPr="003F0CBB">
        <w:rPr>
          <w:rFonts w:asciiTheme="majorBidi" w:hAnsiTheme="majorBidi" w:cstheme="majorBidi"/>
          <w:sz w:val="24"/>
          <w:szCs w:val="24"/>
        </w:rPr>
        <w:t xml:space="preserve"> IR, </w:t>
      </w:r>
      <w:r w:rsidR="000D6F45" w:rsidRPr="003F0CBB">
        <w:rPr>
          <w:rFonts w:asciiTheme="majorBidi" w:hAnsiTheme="majorBidi" w:cstheme="majorBidi"/>
          <w:sz w:val="24"/>
          <w:szCs w:val="24"/>
        </w:rPr>
        <w:t xml:space="preserve">et al. </w:t>
      </w:r>
      <w:r w:rsidRPr="003F0CBB">
        <w:rPr>
          <w:rFonts w:asciiTheme="majorBidi" w:hAnsiTheme="majorBidi" w:cstheme="majorBidi"/>
          <w:sz w:val="24"/>
          <w:szCs w:val="24"/>
        </w:rPr>
        <w:t xml:space="preserve">European Society for Pediatric Gastroenterology, Hepatology, and Nutrition guidelines for the diagnosis of coeliac disease. J </w:t>
      </w:r>
      <w:proofErr w:type="spellStart"/>
      <w:r w:rsidRPr="003F0CBB">
        <w:rPr>
          <w:rFonts w:asciiTheme="majorBidi" w:hAnsiTheme="majorBidi" w:cstheme="majorBidi"/>
          <w:sz w:val="24"/>
          <w:szCs w:val="24"/>
        </w:rPr>
        <w:t>Pediatr</w:t>
      </w:r>
      <w:proofErr w:type="spellEnd"/>
      <w:r w:rsidRPr="003F0CBB">
        <w:rPr>
          <w:rFonts w:asciiTheme="majorBidi" w:hAnsiTheme="majorBidi" w:cstheme="majorBidi"/>
          <w:sz w:val="24"/>
          <w:szCs w:val="24"/>
        </w:rPr>
        <w:t xml:space="preserve"> Gastroenterol </w:t>
      </w:r>
      <w:proofErr w:type="spellStart"/>
      <w:r w:rsidRPr="003F0CBB">
        <w:rPr>
          <w:rFonts w:asciiTheme="majorBidi" w:hAnsiTheme="majorBidi" w:cstheme="majorBidi"/>
          <w:sz w:val="24"/>
          <w:szCs w:val="24"/>
        </w:rPr>
        <w:t>Nutr</w:t>
      </w:r>
      <w:proofErr w:type="spellEnd"/>
      <w:r w:rsidRPr="003F0CBB">
        <w:rPr>
          <w:rFonts w:asciiTheme="majorBidi" w:hAnsiTheme="majorBidi" w:cstheme="majorBidi"/>
          <w:sz w:val="24"/>
          <w:szCs w:val="24"/>
        </w:rPr>
        <w:t>. 2012</w:t>
      </w:r>
      <w:r w:rsidR="00C542E9">
        <w:rPr>
          <w:rFonts w:asciiTheme="majorBidi" w:hAnsiTheme="majorBidi" w:cstheme="majorBidi"/>
          <w:sz w:val="24"/>
          <w:szCs w:val="24"/>
        </w:rPr>
        <w:t>;</w:t>
      </w:r>
      <w:r w:rsidRPr="003F0CBB">
        <w:rPr>
          <w:rFonts w:asciiTheme="majorBidi" w:hAnsiTheme="majorBidi" w:cstheme="majorBidi"/>
          <w:sz w:val="24"/>
          <w:szCs w:val="24"/>
        </w:rPr>
        <w:t xml:space="preserve"> 54:136–60</w:t>
      </w:r>
    </w:p>
    <w:p w14:paraId="2C8C84CC" w14:textId="571CE1D2"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Rubio-Tapia </w:t>
      </w:r>
      <w:r w:rsidR="000D6F45" w:rsidRPr="003F0CBB">
        <w:rPr>
          <w:rFonts w:asciiTheme="majorBidi" w:hAnsiTheme="majorBidi" w:cstheme="majorBidi"/>
          <w:sz w:val="24"/>
          <w:szCs w:val="24"/>
        </w:rPr>
        <w:t>A</w:t>
      </w:r>
      <w:r w:rsidR="000D6F45">
        <w:rPr>
          <w:rFonts w:asciiTheme="majorBidi" w:hAnsiTheme="majorBidi" w:cstheme="majorBidi"/>
          <w:sz w:val="24"/>
          <w:szCs w:val="24"/>
        </w:rPr>
        <w:t>, Hill</w:t>
      </w:r>
      <w:r w:rsidRPr="003F0CBB">
        <w:rPr>
          <w:rFonts w:asciiTheme="majorBidi" w:hAnsiTheme="majorBidi" w:cstheme="majorBidi"/>
          <w:sz w:val="24"/>
          <w:szCs w:val="24"/>
        </w:rPr>
        <w:t>, I</w:t>
      </w:r>
      <w:r w:rsidR="000D6F45">
        <w:rPr>
          <w:rFonts w:asciiTheme="majorBidi" w:hAnsiTheme="majorBidi" w:cstheme="majorBidi"/>
          <w:sz w:val="24"/>
          <w:szCs w:val="24"/>
        </w:rPr>
        <w:t xml:space="preserve"> </w:t>
      </w:r>
      <w:r w:rsidRPr="003F0CBB">
        <w:rPr>
          <w:rFonts w:asciiTheme="majorBidi" w:hAnsiTheme="majorBidi" w:cstheme="majorBidi"/>
          <w:sz w:val="24"/>
          <w:szCs w:val="24"/>
        </w:rPr>
        <w:t>D</w:t>
      </w:r>
      <w:r w:rsidR="000D6F45">
        <w:rPr>
          <w:rFonts w:asciiTheme="majorBidi" w:hAnsiTheme="majorBidi" w:cstheme="majorBidi"/>
          <w:sz w:val="24"/>
          <w:szCs w:val="24"/>
        </w:rPr>
        <w:t>,</w:t>
      </w:r>
      <w:r w:rsidRPr="003F0CBB">
        <w:rPr>
          <w:rFonts w:asciiTheme="majorBidi" w:hAnsiTheme="majorBidi" w:cstheme="majorBidi"/>
          <w:sz w:val="24"/>
          <w:szCs w:val="24"/>
        </w:rPr>
        <w:t xml:space="preserve"> Kelly</w:t>
      </w:r>
      <w:r w:rsidR="000D6F45">
        <w:rPr>
          <w:rFonts w:asciiTheme="majorBidi" w:hAnsiTheme="majorBidi" w:cstheme="majorBidi"/>
          <w:sz w:val="24"/>
          <w:szCs w:val="24"/>
        </w:rPr>
        <w:t xml:space="preserve"> </w:t>
      </w:r>
      <w:r w:rsidRPr="003F0CBB">
        <w:rPr>
          <w:rFonts w:asciiTheme="majorBidi" w:hAnsiTheme="majorBidi" w:cstheme="majorBidi"/>
          <w:sz w:val="24"/>
          <w:szCs w:val="24"/>
        </w:rPr>
        <w:t>C</w:t>
      </w:r>
      <w:r w:rsidR="000D6F45">
        <w:rPr>
          <w:rFonts w:asciiTheme="majorBidi" w:hAnsiTheme="majorBidi" w:cstheme="majorBidi"/>
          <w:sz w:val="24"/>
          <w:szCs w:val="24"/>
        </w:rPr>
        <w:t xml:space="preserve"> </w:t>
      </w:r>
      <w:r w:rsidRPr="003F0CBB">
        <w:rPr>
          <w:rFonts w:asciiTheme="majorBidi" w:hAnsiTheme="majorBidi" w:cstheme="majorBidi"/>
          <w:sz w:val="24"/>
          <w:szCs w:val="24"/>
        </w:rPr>
        <w:t xml:space="preserve">P </w:t>
      </w:r>
      <w:r w:rsidR="000D6F45" w:rsidRPr="003F0CBB">
        <w:rPr>
          <w:rFonts w:asciiTheme="majorBidi" w:hAnsiTheme="majorBidi" w:cstheme="majorBidi"/>
          <w:sz w:val="24"/>
          <w:szCs w:val="24"/>
        </w:rPr>
        <w:t xml:space="preserve">et al. </w:t>
      </w:r>
      <w:r w:rsidRPr="003F0CBB">
        <w:rPr>
          <w:rFonts w:asciiTheme="majorBidi" w:hAnsiTheme="majorBidi" w:cstheme="majorBidi"/>
          <w:sz w:val="24"/>
          <w:szCs w:val="24"/>
        </w:rPr>
        <w:t>American College of Gastroenterology. ACG clinical guidelines: Diagnosis and management of celiac disease. Am. J. Gastroenterol. 2013, 108, 656–676.</w:t>
      </w:r>
    </w:p>
    <w:p w14:paraId="25CF43ED" w14:textId="2AE2933C"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Xu F, Jin L, Jin Y </w:t>
      </w:r>
      <w:r w:rsidR="000D6F45" w:rsidRPr="003F0CBB">
        <w:rPr>
          <w:rFonts w:asciiTheme="majorBidi" w:hAnsiTheme="majorBidi" w:cstheme="majorBidi"/>
          <w:sz w:val="24"/>
          <w:szCs w:val="24"/>
        </w:rPr>
        <w:t>et al</w:t>
      </w:r>
      <w:r w:rsidRPr="003F0CBB">
        <w:rPr>
          <w:rFonts w:asciiTheme="majorBidi" w:hAnsiTheme="majorBidi" w:cstheme="majorBidi"/>
          <w:sz w:val="24"/>
          <w:szCs w:val="24"/>
        </w:rPr>
        <w:t xml:space="preserve">. Long noncoding RNAs in autoimmune diseases. J Biomed Mater Res A. </w:t>
      </w:r>
      <w:r w:rsidR="0088290D" w:rsidRPr="003F0CBB">
        <w:rPr>
          <w:rFonts w:asciiTheme="majorBidi" w:hAnsiTheme="majorBidi" w:cstheme="majorBidi"/>
          <w:sz w:val="24"/>
          <w:szCs w:val="24"/>
        </w:rPr>
        <w:t>2019; 107:468</w:t>
      </w:r>
      <w:r w:rsidRPr="003F0CBB">
        <w:rPr>
          <w:rFonts w:asciiTheme="majorBidi" w:hAnsiTheme="majorBidi" w:cstheme="majorBidi"/>
          <w:sz w:val="24"/>
          <w:szCs w:val="24"/>
        </w:rPr>
        <w:t>–475</w:t>
      </w:r>
      <w:r w:rsidR="0088290D">
        <w:rPr>
          <w:rFonts w:asciiTheme="majorBidi" w:hAnsiTheme="majorBidi" w:cstheme="majorBidi"/>
          <w:sz w:val="24"/>
          <w:szCs w:val="24"/>
        </w:rPr>
        <w:t>.</w:t>
      </w:r>
    </w:p>
    <w:p w14:paraId="1B6DAF52" w14:textId="769935AA"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Moradi M, </w:t>
      </w:r>
      <w:proofErr w:type="spellStart"/>
      <w:r w:rsidRPr="003F0CBB">
        <w:rPr>
          <w:rFonts w:asciiTheme="majorBidi" w:hAnsiTheme="majorBidi" w:cstheme="majorBidi"/>
          <w:sz w:val="24"/>
          <w:szCs w:val="24"/>
        </w:rPr>
        <w:t>Gharesouran</w:t>
      </w:r>
      <w:proofErr w:type="spellEnd"/>
      <w:r w:rsidRPr="003F0CBB">
        <w:rPr>
          <w:rFonts w:asciiTheme="majorBidi" w:hAnsiTheme="majorBidi" w:cstheme="majorBidi"/>
          <w:sz w:val="24"/>
          <w:szCs w:val="24"/>
        </w:rPr>
        <w:t xml:space="preserve"> J, Ghafouri-Fard S, </w:t>
      </w:r>
      <w:r w:rsidR="000D6F45" w:rsidRPr="003F0CBB">
        <w:rPr>
          <w:rFonts w:asciiTheme="majorBidi" w:hAnsiTheme="majorBidi" w:cstheme="majorBidi"/>
          <w:sz w:val="24"/>
          <w:szCs w:val="24"/>
        </w:rPr>
        <w:t xml:space="preserve">et al. </w:t>
      </w:r>
      <w:r w:rsidRPr="003F0CBB">
        <w:rPr>
          <w:rFonts w:asciiTheme="majorBidi" w:hAnsiTheme="majorBidi" w:cstheme="majorBidi"/>
          <w:sz w:val="24"/>
          <w:szCs w:val="24"/>
        </w:rPr>
        <w:t xml:space="preserve"> Role of NR3C1 and GAS5 genes polymorphisms in multiple sclerosis. Int J </w:t>
      </w:r>
      <w:proofErr w:type="spellStart"/>
      <w:r w:rsidRPr="003F0CBB">
        <w:rPr>
          <w:rFonts w:asciiTheme="majorBidi" w:hAnsiTheme="majorBidi" w:cstheme="majorBidi"/>
          <w:sz w:val="24"/>
          <w:szCs w:val="24"/>
        </w:rPr>
        <w:t>Neurosci</w:t>
      </w:r>
      <w:proofErr w:type="spellEnd"/>
      <w:r w:rsidRPr="003F0CBB">
        <w:rPr>
          <w:rFonts w:asciiTheme="majorBidi" w:hAnsiTheme="majorBidi" w:cstheme="majorBidi"/>
          <w:sz w:val="24"/>
          <w:szCs w:val="24"/>
        </w:rPr>
        <w:t xml:space="preserve">. </w:t>
      </w:r>
      <w:r w:rsidR="0088290D" w:rsidRPr="003F0CBB">
        <w:rPr>
          <w:rFonts w:asciiTheme="majorBidi" w:hAnsiTheme="majorBidi" w:cstheme="majorBidi"/>
          <w:sz w:val="24"/>
          <w:szCs w:val="24"/>
        </w:rPr>
        <w:t>2020; 130:407</w:t>
      </w:r>
      <w:r w:rsidRPr="003F0CBB">
        <w:rPr>
          <w:rFonts w:asciiTheme="majorBidi" w:hAnsiTheme="majorBidi" w:cstheme="majorBidi"/>
          <w:sz w:val="24"/>
          <w:szCs w:val="24"/>
        </w:rPr>
        <w:t xml:space="preserve">–412. </w:t>
      </w:r>
    </w:p>
    <w:p w14:paraId="59EB968F" w14:textId="47FFD142"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Husby S, </w:t>
      </w:r>
      <w:proofErr w:type="spellStart"/>
      <w:r w:rsidRPr="003F0CBB">
        <w:rPr>
          <w:rFonts w:asciiTheme="majorBidi" w:hAnsiTheme="majorBidi" w:cstheme="majorBidi"/>
          <w:sz w:val="24"/>
          <w:szCs w:val="24"/>
        </w:rPr>
        <w:t>Koletzko</w:t>
      </w:r>
      <w:proofErr w:type="spellEnd"/>
      <w:r w:rsidRPr="003F0CBB">
        <w:rPr>
          <w:rFonts w:asciiTheme="majorBidi" w:hAnsiTheme="majorBidi" w:cstheme="majorBidi"/>
          <w:sz w:val="24"/>
          <w:szCs w:val="24"/>
        </w:rPr>
        <w:t xml:space="preserve"> S, Korponay-Szabó IR,</w:t>
      </w:r>
      <w:r w:rsidR="0088290D">
        <w:rPr>
          <w:rFonts w:asciiTheme="majorBidi" w:hAnsiTheme="majorBidi" w:cstheme="majorBidi"/>
          <w:sz w:val="24"/>
          <w:szCs w:val="24"/>
        </w:rPr>
        <w:t xml:space="preserve"> et al.</w:t>
      </w:r>
      <w:r w:rsidRPr="003F0CBB">
        <w:rPr>
          <w:rFonts w:asciiTheme="majorBidi" w:hAnsiTheme="majorBidi" w:cstheme="majorBidi"/>
          <w:sz w:val="24"/>
          <w:szCs w:val="24"/>
        </w:rPr>
        <w:t xml:space="preserve">, ESPGHAN Working Group on Coeliac Disease Diagnosis; ESPGHAN Gastroenterology Committee; European Society for Pediatric Gastroenterology, Hepatology, and Nutrition European Society for Pediatric Gastroenterology, Hepatology, and Nutrition guidelines for the diagnosis of coeliac disease. J </w:t>
      </w:r>
      <w:proofErr w:type="spellStart"/>
      <w:r w:rsidRPr="003F0CBB">
        <w:rPr>
          <w:rFonts w:asciiTheme="majorBidi" w:hAnsiTheme="majorBidi" w:cstheme="majorBidi"/>
          <w:sz w:val="24"/>
          <w:szCs w:val="24"/>
        </w:rPr>
        <w:t>Pediatr</w:t>
      </w:r>
      <w:proofErr w:type="spellEnd"/>
      <w:r w:rsidRPr="003F0CBB">
        <w:rPr>
          <w:rFonts w:asciiTheme="majorBidi" w:hAnsiTheme="majorBidi" w:cstheme="majorBidi"/>
          <w:sz w:val="24"/>
          <w:szCs w:val="24"/>
        </w:rPr>
        <w:t xml:space="preserve"> Gastroenterol </w:t>
      </w:r>
      <w:proofErr w:type="spellStart"/>
      <w:r w:rsidRPr="003F0CBB">
        <w:rPr>
          <w:rFonts w:asciiTheme="majorBidi" w:hAnsiTheme="majorBidi" w:cstheme="majorBidi"/>
          <w:sz w:val="24"/>
          <w:szCs w:val="24"/>
        </w:rPr>
        <w:t>Nutr</w:t>
      </w:r>
      <w:proofErr w:type="spellEnd"/>
      <w:r w:rsidRPr="003F0CBB">
        <w:rPr>
          <w:rFonts w:asciiTheme="majorBidi" w:hAnsiTheme="majorBidi" w:cstheme="majorBidi"/>
          <w:sz w:val="24"/>
          <w:szCs w:val="24"/>
        </w:rPr>
        <w:t xml:space="preserve">. </w:t>
      </w:r>
      <w:r w:rsidR="00C542E9" w:rsidRPr="003F0CBB">
        <w:rPr>
          <w:rFonts w:asciiTheme="majorBidi" w:hAnsiTheme="majorBidi" w:cstheme="majorBidi"/>
          <w:sz w:val="24"/>
          <w:szCs w:val="24"/>
        </w:rPr>
        <w:t>2012; 54:136</w:t>
      </w:r>
      <w:r w:rsidRPr="003F0CBB">
        <w:rPr>
          <w:rFonts w:asciiTheme="majorBidi" w:hAnsiTheme="majorBidi" w:cstheme="majorBidi"/>
          <w:sz w:val="24"/>
          <w:szCs w:val="24"/>
        </w:rPr>
        <w:t xml:space="preserve">–160. </w:t>
      </w:r>
    </w:p>
    <w:p w14:paraId="3DFBC783" w14:textId="46AAD8F6" w:rsidR="003A68E3" w:rsidRPr="003F0CBB" w:rsidRDefault="002C1DAC" w:rsidP="00C542E9">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Lionetti E., </w:t>
      </w:r>
      <w:proofErr w:type="spellStart"/>
      <w:r w:rsidRPr="003F0CBB">
        <w:rPr>
          <w:rFonts w:asciiTheme="majorBidi" w:hAnsiTheme="majorBidi" w:cstheme="majorBidi"/>
          <w:sz w:val="24"/>
          <w:szCs w:val="24"/>
        </w:rPr>
        <w:t>Catassi</w:t>
      </w:r>
      <w:proofErr w:type="spellEnd"/>
      <w:r w:rsidRPr="003F0CBB">
        <w:rPr>
          <w:rFonts w:asciiTheme="majorBidi" w:hAnsiTheme="majorBidi" w:cstheme="majorBidi"/>
          <w:sz w:val="24"/>
          <w:szCs w:val="24"/>
        </w:rPr>
        <w:t xml:space="preserve"> C. New clues in celiac disease epidemiology, pathogenesis, clinical manifestations, and treatment. International Reviews of Immunology. 2011;30(4):219–231. </w:t>
      </w:r>
    </w:p>
    <w:p w14:paraId="7F21C514" w14:textId="2154EF1D"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Antonelli A, Ferrari SM, Corrado A, </w:t>
      </w:r>
      <w:r w:rsidR="0088290D">
        <w:rPr>
          <w:rFonts w:asciiTheme="majorBidi" w:hAnsiTheme="majorBidi" w:cstheme="majorBidi"/>
          <w:sz w:val="24"/>
          <w:szCs w:val="24"/>
        </w:rPr>
        <w:t>et al.</w:t>
      </w:r>
      <w:r w:rsidRPr="003F0CBB">
        <w:rPr>
          <w:rFonts w:asciiTheme="majorBidi" w:hAnsiTheme="majorBidi" w:cstheme="majorBidi"/>
          <w:sz w:val="24"/>
          <w:szCs w:val="24"/>
        </w:rPr>
        <w:t xml:space="preserve"> </w:t>
      </w:r>
      <w:r w:rsidR="00C542E9" w:rsidRPr="003F0CBB">
        <w:rPr>
          <w:rFonts w:asciiTheme="majorBidi" w:hAnsiTheme="majorBidi" w:cstheme="majorBidi"/>
          <w:sz w:val="24"/>
          <w:szCs w:val="24"/>
        </w:rPr>
        <w:t>Autoimmune</w:t>
      </w:r>
      <w:r w:rsidRPr="003F0CBB">
        <w:rPr>
          <w:rFonts w:asciiTheme="majorBidi" w:hAnsiTheme="majorBidi" w:cstheme="majorBidi"/>
          <w:sz w:val="24"/>
          <w:szCs w:val="24"/>
        </w:rPr>
        <w:t xml:space="preserve"> </w:t>
      </w:r>
      <w:proofErr w:type="spellStart"/>
      <w:r w:rsidR="00C542E9" w:rsidRPr="003F0CBB">
        <w:rPr>
          <w:rFonts w:asciiTheme="majorBidi" w:hAnsiTheme="majorBidi" w:cstheme="majorBidi"/>
          <w:sz w:val="24"/>
          <w:szCs w:val="24"/>
        </w:rPr>
        <w:t>Autoimmune</w:t>
      </w:r>
      <w:proofErr w:type="spellEnd"/>
      <w:r w:rsidR="00C542E9" w:rsidRPr="003F0CBB">
        <w:rPr>
          <w:rFonts w:asciiTheme="majorBidi" w:hAnsiTheme="majorBidi" w:cstheme="majorBidi"/>
          <w:sz w:val="24"/>
          <w:szCs w:val="24"/>
        </w:rPr>
        <w:t xml:space="preserve"> thyroid disorders. </w:t>
      </w:r>
      <w:r w:rsidRPr="003F0CBB">
        <w:rPr>
          <w:rFonts w:asciiTheme="majorBidi" w:hAnsiTheme="majorBidi" w:cstheme="majorBidi"/>
          <w:sz w:val="24"/>
          <w:szCs w:val="24"/>
        </w:rPr>
        <w:t xml:space="preserve">Rev. </w:t>
      </w:r>
      <w:r w:rsidR="0088290D" w:rsidRPr="003F0CBB">
        <w:rPr>
          <w:rFonts w:asciiTheme="majorBidi" w:hAnsiTheme="majorBidi" w:cstheme="majorBidi"/>
          <w:sz w:val="24"/>
          <w:szCs w:val="24"/>
        </w:rPr>
        <w:t>2015; 14:174</w:t>
      </w:r>
      <w:r w:rsidRPr="003F0CBB">
        <w:rPr>
          <w:rFonts w:asciiTheme="majorBidi" w:hAnsiTheme="majorBidi" w:cstheme="majorBidi"/>
          <w:sz w:val="24"/>
          <w:szCs w:val="24"/>
        </w:rPr>
        <w:t xml:space="preserve">–180. </w:t>
      </w:r>
    </w:p>
    <w:p w14:paraId="4D927DF6" w14:textId="44ABC0D2"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Diamanti A, Capriati T, Bizzarri C, et al. </w:t>
      </w:r>
      <w:r w:rsidR="00C542E9" w:rsidRPr="003F0CBB">
        <w:rPr>
          <w:rFonts w:asciiTheme="majorBidi" w:hAnsiTheme="majorBidi" w:cstheme="majorBidi"/>
          <w:sz w:val="24"/>
          <w:szCs w:val="24"/>
        </w:rPr>
        <w:t xml:space="preserve"> Autoimmune diseases and celiac diseases</w:t>
      </w:r>
      <w:r w:rsidR="0088290D">
        <w:rPr>
          <w:rFonts w:asciiTheme="majorBidi" w:hAnsiTheme="majorBidi" w:cstheme="majorBidi"/>
          <w:sz w:val="24"/>
          <w:szCs w:val="24"/>
        </w:rPr>
        <w:t>:</w:t>
      </w:r>
      <w:r w:rsidR="00C542E9" w:rsidRPr="003F0CBB">
        <w:rPr>
          <w:rFonts w:asciiTheme="majorBidi" w:hAnsiTheme="majorBidi" w:cstheme="majorBidi"/>
          <w:sz w:val="24"/>
          <w:szCs w:val="24"/>
        </w:rPr>
        <w:t xml:space="preserve"> which came first: genotype or gluten? </w:t>
      </w:r>
      <w:r w:rsidRPr="003F0CBB">
        <w:rPr>
          <w:rFonts w:asciiTheme="majorBidi" w:hAnsiTheme="majorBidi" w:cstheme="majorBidi"/>
          <w:sz w:val="24"/>
          <w:szCs w:val="24"/>
        </w:rPr>
        <w:t xml:space="preserve">Expert Rev Clin Immunol. </w:t>
      </w:r>
      <w:r w:rsidR="00C542E9" w:rsidRPr="003F0CBB">
        <w:rPr>
          <w:rFonts w:asciiTheme="majorBidi" w:hAnsiTheme="majorBidi" w:cstheme="majorBidi"/>
          <w:sz w:val="24"/>
          <w:szCs w:val="24"/>
        </w:rPr>
        <w:t>2016; 12:67</w:t>
      </w:r>
      <w:r w:rsidRPr="003F0CBB">
        <w:rPr>
          <w:rFonts w:asciiTheme="majorBidi" w:hAnsiTheme="majorBidi" w:cstheme="majorBidi"/>
          <w:sz w:val="24"/>
          <w:szCs w:val="24"/>
        </w:rPr>
        <w:t>–77.</w:t>
      </w:r>
    </w:p>
    <w:p w14:paraId="07F71D36" w14:textId="77777777"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Ch’ng CL, Jones MK, Kingham JGC. Celiac disease and autoimmune thyroid disease. Clin Med Res. 2007; 5:184–92.</w:t>
      </w:r>
    </w:p>
    <w:p w14:paraId="2E28681A" w14:textId="6363E9D3"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 Meloni A, Mandas C, </w:t>
      </w:r>
      <w:proofErr w:type="spellStart"/>
      <w:r w:rsidRPr="003F0CBB">
        <w:rPr>
          <w:rFonts w:asciiTheme="majorBidi" w:hAnsiTheme="majorBidi" w:cstheme="majorBidi"/>
          <w:sz w:val="24"/>
          <w:szCs w:val="24"/>
        </w:rPr>
        <w:t>Jores</w:t>
      </w:r>
      <w:proofErr w:type="spellEnd"/>
      <w:r w:rsidRPr="003F0CBB">
        <w:rPr>
          <w:rFonts w:asciiTheme="majorBidi" w:hAnsiTheme="majorBidi" w:cstheme="majorBidi"/>
          <w:sz w:val="24"/>
          <w:szCs w:val="24"/>
        </w:rPr>
        <w:t xml:space="preserve"> </w:t>
      </w:r>
      <w:r w:rsidR="0088290D" w:rsidRPr="003F0CBB">
        <w:rPr>
          <w:rFonts w:asciiTheme="majorBidi" w:hAnsiTheme="majorBidi" w:cstheme="majorBidi"/>
          <w:sz w:val="24"/>
          <w:szCs w:val="24"/>
        </w:rPr>
        <w:t>RD,</w:t>
      </w:r>
      <w:r w:rsidR="00C542E9" w:rsidRPr="003F0CBB">
        <w:rPr>
          <w:rFonts w:asciiTheme="majorBidi" w:hAnsiTheme="majorBidi" w:cstheme="majorBidi"/>
          <w:sz w:val="24"/>
          <w:szCs w:val="24"/>
        </w:rPr>
        <w:t xml:space="preserve"> et al.  </w:t>
      </w:r>
      <w:r w:rsidRPr="003F0CBB">
        <w:rPr>
          <w:rFonts w:asciiTheme="majorBidi" w:hAnsiTheme="majorBidi" w:cstheme="majorBidi"/>
          <w:sz w:val="24"/>
          <w:szCs w:val="24"/>
        </w:rPr>
        <w:t xml:space="preserve">Prevalence of autoimmune thyroiditis in children with celiac disease and effect of gluten withdrawal. J </w:t>
      </w:r>
      <w:proofErr w:type="spellStart"/>
      <w:r w:rsidRPr="003F0CBB">
        <w:rPr>
          <w:rFonts w:asciiTheme="majorBidi" w:hAnsiTheme="majorBidi" w:cstheme="majorBidi"/>
          <w:sz w:val="24"/>
          <w:szCs w:val="24"/>
        </w:rPr>
        <w:t>Pediatr</w:t>
      </w:r>
      <w:proofErr w:type="spellEnd"/>
      <w:r w:rsidRPr="003F0CBB">
        <w:rPr>
          <w:rFonts w:asciiTheme="majorBidi" w:hAnsiTheme="majorBidi" w:cstheme="majorBidi"/>
          <w:sz w:val="24"/>
          <w:szCs w:val="24"/>
        </w:rPr>
        <w:t>. 2009; 155:51–5.</w:t>
      </w:r>
    </w:p>
    <w:p w14:paraId="5F2E6BDC" w14:textId="0F4DF30B"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 Elfstrom P, Montgomery SM, Kampe O, </w:t>
      </w:r>
      <w:r w:rsidR="00C542E9" w:rsidRPr="003F0CBB">
        <w:rPr>
          <w:rFonts w:asciiTheme="majorBidi" w:hAnsiTheme="majorBidi" w:cstheme="majorBidi"/>
          <w:sz w:val="24"/>
          <w:szCs w:val="24"/>
        </w:rPr>
        <w:t xml:space="preserve">et al.  </w:t>
      </w:r>
      <w:r w:rsidRPr="003F0CBB">
        <w:rPr>
          <w:rFonts w:asciiTheme="majorBidi" w:hAnsiTheme="majorBidi" w:cstheme="majorBidi"/>
          <w:sz w:val="24"/>
          <w:szCs w:val="24"/>
        </w:rPr>
        <w:t xml:space="preserve">Risk of thyroid disease in individuals with celiac disease. J Clin Endocrinol </w:t>
      </w:r>
      <w:proofErr w:type="spellStart"/>
      <w:r w:rsidRPr="003F0CBB">
        <w:rPr>
          <w:rFonts w:asciiTheme="majorBidi" w:hAnsiTheme="majorBidi" w:cstheme="majorBidi"/>
          <w:sz w:val="24"/>
          <w:szCs w:val="24"/>
        </w:rPr>
        <w:t>Metab</w:t>
      </w:r>
      <w:proofErr w:type="spellEnd"/>
      <w:r w:rsidRPr="003F0CBB">
        <w:rPr>
          <w:rFonts w:asciiTheme="majorBidi" w:hAnsiTheme="majorBidi" w:cstheme="majorBidi"/>
          <w:sz w:val="24"/>
          <w:szCs w:val="24"/>
        </w:rPr>
        <w:t xml:space="preserve"> </w:t>
      </w:r>
      <w:r w:rsidR="00C542E9">
        <w:rPr>
          <w:rFonts w:asciiTheme="majorBidi" w:hAnsiTheme="majorBidi" w:cstheme="majorBidi"/>
          <w:sz w:val="24"/>
          <w:szCs w:val="24"/>
        </w:rPr>
        <w:t>2008;</w:t>
      </w:r>
      <w:r w:rsidR="00C542E9" w:rsidRPr="003F0CBB">
        <w:rPr>
          <w:rFonts w:asciiTheme="majorBidi" w:hAnsiTheme="majorBidi" w:cstheme="majorBidi"/>
          <w:sz w:val="24"/>
          <w:szCs w:val="24"/>
        </w:rPr>
        <w:t xml:space="preserve"> 93:3915</w:t>
      </w:r>
      <w:r w:rsidRPr="003F0CBB">
        <w:rPr>
          <w:rFonts w:asciiTheme="majorBidi" w:hAnsiTheme="majorBidi" w:cstheme="majorBidi"/>
          <w:sz w:val="24"/>
          <w:szCs w:val="24"/>
        </w:rPr>
        <w:t>–3921.</w:t>
      </w:r>
    </w:p>
    <w:p w14:paraId="12ECBC87" w14:textId="140F8F5C"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 Rostom A, Dube C, Cranney A, </w:t>
      </w:r>
      <w:r w:rsidR="00C542E9" w:rsidRPr="003F0CBB">
        <w:rPr>
          <w:rFonts w:asciiTheme="majorBidi" w:hAnsiTheme="majorBidi" w:cstheme="majorBidi"/>
          <w:sz w:val="24"/>
          <w:szCs w:val="24"/>
        </w:rPr>
        <w:t xml:space="preserve">et al.  </w:t>
      </w:r>
      <w:r w:rsidRPr="003F0CBB">
        <w:rPr>
          <w:rFonts w:asciiTheme="majorBidi" w:hAnsiTheme="majorBidi" w:cstheme="majorBidi"/>
          <w:sz w:val="24"/>
          <w:szCs w:val="24"/>
        </w:rPr>
        <w:t xml:space="preserve">The </w:t>
      </w:r>
      <w:r w:rsidR="0088290D">
        <w:rPr>
          <w:rFonts w:asciiTheme="majorBidi" w:hAnsiTheme="majorBidi" w:cstheme="majorBidi"/>
          <w:sz w:val="24"/>
          <w:szCs w:val="24"/>
        </w:rPr>
        <w:t>diagnostic accuracy</w:t>
      </w:r>
      <w:r w:rsidRPr="003F0CBB">
        <w:rPr>
          <w:rFonts w:asciiTheme="majorBidi" w:hAnsiTheme="majorBidi" w:cstheme="majorBidi"/>
          <w:sz w:val="24"/>
          <w:szCs w:val="24"/>
        </w:rPr>
        <w:t xml:space="preserve"> of serologic tests for celiac disease: a systematic review. Gastroenterology </w:t>
      </w:r>
      <w:r w:rsidR="00C542E9">
        <w:rPr>
          <w:rFonts w:asciiTheme="majorBidi" w:hAnsiTheme="majorBidi" w:cstheme="majorBidi"/>
          <w:sz w:val="24"/>
          <w:szCs w:val="24"/>
        </w:rPr>
        <w:t>.2005;</w:t>
      </w:r>
      <w:r w:rsidR="00C542E9" w:rsidRPr="003F0CBB">
        <w:rPr>
          <w:rFonts w:asciiTheme="majorBidi" w:hAnsiTheme="majorBidi" w:cstheme="majorBidi"/>
          <w:sz w:val="24"/>
          <w:szCs w:val="24"/>
        </w:rPr>
        <w:t>128: S</w:t>
      </w:r>
      <w:r w:rsidRPr="003F0CBB">
        <w:rPr>
          <w:rFonts w:asciiTheme="majorBidi" w:hAnsiTheme="majorBidi" w:cstheme="majorBidi"/>
          <w:sz w:val="24"/>
          <w:szCs w:val="24"/>
        </w:rPr>
        <w:t>38–46.</w:t>
      </w:r>
    </w:p>
    <w:p w14:paraId="1F094636" w14:textId="33FB7CC9" w:rsidR="003A68E3" w:rsidRPr="003F0CBB" w:rsidRDefault="002C1DAC" w:rsidP="00DF78E8">
      <w:pPr>
        <w:pStyle w:val="ListParagraph"/>
        <w:numPr>
          <w:ilvl w:val="0"/>
          <w:numId w:val="4"/>
        </w:numPr>
        <w:spacing w:line="360" w:lineRule="auto"/>
        <w:jc w:val="both"/>
        <w:rPr>
          <w:rFonts w:asciiTheme="majorBidi" w:hAnsiTheme="majorBidi" w:cstheme="majorBidi"/>
          <w:sz w:val="24"/>
          <w:szCs w:val="24"/>
        </w:rPr>
      </w:pPr>
      <w:r w:rsidRPr="003F0CBB">
        <w:rPr>
          <w:rFonts w:asciiTheme="majorBidi" w:hAnsiTheme="majorBidi" w:cstheme="majorBidi"/>
          <w:sz w:val="24"/>
          <w:szCs w:val="24"/>
        </w:rPr>
        <w:t xml:space="preserve">Wang, J. et al. Upregulation of long noncoding RNA TMEVPG1 enhances T helper type 1 cell response in patients with Sjögren syndrome. </w:t>
      </w:r>
      <w:r w:rsidR="00AE4E5A" w:rsidRPr="00AE4E5A">
        <w:rPr>
          <w:rFonts w:asciiTheme="majorBidi" w:hAnsiTheme="majorBidi" w:cstheme="majorBidi"/>
          <w:sz w:val="24"/>
          <w:szCs w:val="24"/>
        </w:rPr>
        <w:t xml:space="preserve">Immunol Res </w:t>
      </w:r>
      <w:r w:rsidR="00AE4E5A">
        <w:rPr>
          <w:rFonts w:asciiTheme="majorBidi" w:hAnsiTheme="majorBidi" w:cstheme="majorBidi"/>
          <w:sz w:val="24"/>
          <w:szCs w:val="24"/>
        </w:rPr>
        <w:t>.2016;</w:t>
      </w:r>
      <w:r w:rsidR="00AE4E5A" w:rsidRPr="00AE4E5A">
        <w:rPr>
          <w:rFonts w:asciiTheme="majorBidi" w:hAnsiTheme="majorBidi" w:cstheme="majorBidi"/>
          <w:sz w:val="24"/>
          <w:szCs w:val="24"/>
        </w:rPr>
        <w:t>64, 489–496</w:t>
      </w:r>
      <w:r w:rsidR="00AE4E5A">
        <w:rPr>
          <w:rFonts w:asciiTheme="majorBidi" w:hAnsiTheme="majorBidi" w:cstheme="majorBidi"/>
          <w:sz w:val="24"/>
          <w:szCs w:val="24"/>
        </w:rPr>
        <w:t>.</w:t>
      </w:r>
    </w:p>
    <w:p w14:paraId="36EAA429" w14:textId="26BAF046" w:rsidR="003A68E3" w:rsidRPr="00C542E9" w:rsidRDefault="002C1DAC" w:rsidP="00DF78E8">
      <w:pPr>
        <w:pStyle w:val="ListParagraph"/>
        <w:numPr>
          <w:ilvl w:val="0"/>
          <w:numId w:val="4"/>
        </w:numPr>
        <w:spacing w:line="360" w:lineRule="auto"/>
        <w:jc w:val="both"/>
        <w:rPr>
          <w:rFonts w:asciiTheme="majorBidi" w:hAnsiTheme="majorBidi" w:cstheme="majorBidi"/>
          <w:sz w:val="24"/>
          <w:szCs w:val="24"/>
        </w:rPr>
      </w:pPr>
      <w:bookmarkStart w:id="28" w:name="_Hlk155920086"/>
      <w:r w:rsidRPr="00C542E9">
        <w:rPr>
          <w:rFonts w:asciiTheme="majorBidi" w:hAnsiTheme="majorBidi" w:cstheme="majorBidi"/>
          <w:sz w:val="24"/>
          <w:szCs w:val="24"/>
        </w:rPr>
        <w:t>Peng</w:t>
      </w:r>
      <w:bookmarkEnd w:id="28"/>
      <w:r w:rsidR="00C542E9" w:rsidRPr="00C542E9">
        <w:rPr>
          <w:rFonts w:asciiTheme="majorBidi" w:hAnsiTheme="majorBidi" w:cstheme="majorBidi"/>
          <w:sz w:val="24"/>
          <w:szCs w:val="24"/>
        </w:rPr>
        <w:t xml:space="preserve"> </w:t>
      </w:r>
      <w:r w:rsidRPr="00C542E9">
        <w:rPr>
          <w:rFonts w:asciiTheme="majorBidi" w:hAnsiTheme="majorBidi" w:cstheme="majorBidi"/>
          <w:sz w:val="24"/>
          <w:szCs w:val="24"/>
        </w:rPr>
        <w:t xml:space="preserve">H, Liu </w:t>
      </w:r>
      <w:r w:rsidR="00C542E9" w:rsidRPr="00C542E9">
        <w:rPr>
          <w:rFonts w:asciiTheme="majorBidi" w:hAnsiTheme="majorBidi" w:cstheme="majorBidi"/>
          <w:sz w:val="24"/>
          <w:szCs w:val="24"/>
        </w:rPr>
        <w:t>Y,</w:t>
      </w:r>
      <w:r w:rsidRPr="00C542E9">
        <w:rPr>
          <w:rFonts w:asciiTheme="majorBidi" w:hAnsiTheme="majorBidi" w:cstheme="majorBidi"/>
          <w:sz w:val="24"/>
          <w:szCs w:val="24"/>
        </w:rPr>
        <w:t xml:space="preserve"> </w:t>
      </w:r>
      <w:r w:rsidR="00AE4E5A" w:rsidRPr="00C542E9">
        <w:rPr>
          <w:rFonts w:asciiTheme="majorBidi" w:hAnsiTheme="majorBidi" w:cstheme="majorBidi"/>
          <w:sz w:val="24"/>
          <w:szCs w:val="24"/>
        </w:rPr>
        <w:t>Tian J.</w:t>
      </w:r>
      <w:r w:rsidRPr="00C542E9">
        <w:rPr>
          <w:rFonts w:asciiTheme="majorBidi" w:hAnsiTheme="majorBidi" w:cstheme="majorBidi"/>
          <w:sz w:val="24"/>
          <w:szCs w:val="24"/>
        </w:rPr>
        <w:t xml:space="preserve"> et al. The Long Noncoding RNA IFNG-AS1 Promotes T Helper Type 1 </w:t>
      </w:r>
      <w:r w:rsidR="0088290D">
        <w:rPr>
          <w:rFonts w:asciiTheme="majorBidi" w:hAnsiTheme="majorBidi" w:cstheme="majorBidi"/>
          <w:sz w:val="24"/>
          <w:szCs w:val="24"/>
        </w:rPr>
        <w:t>Cell</w:t>
      </w:r>
      <w:r w:rsidRPr="00C542E9">
        <w:rPr>
          <w:rFonts w:asciiTheme="majorBidi" w:hAnsiTheme="majorBidi" w:cstheme="majorBidi"/>
          <w:sz w:val="24"/>
          <w:szCs w:val="24"/>
        </w:rPr>
        <w:t xml:space="preserve"> Response in Patients with Hashimoto’s Thyroiditis. Sci Rep </w:t>
      </w:r>
      <w:r w:rsidR="00C542E9">
        <w:rPr>
          <w:rFonts w:asciiTheme="majorBidi" w:hAnsiTheme="majorBidi" w:cstheme="majorBidi"/>
          <w:sz w:val="24"/>
          <w:szCs w:val="24"/>
        </w:rPr>
        <w:t>.2016 ;</w:t>
      </w:r>
      <w:r w:rsidRPr="00C542E9">
        <w:rPr>
          <w:rFonts w:asciiTheme="majorBidi" w:hAnsiTheme="majorBidi" w:cstheme="majorBidi"/>
          <w:sz w:val="24"/>
          <w:szCs w:val="24"/>
        </w:rPr>
        <w:t xml:space="preserve">5, </w:t>
      </w:r>
      <w:r w:rsidR="0088290D" w:rsidRPr="00C542E9">
        <w:rPr>
          <w:rFonts w:asciiTheme="majorBidi" w:hAnsiTheme="majorBidi" w:cstheme="majorBidi"/>
          <w:sz w:val="24"/>
          <w:szCs w:val="24"/>
        </w:rPr>
        <w:t>17702.</w:t>
      </w:r>
      <w:r w:rsidRPr="00C542E9">
        <w:rPr>
          <w:rFonts w:asciiTheme="majorBidi" w:hAnsiTheme="majorBidi" w:cstheme="majorBidi"/>
          <w:sz w:val="24"/>
          <w:szCs w:val="24"/>
        </w:rPr>
        <w:t xml:space="preserve"> </w:t>
      </w:r>
    </w:p>
    <w:sectPr w:rsidR="003A68E3" w:rsidRPr="00C542E9" w:rsidSect="004932A8">
      <w:headerReference w:type="default" r:id="rId19"/>
      <w:footerReference w:type="default" r:id="rId20"/>
      <w:pgSz w:w="12240" w:h="15840"/>
      <w:pgMar w:top="1440" w:right="1800" w:bottom="1440" w:left="1800" w:header="720" w:footer="720" w:gutter="0"/>
      <w:pgNumType w:start="1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518E" w14:textId="77777777" w:rsidR="004932A8" w:rsidRDefault="004932A8">
      <w:pPr>
        <w:spacing w:after="0" w:line="240" w:lineRule="auto"/>
      </w:pPr>
      <w:r>
        <w:separator/>
      </w:r>
    </w:p>
  </w:endnote>
  <w:endnote w:type="continuationSeparator" w:id="0">
    <w:p w14:paraId="5E63D424" w14:textId="77777777" w:rsidR="004932A8" w:rsidRDefault="0049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563828"/>
      <w:docPartObj>
        <w:docPartGallery w:val="Page Numbers (Bottom of Page)"/>
        <w:docPartUnique/>
      </w:docPartObj>
    </w:sdtPr>
    <w:sdtEndPr>
      <w:rPr>
        <w:noProof/>
      </w:rPr>
    </w:sdtEndPr>
    <w:sdtContent>
      <w:sdt>
        <w:sdtPr>
          <w:rPr>
            <w:rFonts w:ascii="Calibri" w:eastAsia="Times New Roman" w:hAnsi="Calibri" w:cs="Times New Roman"/>
            <w:kern w:val="0"/>
            <w:sz w:val="28"/>
            <w:szCs w:val="28"/>
            <w14:ligatures w14:val="none"/>
          </w:rPr>
          <w:id w:val="-1146124694"/>
          <w:docPartObj>
            <w:docPartGallery w:val="Page Numbers (Bottom of Page)"/>
            <w:docPartUnique/>
          </w:docPartObj>
        </w:sdtPr>
        <w:sdtContent>
          <w:p w14:paraId="3201D24C" w14:textId="0CB31D64" w:rsidR="002634D4" w:rsidRPr="002634D4" w:rsidRDefault="002634D4" w:rsidP="002634D4">
            <w:pPr>
              <w:pBdr>
                <w:top w:val="thinThickSmallGap" w:sz="24" w:space="1" w:color="823B0B"/>
              </w:pBdr>
              <w:tabs>
                <w:tab w:val="center" w:pos="4320"/>
                <w:tab w:val="right" w:pos="8640"/>
              </w:tabs>
              <w:spacing w:after="240" w:line="252" w:lineRule="auto"/>
              <w:ind w:firstLine="357"/>
              <w:rPr>
                <w:rFonts w:ascii="Calibri" w:eastAsia="Times New Roman" w:hAnsi="Calibri" w:cs="Times New Roman"/>
                <w:kern w:val="0"/>
                <w:sz w:val="28"/>
                <w:szCs w:val="28"/>
                <w14:ligatures w14:val="none"/>
              </w:rPr>
            </w:pPr>
            <w:r>
              <w:rPr>
                <w:rFonts w:ascii="Calibri" w:eastAsia="Calibri" w:hAnsi="Calibri" w:cs="Arial"/>
                <w:bCs/>
                <w:color w:val="000000"/>
                <w:kern w:val="0"/>
                <w14:ligatures w14:val="none"/>
              </w:rPr>
              <w:t>Rashad NM</w:t>
            </w:r>
            <w:r w:rsidRPr="002634D4">
              <w:rPr>
                <w:rFonts w:ascii="Calibri" w:eastAsia="Times New Roman" w:hAnsi="Calibri" w:cs="Times New Roman"/>
                <w:kern w:val="0"/>
                <w:sz w:val="28"/>
                <w:szCs w:val="28"/>
                <w14:ligatures w14:val="none"/>
              </w:rPr>
              <w:t xml:space="preserve"> </w:t>
            </w:r>
            <w:r w:rsidRPr="002634D4">
              <w:rPr>
                <w:rFonts w:ascii="Calibri" w:eastAsia="Calibri" w:hAnsi="Calibri" w:cs="Arial"/>
                <w:kern w:val="0"/>
                <w14:ligatures w14:val="none"/>
              </w:rPr>
              <w:t>et al.2024</w:t>
            </w:r>
            <w:r w:rsidRPr="002634D4">
              <w:rPr>
                <w:rFonts w:ascii="Calibri Light" w:eastAsia="Times New Roman" w:hAnsi="Calibri Light" w:cs="Times New Roman"/>
                <w:kern w:val="0"/>
                <w14:ligatures w14:val="none"/>
              </w:rPr>
              <w:ptab w:relativeTo="margin" w:alignment="right" w:leader="none"/>
            </w:r>
            <w:r w:rsidRPr="002634D4">
              <w:rPr>
                <w:rFonts w:ascii="Calibri" w:eastAsia="Times New Roman" w:hAnsi="Calibri" w:cs="Arial"/>
                <w:kern w:val="0"/>
                <w14:ligatures w14:val="none"/>
              </w:rPr>
              <w:fldChar w:fldCharType="begin"/>
            </w:r>
            <w:r w:rsidRPr="002634D4">
              <w:rPr>
                <w:rFonts w:ascii="Calibri" w:eastAsia="Calibri" w:hAnsi="Calibri" w:cs="Arial"/>
                <w:kern w:val="0"/>
                <w14:ligatures w14:val="none"/>
              </w:rPr>
              <w:instrText xml:space="preserve"> PAGE   \* MERGEFORMAT </w:instrText>
            </w:r>
            <w:r w:rsidRPr="002634D4">
              <w:rPr>
                <w:rFonts w:ascii="Calibri" w:eastAsia="Times New Roman" w:hAnsi="Calibri" w:cs="Arial"/>
                <w:kern w:val="0"/>
                <w14:ligatures w14:val="none"/>
              </w:rPr>
              <w:fldChar w:fldCharType="separate"/>
            </w:r>
            <w:r w:rsidRPr="002634D4">
              <w:rPr>
                <w:rFonts w:ascii="Calibri" w:eastAsia="Times New Roman" w:hAnsi="Calibri" w:cs="Arial"/>
                <w:kern w:val="0"/>
                <w14:ligatures w14:val="none"/>
              </w:rPr>
              <w:t>98</w:t>
            </w:r>
            <w:r w:rsidRPr="002634D4">
              <w:rPr>
                <w:rFonts w:ascii="Calibri Light" w:eastAsia="Times New Roman" w:hAnsi="Calibri Light" w:cs="Times New Roman"/>
                <w:noProof/>
                <w:kern w:val="0"/>
                <w14:ligatures w14:val="none"/>
              </w:rPr>
              <w:fldChar w:fldCharType="end"/>
            </w:r>
          </w:p>
        </w:sdtContent>
      </w:sdt>
      <w:p w14:paraId="5B7D1D0A" w14:textId="67FEC51F" w:rsidR="007973EE" w:rsidRDefault="00000000" w:rsidP="002634D4">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992F" w14:textId="77777777" w:rsidR="004932A8" w:rsidRDefault="004932A8">
      <w:pPr>
        <w:spacing w:after="0" w:line="240" w:lineRule="auto"/>
      </w:pPr>
      <w:r>
        <w:separator/>
      </w:r>
    </w:p>
  </w:footnote>
  <w:footnote w:type="continuationSeparator" w:id="0">
    <w:p w14:paraId="6938BDB3" w14:textId="77777777" w:rsidR="004932A8" w:rsidRDefault="0049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18D" w14:textId="77777777" w:rsidR="002634D4" w:rsidRPr="002634D4" w:rsidRDefault="002634D4" w:rsidP="002634D4">
    <w:pPr>
      <w:pBdr>
        <w:bottom w:val="thickThinSmallGap" w:sz="24" w:space="21" w:color="622423"/>
      </w:pBdr>
      <w:tabs>
        <w:tab w:val="right" w:pos="8640"/>
      </w:tabs>
      <w:spacing w:after="0" w:line="240" w:lineRule="auto"/>
      <w:rPr>
        <w:rFonts w:ascii="Cambria" w:eastAsia="Times New Roman" w:hAnsi="Cambria" w:cs="Times New Roman"/>
        <w:kern w:val="0"/>
        <w:sz w:val="18"/>
        <w:szCs w:val="18"/>
        <w14:ligatures w14:val="none"/>
      </w:rPr>
    </w:pPr>
    <w:r w:rsidRPr="002634D4">
      <w:rPr>
        <w:rFonts w:ascii="Cambria" w:eastAsia="Times New Roman" w:hAnsi="Cambria" w:cs="Times New Roman"/>
        <w:kern w:val="0"/>
        <w:sz w:val="18"/>
        <w:szCs w:val="18"/>
        <w14:ligatures w14:val="none"/>
      </w:rPr>
      <w:t>African journal of gastroenterology and hepatology</w:t>
    </w:r>
    <w:r w:rsidRPr="002634D4">
      <w:rPr>
        <w:rFonts w:ascii="Cambria" w:eastAsia="Times New Roman" w:hAnsi="Cambria" w:cs="Times New Roman"/>
        <w:kern w:val="0"/>
        <w:sz w:val="18"/>
        <w:szCs w:val="18"/>
        <w14:ligatures w14:val="none"/>
      </w:rPr>
      <w:tab/>
    </w:r>
    <w:r w:rsidRPr="002634D4">
      <w:rPr>
        <w:rFonts w:ascii="Calibri Light" w:eastAsia="Times New Roman" w:hAnsi="Calibri Light" w:cs="Times New Roman"/>
        <w:noProof/>
        <w:kern w:val="0"/>
        <w:sz w:val="32"/>
        <w:szCs w:val="32"/>
        <w14:ligatures w14:val="none"/>
      </w:rPr>
      <w:drawing>
        <wp:inline distT="0" distB="0" distL="0" distR="0" wp14:anchorId="1BF030BD" wp14:editId="688A85A5">
          <wp:extent cx="1447800" cy="2095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433D4C2D" w14:textId="77777777" w:rsidR="002634D4" w:rsidRPr="002634D4" w:rsidRDefault="002634D4" w:rsidP="002634D4">
    <w:pPr>
      <w:tabs>
        <w:tab w:val="center" w:pos="4680"/>
        <w:tab w:val="right" w:pos="9360"/>
      </w:tabs>
      <w:spacing w:after="0" w:line="240" w:lineRule="auto"/>
      <w:rPr>
        <w:rFonts w:ascii="Calibri" w:eastAsia="Calibri" w:hAnsi="Calibri" w:cs="Arial"/>
        <w:kern w:val="0"/>
        <w14:ligatures w14:val="none"/>
      </w:rPr>
    </w:pPr>
    <w:r w:rsidRPr="002634D4">
      <w:rPr>
        <w:rFonts w:ascii="Calibri" w:eastAsia="Calibri" w:hAnsi="Calibri" w:cs="Arial"/>
        <w:noProof/>
        <w:kern w:val="0"/>
        <w14:ligatures w14:val="none"/>
      </w:rPr>
      <mc:AlternateContent>
        <mc:Choice Requires="wps">
          <w:drawing>
            <wp:anchor distT="0" distB="0" distL="114300" distR="114300" simplePos="0" relativeHeight="251659264" behindDoc="0" locked="0" layoutInCell="1" allowOverlap="1" wp14:anchorId="2535F39E" wp14:editId="21CFC4B9">
              <wp:simplePos x="0" y="0"/>
              <wp:positionH relativeFrom="margin">
                <wp:posOffset>26035</wp:posOffset>
              </wp:positionH>
              <wp:positionV relativeFrom="page">
                <wp:posOffset>1033780</wp:posOffset>
              </wp:positionV>
              <wp:extent cx="1277620" cy="300355"/>
              <wp:effectExtent l="0" t="0" r="17780" b="2349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40AD30F9" w14:textId="77777777" w:rsidR="002634D4" w:rsidRDefault="002634D4" w:rsidP="002634D4">
                          <w:pPr>
                            <w:jc w:val="both"/>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5F39E"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40AD30F9" w14:textId="77777777" w:rsidR="002634D4" w:rsidRDefault="002634D4" w:rsidP="002634D4">
                    <w:pPr>
                      <w:jc w:val="both"/>
                      <w:rPr>
                        <w:sz w:val="24"/>
                        <w:szCs w:val="24"/>
                      </w:rPr>
                    </w:pPr>
                    <w:r>
                      <w:rPr>
                        <w:sz w:val="24"/>
                        <w:szCs w:val="24"/>
                      </w:rPr>
                      <w:t>Original research</w:t>
                    </w:r>
                  </w:p>
                </w:txbxContent>
              </v:textbox>
              <w10:wrap anchorx="margin" anchory="page"/>
            </v:shape>
          </w:pict>
        </mc:Fallback>
      </mc:AlternateContent>
    </w:r>
  </w:p>
  <w:p w14:paraId="21A04127" w14:textId="77777777" w:rsidR="002634D4" w:rsidRPr="002634D4" w:rsidRDefault="002634D4" w:rsidP="002634D4">
    <w:pPr>
      <w:tabs>
        <w:tab w:val="center" w:pos="4680"/>
        <w:tab w:val="right" w:pos="9360"/>
      </w:tabs>
      <w:spacing w:after="0" w:line="240" w:lineRule="auto"/>
      <w:rPr>
        <w:rFonts w:ascii="Calibri" w:eastAsia="Calibri" w:hAnsi="Calibri" w:cs="Arial"/>
        <w:kern w:val="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4B17"/>
    <w:multiLevelType w:val="hybridMultilevel"/>
    <w:tmpl w:val="EE942808"/>
    <w:lvl w:ilvl="0" w:tplc="CB924C5C">
      <w:start w:val="1"/>
      <w:numFmt w:val="decimal"/>
      <w:lvlText w:val="%1."/>
      <w:lvlJc w:val="left"/>
      <w:pPr>
        <w:ind w:left="810" w:hanging="360"/>
      </w:pPr>
    </w:lvl>
    <w:lvl w:ilvl="1" w:tplc="D6C27B1E" w:tentative="1">
      <w:start w:val="1"/>
      <w:numFmt w:val="lowerLetter"/>
      <w:lvlText w:val="%2."/>
      <w:lvlJc w:val="left"/>
      <w:pPr>
        <w:ind w:left="1440" w:hanging="360"/>
      </w:pPr>
    </w:lvl>
    <w:lvl w:ilvl="2" w:tplc="B9E61CDC" w:tentative="1">
      <w:start w:val="1"/>
      <w:numFmt w:val="lowerRoman"/>
      <w:lvlText w:val="%3."/>
      <w:lvlJc w:val="right"/>
      <w:pPr>
        <w:ind w:left="2160" w:hanging="180"/>
      </w:pPr>
    </w:lvl>
    <w:lvl w:ilvl="3" w:tplc="6C0CAB2E" w:tentative="1">
      <w:start w:val="1"/>
      <w:numFmt w:val="decimal"/>
      <w:lvlText w:val="%4."/>
      <w:lvlJc w:val="left"/>
      <w:pPr>
        <w:ind w:left="2880" w:hanging="360"/>
      </w:pPr>
    </w:lvl>
    <w:lvl w:ilvl="4" w:tplc="9D3A40C6" w:tentative="1">
      <w:start w:val="1"/>
      <w:numFmt w:val="lowerLetter"/>
      <w:lvlText w:val="%5."/>
      <w:lvlJc w:val="left"/>
      <w:pPr>
        <w:ind w:left="3600" w:hanging="360"/>
      </w:pPr>
    </w:lvl>
    <w:lvl w:ilvl="5" w:tplc="35ECF718" w:tentative="1">
      <w:start w:val="1"/>
      <w:numFmt w:val="lowerRoman"/>
      <w:lvlText w:val="%6."/>
      <w:lvlJc w:val="right"/>
      <w:pPr>
        <w:ind w:left="4320" w:hanging="180"/>
      </w:pPr>
    </w:lvl>
    <w:lvl w:ilvl="6" w:tplc="20084BB2" w:tentative="1">
      <w:start w:val="1"/>
      <w:numFmt w:val="decimal"/>
      <w:lvlText w:val="%7."/>
      <w:lvlJc w:val="left"/>
      <w:pPr>
        <w:ind w:left="5040" w:hanging="360"/>
      </w:pPr>
    </w:lvl>
    <w:lvl w:ilvl="7" w:tplc="53B4AE34" w:tentative="1">
      <w:start w:val="1"/>
      <w:numFmt w:val="lowerLetter"/>
      <w:lvlText w:val="%8."/>
      <w:lvlJc w:val="left"/>
      <w:pPr>
        <w:ind w:left="5760" w:hanging="360"/>
      </w:pPr>
    </w:lvl>
    <w:lvl w:ilvl="8" w:tplc="A66E41C6" w:tentative="1">
      <w:start w:val="1"/>
      <w:numFmt w:val="lowerRoman"/>
      <w:lvlText w:val="%9."/>
      <w:lvlJc w:val="right"/>
      <w:pPr>
        <w:ind w:left="6480" w:hanging="180"/>
      </w:pPr>
    </w:lvl>
  </w:abstractNum>
  <w:abstractNum w:abstractNumId="1" w15:restartNumberingAfterBreak="0">
    <w:nsid w:val="376B384F"/>
    <w:multiLevelType w:val="multilevel"/>
    <w:tmpl w:val="D8A26CF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13017"/>
    <w:multiLevelType w:val="multilevel"/>
    <w:tmpl w:val="9DA40B90"/>
    <w:lvl w:ilvl="0">
      <w:start w:val="4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BE76ADD"/>
    <w:multiLevelType w:val="multilevel"/>
    <w:tmpl w:val="5440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1225F0"/>
    <w:multiLevelType w:val="multilevel"/>
    <w:tmpl w:val="544075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416023420">
    <w:abstractNumId w:val="4"/>
  </w:num>
  <w:num w:numId="2" w16cid:durableId="1738358560">
    <w:abstractNumId w:val="3"/>
  </w:num>
  <w:num w:numId="3" w16cid:durableId="31005879">
    <w:abstractNumId w:val="2"/>
  </w:num>
  <w:num w:numId="4" w16cid:durableId="1370882081">
    <w:abstractNumId w:val="0"/>
  </w:num>
  <w:num w:numId="5" w16cid:durableId="149850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0"/>
    <w:rsid w:val="000054AD"/>
    <w:rsid w:val="00007491"/>
    <w:rsid w:val="000317FF"/>
    <w:rsid w:val="0004259E"/>
    <w:rsid w:val="00050B33"/>
    <w:rsid w:val="000A07DC"/>
    <w:rsid w:val="000A3498"/>
    <w:rsid w:val="000A496F"/>
    <w:rsid w:val="000D3C91"/>
    <w:rsid w:val="000D490D"/>
    <w:rsid w:val="000D6F45"/>
    <w:rsid w:val="000F3A15"/>
    <w:rsid w:val="00106F2C"/>
    <w:rsid w:val="00107CE0"/>
    <w:rsid w:val="00112012"/>
    <w:rsid w:val="0011339D"/>
    <w:rsid w:val="001139F0"/>
    <w:rsid w:val="00115CA8"/>
    <w:rsid w:val="00116610"/>
    <w:rsid w:val="001317C7"/>
    <w:rsid w:val="00146BF1"/>
    <w:rsid w:val="00167793"/>
    <w:rsid w:val="00170354"/>
    <w:rsid w:val="00175F1C"/>
    <w:rsid w:val="00181CF4"/>
    <w:rsid w:val="00191476"/>
    <w:rsid w:val="00195CCC"/>
    <w:rsid w:val="00197D98"/>
    <w:rsid w:val="001A12B8"/>
    <w:rsid w:val="001A513C"/>
    <w:rsid w:val="001B051F"/>
    <w:rsid w:val="001B6CC2"/>
    <w:rsid w:val="001C47BD"/>
    <w:rsid w:val="001C5174"/>
    <w:rsid w:val="001C7C58"/>
    <w:rsid w:val="002022F3"/>
    <w:rsid w:val="0020490B"/>
    <w:rsid w:val="002211CC"/>
    <w:rsid w:val="00231D3C"/>
    <w:rsid w:val="00241C4C"/>
    <w:rsid w:val="002634D4"/>
    <w:rsid w:val="002673C5"/>
    <w:rsid w:val="002733DF"/>
    <w:rsid w:val="00274CBF"/>
    <w:rsid w:val="002940A6"/>
    <w:rsid w:val="002A1A64"/>
    <w:rsid w:val="002C1DAC"/>
    <w:rsid w:val="002E669B"/>
    <w:rsid w:val="002F29EF"/>
    <w:rsid w:val="00303A95"/>
    <w:rsid w:val="00310500"/>
    <w:rsid w:val="003154FE"/>
    <w:rsid w:val="00315C02"/>
    <w:rsid w:val="003307EA"/>
    <w:rsid w:val="00330E82"/>
    <w:rsid w:val="00335283"/>
    <w:rsid w:val="00335DFA"/>
    <w:rsid w:val="0036005B"/>
    <w:rsid w:val="003A669C"/>
    <w:rsid w:val="003A68E3"/>
    <w:rsid w:val="003B4C31"/>
    <w:rsid w:val="003B7A45"/>
    <w:rsid w:val="003C1F20"/>
    <w:rsid w:val="003C5514"/>
    <w:rsid w:val="003C773C"/>
    <w:rsid w:val="003C786E"/>
    <w:rsid w:val="003E2678"/>
    <w:rsid w:val="003F0CBB"/>
    <w:rsid w:val="00400A0C"/>
    <w:rsid w:val="00400D4A"/>
    <w:rsid w:val="00410050"/>
    <w:rsid w:val="004120C4"/>
    <w:rsid w:val="004175D3"/>
    <w:rsid w:val="00456023"/>
    <w:rsid w:val="00461336"/>
    <w:rsid w:val="0046286B"/>
    <w:rsid w:val="00465EF1"/>
    <w:rsid w:val="00473C6E"/>
    <w:rsid w:val="004932A8"/>
    <w:rsid w:val="004A2074"/>
    <w:rsid w:val="004A4672"/>
    <w:rsid w:val="004C406D"/>
    <w:rsid w:val="004D1427"/>
    <w:rsid w:val="004D611C"/>
    <w:rsid w:val="004E01B0"/>
    <w:rsid w:val="004E54B2"/>
    <w:rsid w:val="004F0836"/>
    <w:rsid w:val="004F3163"/>
    <w:rsid w:val="00512F6A"/>
    <w:rsid w:val="005132A2"/>
    <w:rsid w:val="0051635E"/>
    <w:rsid w:val="00527DF8"/>
    <w:rsid w:val="00530C90"/>
    <w:rsid w:val="0053714F"/>
    <w:rsid w:val="00537717"/>
    <w:rsid w:val="005761F6"/>
    <w:rsid w:val="005A6102"/>
    <w:rsid w:val="005C245C"/>
    <w:rsid w:val="0060147E"/>
    <w:rsid w:val="00665E15"/>
    <w:rsid w:val="006679D9"/>
    <w:rsid w:val="00677080"/>
    <w:rsid w:val="0067754F"/>
    <w:rsid w:val="006836FE"/>
    <w:rsid w:val="00684524"/>
    <w:rsid w:val="006920F0"/>
    <w:rsid w:val="006A2DEB"/>
    <w:rsid w:val="006B4089"/>
    <w:rsid w:val="006F79CF"/>
    <w:rsid w:val="00703DD3"/>
    <w:rsid w:val="00707A56"/>
    <w:rsid w:val="007247A6"/>
    <w:rsid w:val="007433BC"/>
    <w:rsid w:val="00745A67"/>
    <w:rsid w:val="007474FB"/>
    <w:rsid w:val="00756F95"/>
    <w:rsid w:val="007766D2"/>
    <w:rsid w:val="00782EDA"/>
    <w:rsid w:val="007973EE"/>
    <w:rsid w:val="007A3398"/>
    <w:rsid w:val="007A3D23"/>
    <w:rsid w:val="007B3DC1"/>
    <w:rsid w:val="007D468D"/>
    <w:rsid w:val="007E19F9"/>
    <w:rsid w:val="007E7B3C"/>
    <w:rsid w:val="008064F6"/>
    <w:rsid w:val="00806DF3"/>
    <w:rsid w:val="00816251"/>
    <w:rsid w:val="0082798F"/>
    <w:rsid w:val="00834C8A"/>
    <w:rsid w:val="008457FA"/>
    <w:rsid w:val="00854AD4"/>
    <w:rsid w:val="00855376"/>
    <w:rsid w:val="0088290D"/>
    <w:rsid w:val="00886705"/>
    <w:rsid w:val="0089328E"/>
    <w:rsid w:val="008A56F2"/>
    <w:rsid w:val="008A5805"/>
    <w:rsid w:val="008B1CD7"/>
    <w:rsid w:val="008C0817"/>
    <w:rsid w:val="008C22DE"/>
    <w:rsid w:val="008C697A"/>
    <w:rsid w:val="008D02EE"/>
    <w:rsid w:val="008E51DD"/>
    <w:rsid w:val="008E5CD6"/>
    <w:rsid w:val="008F6D82"/>
    <w:rsid w:val="00912626"/>
    <w:rsid w:val="00917582"/>
    <w:rsid w:val="00927759"/>
    <w:rsid w:val="0093795E"/>
    <w:rsid w:val="0094524E"/>
    <w:rsid w:val="0094674C"/>
    <w:rsid w:val="009537F6"/>
    <w:rsid w:val="00956382"/>
    <w:rsid w:val="00956A90"/>
    <w:rsid w:val="00964B9B"/>
    <w:rsid w:val="009948D8"/>
    <w:rsid w:val="009A4F01"/>
    <w:rsid w:val="009A7919"/>
    <w:rsid w:val="009B2BEC"/>
    <w:rsid w:val="009D5D37"/>
    <w:rsid w:val="009E3E4D"/>
    <w:rsid w:val="009F24C9"/>
    <w:rsid w:val="00A0058A"/>
    <w:rsid w:val="00A02108"/>
    <w:rsid w:val="00A06A26"/>
    <w:rsid w:val="00A117D0"/>
    <w:rsid w:val="00A11D5D"/>
    <w:rsid w:val="00A12454"/>
    <w:rsid w:val="00A12B79"/>
    <w:rsid w:val="00A26316"/>
    <w:rsid w:val="00A46490"/>
    <w:rsid w:val="00A55069"/>
    <w:rsid w:val="00A61081"/>
    <w:rsid w:val="00A6547E"/>
    <w:rsid w:val="00A67876"/>
    <w:rsid w:val="00A70C9B"/>
    <w:rsid w:val="00AB739E"/>
    <w:rsid w:val="00AC043A"/>
    <w:rsid w:val="00AC6CA5"/>
    <w:rsid w:val="00AC7C1D"/>
    <w:rsid w:val="00AD4454"/>
    <w:rsid w:val="00AD5E79"/>
    <w:rsid w:val="00AE4E5A"/>
    <w:rsid w:val="00AE7652"/>
    <w:rsid w:val="00AF2560"/>
    <w:rsid w:val="00B05F8A"/>
    <w:rsid w:val="00B16100"/>
    <w:rsid w:val="00B23092"/>
    <w:rsid w:val="00B23674"/>
    <w:rsid w:val="00B50236"/>
    <w:rsid w:val="00B841A0"/>
    <w:rsid w:val="00BA421D"/>
    <w:rsid w:val="00BA5615"/>
    <w:rsid w:val="00BC3D0A"/>
    <w:rsid w:val="00BD684B"/>
    <w:rsid w:val="00BE6141"/>
    <w:rsid w:val="00BF17C9"/>
    <w:rsid w:val="00BF5648"/>
    <w:rsid w:val="00C12732"/>
    <w:rsid w:val="00C256BB"/>
    <w:rsid w:val="00C513B9"/>
    <w:rsid w:val="00C542E9"/>
    <w:rsid w:val="00C629FC"/>
    <w:rsid w:val="00C673AE"/>
    <w:rsid w:val="00C80D52"/>
    <w:rsid w:val="00C821EC"/>
    <w:rsid w:val="00CB69D6"/>
    <w:rsid w:val="00CC4AF3"/>
    <w:rsid w:val="00CE4C45"/>
    <w:rsid w:val="00CF4266"/>
    <w:rsid w:val="00CF4331"/>
    <w:rsid w:val="00D241B6"/>
    <w:rsid w:val="00D3040B"/>
    <w:rsid w:val="00D4300F"/>
    <w:rsid w:val="00D45104"/>
    <w:rsid w:val="00D46F07"/>
    <w:rsid w:val="00D5779E"/>
    <w:rsid w:val="00D72556"/>
    <w:rsid w:val="00D817F9"/>
    <w:rsid w:val="00D82B26"/>
    <w:rsid w:val="00D85236"/>
    <w:rsid w:val="00D9001C"/>
    <w:rsid w:val="00D95C6E"/>
    <w:rsid w:val="00D95CF5"/>
    <w:rsid w:val="00DA0679"/>
    <w:rsid w:val="00DA1FFC"/>
    <w:rsid w:val="00DB7132"/>
    <w:rsid w:val="00DB730D"/>
    <w:rsid w:val="00DC221E"/>
    <w:rsid w:val="00DC45F4"/>
    <w:rsid w:val="00DC7306"/>
    <w:rsid w:val="00DF78E8"/>
    <w:rsid w:val="00E045FB"/>
    <w:rsid w:val="00E076DF"/>
    <w:rsid w:val="00E10C84"/>
    <w:rsid w:val="00E44382"/>
    <w:rsid w:val="00E47DAB"/>
    <w:rsid w:val="00E64200"/>
    <w:rsid w:val="00E670C6"/>
    <w:rsid w:val="00EA75AA"/>
    <w:rsid w:val="00EC4DE9"/>
    <w:rsid w:val="00ED3357"/>
    <w:rsid w:val="00ED3E26"/>
    <w:rsid w:val="00ED5E86"/>
    <w:rsid w:val="00EE58B2"/>
    <w:rsid w:val="00EE79C5"/>
    <w:rsid w:val="00EF340D"/>
    <w:rsid w:val="00F10709"/>
    <w:rsid w:val="00F1571E"/>
    <w:rsid w:val="00F17B74"/>
    <w:rsid w:val="00F25F7D"/>
    <w:rsid w:val="00F32A74"/>
    <w:rsid w:val="00F36C63"/>
    <w:rsid w:val="00F475C0"/>
    <w:rsid w:val="00F6769A"/>
    <w:rsid w:val="00F813D4"/>
    <w:rsid w:val="00F83262"/>
    <w:rsid w:val="00F86206"/>
    <w:rsid w:val="00F90D32"/>
    <w:rsid w:val="00FA5C04"/>
    <w:rsid w:val="00FB7A79"/>
    <w:rsid w:val="00FD2BDC"/>
    <w:rsid w:val="00FE6991"/>
    <w:rsid w:val="00FF1127"/>
    <w:rsid w:val="00FF1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A2A13"/>
  <w15:chartTrackingRefBased/>
  <w15:docId w15:val="{0E728FD5-AD47-46A7-B796-FBE01929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2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1CC"/>
    <w:rPr>
      <w:color w:val="0563C1" w:themeColor="hyperlink"/>
      <w:u w:val="single"/>
    </w:rPr>
  </w:style>
  <w:style w:type="character" w:styleId="UnresolvedMention">
    <w:name w:val="Unresolved Mention"/>
    <w:basedOn w:val="DefaultParagraphFont"/>
    <w:uiPriority w:val="99"/>
    <w:semiHidden/>
    <w:unhideWhenUsed/>
    <w:rsid w:val="002211CC"/>
    <w:rPr>
      <w:color w:val="605E5C"/>
      <w:shd w:val="clear" w:color="auto" w:fill="E1DFDD"/>
    </w:rPr>
  </w:style>
  <w:style w:type="paragraph" w:styleId="ListParagraph">
    <w:name w:val="List Paragraph"/>
    <w:basedOn w:val="Normal"/>
    <w:uiPriority w:val="34"/>
    <w:qFormat/>
    <w:rsid w:val="003A68E3"/>
    <w:pPr>
      <w:ind w:left="720"/>
      <w:contextualSpacing/>
    </w:pPr>
  </w:style>
  <w:style w:type="paragraph" w:styleId="Header">
    <w:name w:val="header"/>
    <w:basedOn w:val="Normal"/>
    <w:link w:val="HeaderChar"/>
    <w:uiPriority w:val="99"/>
    <w:unhideWhenUsed/>
    <w:rsid w:val="007973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73EE"/>
  </w:style>
  <w:style w:type="paragraph" w:styleId="Footer">
    <w:name w:val="footer"/>
    <w:basedOn w:val="Normal"/>
    <w:link w:val="FooterChar"/>
    <w:uiPriority w:val="99"/>
    <w:unhideWhenUsed/>
    <w:rsid w:val="007973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73EE"/>
  </w:style>
  <w:style w:type="character" w:styleId="LineNumber">
    <w:name w:val="line number"/>
    <w:basedOn w:val="DefaultParagraphFont"/>
    <w:uiPriority w:val="99"/>
    <w:semiHidden/>
    <w:unhideWhenUsed/>
    <w:rsid w:val="007973EE"/>
  </w:style>
  <w:style w:type="character" w:customStyle="1" w:styleId="Heading1Char">
    <w:name w:val="Heading 1 Char"/>
    <w:basedOn w:val="DefaultParagraphFont"/>
    <w:link w:val="Heading1"/>
    <w:uiPriority w:val="9"/>
    <w:rsid w:val="008829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290D"/>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C47BD"/>
    <w:pPr>
      <w:spacing w:after="200" w:line="240" w:lineRule="auto"/>
    </w:pPr>
    <w:rPr>
      <w:i/>
      <w:iCs/>
      <w:color w:val="44546A" w:themeColor="text2"/>
      <w:sz w:val="18"/>
      <w:szCs w:val="18"/>
    </w:rPr>
  </w:style>
  <w:style w:type="table" w:styleId="TableGrid">
    <w:name w:val="Table Grid"/>
    <w:basedOn w:val="TableNormal"/>
    <w:uiPriority w:val="59"/>
    <w:rsid w:val="00D95C6E"/>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11D5D"/>
    <w:pPr>
      <w:spacing w:after="0"/>
    </w:pPr>
  </w:style>
  <w:style w:type="paragraph" w:styleId="FootnoteText">
    <w:name w:val="footnote text"/>
    <w:basedOn w:val="Normal"/>
    <w:link w:val="FootnoteTextChar"/>
    <w:uiPriority w:val="99"/>
    <w:semiHidden/>
    <w:unhideWhenUsed/>
    <w:rsid w:val="00A11D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D5D"/>
    <w:rPr>
      <w:sz w:val="20"/>
      <w:szCs w:val="20"/>
    </w:rPr>
  </w:style>
  <w:style w:type="character" w:styleId="FootnoteReference">
    <w:name w:val="footnote reference"/>
    <w:basedOn w:val="DefaultParagraphFont"/>
    <w:uiPriority w:val="99"/>
    <w:semiHidden/>
    <w:unhideWhenUsed/>
    <w:rsid w:val="00A11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2811">
      <w:bodyDiv w:val="1"/>
      <w:marLeft w:val="0"/>
      <w:marRight w:val="0"/>
      <w:marTop w:val="0"/>
      <w:marBottom w:val="0"/>
      <w:divBdr>
        <w:top w:val="none" w:sz="0" w:space="0" w:color="auto"/>
        <w:left w:val="none" w:sz="0" w:space="0" w:color="auto"/>
        <w:bottom w:val="none" w:sz="0" w:space="0" w:color="auto"/>
        <w:right w:val="none" w:sz="0" w:space="0" w:color="auto"/>
      </w:divBdr>
    </w:div>
    <w:div w:id="408230049">
      <w:bodyDiv w:val="1"/>
      <w:marLeft w:val="0"/>
      <w:marRight w:val="0"/>
      <w:marTop w:val="0"/>
      <w:marBottom w:val="0"/>
      <w:divBdr>
        <w:top w:val="none" w:sz="0" w:space="0" w:color="auto"/>
        <w:left w:val="none" w:sz="0" w:space="0" w:color="auto"/>
        <w:bottom w:val="none" w:sz="0" w:space="0" w:color="auto"/>
        <w:right w:val="none" w:sz="0" w:space="0" w:color="auto"/>
      </w:divBdr>
    </w:div>
    <w:div w:id="467749326">
      <w:bodyDiv w:val="1"/>
      <w:marLeft w:val="0"/>
      <w:marRight w:val="0"/>
      <w:marTop w:val="0"/>
      <w:marBottom w:val="0"/>
      <w:divBdr>
        <w:top w:val="none" w:sz="0" w:space="0" w:color="auto"/>
        <w:left w:val="none" w:sz="0" w:space="0" w:color="auto"/>
        <w:bottom w:val="none" w:sz="0" w:space="0" w:color="auto"/>
        <w:right w:val="none" w:sz="0" w:space="0" w:color="auto"/>
      </w:divBdr>
    </w:div>
    <w:div w:id="533464006">
      <w:bodyDiv w:val="1"/>
      <w:marLeft w:val="0"/>
      <w:marRight w:val="0"/>
      <w:marTop w:val="0"/>
      <w:marBottom w:val="0"/>
      <w:divBdr>
        <w:top w:val="none" w:sz="0" w:space="0" w:color="auto"/>
        <w:left w:val="none" w:sz="0" w:space="0" w:color="auto"/>
        <w:bottom w:val="none" w:sz="0" w:space="0" w:color="auto"/>
        <w:right w:val="none" w:sz="0" w:space="0" w:color="auto"/>
      </w:divBdr>
    </w:div>
    <w:div w:id="547298965">
      <w:bodyDiv w:val="1"/>
      <w:marLeft w:val="0"/>
      <w:marRight w:val="0"/>
      <w:marTop w:val="0"/>
      <w:marBottom w:val="0"/>
      <w:divBdr>
        <w:top w:val="none" w:sz="0" w:space="0" w:color="auto"/>
        <w:left w:val="none" w:sz="0" w:space="0" w:color="auto"/>
        <w:bottom w:val="none" w:sz="0" w:space="0" w:color="auto"/>
        <w:right w:val="none" w:sz="0" w:space="0" w:color="auto"/>
      </w:divBdr>
    </w:div>
    <w:div w:id="615018649">
      <w:bodyDiv w:val="1"/>
      <w:marLeft w:val="0"/>
      <w:marRight w:val="0"/>
      <w:marTop w:val="0"/>
      <w:marBottom w:val="0"/>
      <w:divBdr>
        <w:top w:val="none" w:sz="0" w:space="0" w:color="auto"/>
        <w:left w:val="none" w:sz="0" w:space="0" w:color="auto"/>
        <w:bottom w:val="none" w:sz="0" w:space="0" w:color="auto"/>
        <w:right w:val="none" w:sz="0" w:space="0" w:color="auto"/>
      </w:divBdr>
    </w:div>
    <w:div w:id="636766574">
      <w:bodyDiv w:val="1"/>
      <w:marLeft w:val="0"/>
      <w:marRight w:val="0"/>
      <w:marTop w:val="0"/>
      <w:marBottom w:val="0"/>
      <w:divBdr>
        <w:top w:val="none" w:sz="0" w:space="0" w:color="auto"/>
        <w:left w:val="none" w:sz="0" w:space="0" w:color="auto"/>
        <w:bottom w:val="none" w:sz="0" w:space="0" w:color="auto"/>
        <w:right w:val="none" w:sz="0" w:space="0" w:color="auto"/>
      </w:divBdr>
    </w:div>
    <w:div w:id="725640268">
      <w:bodyDiv w:val="1"/>
      <w:marLeft w:val="0"/>
      <w:marRight w:val="0"/>
      <w:marTop w:val="0"/>
      <w:marBottom w:val="0"/>
      <w:divBdr>
        <w:top w:val="none" w:sz="0" w:space="0" w:color="auto"/>
        <w:left w:val="none" w:sz="0" w:space="0" w:color="auto"/>
        <w:bottom w:val="none" w:sz="0" w:space="0" w:color="auto"/>
        <w:right w:val="none" w:sz="0" w:space="0" w:color="auto"/>
      </w:divBdr>
    </w:div>
    <w:div w:id="973675733">
      <w:bodyDiv w:val="1"/>
      <w:marLeft w:val="0"/>
      <w:marRight w:val="0"/>
      <w:marTop w:val="0"/>
      <w:marBottom w:val="0"/>
      <w:divBdr>
        <w:top w:val="none" w:sz="0" w:space="0" w:color="auto"/>
        <w:left w:val="none" w:sz="0" w:space="0" w:color="auto"/>
        <w:bottom w:val="none" w:sz="0" w:space="0" w:color="auto"/>
        <w:right w:val="none" w:sz="0" w:space="0" w:color="auto"/>
      </w:divBdr>
    </w:div>
    <w:div w:id="1013990121">
      <w:bodyDiv w:val="1"/>
      <w:marLeft w:val="0"/>
      <w:marRight w:val="0"/>
      <w:marTop w:val="0"/>
      <w:marBottom w:val="0"/>
      <w:divBdr>
        <w:top w:val="none" w:sz="0" w:space="0" w:color="auto"/>
        <w:left w:val="none" w:sz="0" w:space="0" w:color="auto"/>
        <w:bottom w:val="none" w:sz="0" w:space="0" w:color="auto"/>
        <w:right w:val="none" w:sz="0" w:space="0" w:color="auto"/>
      </w:divBdr>
    </w:div>
    <w:div w:id="1137602213">
      <w:bodyDiv w:val="1"/>
      <w:marLeft w:val="0"/>
      <w:marRight w:val="0"/>
      <w:marTop w:val="0"/>
      <w:marBottom w:val="0"/>
      <w:divBdr>
        <w:top w:val="none" w:sz="0" w:space="0" w:color="auto"/>
        <w:left w:val="none" w:sz="0" w:space="0" w:color="auto"/>
        <w:bottom w:val="none" w:sz="0" w:space="0" w:color="auto"/>
        <w:right w:val="none" w:sz="0" w:space="0" w:color="auto"/>
      </w:divBdr>
    </w:div>
    <w:div w:id="1398236758">
      <w:bodyDiv w:val="1"/>
      <w:marLeft w:val="0"/>
      <w:marRight w:val="0"/>
      <w:marTop w:val="0"/>
      <w:marBottom w:val="0"/>
      <w:divBdr>
        <w:top w:val="none" w:sz="0" w:space="0" w:color="auto"/>
        <w:left w:val="none" w:sz="0" w:space="0" w:color="auto"/>
        <w:bottom w:val="none" w:sz="0" w:space="0" w:color="auto"/>
        <w:right w:val="none" w:sz="0" w:space="0" w:color="auto"/>
      </w:divBdr>
    </w:div>
    <w:div w:id="1619530614">
      <w:bodyDiv w:val="1"/>
      <w:marLeft w:val="0"/>
      <w:marRight w:val="0"/>
      <w:marTop w:val="0"/>
      <w:marBottom w:val="0"/>
      <w:divBdr>
        <w:top w:val="none" w:sz="0" w:space="0" w:color="auto"/>
        <w:left w:val="none" w:sz="0" w:space="0" w:color="auto"/>
        <w:bottom w:val="none" w:sz="0" w:space="0" w:color="auto"/>
        <w:right w:val="none" w:sz="0" w:space="0" w:color="auto"/>
      </w:divBdr>
    </w:div>
    <w:div w:id="1659726844">
      <w:bodyDiv w:val="1"/>
      <w:marLeft w:val="0"/>
      <w:marRight w:val="0"/>
      <w:marTop w:val="0"/>
      <w:marBottom w:val="0"/>
      <w:divBdr>
        <w:top w:val="none" w:sz="0" w:space="0" w:color="auto"/>
        <w:left w:val="none" w:sz="0" w:space="0" w:color="auto"/>
        <w:bottom w:val="none" w:sz="0" w:space="0" w:color="auto"/>
        <w:right w:val="none" w:sz="0" w:space="0" w:color="auto"/>
      </w:divBdr>
    </w:div>
    <w:div w:id="19739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rashad78@yahoo.com%20&amp;%20n.rashad@zu.edu.eg." TargetMode="External"/><Relationship Id="rId13" Type="http://schemas.microsoft.com/office/2007/relationships/hdphoto" Target="media/hdphoto2.wdp"/><Relationship Id="rId18" Type="http://schemas.openxmlformats.org/officeDocument/2006/relationships/image" Target="media/image6.tif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tif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10.21608/AJGH.2024.262342.1048"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FEF3-04E1-4B6C-8F6F-8CB917AF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3786</Words>
  <Characters>22293</Characters>
  <Application>Microsoft Office Word</Application>
  <DocSecurity>0</DocSecurity>
  <Lines>635</Lines>
  <Paragraphs>378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The influence of lncRNA expression dysregulation on predicting celiac diseases a</vt:lpstr>
      <vt:lpstr>        Laboratory evaluation was done for the studied participants enrolled from the De</vt:lpstr>
    </vt:vector>
  </TitlesOfParts>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NMAhmmad;salem youssef</dc:creator>
  <cp:lastModifiedBy>SYSalem</cp:lastModifiedBy>
  <cp:revision>16</cp:revision>
  <cp:lastPrinted>2024-02-07T12:36:00Z</cp:lastPrinted>
  <dcterms:created xsi:type="dcterms:W3CDTF">2024-02-04T13:13:00Z</dcterms:created>
  <dcterms:modified xsi:type="dcterms:W3CDTF">2024-02-07T12:37:00Z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b755f1fae17531b8f713d4974549ed6cfcf600f0f792d747de7fc56d6cee2a60</vt:lpwstr>
  </property>
</Properties>
</file>