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59D4B" w14:textId="77777777" w:rsidR="00277508" w:rsidRPr="00674FF1" w:rsidRDefault="00277508" w:rsidP="001F6D84">
      <w:pPr>
        <w:shd w:val="clear" w:color="auto" w:fill="FFFFFF"/>
        <w:spacing w:before="400" w:line="450" w:lineRule="atLeast"/>
        <w:jc w:val="center"/>
        <w:outlineLvl w:val="0"/>
        <w:rPr>
          <w:rFonts w:ascii="Times New Roman" w:eastAsia="Times New Roman" w:hAnsi="Times New Roman" w:cs="Times New Roman"/>
          <w:b/>
          <w:bCs/>
          <w:spacing w:val="-2"/>
          <w:kern w:val="36"/>
          <w:sz w:val="32"/>
          <w:szCs w:val="32"/>
        </w:rPr>
      </w:pPr>
      <w:r w:rsidRPr="00674FF1">
        <w:rPr>
          <w:rFonts w:ascii="Times New Roman" w:eastAsia="Times New Roman" w:hAnsi="Times New Roman" w:cs="Times New Roman"/>
          <w:b/>
          <w:bCs/>
          <w:spacing w:val="-2"/>
          <w:kern w:val="36"/>
          <w:sz w:val="32"/>
          <w:szCs w:val="32"/>
        </w:rPr>
        <w:t>Cardiac Dysfunction and Its Relation to Degree of Esophageal Varices in Cirrhotic Patients</w:t>
      </w:r>
    </w:p>
    <w:p w14:paraId="30D5B6E5" w14:textId="793AE222" w:rsidR="007E56F7" w:rsidRPr="007216FE" w:rsidRDefault="007216FE" w:rsidP="007E56F7">
      <w:pPr>
        <w:spacing w:line="256" w:lineRule="auto"/>
        <w:jc w:val="both"/>
        <w:rPr>
          <w:rFonts w:ascii="Times New Roman" w:eastAsia="Calibri" w:hAnsi="Times New Roman" w:cs="Times New Roman"/>
          <w:b/>
          <w:bCs/>
          <w:kern w:val="0"/>
          <w:sz w:val="28"/>
          <w:szCs w:val="28"/>
          <w14:ligatures w14:val="none"/>
        </w:rPr>
      </w:pPr>
      <w:r w:rsidRPr="007216FE">
        <w:rPr>
          <w:rFonts w:ascii="Times New Roman" w:eastAsia="Calibri" w:hAnsi="Times New Roman" w:cs="Times New Roman"/>
          <w:b/>
          <w:bCs/>
          <w:kern w:val="0"/>
          <w:sz w:val="28"/>
          <w:szCs w:val="28"/>
          <w14:ligatures w14:val="none"/>
        </w:rPr>
        <w:t>Kariman H.</w:t>
      </w:r>
      <w:r w:rsidR="006E37F7">
        <w:rPr>
          <w:rFonts w:ascii="Times New Roman" w:eastAsia="Calibri" w:hAnsi="Times New Roman" w:cs="Times New Roman"/>
          <w:b/>
          <w:bCs/>
          <w:kern w:val="0"/>
          <w:sz w:val="28"/>
          <w:szCs w:val="28"/>
          <w14:ligatures w14:val="none"/>
        </w:rPr>
        <w:t xml:space="preserve"> E</w:t>
      </w:r>
      <w:r w:rsidRPr="007216FE">
        <w:rPr>
          <w:rFonts w:ascii="Times New Roman" w:eastAsia="Calibri" w:hAnsi="Times New Roman" w:cs="Times New Roman"/>
          <w:b/>
          <w:bCs/>
          <w:kern w:val="0"/>
          <w:sz w:val="28"/>
          <w:szCs w:val="28"/>
          <w14:ligatures w14:val="none"/>
        </w:rPr>
        <w:t>lkasrawy</w:t>
      </w:r>
      <w:r w:rsidR="00EF5F59">
        <w:rPr>
          <w:rFonts w:ascii="Times New Roman" w:eastAsia="Calibri" w:hAnsi="Times New Roman" w:cs="Times New Roman"/>
          <w:b/>
          <w:bCs/>
          <w:kern w:val="0"/>
          <w:sz w:val="28"/>
          <w:szCs w:val="28"/>
          <w:vertAlign w:val="superscript"/>
          <w14:ligatures w14:val="none"/>
        </w:rPr>
        <w:t>1</w:t>
      </w:r>
      <w:r w:rsidRPr="007216FE">
        <w:rPr>
          <w:rFonts w:ascii="Times New Roman" w:eastAsia="Calibri" w:hAnsi="Times New Roman" w:cs="Times New Roman"/>
          <w:b/>
          <w:bCs/>
          <w:kern w:val="0"/>
          <w:sz w:val="28"/>
          <w:szCs w:val="28"/>
          <w14:ligatures w14:val="none"/>
        </w:rPr>
        <w:t xml:space="preserve">, </w:t>
      </w:r>
      <w:r w:rsidR="007E56F7" w:rsidRPr="007216FE">
        <w:rPr>
          <w:rFonts w:ascii="Times New Roman" w:eastAsia="Calibri" w:hAnsi="Times New Roman" w:cs="Times New Roman"/>
          <w:b/>
          <w:bCs/>
          <w:kern w:val="0"/>
          <w:sz w:val="28"/>
          <w:szCs w:val="28"/>
          <w14:ligatures w14:val="none"/>
        </w:rPr>
        <w:t xml:space="preserve">Nouran M </w:t>
      </w:r>
      <w:r w:rsidR="007E56F7" w:rsidRPr="007E56F7">
        <w:rPr>
          <w:rFonts w:ascii="Times New Roman" w:eastAsia="Calibri" w:hAnsi="Times New Roman" w:cs="Times New Roman"/>
          <w:b/>
          <w:bCs/>
          <w:kern w:val="0"/>
          <w:sz w:val="28"/>
          <w:szCs w:val="28"/>
          <w14:ligatures w14:val="none"/>
        </w:rPr>
        <w:t>M</w:t>
      </w:r>
      <w:r w:rsidR="007E56F7" w:rsidRPr="007216FE">
        <w:rPr>
          <w:rFonts w:ascii="Times New Roman" w:eastAsia="Calibri" w:hAnsi="Times New Roman" w:cs="Times New Roman"/>
          <w:b/>
          <w:bCs/>
          <w:kern w:val="0"/>
          <w:sz w:val="28"/>
          <w:szCs w:val="28"/>
          <w14:ligatures w14:val="none"/>
        </w:rPr>
        <w:t>ansour</w:t>
      </w:r>
      <w:r w:rsidR="00EF5F59">
        <w:rPr>
          <w:rFonts w:ascii="Times New Roman" w:eastAsia="Calibri" w:hAnsi="Times New Roman" w:cs="Times New Roman"/>
          <w:b/>
          <w:bCs/>
          <w:kern w:val="0"/>
          <w:sz w:val="28"/>
          <w:szCs w:val="28"/>
          <w:vertAlign w:val="superscript"/>
          <w14:ligatures w14:val="none"/>
        </w:rPr>
        <w:t>2</w:t>
      </w:r>
      <w:r w:rsidR="007E56F7">
        <w:rPr>
          <w:rFonts w:ascii="Times New Roman" w:eastAsia="Calibri" w:hAnsi="Times New Roman" w:cs="Times New Roman"/>
          <w:b/>
          <w:bCs/>
          <w:kern w:val="0"/>
          <w:sz w:val="28"/>
          <w:szCs w:val="28"/>
          <w14:ligatures w14:val="none"/>
        </w:rPr>
        <w:t xml:space="preserve">, </w:t>
      </w:r>
      <w:r w:rsidR="007E56F7" w:rsidRPr="007216FE">
        <w:rPr>
          <w:rFonts w:ascii="Times New Roman" w:eastAsia="Calibri" w:hAnsi="Times New Roman" w:cs="Times New Roman"/>
          <w:b/>
          <w:bCs/>
          <w:kern w:val="0"/>
          <w:sz w:val="28"/>
          <w:szCs w:val="28"/>
          <w14:ligatures w14:val="none"/>
        </w:rPr>
        <w:t xml:space="preserve">Eman M. </w:t>
      </w:r>
      <w:r w:rsidR="007E56F7" w:rsidRPr="007E56F7">
        <w:rPr>
          <w:rFonts w:ascii="Times New Roman" w:eastAsia="Calibri" w:hAnsi="Times New Roman" w:cs="Times New Roman"/>
          <w:b/>
          <w:bCs/>
          <w:kern w:val="0"/>
          <w:sz w:val="28"/>
          <w:szCs w:val="28"/>
          <w14:ligatures w14:val="none"/>
        </w:rPr>
        <w:t>Helal</w:t>
      </w:r>
      <w:r w:rsidR="00EF5F59">
        <w:rPr>
          <w:rFonts w:ascii="Times New Roman" w:eastAsia="Calibri" w:hAnsi="Times New Roman" w:cs="Times New Roman"/>
          <w:b/>
          <w:bCs/>
          <w:kern w:val="0"/>
          <w:sz w:val="28"/>
          <w:szCs w:val="28"/>
          <w:vertAlign w:val="superscript"/>
          <w14:ligatures w14:val="none"/>
        </w:rPr>
        <w:t>1</w:t>
      </w:r>
      <w:r w:rsidR="007E56F7" w:rsidRPr="007216FE">
        <w:rPr>
          <w:rFonts w:ascii="Times New Roman" w:eastAsia="Calibri" w:hAnsi="Times New Roman" w:cs="Times New Roman"/>
          <w:b/>
          <w:bCs/>
          <w:kern w:val="0"/>
          <w:sz w:val="28"/>
          <w:szCs w:val="28"/>
          <w14:ligatures w14:val="none"/>
        </w:rPr>
        <w:t xml:space="preserve">, </w:t>
      </w:r>
    </w:p>
    <w:p w14:paraId="1585E531" w14:textId="4385D80B" w:rsidR="007216FE" w:rsidRPr="007216FE" w:rsidRDefault="00EF5F59" w:rsidP="007216FE">
      <w:pPr>
        <w:spacing w:line="25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vertAlign w:val="superscript"/>
          <w14:ligatures w14:val="none"/>
        </w:rPr>
        <w:t>1</w:t>
      </w:r>
      <w:r w:rsidR="007216FE" w:rsidRPr="007216FE">
        <w:rPr>
          <w:rFonts w:ascii="Times New Roman" w:eastAsia="Calibri" w:hAnsi="Times New Roman" w:cs="Times New Roman"/>
          <w:kern w:val="0"/>
          <w:sz w:val="28"/>
          <w:szCs w:val="28"/>
          <w14:ligatures w14:val="none"/>
        </w:rPr>
        <w:t xml:space="preserve">Lecturer of Tropical Medicine and Infectious </w:t>
      </w:r>
      <w:r w:rsidR="007216FE">
        <w:rPr>
          <w:rFonts w:ascii="Times New Roman" w:eastAsia="Calibri" w:hAnsi="Times New Roman" w:cs="Times New Roman"/>
          <w:kern w:val="0"/>
          <w:sz w:val="28"/>
          <w:szCs w:val="28"/>
          <w14:ligatures w14:val="none"/>
        </w:rPr>
        <w:t>Diseases</w:t>
      </w:r>
      <w:r w:rsidR="007216FE" w:rsidRPr="007216FE">
        <w:rPr>
          <w:rFonts w:ascii="Times New Roman" w:eastAsia="Calibri" w:hAnsi="Times New Roman" w:cs="Times New Roman"/>
          <w:kern w:val="0"/>
          <w:sz w:val="28"/>
          <w:szCs w:val="28"/>
          <w14:ligatures w14:val="none"/>
        </w:rPr>
        <w:t>, Faculty of Medicine, Tanta University, Tanta, Egypt.</w:t>
      </w:r>
    </w:p>
    <w:p w14:paraId="7D3BAD26" w14:textId="3BEF9995" w:rsidR="007216FE" w:rsidRPr="007216FE" w:rsidRDefault="00EF5F59" w:rsidP="007216FE">
      <w:pPr>
        <w:spacing w:line="25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vertAlign w:val="superscript"/>
          <w14:ligatures w14:val="none"/>
        </w:rPr>
        <w:t>2</w:t>
      </w:r>
      <w:r w:rsidR="007216FE" w:rsidRPr="007216FE">
        <w:rPr>
          <w:rFonts w:ascii="Times New Roman" w:eastAsia="Calibri" w:hAnsi="Times New Roman" w:cs="Times New Roman"/>
          <w:kern w:val="0"/>
          <w:sz w:val="28"/>
          <w:szCs w:val="28"/>
          <w14:ligatures w14:val="none"/>
        </w:rPr>
        <w:t>Lecturer of Cardiology Department, Faculty of Medicine, Tanta University, Tanta, Egypt.</w:t>
      </w:r>
    </w:p>
    <w:p w14:paraId="355E3362" w14:textId="63A4C4A4" w:rsidR="007216FE" w:rsidRPr="007216FE" w:rsidRDefault="007216FE" w:rsidP="007216FE">
      <w:pPr>
        <w:spacing w:line="256" w:lineRule="auto"/>
        <w:jc w:val="both"/>
        <w:rPr>
          <w:rFonts w:ascii="Times New Roman" w:eastAsia="Calibri" w:hAnsi="Times New Roman" w:cs="Times New Roman"/>
          <w:b/>
          <w:bCs/>
          <w:kern w:val="0"/>
          <w:sz w:val="28"/>
          <w:szCs w:val="28"/>
          <w14:ligatures w14:val="none"/>
        </w:rPr>
      </w:pPr>
      <w:r w:rsidRPr="007216FE">
        <w:rPr>
          <w:rFonts w:ascii="Times New Roman" w:eastAsia="Calibri" w:hAnsi="Times New Roman" w:cs="Times New Roman"/>
          <w:b/>
          <w:bCs/>
          <w:kern w:val="0"/>
          <w:sz w:val="28"/>
          <w:szCs w:val="28"/>
          <w14:ligatures w14:val="none"/>
        </w:rPr>
        <w:t xml:space="preserve">Running head: </w:t>
      </w:r>
      <w:r w:rsidRPr="007216FE">
        <w:rPr>
          <w:rFonts w:ascii="Times New Roman" w:eastAsia="Calibri" w:hAnsi="Times New Roman" w:cs="Times New Roman"/>
          <w:kern w:val="0"/>
          <w:sz w:val="28"/>
          <w:szCs w:val="28"/>
          <w14:ligatures w14:val="none"/>
        </w:rPr>
        <w:t>Cardiac dysfunction and esophageal varices</w:t>
      </w:r>
      <w:r w:rsidRPr="007216FE">
        <w:rPr>
          <w:rFonts w:ascii="Times New Roman" w:eastAsia="Calibri" w:hAnsi="Times New Roman" w:cs="Times New Roman"/>
          <w:b/>
          <w:bCs/>
          <w:kern w:val="0"/>
          <w:sz w:val="28"/>
          <w:szCs w:val="28"/>
          <w14:ligatures w14:val="none"/>
        </w:rPr>
        <w:t xml:space="preserve"> </w:t>
      </w:r>
    </w:p>
    <w:p w14:paraId="0A2B6F90" w14:textId="388DA220" w:rsidR="007216FE" w:rsidRPr="007216FE" w:rsidRDefault="007216FE" w:rsidP="00EF5F59">
      <w:pPr>
        <w:spacing w:line="256" w:lineRule="auto"/>
        <w:jc w:val="both"/>
        <w:rPr>
          <w:rFonts w:ascii="Times New Roman" w:eastAsia="Calibri" w:hAnsi="Times New Roman" w:cs="Times New Roman"/>
          <w:b/>
          <w:bCs/>
          <w:kern w:val="0"/>
          <w:sz w:val="28"/>
          <w:szCs w:val="28"/>
          <w14:ligatures w14:val="none"/>
        </w:rPr>
      </w:pPr>
      <w:r w:rsidRPr="007216FE">
        <w:rPr>
          <w:rFonts w:ascii="Times New Roman" w:eastAsia="Calibri" w:hAnsi="Times New Roman" w:cs="Times New Roman"/>
          <w:b/>
          <w:bCs/>
          <w:kern w:val="0"/>
          <w:sz w:val="28"/>
          <w:szCs w:val="28"/>
          <w14:ligatures w14:val="none"/>
        </w:rPr>
        <w:t>Corresponding author: Kariman H.</w:t>
      </w:r>
      <w:r w:rsidR="006E37F7">
        <w:rPr>
          <w:rFonts w:ascii="Times New Roman" w:eastAsia="Calibri" w:hAnsi="Times New Roman" w:cs="Times New Roman"/>
          <w:b/>
          <w:bCs/>
          <w:kern w:val="0"/>
          <w:sz w:val="28"/>
          <w:szCs w:val="28"/>
          <w14:ligatures w14:val="none"/>
        </w:rPr>
        <w:t xml:space="preserve"> E</w:t>
      </w:r>
      <w:r w:rsidRPr="007216FE">
        <w:rPr>
          <w:rFonts w:ascii="Times New Roman" w:eastAsia="Calibri" w:hAnsi="Times New Roman" w:cs="Times New Roman"/>
          <w:b/>
          <w:bCs/>
          <w:kern w:val="0"/>
          <w:sz w:val="28"/>
          <w:szCs w:val="28"/>
          <w14:ligatures w14:val="none"/>
        </w:rPr>
        <w:t>lkasrawy, MD</w:t>
      </w:r>
    </w:p>
    <w:p w14:paraId="3F639BB0" w14:textId="75AB8975" w:rsidR="007216FE" w:rsidRPr="007216FE" w:rsidRDefault="007216FE" w:rsidP="007216FE">
      <w:pPr>
        <w:spacing w:line="256" w:lineRule="auto"/>
        <w:jc w:val="both"/>
        <w:rPr>
          <w:rFonts w:ascii="Times New Roman" w:eastAsia="Calibri" w:hAnsi="Times New Roman" w:cs="Times New Roman"/>
          <w:kern w:val="0"/>
          <w:sz w:val="28"/>
          <w:szCs w:val="28"/>
          <w14:ligatures w14:val="none"/>
        </w:rPr>
      </w:pPr>
      <w:r w:rsidRPr="007216FE">
        <w:rPr>
          <w:rFonts w:ascii="Times New Roman" w:eastAsia="Calibri" w:hAnsi="Times New Roman" w:cs="Times New Roman"/>
          <w:kern w:val="0"/>
          <w:sz w:val="28"/>
          <w:szCs w:val="28"/>
          <w14:ligatures w14:val="none"/>
        </w:rPr>
        <w:t>Department of Tropical</w:t>
      </w:r>
      <w:r>
        <w:rPr>
          <w:rFonts w:ascii="Times New Roman" w:eastAsia="Calibri" w:hAnsi="Times New Roman" w:cs="Times New Roman"/>
          <w:kern w:val="0"/>
          <w:sz w:val="28"/>
          <w:szCs w:val="28"/>
          <w14:ligatures w14:val="none"/>
        </w:rPr>
        <w:t xml:space="preserve"> </w:t>
      </w:r>
      <w:r w:rsidRPr="007216FE">
        <w:rPr>
          <w:rFonts w:ascii="Times New Roman" w:eastAsia="Calibri" w:hAnsi="Times New Roman" w:cs="Times New Roman"/>
          <w:kern w:val="0"/>
          <w:sz w:val="28"/>
          <w:szCs w:val="28"/>
          <w14:ligatures w14:val="none"/>
        </w:rPr>
        <w:t xml:space="preserve">and Infectious Diseases, Faculty of Medicine, Tanta University, Tanta, Egypt. </w:t>
      </w:r>
    </w:p>
    <w:p w14:paraId="5913D94F" w14:textId="56B81503" w:rsidR="007216FE" w:rsidRDefault="007216FE" w:rsidP="007216FE">
      <w:pPr>
        <w:spacing w:line="256" w:lineRule="auto"/>
        <w:jc w:val="both"/>
        <w:rPr>
          <w:rFonts w:ascii="Times New Roman" w:eastAsia="Calibri" w:hAnsi="Times New Roman" w:cs="Times New Roman"/>
          <w:kern w:val="0"/>
          <w:sz w:val="28"/>
          <w:szCs w:val="28"/>
          <w14:ligatures w14:val="none"/>
        </w:rPr>
      </w:pPr>
      <w:r w:rsidRPr="007216FE">
        <w:rPr>
          <w:rFonts w:ascii="Times New Roman" w:eastAsia="Calibri" w:hAnsi="Times New Roman" w:cs="Times New Roman"/>
          <w:b/>
          <w:bCs/>
          <w:kern w:val="0"/>
          <w:sz w:val="28"/>
          <w:szCs w:val="28"/>
          <w14:ligatures w14:val="none"/>
        </w:rPr>
        <w:t>Email:</w:t>
      </w:r>
      <w:r w:rsidRPr="007216FE">
        <w:rPr>
          <w:rFonts w:ascii="Times New Roman" w:eastAsia="Calibri" w:hAnsi="Times New Roman" w:cs="Times New Roman"/>
          <w:kern w:val="0"/>
          <w:sz w:val="28"/>
          <w:szCs w:val="28"/>
          <w14:ligatures w14:val="none"/>
        </w:rPr>
        <w:t xml:space="preserve"> </w:t>
      </w:r>
      <w:hyperlink r:id="rId7" w:history="1">
        <w:r w:rsidRPr="00832011">
          <w:rPr>
            <w:rStyle w:val="Hyperlink"/>
            <w:rFonts w:ascii="Times New Roman" w:eastAsia="Calibri" w:hAnsi="Times New Roman" w:cs="Times New Roman"/>
            <w:kern w:val="0"/>
            <w:sz w:val="28"/>
            <w:szCs w:val="28"/>
            <w14:ligatures w14:val="none"/>
          </w:rPr>
          <w:t>Kariman.elkasrawy@med.tanta.edu.eg</w:t>
        </w:r>
      </w:hyperlink>
      <w:r>
        <w:rPr>
          <w:rFonts w:ascii="Times New Roman" w:eastAsia="Calibri" w:hAnsi="Times New Roman" w:cs="Times New Roman"/>
          <w:kern w:val="0"/>
          <w:sz w:val="28"/>
          <w:szCs w:val="28"/>
          <w14:ligatures w14:val="none"/>
        </w:rPr>
        <w:t>.</w:t>
      </w:r>
    </w:p>
    <w:p w14:paraId="5C75842E" w14:textId="2C9D1049" w:rsidR="00EF5F59" w:rsidRPr="00EF5F59" w:rsidRDefault="00EF5F59" w:rsidP="00EF5F59">
      <w:pPr>
        <w:spacing w:line="256" w:lineRule="auto"/>
        <w:jc w:val="both"/>
        <w:rPr>
          <w:rFonts w:ascii="Times New Roman" w:eastAsia="Calibri" w:hAnsi="Times New Roman" w:cs="Times New Roman"/>
          <w:b/>
          <w:bCs/>
          <w:kern w:val="0"/>
          <w:sz w:val="28"/>
          <w:szCs w:val="28"/>
          <w14:ligatures w14:val="none"/>
        </w:rPr>
      </w:pPr>
      <w:r w:rsidRPr="00EF5F59">
        <w:rPr>
          <w:rFonts w:ascii="Times New Roman" w:eastAsia="Calibri" w:hAnsi="Times New Roman" w:cs="Times New Roman"/>
          <w:b/>
          <w:bCs/>
          <w:kern w:val="0"/>
          <w:sz w:val="28"/>
          <w:szCs w:val="28"/>
          <w14:ligatures w14:val="none"/>
        </w:rPr>
        <w:t xml:space="preserve">ORCID: </w:t>
      </w:r>
      <w:hyperlink r:id="rId8" w:history="1">
        <w:r w:rsidRPr="00EF5F59">
          <w:rPr>
            <w:rStyle w:val="Hyperlink"/>
            <w:rFonts w:ascii="Times New Roman" w:eastAsia="Calibri" w:hAnsi="Times New Roman" w:cs="Times New Roman"/>
            <w:kern w:val="0"/>
            <w:sz w:val="28"/>
            <w:szCs w:val="28"/>
            <w14:ligatures w14:val="none"/>
          </w:rPr>
          <w:t>0000-0003-1324-5835</w:t>
        </w:r>
      </w:hyperlink>
      <w:r>
        <w:rPr>
          <w:rFonts w:ascii="Times New Roman" w:eastAsia="Calibri" w:hAnsi="Times New Roman" w:cs="Times New Roman"/>
          <w:kern w:val="0"/>
          <w:sz w:val="28"/>
          <w:szCs w:val="28"/>
          <w14:ligatures w14:val="none"/>
        </w:rPr>
        <w:t>.</w:t>
      </w:r>
    </w:p>
    <w:p w14:paraId="6B588780" w14:textId="2E4DDDD3" w:rsidR="007216FE" w:rsidRDefault="007216FE" w:rsidP="007216FE">
      <w:pPr>
        <w:spacing w:line="256" w:lineRule="auto"/>
        <w:jc w:val="both"/>
        <w:rPr>
          <w:rFonts w:ascii="Times New Roman" w:eastAsia="Calibri" w:hAnsi="Times New Roman" w:cs="Times New Roman"/>
          <w:b/>
          <w:bCs/>
          <w:kern w:val="0"/>
          <w:sz w:val="28"/>
          <w:szCs w:val="28"/>
          <w14:ligatures w14:val="none"/>
        </w:rPr>
      </w:pPr>
      <w:r w:rsidRPr="007216FE">
        <w:rPr>
          <w:rFonts w:ascii="Times New Roman" w:eastAsia="Calibri" w:hAnsi="Times New Roman" w:cs="Times New Roman"/>
          <w:b/>
          <w:bCs/>
          <w:kern w:val="0"/>
          <w:sz w:val="28"/>
          <w:szCs w:val="28"/>
          <w14:ligatures w14:val="none"/>
        </w:rPr>
        <w:t>Tel. +201096298650</w:t>
      </w:r>
      <w:r w:rsidR="00676385">
        <w:rPr>
          <w:rFonts w:ascii="Times New Roman" w:eastAsia="Calibri" w:hAnsi="Times New Roman" w:cs="Times New Roman"/>
          <w:b/>
          <w:bCs/>
          <w:kern w:val="0"/>
          <w:sz w:val="28"/>
          <w:szCs w:val="28"/>
          <w14:ligatures w14:val="none"/>
        </w:rPr>
        <w:t>.</w:t>
      </w:r>
    </w:p>
    <w:p w14:paraId="7325EB0F" w14:textId="5C910F7B" w:rsidR="00676385" w:rsidRPr="00676385" w:rsidRDefault="00676385" w:rsidP="00AC3B89">
      <w:pPr>
        <w:spacing w:line="256" w:lineRule="auto"/>
        <w:jc w:val="both"/>
        <w:rPr>
          <w:rFonts w:ascii="Times New Roman" w:eastAsia="Calibri" w:hAnsi="Times New Roman" w:cs="Times New Roman"/>
          <w:b/>
          <w:bCs/>
          <w:kern w:val="0"/>
          <w:sz w:val="28"/>
          <w:szCs w:val="28"/>
          <w14:ligatures w14:val="none"/>
        </w:rPr>
      </w:pPr>
      <w:r w:rsidRPr="00676385">
        <w:rPr>
          <w:rFonts w:ascii="Times New Roman" w:eastAsia="Calibri" w:hAnsi="Times New Roman" w:cs="Times New Roman"/>
          <w:b/>
          <w:bCs/>
          <w:kern w:val="0"/>
          <w:sz w:val="28"/>
          <w:szCs w:val="28"/>
          <w14:ligatures w14:val="none"/>
        </w:rPr>
        <w:t xml:space="preserve">DOI: </w:t>
      </w:r>
      <w:hyperlink r:id="rId9" w:history="1">
        <w:r w:rsidR="00AC3B89" w:rsidRPr="00AC3B89">
          <w:rPr>
            <w:rStyle w:val="Hyperlink"/>
            <w:b/>
            <w:bCs/>
          </w:rPr>
          <w:t>10.21608/AJGH.2024.268866.1050</w:t>
        </w:r>
      </w:hyperlink>
    </w:p>
    <w:p w14:paraId="10B78B19" w14:textId="3EBFEE13" w:rsidR="00676385" w:rsidRPr="00676385" w:rsidRDefault="00676385" w:rsidP="00676385">
      <w:pPr>
        <w:spacing w:line="256" w:lineRule="auto"/>
        <w:jc w:val="both"/>
        <w:rPr>
          <w:rFonts w:ascii="Times New Roman" w:eastAsia="Calibri" w:hAnsi="Times New Roman" w:cs="Times New Roman"/>
          <w:b/>
          <w:bCs/>
          <w:kern w:val="0"/>
          <w:sz w:val="28"/>
          <w:szCs w:val="28"/>
          <w14:ligatures w14:val="none"/>
        </w:rPr>
      </w:pPr>
      <w:r w:rsidRPr="00676385">
        <w:rPr>
          <w:rFonts w:ascii="Times New Roman" w:eastAsia="Calibri" w:hAnsi="Times New Roman" w:cs="Times New Roman"/>
          <w:b/>
          <w:bCs/>
          <w:kern w:val="0"/>
          <w:sz w:val="28"/>
          <w:szCs w:val="28"/>
          <w14:ligatures w14:val="none"/>
        </w:rPr>
        <w:t>Submission date:</w:t>
      </w:r>
      <w:r w:rsidR="00AC3B89">
        <w:rPr>
          <w:rFonts w:ascii="Times New Roman" w:eastAsia="Calibri" w:hAnsi="Times New Roman" w:cs="Times New Roman"/>
          <w:b/>
          <w:bCs/>
          <w:kern w:val="0"/>
          <w:sz w:val="28"/>
          <w:szCs w:val="28"/>
          <w14:ligatures w14:val="none"/>
        </w:rPr>
        <w:t>9 February</w:t>
      </w:r>
      <w:r w:rsidRPr="00676385">
        <w:rPr>
          <w:rFonts w:ascii="Times New Roman" w:eastAsia="Calibri" w:hAnsi="Times New Roman" w:cs="Times New Roman"/>
          <w:b/>
          <w:bCs/>
          <w:kern w:val="0"/>
          <w:sz w:val="28"/>
          <w:szCs w:val="28"/>
          <w14:ligatures w14:val="none"/>
        </w:rPr>
        <w:t xml:space="preserve"> 2023.</w:t>
      </w:r>
    </w:p>
    <w:p w14:paraId="6C60003E" w14:textId="4A46FA03" w:rsidR="00676385" w:rsidRPr="00676385" w:rsidRDefault="00676385" w:rsidP="00676385">
      <w:pPr>
        <w:spacing w:line="256" w:lineRule="auto"/>
        <w:jc w:val="both"/>
        <w:rPr>
          <w:rFonts w:ascii="Times New Roman" w:eastAsia="Calibri" w:hAnsi="Times New Roman" w:cs="Times New Roman"/>
          <w:b/>
          <w:bCs/>
          <w:kern w:val="0"/>
          <w:sz w:val="28"/>
          <w:szCs w:val="28"/>
          <w14:ligatures w14:val="none"/>
        </w:rPr>
      </w:pPr>
      <w:r w:rsidRPr="00676385">
        <w:rPr>
          <w:rFonts w:ascii="Times New Roman" w:eastAsia="Calibri" w:hAnsi="Times New Roman" w:cs="Times New Roman"/>
          <w:b/>
          <w:bCs/>
          <w:kern w:val="0"/>
          <w:sz w:val="28"/>
          <w:szCs w:val="28"/>
          <w14:ligatures w14:val="none"/>
        </w:rPr>
        <w:t xml:space="preserve">Revision date: </w:t>
      </w:r>
      <w:r w:rsidR="00AC3B89">
        <w:rPr>
          <w:rFonts w:ascii="Times New Roman" w:eastAsia="Calibri" w:hAnsi="Times New Roman" w:cs="Times New Roman"/>
          <w:b/>
          <w:bCs/>
          <w:kern w:val="0"/>
          <w:sz w:val="28"/>
          <w:szCs w:val="28"/>
          <w14:ligatures w14:val="none"/>
        </w:rPr>
        <w:t>15</w:t>
      </w:r>
      <w:r w:rsidRPr="00676385">
        <w:rPr>
          <w:rFonts w:ascii="Times New Roman" w:eastAsia="Calibri" w:hAnsi="Times New Roman" w:cs="Times New Roman"/>
          <w:b/>
          <w:bCs/>
          <w:kern w:val="0"/>
          <w:sz w:val="28"/>
          <w:szCs w:val="28"/>
          <w14:ligatures w14:val="none"/>
        </w:rPr>
        <w:t xml:space="preserve"> </w:t>
      </w:r>
      <w:r w:rsidR="00AC3B89">
        <w:rPr>
          <w:rFonts w:ascii="Times New Roman" w:eastAsia="Calibri" w:hAnsi="Times New Roman" w:cs="Times New Roman"/>
          <w:b/>
          <w:bCs/>
          <w:kern w:val="0"/>
          <w:sz w:val="28"/>
          <w:szCs w:val="28"/>
          <w14:ligatures w14:val="none"/>
        </w:rPr>
        <w:t>March</w:t>
      </w:r>
      <w:r w:rsidRPr="00676385">
        <w:rPr>
          <w:rFonts w:ascii="Times New Roman" w:eastAsia="Calibri" w:hAnsi="Times New Roman" w:cs="Times New Roman"/>
          <w:b/>
          <w:bCs/>
          <w:kern w:val="0"/>
          <w:sz w:val="28"/>
          <w:szCs w:val="28"/>
          <w14:ligatures w14:val="none"/>
        </w:rPr>
        <w:t xml:space="preserve"> 2024.</w:t>
      </w:r>
    </w:p>
    <w:p w14:paraId="39F63346" w14:textId="248E39AC" w:rsidR="00676385" w:rsidRPr="00676385" w:rsidRDefault="00676385" w:rsidP="00676385">
      <w:pPr>
        <w:spacing w:line="256" w:lineRule="auto"/>
        <w:jc w:val="both"/>
        <w:rPr>
          <w:rFonts w:ascii="Times New Roman" w:eastAsia="Calibri" w:hAnsi="Times New Roman" w:cs="Times New Roman"/>
          <w:b/>
          <w:bCs/>
          <w:kern w:val="0"/>
          <w:sz w:val="28"/>
          <w:szCs w:val="28"/>
          <w14:ligatures w14:val="none"/>
        </w:rPr>
      </w:pPr>
      <w:r w:rsidRPr="00676385">
        <w:rPr>
          <w:rFonts w:ascii="Times New Roman" w:eastAsia="Calibri" w:hAnsi="Times New Roman" w:cs="Times New Roman"/>
          <w:b/>
          <w:bCs/>
          <w:kern w:val="0"/>
          <w:sz w:val="28"/>
          <w:szCs w:val="28"/>
          <w14:ligatures w14:val="none"/>
        </w:rPr>
        <w:t xml:space="preserve">Acceptance date: </w:t>
      </w:r>
      <w:r w:rsidR="00AC3B89">
        <w:rPr>
          <w:rFonts w:ascii="Times New Roman" w:eastAsia="Calibri" w:hAnsi="Times New Roman" w:cs="Times New Roman"/>
          <w:b/>
          <w:bCs/>
          <w:kern w:val="0"/>
          <w:sz w:val="28"/>
          <w:szCs w:val="28"/>
          <w14:ligatures w14:val="none"/>
        </w:rPr>
        <w:t>17</w:t>
      </w:r>
      <w:r w:rsidRPr="00676385">
        <w:rPr>
          <w:rFonts w:ascii="Times New Roman" w:eastAsia="Calibri" w:hAnsi="Times New Roman" w:cs="Times New Roman"/>
          <w:b/>
          <w:bCs/>
          <w:kern w:val="0"/>
          <w:sz w:val="28"/>
          <w:szCs w:val="28"/>
          <w14:ligatures w14:val="none"/>
        </w:rPr>
        <w:t xml:space="preserve"> </w:t>
      </w:r>
      <w:r w:rsidR="00AC3B89">
        <w:rPr>
          <w:rFonts w:ascii="Times New Roman" w:eastAsia="Calibri" w:hAnsi="Times New Roman" w:cs="Times New Roman"/>
          <w:b/>
          <w:bCs/>
          <w:kern w:val="0"/>
          <w:sz w:val="28"/>
          <w:szCs w:val="28"/>
          <w14:ligatures w14:val="none"/>
        </w:rPr>
        <w:t>March</w:t>
      </w:r>
      <w:r w:rsidRPr="00676385">
        <w:rPr>
          <w:rFonts w:ascii="Times New Roman" w:eastAsia="Calibri" w:hAnsi="Times New Roman" w:cs="Times New Roman"/>
          <w:b/>
          <w:bCs/>
          <w:kern w:val="0"/>
          <w:sz w:val="28"/>
          <w:szCs w:val="28"/>
          <w14:ligatures w14:val="none"/>
        </w:rPr>
        <w:t xml:space="preserve"> 2024.</w:t>
      </w:r>
    </w:p>
    <w:p w14:paraId="3519DBDF" w14:textId="6BFAC158" w:rsidR="00676385" w:rsidRPr="00676385" w:rsidRDefault="00676385" w:rsidP="00676385">
      <w:pPr>
        <w:spacing w:line="256" w:lineRule="auto"/>
        <w:jc w:val="both"/>
        <w:rPr>
          <w:rFonts w:ascii="Times New Roman" w:eastAsia="Calibri" w:hAnsi="Times New Roman" w:cs="Times New Roman"/>
          <w:b/>
          <w:bCs/>
          <w:kern w:val="0"/>
          <w:sz w:val="28"/>
          <w:szCs w:val="28"/>
          <w14:ligatures w14:val="none"/>
        </w:rPr>
      </w:pPr>
      <w:r w:rsidRPr="00676385">
        <w:rPr>
          <w:rFonts w:ascii="Times New Roman" w:eastAsia="Calibri" w:hAnsi="Times New Roman" w:cs="Times New Roman"/>
          <w:b/>
          <w:bCs/>
          <w:kern w:val="0"/>
          <w:sz w:val="28"/>
          <w:szCs w:val="28"/>
          <w14:ligatures w14:val="none"/>
        </w:rPr>
        <w:t>Published online:</w:t>
      </w:r>
      <w:r w:rsidR="00AC3B89">
        <w:rPr>
          <w:rFonts w:ascii="Times New Roman" w:eastAsia="Calibri" w:hAnsi="Times New Roman" w:cs="Times New Roman"/>
          <w:b/>
          <w:bCs/>
          <w:kern w:val="0"/>
          <w:sz w:val="28"/>
          <w:szCs w:val="28"/>
          <w14:ligatures w14:val="none"/>
        </w:rPr>
        <w:t>31</w:t>
      </w:r>
      <w:r w:rsidRPr="00676385">
        <w:rPr>
          <w:rFonts w:ascii="Times New Roman" w:eastAsia="Calibri" w:hAnsi="Times New Roman" w:cs="Times New Roman"/>
          <w:b/>
          <w:bCs/>
          <w:kern w:val="0"/>
          <w:sz w:val="28"/>
          <w:szCs w:val="28"/>
          <w14:ligatures w14:val="none"/>
        </w:rPr>
        <w:t xml:space="preserve"> </w:t>
      </w:r>
      <w:r w:rsidR="00AC3B89">
        <w:rPr>
          <w:rFonts w:ascii="Times New Roman" w:eastAsia="Calibri" w:hAnsi="Times New Roman" w:cs="Times New Roman"/>
          <w:b/>
          <w:bCs/>
          <w:kern w:val="0"/>
          <w:sz w:val="28"/>
          <w:szCs w:val="28"/>
          <w14:ligatures w14:val="none"/>
        </w:rPr>
        <w:t xml:space="preserve">March </w:t>
      </w:r>
      <w:r w:rsidRPr="00676385">
        <w:rPr>
          <w:rFonts w:ascii="Times New Roman" w:eastAsia="Calibri" w:hAnsi="Times New Roman" w:cs="Times New Roman"/>
          <w:b/>
          <w:bCs/>
          <w:kern w:val="0"/>
          <w:sz w:val="28"/>
          <w:szCs w:val="28"/>
          <w14:ligatures w14:val="none"/>
        </w:rPr>
        <w:t>2024.</w:t>
      </w:r>
    </w:p>
    <w:p w14:paraId="664B1F01" w14:textId="2DF5E3CF" w:rsidR="00710AD8" w:rsidRDefault="00710AD8" w:rsidP="007021A5">
      <w:pPr>
        <w:spacing w:line="360" w:lineRule="auto"/>
        <w:jc w:val="both"/>
        <w:rPr>
          <w:rFonts w:ascii="Times New Roman" w:hAnsi="Times New Roman" w:cs="Times New Roman"/>
          <w:b/>
          <w:bCs/>
          <w:sz w:val="32"/>
          <w:szCs w:val="32"/>
        </w:rPr>
      </w:pPr>
      <w:r w:rsidRPr="005A7B18">
        <w:rPr>
          <w:rFonts w:ascii="Times New Roman" w:hAnsi="Times New Roman" w:cs="Times New Roman"/>
          <w:b/>
          <w:bCs/>
          <w:sz w:val="32"/>
          <w:szCs w:val="32"/>
        </w:rPr>
        <w:t>Abstr</w:t>
      </w:r>
      <w:r w:rsidR="009C5A0A" w:rsidRPr="005A7B18">
        <w:rPr>
          <w:rFonts w:ascii="Times New Roman" w:hAnsi="Times New Roman" w:cs="Times New Roman"/>
          <w:b/>
          <w:bCs/>
          <w:sz w:val="32"/>
          <w:szCs w:val="32"/>
        </w:rPr>
        <w:t>act</w:t>
      </w:r>
    </w:p>
    <w:p w14:paraId="309EA935" w14:textId="4C323FDC" w:rsidR="00393AA9" w:rsidRPr="00393AA9" w:rsidRDefault="00393AA9" w:rsidP="00393AA9">
      <w:pPr>
        <w:spacing w:line="360" w:lineRule="auto"/>
        <w:jc w:val="both"/>
        <w:rPr>
          <w:rFonts w:ascii="Times New Roman" w:hAnsi="Times New Roman" w:cs="Times New Roman"/>
          <w:b/>
          <w:bCs/>
          <w:sz w:val="32"/>
          <w:szCs w:val="32"/>
        </w:rPr>
      </w:pPr>
      <w:r w:rsidRPr="00393AA9">
        <w:rPr>
          <w:rFonts w:ascii="Times New Roman" w:hAnsi="Times New Roman" w:cs="Times New Roman"/>
          <w:b/>
          <w:bCs/>
          <w:sz w:val="32"/>
          <w:szCs w:val="32"/>
        </w:rPr>
        <w:t>Background and study aim</w:t>
      </w:r>
      <w:r w:rsidR="008774DD">
        <w:rPr>
          <w:rFonts w:ascii="Times New Roman" w:hAnsi="Times New Roman" w:cs="Times New Roman"/>
          <w:b/>
          <w:bCs/>
          <w:sz w:val="32"/>
          <w:szCs w:val="32"/>
        </w:rPr>
        <w:t>.</w:t>
      </w:r>
    </w:p>
    <w:p w14:paraId="46FBF4CB" w14:textId="55529329" w:rsidR="00E05AD7" w:rsidRDefault="00F15253" w:rsidP="00393AA9">
      <w:pPr>
        <w:spacing w:line="360" w:lineRule="auto"/>
        <w:jc w:val="both"/>
        <w:rPr>
          <w:rFonts w:ascii="Times New Roman" w:hAnsi="Times New Roman" w:cs="Times New Roman"/>
          <w:sz w:val="24"/>
          <w:szCs w:val="24"/>
        </w:rPr>
      </w:pPr>
      <w:r w:rsidRPr="00277A14">
        <w:rPr>
          <w:rFonts w:ascii="Times New Roman" w:hAnsi="Times New Roman" w:cs="Times New Roman"/>
          <w:sz w:val="24"/>
          <w:szCs w:val="24"/>
        </w:rPr>
        <w:t>Esop</w:t>
      </w:r>
      <w:r w:rsidR="00713996" w:rsidRPr="00277A14">
        <w:rPr>
          <w:rFonts w:ascii="Times New Roman" w:hAnsi="Times New Roman" w:cs="Times New Roman"/>
          <w:sz w:val="24"/>
          <w:szCs w:val="24"/>
        </w:rPr>
        <w:t xml:space="preserve">hageal varices can cause upper </w:t>
      </w:r>
      <w:r w:rsidRPr="00277A14">
        <w:rPr>
          <w:rFonts w:ascii="Times New Roman" w:hAnsi="Times New Roman" w:cs="Times New Roman"/>
          <w:sz w:val="24"/>
          <w:szCs w:val="24"/>
        </w:rPr>
        <w:t xml:space="preserve">gastrointestinal bleeding. Due to vascular alterations and other factors, cardiac dysfunction can develop </w:t>
      </w:r>
      <w:r w:rsidR="000F2DC0" w:rsidRPr="00277A14">
        <w:rPr>
          <w:rFonts w:ascii="Times New Roman" w:hAnsi="Times New Roman" w:cs="Times New Roman"/>
          <w:sz w:val="24"/>
          <w:szCs w:val="24"/>
        </w:rPr>
        <w:t>in cirrhotic individuals</w:t>
      </w:r>
      <w:r w:rsidRPr="00277A14">
        <w:rPr>
          <w:rFonts w:ascii="Times New Roman" w:hAnsi="Times New Roman" w:cs="Times New Roman"/>
          <w:sz w:val="24"/>
          <w:szCs w:val="24"/>
        </w:rPr>
        <w:t xml:space="preserve">. It is strongly correlated with the </w:t>
      </w:r>
      <w:r w:rsidRPr="00277A14">
        <w:rPr>
          <w:rFonts w:ascii="Times New Roman" w:hAnsi="Times New Roman" w:cs="Times New Roman"/>
          <w:sz w:val="24"/>
          <w:szCs w:val="24"/>
        </w:rPr>
        <w:lastRenderedPageBreak/>
        <w:t xml:space="preserve">severity of liver </w:t>
      </w:r>
      <w:r w:rsidR="00277A14" w:rsidRPr="00277A14">
        <w:rPr>
          <w:rFonts w:ascii="Times New Roman" w:hAnsi="Times New Roman" w:cs="Times New Roman"/>
          <w:sz w:val="24"/>
          <w:szCs w:val="24"/>
        </w:rPr>
        <w:t>disorders. Therefore</w:t>
      </w:r>
      <w:r w:rsidRPr="00277A14">
        <w:rPr>
          <w:rFonts w:ascii="Times New Roman" w:hAnsi="Times New Roman" w:cs="Times New Roman"/>
          <w:sz w:val="24"/>
          <w:szCs w:val="24"/>
        </w:rPr>
        <w:t xml:space="preserve">, </w:t>
      </w:r>
      <w:r w:rsidR="008774DD">
        <w:rPr>
          <w:rFonts w:ascii="Times New Roman" w:hAnsi="Times New Roman" w:cs="Times New Roman"/>
          <w:sz w:val="24"/>
          <w:szCs w:val="24"/>
        </w:rPr>
        <w:t>this study examined</w:t>
      </w:r>
      <w:r w:rsidRPr="00277A14">
        <w:rPr>
          <w:rFonts w:ascii="Times New Roman" w:hAnsi="Times New Roman" w:cs="Times New Roman"/>
          <w:sz w:val="24"/>
          <w:szCs w:val="24"/>
        </w:rPr>
        <w:t xml:space="preserve"> the </w:t>
      </w:r>
      <w:r w:rsidR="008774DD">
        <w:rPr>
          <w:rFonts w:ascii="Times New Roman" w:hAnsi="Times New Roman" w:cs="Times New Roman"/>
          <w:sz w:val="24"/>
          <w:szCs w:val="24"/>
        </w:rPr>
        <w:t>relationship</w:t>
      </w:r>
      <w:r w:rsidRPr="00277A14">
        <w:rPr>
          <w:rFonts w:ascii="Times New Roman" w:hAnsi="Times New Roman" w:cs="Times New Roman"/>
          <w:sz w:val="24"/>
          <w:szCs w:val="24"/>
        </w:rPr>
        <w:t xml:space="preserve"> between the degree of esophageal varices and cardiac dysfunction in cirrhotic patients.</w:t>
      </w:r>
    </w:p>
    <w:p w14:paraId="6B99B719" w14:textId="603BA37D" w:rsidR="00393AA9" w:rsidRPr="00393AA9" w:rsidRDefault="00393AA9" w:rsidP="00393AA9">
      <w:pPr>
        <w:spacing w:line="360" w:lineRule="auto"/>
        <w:jc w:val="both"/>
        <w:rPr>
          <w:rFonts w:ascii="Times New Roman" w:hAnsi="Times New Roman" w:cs="Times New Roman"/>
          <w:b/>
          <w:bCs/>
          <w:sz w:val="32"/>
          <w:szCs w:val="32"/>
        </w:rPr>
      </w:pPr>
      <w:r w:rsidRPr="00393AA9">
        <w:rPr>
          <w:rFonts w:ascii="Times New Roman" w:hAnsi="Times New Roman" w:cs="Times New Roman"/>
          <w:b/>
          <w:bCs/>
          <w:sz w:val="32"/>
          <w:szCs w:val="32"/>
        </w:rPr>
        <w:t>Patients and methods</w:t>
      </w:r>
    </w:p>
    <w:p w14:paraId="031233FF" w14:textId="6AF1372A" w:rsidR="00393AA9" w:rsidRPr="00E25EE6" w:rsidRDefault="00393AA9" w:rsidP="00393AA9">
      <w:pPr>
        <w:spacing w:line="360" w:lineRule="auto"/>
        <w:jc w:val="both"/>
        <w:rPr>
          <w:rFonts w:ascii="Times New Roman" w:hAnsi="Times New Roman" w:cs="Times New Roman"/>
          <w:sz w:val="24"/>
          <w:szCs w:val="24"/>
        </w:rPr>
      </w:pPr>
      <w:r w:rsidRPr="00E25EE6">
        <w:rPr>
          <w:rFonts w:ascii="Times New Roman" w:hAnsi="Times New Roman" w:cs="Times New Roman"/>
          <w:sz w:val="24"/>
          <w:szCs w:val="24"/>
        </w:rPr>
        <w:t xml:space="preserve">This cross-sectional study was carried out on 60 cirrhotic patients. They were divided into </w:t>
      </w:r>
      <w:r w:rsidR="008774DD">
        <w:rPr>
          <w:rFonts w:ascii="Times New Roman" w:hAnsi="Times New Roman" w:cs="Times New Roman"/>
          <w:sz w:val="24"/>
          <w:szCs w:val="24"/>
        </w:rPr>
        <w:t>three</w:t>
      </w:r>
      <w:r w:rsidRPr="00E25EE6">
        <w:rPr>
          <w:rFonts w:ascii="Times New Roman" w:hAnsi="Times New Roman" w:cs="Times New Roman"/>
          <w:sz w:val="24"/>
          <w:szCs w:val="24"/>
        </w:rPr>
        <w:t xml:space="preserve"> groups: group I included 20 cirrhotic patients with no </w:t>
      </w:r>
      <w:r w:rsidR="00277A14" w:rsidRPr="00E25EE6">
        <w:rPr>
          <w:rFonts w:ascii="Times New Roman" w:hAnsi="Times New Roman" w:cs="Times New Roman"/>
          <w:sz w:val="24"/>
          <w:szCs w:val="24"/>
        </w:rPr>
        <w:t>esophageal</w:t>
      </w:r>
      <w:r w:rsidRPr="00E25EE6">
        <w:rPr>
          <w:rFonts w:ascii="Times New Roman" w:hAnsi="Times New Roman" w:cs="Times New Roman"/>
          <w:sz w:val="24"/>
          <w:szCs w:val="24"/>
        </w:rPr>
        <w:t xml:space="preserve"> varices; </w:t>
      </w:r>
      <w:r w:rsidR="008774DD">
        <w:rPr>
          <w:rFonts w:ascii="Times New Roman" w:hAnsi="Times New Roman" w:cs="Times New Roman"/>
          <w:sz w:val="24"/>
          <w:szCs w:val="24"/>
        </w:rPr>
        <w:t>Group</w:t>
      </w:r>
      <w:r w:rsidRPr="00E25EE6">
        <w:rPr>
          <w:rFonts w:ascii="Times New Roman" w:hAnsi="Times New Roman" w:cs="Times New Roman"/>
          <w:sz w:val="24"/>
          <w:szCs w:val="24"/>
        </w:rPr>
        <w:t xml:space="preserve"> II included 20 cirrhotic patients with small varices; and </w:t>
      </w:r>
      <w:r w:rsidR="008774DD">
        <w:rPr>
          <w:rFonts w:ascii="Times New Roman" w:hAnsi="Times New Roman" w:cs="Times New Roman"/>
          <w:sz w:val="24"/>
          <w:szCs w:val="24"/>
        </w:rPr>
        <w:t>Group</w:t>
      </w:r>
      <w:r w:rsidRPr="00E25EE6">
        <w:rPr>
          <w:rFonts w:ascii="Times New Roman" w:hAnsi="Times New Roman" w:cs="Times New Roman"/>
          <w:sz w:val="24"/>
          <w:szCs w:val="24"/>
        </w:rPr>
        <w:t xml:space="preserve"> III included 20 cirrhotic patients with large varices. Laboratory </w:t>
      </w:r>
      <w:r w:rsidR="00277A14" w:rsidRPr="00E25EE6">
        <w:rPr>
          <w:rFonts w:ascii="Times New Roman" w:hAnsi="Times New Roman" w:cs="Times New Roman"/>
          <w:sz w:val="24"/>
          <w:szCs w:val="24"/>
        </w:rPr>
        <w:t>investigations, ultrasonography</w:t>
      </w:r>
      <w:r w:rsidRPr="00E25EE6">
        <w:rPr>
          <w:rFonts w:ascii="Times New Roman" w:hAnsi="Times New Roman" w:cs="Times New Roman"/>
          <w:sz w:val="24"/>
          <w:szCs w:val="24"/>
        </w:rPr>
        <w:t>, echocardiography, and electrocardiography were done for all patients.</w:t>
      </w:r>
    </w:p>
    <w:p w14:paraId="6C615F21" w14:textId="77777777" w:rsidR="00393AA9" w:rsidRPr="00303FCE" w:rsidRDefault="00393AA9" w:rsidP="00393AA9">
      <w:pPr>
        <w:spacing w:line="360" w:lineRule="auto"/>
        <w:jc w:val="both"/>
        <w:rPr>
          <w:rFonts w:ascii="Times New Roman" w:hAnsi="Times New Roman" w:cs="Times New Roman"/>
          <w:b/>
          <w:bCs/>
          <w:sz w:val="28"/>
          <w:szCs w:val="28"/>
        </w:rPr>
      </w:pPr>
      <w:r w:rsidRPr="00303FCE">
        <w:rPr>
          <w:rFonts w:ascii="Times New Roman" w:hAnsi="Times New Roman" w:cs="Times New Roman"/>
          <w:b/>
          <w:bCs/>
          <w:sz w:val="28"/>
          <w:szCs w:val="28"/>
        </w:rPr>
        <w:t>Results</w:t>
      </w:r>
    </w:p>
    <w:p w14:paraId="727896CF" w14:textId="01DAF74D" w:rsidR="00393AA9" w:rsidRPr="00875C95" w:rsidRDefault="008774DD" w:rsidP="00713996">
      <w:pPr>
        <w:spacing w:line="360" w:lineRule="auto"/>
        <w:jc w:val="both"/>
        <w:rPr>
          <w:rFonts w:ascii="Times New Roman" w:hAnsi="Times New Roman" w:cs="Times New Roman"/>
          <w:sz w:val="24"/>
          <w:szCs w:val="24"/>
        </w:rPr>
      </w:pPr>
      <w:r w:rsidRPr="00303FCE">
        <w:rPr>
          <w:rFonts w:ascii="Times New Roman" w:hAnsi="Times New Roman" w:cs="Times New Roman"/>
          <w:sz w:val="24"/>
          <w:szCs w:val="24"/>
        </w:rPr>
        <w:t>A highly statistically significant difference was found between group III and the other two groups regarding having a history of upper GIT bleeding (p-value &lt;0.001) and the corrected QT interval (QTc) (p-value</w:t>
      </w:r>
      <w:r w:rsidR="00E9677A" w:rsidRPr="00303FCE">
        <w:rPr>
          <w:rFonts w:ascii="Times New Roman" w:hAnsi="Times New Roman" w:cs="Times New Roman"/>
          <w:sz w:val="24"/>
          <w:szCs w:val="24"/>
        </w:rPr>
        <w:t xml:space="preserve"> &lt;0.001)</w:t>
      </w:r>
      <w:r w:rsidR="00393AA9" w:rsidRPr="00303FCE">
        <w:rPr>
          <w:rFonts w:ascii="Times New Roman" w:hAnsi="Times New Roman" w:cs="Times New Roman"/>
          <w:sz w:val="24"/>
          <w:szCs w:val="24"/>
        </w:rPr>
        <w:t xml:space="preserve">. </w:t>
      </w:r>
      <w:r w:rsidRPr="00303FCE">
        <w:rPr>
          <w:rFonts w:ascii="Times New Roman" w:hAnsi="Times New Roman" w:cs="Times New Roman"/>
          <w:sz w:val="24"/>
          <w:szCs w:val="24"/>
        </w:rPr>
        <w:t xml:space="preserve">A statistically significant difference was found regarding the relation between the </w:t>
      </w:r>
      <w:r w:rsidR="00880805" w:rsidRPr="00303FCE">
        <w:rPr>
          <w:rFonts w:ascii="Times New Roman" w:hAnsi="Times New Roman" w:cs="Times New Roman"/>
          <w:sz w:val="24"/>
          <w:szCs w:val="24"/>
        </w:rPr>
        <w:t>C</w:t>
      </w:r>
      <w:r w:rsidR="00E9677A" w:rsidRPr="00303FCE">
        <w:rPr>
          <w:rFonts w:ascii="Times New Roman" w:hAnsi="Times New Roman" w:cs="Times New Roman"/>
          <w:sz w:val="24"/>
          <w:szCs w:val="24"/>
        </w:rPr>
        <w:t>hild score of the</w:t>
      </w:r>
      <w:r w:rsidR="008A2284" w:rsidRPr="00303FCE">
        <w:rPr>
          <w:rFonts w:ascii="Times New Roman" w:hAnsi="Times New Roman" w:cs="Times New Roman"/>
          <w:sz w:val="24"/>
          <w:szCs w:val="24"/>
        </w:rPr>
        <w:t xml:space="preserve"> patients</w:t>
      </w:r>
      <w:r w:rsidR="00E9677A" w:rsidRPr="00303FCE">
        <w:rPr>
          <w:rFonts w:ascii="Times New Roman" w:hAnsi="Times New Roman" w:cs="Times New Roman"/>
          <w:sz w:val="24"/>
          <w:szCs w:val="24"/>
        </w:rPr>
        <w:t xml:space="preserve"> and cardiomyopathy (p = 0.001).</w:t>
      </w:r>
      <w:r w:rsidRPr="00303FCE">
        <w:rPr>
          <w:rFonts w:ascii="Times New Roman" w:hAnsi="Times New Roman" w:cs="Times New Roman"/>
          <w:sz w:val="24"/>
          <w:szCs w:val="24"/>
        </w:rPr>
        <w:t xml:space="preserve"> A strong positive correlation was found between the </w:t>
      </w:r>
      <w:r w:rsidR="006462FD" w:rsidRPr="00303FCE">
        <w:rPr>
          <w:rFonts w:ascii="Times New Roman" w:hAnsi="Times New Roman" w:cs="Times New Roman"/>
          <w:sz w:val="24"/>
          <w:szCs w:val="24"/>
        </w:rPr>
        <w:t>Child score</w:t>
      </w:r>
      <w:r w:rsidRPr="00303FCE">
        <w:rPr>
          <w:rFonts w:ascii="Times New Roman" w:hAnsi="Times New Roman" w:cs="Times New Roman"/>
          <w:sz w:val="24"/>
          <w:szCs w:val="24"/>
        </w:rPr>
        <w:t xml:space="preserve"> </w:t>
      </w:r>
      <w:r w:rsidR="006462FD" w:rsidRPr="00303FCE">
        <w:rPr>
          <w:rFonts w:ascii="Times New Roman" w:hAnsi="Times New Roman" w:cs="Times New Roman"/>
          <w:sz w:val="24"/>
          <w:szCs w:val="24"/>
        </w:rPr>
        <w:t>and</w:t>
      </w:r>
      <w:r w:rsidR="00393AA9" w:rsidRPr="00303FCE">
        <w:rPr>
          <w:rFonts w:ascii="Times New Roman" w:hAnsi="Times New Roman" w:cs="Times New Roman"/>
          <w:sz w:val="24"/>
          <w:szCs w:val="24"/>
        </w:rPr>
        <w:t xml:space="preserve"> </w:t>
      </w:r>
      <w:r w:rsidR="00740453" w:rsidRPr="00303FCE">
        <w:rPr>
          <w:rFonts w:ascii="Times New Roman" w:hAnsi="Times New Roman" w:cs="Times New Roman"/>
          <w:sz w:val="24"/>
          <w:szCs w:val="24"/>
        </w:rPr>
        <w:t>QTc</w:t>
      </w:r>
      <w:r w:rsidR="00393AA9" w:rsidRPr="00303FCE">
        <w:rPr>
          <w:rFonts w:ascii="Times New Roman" w:hAnsi="Times New Roman" w:cs="Times New Roman"/>
          <w:sz w:val="24"/>
          <w:szCs w:val="24"/>
        </w:rPr>
        <w:t xml:space="preserve"> (p&lt;0.001).</w:t>
      </w:r>
      <w:r w:rsidRPr="00303FCE">
        <w:rPr>
          <w:rFonts w:ascii="Times New Roman" w:hAnsi="Times New Roman" w:cs="Times New Roman"/>
          <w:sz w:val="24"/>
          <w:szCs w:val="24"/>
        </w:rPr>
        <w:t xml:space="preserve"> </w:t>
      </w:r>
      <w:r w:rsidR="00E34100" w:rsidRPr="00303FCE">
        <w:rPr>
          <w:rFonts w:ascii="Times New Roman" w:hAnsi="Times New Roman" w:cs="Times New Roman"/>
          <w:sz w:val="24"/>
          <w:szCs w:val="24"/>
        </w:rPr>
        <w:t>A</w:t>
      </w:r>
      <w:r w:rsidR="001D40E3" w:rsidRPr="00303FCE">
        <w:rPr>
          <w:rFonts w:ascii="Times New Roman" w:hAnsi="Times New Roman" w:cs="Times New Roman"/>
          <w:sz w:val="24"/>
          <w:szCs w:val="24"/>
        </w:rPr>
        <w:t>lso</w:t>
      </w:r>
      <w:r w:rsidRPr="00303FCE">
        <w:rPr>
          <w:rFonts w:ascii="Times New Roman" w:hAnsi="Times New Roman" w:cs="Times New Roman"/>
          <w:sz w:val="24"/>
          <w:szCs w:val="24"/>
        </w:rPr>
        <w:t xml:space="preserve">, a strong positive correlation was found between the degree of varices and QTc (p = 0.001). </w:t>
      </w:r>
      <w:r w:rsidR="00393AA9" w:rsidRPr="00303FCE">
        <w:rPr>
          <w:rFonts w:ascii="Times New Roman" w:hAnsi="Times New Roman" w:cs="Times New Roman"/>
          <w:sz w:val="24"/>
          <w:szCs w:val="24"/>
        </w:rPr>
        <w:t>Other parameters evaluated by echocardiography showed no statistically significant difference between the studied groups (p&gt; 0.5).</w:t>
      </w:r>
    </w:p>
    <w:p w14:paraId="173E8102" w14:textId="3E8863B8" w:rsidR="00393AA9" w:rsidRDefault="00393AA9" w:rsidP="006A6B2C">
      <w:pPr>
        <w:spacing w:line="360" w:lineRule="auto"/>
        <w:jc w:val="both"/>
        <w:rPr>
          <w:rFonts w:ascii="Times New Roman" w:hAnsi="Times New Roman" w:cs="Times New Roman"/>
          <w:b/>
          <w:bCs/>
          <w:sz w:val="32"/>
          <w:szCs w:val="32"/>
        </w:rPr>
      </w:pPr>
      <w:r w:rsidRPr="00303FCE">
        <w:rPr>
          <w:rFonts w:ascii="Times New Roman" w:hAnsi="Times New Roman" w:cs="Times New Roman"/>
          <w:b/>
          <w:bCs/>
          <w:sz w:val="32"/>
          <w:szCs w:val="32"/>
        </w:rPr>
        <w:t>Conclusion</w:t>
      </w:r>
      <w:r w:rsidR="00870E9B">
        <w:rPr>
          <w:rFonts w:ascii="Times New Roman" w:hAnsi="Times New Roman" w:cs="Times New Roman"/>
          <w:b/>
          <w:bCs/>
          <w:sz w:val="32"/>
          <w:szCs w:val="32"/>
        </w:rPr>
        <w:t>.</w:t>
      </w:r>
    </w:p>
    <w:p w14:paraId="0B05B4EF" w14:textId="32D81C01" w:rsidR="00972E0A" w:rsidRPr="00972E0A" w:rsidRDefault="00972E0A" w:rsidP="00972E0A">
      <w:pPr>
        <w:spacing w:line="360" w:lineRule="auto"/>
        <w:jc w:val="both"/>
        <w:rPr>
          <w:rFonts w:ascii="Times New Roman" w:hAnsi="Times New Roman" w:cs="Times New Roman"/>
          <w:sz w:val="24"/>
          <w:szCs w:val="24"/>
        </w:rPr>
      </w:pPr>
      <w:r w:rsidRPr="00303FCE">
        <w:rPr>
          <w:rFonts w:ascii="Times New Roman" w:hAnsi="Times New Roman" w:cs="Times New Roman"/>
          <w:sz w:val="24"/>
          <w:szCs w:val="24"/>
        </w:rPr>
        <w:t xml:space="preserve">Only a prolonged QT interval </w:t>
      </w:r>
      <w:r w:rsidR="008774DD" w:rsidRPr="00303FCE">
        <w:rPr>
          <w:rFonts w:ascii="Times New Roman" w:hAnsi="Times New Roman" w:cs="Times New Roman"/>
          <w:sz w:val="24"/>
          <w:szCs w:val="24"/>
        </w:rPr>
        <w:t>strongly relates to</w:t>
      </w:r>
      <w:r w:rsidRPr="00303FCE">
        <w:rPr>
          <w:rFonts w:ascii="Times New Roman" w:hAnsi="Times New Roman" w:cs="Times New Roman"/>
          <w:sz w:val="24"/>
          <w:szCs w:val="24"/>
        </w:rPr>
        <w:t xml:space="preserve"> large varices </w:t>
      </w:r>
      <w:r w:rsidR="008774DD" w:rsidRPr="00303FCE">
        <w:rPr>
          <w:rFonts w:ascii="Times New Roman" w:hAnsi="Times New Roman" w:cs="Times New Roman"/>
          <w:sz w:val="24"/>
          <w:szCs w:val="24"/>
        </w:rPr>
        <w:t>regarding</w:t>
      </w:r>
      <w:r w:rsidRPr="00303FCE">
        <w:rPr>
          <w:rFonts w:ascii="Times New Roman" w:hAnsi="Times New Roman" w:cs="Times New Roman"/>
          <w:sz w:val="24"/>
          <w:szCs w:val="24"/>
        </w:rPr>
        <w:t xml:space="preserve"> cardiac alterations and their linkage with the degree of esophageal varices.</w:t>
      </w:r>
      <w:r w:rsidR="002E2BBB" w:rsidRPr="00303FCE">
        <w:rPr>
          <w:rFonts w:ascii="Times New Roman" w:hAnsi="Times New Roman" w:cs="Times New Roman"/>
          <w:sz w:val="24"/>
          <w:szCs w:val="24"/>
        </w:rPr>
        <w:t xml:space="preserve"> </w:t>
      </w:r>
      <w:r w:rsidR="008774DD" w:rsidRPr="00303FCE">
        <w:rPr>
          <w:rFonts w:ascii="Times New Roman" w:hAnsi="Times New Roman" w:cs="Times New Roman"/>
          <w:sz w:val="24"/>
          <w:szCs w:val="24"/>
        </w:rPr>
        <w:t>In our study, echocardiographic parameters had no relation to esophageal varices</w:t>
      </w:r>
      <w:r w:rsidRPr="00303FCE">
        <w:rPr>
          <w:rFonts w:ascii="Times New Roman" w:hAnsi="Times New Roman" w:cs="Times New Roman"/>
          <w:sz w:val="24"/>
          <w:szCs w:val="24"/>
        </w:rPr>
        <w:t>.</w:t>
      </w:r>
    </w:p>
    <w:p w14:paraId="6DBAA61C" w14:textId="1CA1280D" w:rsidR="00C654BD" w:rsidRPr="004341E2" w:rsidRDefault="008774DD" w:rsidP="00303FCE">
      <w:pPr>
        <w:spacing w:line="360" w:lineRule="auto"/>
        <w:jc w:val="both"/>
        <w:rPr>
          <w:rFonts w:ascii="Times New Roman" w:hAnsi="Times New Roman" w:cs="Times New Roman"/>
          <w:sz w:val="24"/>
          <w:szCs w:val="24"/>
        </w:rPr>
      </w:pPr>
      <w:r w:rsidRPr="00303FCE">
        <w:rPr>
          <w:rFonts w:ascii="Times New Roman" w:hAnsi="Times New Roman" w:cs="Times New Roman"/>
          <w:b/>
          <w:bCs/>
          <w:i/>
          <w:iCs/>
          <w:sz w:val="28"/>
          <w:szCs w:val="28"/>
        </w:rPr>
        <w:t>Keywords</w:t>
      </w:r>
      <w:r w:rsidR="00303FCE">
        <w:rPr>
          <w:rFonts w:ascii="Times New Roman" w:hAnsi="Times New Roman" w:cs="Times New Roman"/>
          <w:b/>
          <w:bCs/>
          <w:i/>
          <w:iCs/>
          <w:sz w:val="28"/>
          <w:szCs w:val="28"/>
        </w:rPr>
        <w:t xml:space="preserve">: </w:t>
      </w:r>
      <w:r w:rsidR="00222804">
        <w:rPr>
          <w:rFonts w:ascii="Times New Roman" w:hAnsi="Times New Roman" w:cs="Times New Roman"/>
          <w:sz w:val="24"/>
          <w:szCs w:val="24"/>
        </w:rPr>
        <w:t xml:space="preserve">Cirrhotic </w:t>
      </w:r>
      <w:r w:rsidR="00FD5646">
        <w:rPr>
          <w:rFonts w:ascii="Times New Roman" w:hAnsi="Times New Roman" w:cs="Times New Roman"/>
          <w:sz w:val="24"/>
          <w:szCs w:val="24"/>
        </w:rPr>
        <w:t>cardiomyopathy,</w:t>
      </w:r>
      <w:r w:rsidR="000B6382">
        <w:rPr>
          <w:rFonts w:ascii="Times New Roman" w:hAnsi="Times New Roman" w:cs="Times New Roman"/>
          <w:sz w:val="24"/>
          <w:szCs w:val="24"/>
        </w:rPr>
        <w:t xml:space="preserve"> corrected QT interval, esophage</w:t>
      </w:r>
      <w:r w:rsidR="00FD5646">
        <w:rPr>
          <w:rFonts w:ascii="Times New Roman" w:hAnsi="Times New Roman" w:cs="Times New Roman"/>
          <w:sz w:val="24"/>
          <w:szCs w:val="24"/>
        </w:rPr>
        <w:t>a</w:t>
      </w:r>
      <w:r w:rsidR="000B6382">
        <w:rPr>
          <w:rFonts w:ascii="Times New Roman" w:hAnsi="Times New Roman" w:cs="Times New Roman"/>
          <w:sz w:val="24"/>
          <w:szCs w:val="24"/>
        </w:rPr>
        <w:t>l varices</w:t>
      </w:r>
      <w:r w:rsidR="002C40C6">
        <w:rPr>
          <w:rFonts w:ascii="Times New Roman" w:hAnsi="Times New Roman" w:cs="Times New Roman"/>
          <w:sz w:val="24"/>
          <w:szCs w:val="24"/>
        </w:rPr>
        <w:t>.</w:t>
      </w:r>
    </w:p>
    <w:p w14:paraId="152275AA" w14:textId="451C677B" w:rsidR="007063C9" w:rsidRPr="00D31C78" w:rsidRDefault="002714A8" w:rsidP="007021A5">
      <w:pPr>
        <w:spacing w:line="360" w:lineRule="auto"/>
        <w:jc w:val="both"/>
        <w:rPr>
          <w:rFonts w:ascii="Times New Roman" w:hAnsi="Times New Roman" w:cs="Times New Roman"/>
          <w:b/>
          <w:bCs/>
          <w:sz w:val="32"/>
          <w:szCs w:val="32"/>
        </w:rPr>
      </w:pPr>
      <w:r w:rsidRPr="00D31C78">
        <w:rPr>
          <w:rFonts w:ascii="Times New Roman" w:hAnsi="Times New Roman" w:cs="Times New Roman"/>
          <w:b/>
          <w:bCs/>
          <w:sz w:val="32"/>
          <w:szCs w:val="32"/>
        </w:rPr>
        <w:t xml:space="preserve">Introduction </w:t>
      </w:r>
    </w:p>
    <w:p w14:paraId="2F310B6B" w14:textId="15C7DDC1" w:rsidR="00FD5646" w:rsidRPr="00FD5646" w:rsidRDefault="00FD5646" w:rsidP="00693856">
      <w:pPr>
        <w:spacing w:line="360" w:lineRule="auto"/>
        <w:jc w:val="both"/>
        <w:rPr>
          <w:rFonts w:ascii="Times New Roman" w:hAnsi="Times New Roman" w:cs="Times New Roman"/>
          <w:sz w:val="24"/>
          <w:szCs w:val="24"/>
        </w:rPr>
      </w:pPr>
      <w:r w:rsidRPr="00FD5646">
        <w:rPr>
          <w:rFonts w:ascii="Times New Roman" w:hAnsi="Times New Roman" w:cs="Times New Roman"/>
          <w:sz w:val="24"/>
          <w:szCs w:val="24"/>
        </w:rPr>
        <w:t xml:space="preserve">Worldwide, cirrhosis is a </w:t>
      </w:r>
      <w:r w:rsidR="008774DD">
        <w:rPr>
          <w:rFonts w:ascii="Times New Roman" w:hAnsi="Times New Roman" w:cs="Times New Roman"/>
          <w:sz w:val="24"/>
          <w:szCs w:val="24"/>
        </w:rPr>
        <w:t>significant</w:t>
      </w:r>
      <w:r w:rsidRPr="00FD5646">
        <w:rPr>
          <w:rFonts w:ascii="Times New Roman" w:hAnsi="Times New Roman" w:cs="Times New Roman"/>
          <w:sz w:val="24"/>
          <w:szCs w:val="24"/>
        </w:rPr>
        <w:t xml:space="preserve"> factor in the morbidity and death of patients with chronic liver disease. Cirrhosis was associated with 2.4% of fatalities worldwide in 2019 </w:t>
      </w:r>
      <w:r w:rsidR="00232D7A">
        <w:rPr>
          <w:rFonts w:ascii="Times New Roman" w:hAnsi="Times New Roman" w:cs="Times New Roman"/>
          <w:sz w:val="24"/>
          <w:szCs w:val="24"/>
        </w:rPr>
        <w:t>[</w:t>
      </w:r>
      <w:r w:rsidRPr="00FD5646">
        <w:rPr>
          <w:rFonts w:ascii="Times New Roman" w:hAnsi="Times New Roman" w:cs="Times New Roman"/>
          <w:sz w:val="24"/>
          <w:szCs w:val="24"/>
        </w:rPr>
        <w:t>1</w:t>
      </w:r>
      <w:r w:rsidR="00232D7A">
        <w:rPr>
          <w:rFonts w:ascii="Times New Roman" w:hAnsi="Times New Roman" w:cs="Times New Roman"/>
          <w:sz w:val="24"/>
          <w:szCs w:val="24"/>
        </w:rPr>
        <w:t>]</w:t>
      </w:r>
      <w:r w:rsidRPr="00FD5646">
        <w:rPr>
          <w:rFonts w:ascii="Times New Roman" w:hAnsi="Times New Roman" w:cs="Times New Roman"/>
          <w:sz w:val="24"/>
          <w:szCs w:val="24"/>
        </w:rPr>
        <w:t>.</w:t>
      </w:r>
    </w:p>
    <w:p w14:paraId="358DD7E5" w14:textId="54D5FA14" w:rsidR="00FD5646" w:rsidRPr="00FD5646" w:rsidRDefault="00FD5646" w:rsidP="00693856">
      <w:pPr>
        <w:spacing w:line="360" w:lineRule="auto"/>
        <w:jc w:val="both"/>
        <w:rPr>
          <w:rFonts w:ascii="Times New Roman" w:hAnsi="Times New Roman" w:cs="Times New Roman"/>
          <w:sz w:val="24"/>
          <w:szCs w:val="24"/>
        </w:rPr>
      </w:pPr>
      <w:r w:rsidRPr="00FD5646">
        <w:rPr>
          <w:rFonts w:ascii="Times New Roman" w:hAnsi="Times New Roman" w:cs="Times New Roman"/>
          <w:sz w:val="24"/>
          <w:szCs w:val="24"/>
        </w:rPr>
        <w:t>Cirrhotic cardiomyopathy (CCM) was initially suggested by specialists at the 2005 Global Congress of Gastroenterological Surgery and is defined as persistent heart insufficiency</w:t>
      </w:r>
      <w:r w:rsidR="009028B5">
        <w:rPr>
          <w:rFonts w:ascii="Times New Roman" w:hAnsi="Times New Roman" w:cs="Times New Roman"/>
          <w:sz w:val="24"/>
          <w:szCs w:val="24"/>
        </w:rPr>
        <w:t xml:space="preserve">, systolic and diastolic dysfunction, and electrical abnormalities, such as prolongation of the </w:t>
      </w:r>
      <w:r w:rsidRPr="00FD5646">
        <w:rPr>
          <w:rFonts w:ascii="Times New Roman" w:hAnsi="Times New Roman" w:cs="Times New Roman"/>
          <w:sz w:val="24"/>
          <w:szCs w:val="24"/>
        </w:rPr>
        <w:t xml:space="preserve">QT interval </w:t>
      </w:r>
      <w:r w:rsidR="00232D7A">
        <w:rPr>
          <w:rFonts w:ascii="Times New Roman" w:hAnsi="Times New Roman" w:cs="Times New Roman"/>
          <w:sz w:val="24"/>
          <w:szCs w:val="24"/>
        </w:rPr>
        <w:t>[</w:t>
      </w:r>
      <w:r w:rsidRPr="00FD5646">
        <w:rPr>
          <w:rFonts w:ascii="Times New Roman" w:hAnsi="Times New Roman" w:cs="Times New Roman"/>
          <w:sz w:val="24"/>
          <w:szCs w:val="24"/>
        </w:rPr>
        <w:t>2</w:t>
      </w:r>
      <w:r w:rsidR="00232D7A">
        <w:rPr>
          <w:rFonts w:ascii="Times New Roman" w:hAnsi="Times New Roman" w:cs="Times New Roman"/>
          <w:sz w:val="24"/>
          <w:szCs w:val="24"/>
        </w:rPr>
        <w:t>]</w:t>
      </w:r>
      <w:r w:rsidRPr="00FD5646">
        <w:rPr>
          <w:rFonts w:ascii="Times New Roman" w:hAnsi="Times New Roman" w:cs="Times New Roman"/>
          <w:sz w:val="24"/>
          <w:szCs w:val="24"/>
        </w:rPr>
        <w:t>.</w:t>
      </w:r>
    </w:p>
    <w:p w14:paraId="262D4F4A" w14:textId="5D29B71A" w:rsidR="00FD5646" w:rsidRPr="00FD5646" w:rsidRDefault="00FD5646" w:rsidP="00693856">
      <w:pPr>
        <w:spacing w:line="360" w:lineRule="auto"/>
        <w:jc w:val="both"/>
        <w:rPr>
          <w:rFonts w:ascii="Times New Roman" w:hAnsi="Times New Roman" w:cs="Times New Roman"/>
          <w:sz w:val="24"/>
          <w:szCs w:val="24"/>
        </w:rPr>
      </w:pPr>
      <w:r w:rsidRPr="00FD5646">
        <w:rPr>
          <w:rFonts w:ascii="Times New Roman" w:hAnsi="Times New Roman" w:cs="Times New Roman"/>
          <w:sz w:val="24"/>
          <w:szCs w:val="24"/>
        </w:rPr>
        <w:t xml:space="preserve">The Cirrhotic Cardiomyopathy Group was established in 2019 by a multidisciplinary team of cardiologists, hepatologists, and anesthesiologists. The organization has proposed new criteria for CCM </w:t>
      </w:r>
      <w:r w:rsidR="00232D7A">
        <w:rPr>
          <w:rFonts w:ascii="Times New Roman" w:hAnsi="Times New Roman" w:cs="Times New Roman"/>
          <w:sz w:val="24"/>
          <w:szCs w:val="24"/>
        </w:rPr>
        <w:t>[</w:t>
      </w:r>
      <w:r w:rsidRPr="00FD5646">
        <w:rPr>
          <w:rFonts w:ascii="Times New Roman" w:hAnsi="Times New Roman" w:cs="Times New Roman"/>
          <w:sz w:val="24"/>
          <w:szCs w:val="24"/>
        </w:rPr>
        <w:t>3</w:t>
      </w:r>
      <w:r w:rsidR="00232D7A">
        <w:rPr>
          <w:rFonts w:ascii="Times New Roman" w:hAnsi="Times New Roman" w:cs="Times New Roman"/>
          <w:sz w:val="24"/>
          <w:szCs w:val="24"/>
        </w:rPr>
        <w:t>]</w:t>
      </w:r>
      <w:r w:rsidRPr="00FD5646">
        <w:rPr>
          <w:rFonts w:ascii="Times New Roman" w:hAnsi="Times New Roman" w:cs="Times New Roman"/>
          <w:sz w:val="24"/>
          <w:szCs w:val="24"/>
        </w:rPr>
        <w:t>.</w:t>
      </w:r>
    </w:p>
    <w:p w14:paraId="6AF2F588" w14:textId="651A2968" w:rsidR="007202D7" w:rsidRPr="00303FCE" w:rsidRDefault="00FD5646" w:rsidP="00AF7F04">
      <w:pPr>
        <w:spacing w:line="360" w:lineRule="auto"/>
        <w:jc w:val="both"/>
        <w:rPr>
          <w:rFonts w:ascii="Times New Roman" w:hAnsi="Times New Roman" w:cs="Times New Roman"/>
          <w:sz w:val="24"/>
          <w:szCs w:val="24"/>
        </w:rPr>
      </w:pPr>
      <w:r w:rsidRPr="006220DF">
        <w:rPr>
          <w:rFonts w:asciiTheme="majorBidi" w:hAnsiTheme="majorBidi" w:cstheme="majorBidi"/>
          <w:sz w:val="24"/>
          <w:szCs w:val="24"/>
        </w:rPr>
        <w:t xml:space="preserve">A comparison of the criteria for the diagnosis of CCM is shown in </w:t>
      </w:r>
      <w:r w:rsidRPr="00303FCE">
        <w:rPr>
          <w:rFonts w:ascii="Times New Roman" w:hAnsi="Times New Roman" w:cs="Times New Roman"/>
          <w:sz w:val="24"/>
          <w:szCs w:val="24"/>
        </w:rPr>
        <w:t xml:space="preserve">Table </w:t>
      </w:r>
      <w:r w:rsidR="00232D7A" w:rsidRPr="00303FCE">
        <w:rPr>
          <w:rFonts w:ascii="Times New Roman" w:hAnsi="Times New Roman" w:cs="Times New Roman"/>
          <w:sz w:val="24"/>
          <w:szCs w:val="24"/>
        </w:rPr>
        <w:t>(</w:t>
      </w:r>
      <w:r w:rsidR="00D2154D" w:rsidRPr="00303FCE">
        <w:rPr>
          <w:rFonts w:ascii="Times New Roman" w:hAnsi="Times New Roman" w:cs="Times New Roman"/>
          <w:sz w:val="24"/>
          <w:szCs w:val="24"/>
        </w:rPr>
        <w:t>1</w:t>
      </w:r>
      <w:r w:rsidRPr="00303FCE">
        <w:rPr>
          <w:rFonts w:ascii="Times New Roman" w:hAnsi="Times New Roman" w:cs="Times New Roman"/>
          <w:sz w:val="24"/>
          <w:szCs w:val="24"/>
        </w:rPr>
        <w:t>)</w:t>
      </w:r>
      <w:r w:rsidR="00F81A03" w:rsidRPr="00303FCE">
        <w:rPr>
          <w:rFonts w:ascii="Times New Roman" w:hAnsi="Times New Roman" w:cs="Times New Roman"/>
          <w:sz w:val="24"/>
          <w:szCs w:val="24"/>
        </w:rPr>
        <w:t>. [</w:t>
      </w:r>
      <w:r w:rsidR="00AF7F04" w:rsidRPr="00303FCE">
        <w:rPr>
          <w:rFonts w:ascii="Times New Roman" w:hAnsi="Times New Roman" w:cs="Times New Roman"/>
          <w:sz w:val="24"/>
          <w:szCs w:val="24"/>
        </w:rPr>
        <w:t>4]</w:t>
      </w:r>
    </w:p>
    <w:p w14:paraId="623FB32A" w14:textId="107C95CF" w:rsidR="00FD5646" w:rsidRDefault="00FD5646" w:rsidP="00F81A03">
      <w:pPr>
        <w:spacing w:line="360" w:lineRule="auto"/>
        <w:jc w:val="both"/>
        <w:rPr>
          <w:rFonts w:asciiTheme="majorBidi" w:hAnsiTheme="majorBidi" w:cstheme="majorBidi"/>
          <w:sz w:val="24"/>
          <w:szCs w:val="24"/>
        </w:rPr>
      </w:pPr>
      <w:r w:rsidRPr="009028B5">
        <w:rPr>
          <w:rFonts w:asciiTheme="majorBidi" w:hAnsiTheme="majorBidi" w:cstheme="majorBidi"/>
          <w:sz w:val="24"/>
          <w:szCs w:val="24"/>
        </w:rPr>
        <w:t xml:space="preserve">Regarding the pathophysiology of CCM, it has been suggested that </w:t>
      </w:r>
      <w:r w:rsidR="008774DD" w:rsidRPr="009028B5">
        <w:rPr>
          <w:rFonts w:asciiTheme="majorBidi" w:hAnsiTheme="majorBidi" w:cstheme="majorBidi"/>
          <w:sz w:val="24"/>
          <w:szCs w:val="24"/>
        </w:rPr>
        <w:t>a hyperdynamic circulation initially compensates for the significant splanchnic arterial vasodilatation seen in liver cirrhosis</w:t>
      </w:r>
      <w:r w:rsidRPr="009028B5">
        <w:rPr>
          <w:rFonts w:asciiTheme="majorBidi" w:hAnsiTheme="majorBidi" w:cstheme="majorBidi"/>
          <w:sz w:val="24"/>
          <w:szCs w:val="24"/>
        </w:rPr>
        <w:t xml:space="preserve">; subsequently, liver disease progression and portal hypertension </w:t>
      </w:r>
      <w:r w:rsidR="008774DD" w:rsidRPr="009028B5">
        <w:rPr>
          <w:rFonts w:asciiTheme="majorBidi" w:hAnsiTheme="majorBidi" w:cstheme="majorBidi"/>
          <w:sz w:val="24"/>
          <w:szCs w:val="24"/>
        </w:rPr>
        <w:t>leads</w:t>
      </w:r>
      <w:r w:rsidRPr="009028B5">
        <w:rPr>
          <w:rFonts w:asciiTheme="majorBidi" w:hAnsiTheme="majorBidi" w:cstheme="majorBidi"/>
          <w:sz w:val="24"/>
          <w:szCs w:val="24"/>
        </w:rPr>
        <w:t xml:space="preserve"> to additional splanchnic vasodilatation and a </w:t>
      </w:r>
      <w:r w:rsidR="00F81A03" w:rsidRPr="009028B5">
        <w:rPr>
          <w:rFonts w:asciiTheme="majorBidi" w:hAnsiTheme="majorBidi" w:cstheme="majorBidi"/>
          <w:sz w:val="24"/>
          <w:szCs w:val="24"/>
        </w:rPr>
        <w:t>reduced</w:t>
      </w:r>
      <w:r w:rsidRPr="009028B5">
        <w:rPr>
          <w:rFonts w:asciiTheme="majorBidi" w:hAnsiTheme="majorBidi" w:cstheme="majorBidi"/>
          <w:sz w:val="24"/>
          <w:szCs w:val="24"/>
        </w:rPr>
        <w:t xml:space="preserve"> effective arterial blood volume, which triggers the sympathetic nervous system and the renin-angiotensin-aldosterone system. Overexposure to sympathetic effector molecules results in downregulation, internalization, and cardiac damage, which impairs the function of β-adrenergic receptors [</w:t>
      </w:r>
      <w:r w:rsidR="00AF7F04" w:rsidRPr="009028B5">
        <w:rPr>
          <w:rFonts w:asciiTheme="majorBidi" w:hAnsiTheme="majorBidi" w:cstheme="majorBidi"/>
          <w:sz w:val="24"/>
          <w:szCs w:val="24"/>
        </w:rPr>
        <w:t>5</w:t>
      </w:r>
      <w:r w:rsidRPr="009028B5">
        <w:rPr>
          <w:rFonts w:asciiTheme="majorBidi" w:hAnsiTheme="majorBidi" w:cstheme="majorBidi"/>
          <w:sz w:val="24"/>
          <w:szCs w:val="24"/>
        </w:rPr>
        <w:t xml:space="preserve">]. Another theory for the increased synthesis of endogenous </w:t>
      </w:r>
      <w:r w:rsidR="008774DD" w:rsidRPr="009028B5">
        <w:rPr>
          <w:rFonts w:asciiTheme="majorBidi" w:hAnsiTheme="majorBidi" w:cstheme="majorBidi"/>
          <w:sz w:val="24"/>
          <w:szCs w:val="24"/>
        </w:rPr>
        <w:t>cardio-depressant</w:t>
      </w:r>
      <w:r w:rsidRPr="009028B5">
        <w:rPr>
          <w:rFonts w:asciiTheme="majorBidi" w:hAnsiTheme="majorBidi" w:cstheme="majorBidi"/>
          <w:sz w:val="24"/>
          <w:szCs w:val="24"/>
        </w:rPr>
        <w:t xml:space="preserve"> mediators includes nitric oxide, carbon monoxide, endogenous cannabinoids, and inflammatory cytokines </w:t>
      </w:r>
      <w:r w:rsidR="00232D7A" w:rsidRPr="009028B5">
        <w:rPr>
          <w:rFonts w:asciiTheme="majorBidi" w:hAnsiTheme="majorBidi" w:cstheme="majorBidi"/>
          <w:sz w:val="24"/>
          <w:szCs w:val="24"/>
        </w:rPr>
        <w:t>[</w:t>
      </w:r>
      <w:r w:rsidR="00AF7F04" w:rsidRPr="009028B5">
        <w:rPr>
          <w:rFonts w:asciiTheme="majorBidi" w:hAnsiTheme="majorBidi" w:cstheme="majorBidi"/>
          <w:sz w:val="24"/>
          <w:szCs w:val="24"/>
        </w:rPr>
        <w:t>6</w:t>
      </w:r>
      <w:r w:rsidR="00232D7A" w:rsidRPr="009028B5">
        <w:rPr>
          <w:rFonts w:asciiTheme="majorBidi" w:hAnsiTheme="majorBidi" w:cstheme="majorBidi"/>
          <w:sz w:val="24"/>
          <w:szCs w:val="24"/>
        </w:rPr>
        <w:t>]</w:t>
      </w:r>
      <w:r w:rsidRPr="009028B5">
        <w:rPr>
          <w:rFonts w:asciiTheme="majorBidi" w:hAnsiTheme="majorBidi" w:cstheme="majorBidi"/>
          <w:sz w:val="24"/>
          <w:szCs w:val="24"/>
        </w:rPr>
        <w:t>.</w:t>
      </w:r>
    </w:p>
    <w:p w14:paraId="1FB867FD" w14:textId="0BD281E2" w:rsidR="007E388E" w:rsidRPr="007E388E" w:rsidRDefault="007E388E" w:rsidP="00AF7F04">
      <w:pPr>
        <w:spacing w:line="360" w:lineRule="auto"/>
        <w:jc w:val="both"/>
        <w:rPr>
          <w:rFonts w:asciiTheme="majorBidi" w:hAnsiTheme="majorBidi" w:cstheme="majorBidi"/>
          <w:sz w:val="24"/>
          <w:szCs w:val="24"/>
        </w:rPr>
      </w:pPr>
      <w:r w:rsidRPr="007E388E">
        <w:rPr>
          <w:rFonts w:asciiTheme="majorBidi" w:hAnsiTheme="majorBidi" w:cstheme="majorBidi"/>
          <w:sz w:val="24"/>
          <w:szCs w:val="24"/>
        </w:rPr>
        <w:t xml:space="preserve">QT interval prolongation </w:t>
      </w:r>
      <w:r w:rsidR="008774DD">
        <w:rPr>
          <w:rFonts w:asciiTheme="majorBidi" w:hAnsiTheme="majorBidi" w:cstheme="majorBidi"/>
          <w:sz w:val="24"/>
          <w:szCs w:val="24"/>
        </w:rPr>
        <w:t xml:space="preserve">occurs in 30–70% of patients with liver cirrhosis [7]. Previous research has demonstrated that the length of the QT interval caused by cirrhosis </w:t>
      </w:r>
      <w:r w:rsidR="00140307">
        <w:rPr>
          <w:rFonts w:asciiTheme="majorBidi" w:hAnsiTheme="majorBidi" w:cstheme="majorBidi"/>
          <w:sz w:val="24"/>
          <w:szCs w:val="24"/>
        </w:rPr>
        <w:t>strongly correlates</w:t>
      </w:r>
      <w:r w:rsidR="008774DD">
        <w:rPr>
          <w:rFonts w:asciiTheme="majorBidi" w:hAnsiTheme="majorBidi" w:cstheme="majorBidi"/>
          <w:sz w:val="24"/>
          <w:szCs w:val="24"/>
        </w:rPr>
        <w:t xml:space="preserve"> with the severity of the condition</w:t>
      </w:r>
      <w:r w:rsidR="005B5D81">
        <w:rPr>
          <w:rFonts w:asciiTheme="majorBidi" w:hAnsiTheme="majorBidi" w:cstheme="majorBidi"/>
          <w:sz w:val="24"/>
          <w:szCs w:val="24"/>
        </w:rPr>
        <w:t>, indicating</w:t>
      </w:r>
      <w:r w:rsidRPr="007E388E">
        <w:rPr>
          <w:rFonts w:asciiTheme="majorBidi" w:hAnsiTheme="majorBidi" w:cstheme="majorBidi"/>
          <w:sz w:val="24"/>
          <w:szCs w:val="24"/>
        </w:rPr>
        <w:t xml:space="preserve"> the </w:t>
      </w:r>
      <w:r w:rsidR="006A6B2C">
        <w:rPr>
          <w:rFonts w:asciiTheme="majorBidi" w:hAnsiTheme="majorBidi" w:cstheme="majorBidi"/>
          <w:sz w:val="24"/>
          <w:szCs w:val="24"/>
        </w:rPr>
        <w:t>severity of the disease</w:t>
      </w:r>
      <w:r w:rsidRPr="007E388E">
        <w:rPr>
          <w:rFonts w:asciiTheme="majorBidi" w:hAnsiTheme="majorBidi" w:cstheme="majorBidi"/>
          <w:sz w:val="24"/>
          <w:szCs w:val="24"/>
        </w:rPr>
        <w:t xml:space="preserve"> </w:t>
      </w:r>
      <w:r w:rsidR="00232D7A">
        <w:rPr>
          <w:rFonts w:asciiTheme="majorBidi" w:hAnsiTheme="majorBidi" w:cstheme="majorBidi"/>
          <w:sz w:val="24"/>
          <w:szCs w:val="24"/>
        </w:rPr>
        <w:t>[</w:t>
      </w:r>
      <w:r w:rsidR="00AF7F04">
        <w:rPr>
          <w:rFonts w:asciiTheme="majorBidi" w:hAnsiTheme="majorBidi" w:cstheme="majorBidi"/>
          <w:sz w:val="24"/>
          <w:szCs w:val="24"/>
        </w:rPr>
        <w:t>8</w:t>
      </w:r>
      <w:r w:rsidR="00232D7A">
        <w:rPr>
          <w:rFonts w:asciiTheme="majorBidi" w:hAnsiTheme="majorBidi" w:cstheme="majorBidi"/>
          <w:sz w:val="24"/>
          <w:szCs w:val="24"/>
        </w:rPr>
        <w:t>]</w:t>
      </w:r>
      <w:r w:rsidRPr="007E388E">
        <w:rPr>
          <w:rFonts w:asciiTheme="majorBidi" w:hAnsiTheme="majorBidi" w:cstheme="majorBidi"/>
          <w:sz w:val="24"/>
          <w:szCs w:val="24"/>
        </w:rPr>
        <w:t>.</w:t>
      </w:r>
    </w:p>
    <w:p w14:paraId="67DC6A64" w14:textId="0E6F906B" w:rsidR="007E388E" w:rsidRDefault="007E388E" w:rsidP="00AF7F04">
      <w:pPr>
        <w:spacing w:line="360" w:lineRule="auto"/>
        <w:jc w:val="both"/>
        <w:rPr>
          <w:rFonts w:asciiTheme="majorBidi" w:hAnsiTheme="majorBidi" w:cstheme="majorBidi"/>
          <w:sz w:val="24"/>
          <w:szCs w:val="24"/>
        </w:rPr>
      </w:pPr>
      <w:r w:rsidRPr="007E388E">
        <w:rPr>
          <w:rFonts w:asciiTheme="majorBidi" w:hAnsiTheme="majorBidi" w:cstheme="majorBidi"/>
          <w:sz w:val="24"/>
          <w:szCs w:val="24"/>
        </w:rPr>
        <w:t xml:space="preserve">Although the pathophysiological process of QT interval prolongation in cirrhosis is still not fully known, it may involve genetic susceptibility, cirrhotic heart failure, metabolic, autonomic, or hormonal abnormalities. Other exogenous risk factors for QTc prolonging include bradycardia, electrolyte imbalances, underlying cardiomyopathy, acute sickness, and drugs </w:t>
      </w:r>
      <w:r w:rsidR="00232D7A">
        <w:rPr>
          <w:rFonts w:asciiTheme="majorBidi" w:hAnsiTheme="majorBidi" w:cstheme="majorBidi"/>
          <w:sz w:val="24"/>
          <w:szCs w:val="24"/>
        </w:rPr>
        <w:t>[</w:t>
      </w:r>
      <w:r w:rsidR="00AF7F04">
        <w:rPr>
          <w:rFonts w:asciiTheme="majorBidi" w:hAnsiTheme="majorBidi" w:cstheme="majorBidi"/>
          <w:sz w:val="24"/>
          <w:szCs w:val="24"/>
        </w:rPr>
        <w:t>8</w:t>
      </w:r>
      <w:r w:rsidR="00232D7A">
        <w:rPr>
          <w:rFonts w:asciiTheme="majorBidi" w:hAnsiTheme="majorBidi" w:cstheme="majorBidi"/>
          <w:sz w:val="24"/>
          <w:szCs w:val="24"/>
        </w:rPr>
        <w:t>]</w:t>
      </w:r>
      <w:r w:rsidRPr="007E388E">
        <w:rPr>
          <w:rFonts w:asciiTheme="majorBidi" w:hAnsiTheme="majorBidi" w:cstheme="majorBidi"/>
          <w:sz w:val="24"/>
          <w:szCs w:val="24"/>
        </w:rPr>
        <w:t xml:space="preserve">. The QT interval's extension </w:t>
      </w:r>
      <w:r w:rsidR="008774DD">
        <w:rPr>
          <w:rFonts w:asciiTheme="majorBidi" w:hAnsiTheme="majorBidi" w:cstheme="majorBidi"/>
          <w:sz w:val="24"/>
          <w:szCs w:val="24"/>
        </w:rPr>
        <w:t>increases cardiac output and reduces</w:t>
      </w:r>
      <w:r w:rsidRPr="007E388E">
        <w:rPr>
          <w:rFonts w:asciiTheme="majorBidi" w:hAnsiTheme="majorBidi" w:cstheme="majorBidi"/>
          <w:sz w:val="24"/>
          <w:szCs w:val="24"/>
        </w:rPr>
        <w:t xml:space="preserve"> myocardial contraction. The decline in the ventricle's transmission raises the possibility of arrhythmia of the ventricles, </w:t>
      </w:r>
      <w:r w:rsidR="008774DD">
        <w:rPr>
          <w:rFonts w:asciiTheme="majorBidi" w:hAnsiTheme="majorBidi" w:cstheme="majorBidi"/>
          <w:sz w:val="24"/>
          <w:szCs w:val="24"/>
        </w:rPr>
        <w:t>exceptionally</w:t>
      </w:r>
      <w:r w:rsidRPr="007E388E">
        <w:rPr>
          <w:rFonts w:asciiTheme="majorBidi" w:hAnsiTheme="majorBidi" w:cstheme="majorBidi"/>
          <w:sz w:val="24"/>
          <w:szCs w:val="24"/>
        </w:rPr>
        <w:t xml:space="preserve"> polymorphic ventricular fibrillation</w:t>
      </w:r>
      <w:r w:rsidR="008774DD">
        <w:rPr>
          <w:rFonts w:asciiTheme="majorBidi" w:hAnsiTheme="majorBidi" w:cstheme="majorBidi"/>
          <w:sz w:val="24"/>
          <w:szCs w:val="24"/>
        </w:rPr>
        <w:t>,</w:t>
      </w:r>
      <w:r w:rsidRPr="007E388E">
        <w:rPr>
          <w:rFonts w:asciiTheme="majorBidi" w:hAnsiTheme="majorBidi" w:cstheme="majorBidi"/>
          <w:sz w:val="24"/>
          <w:szCs w:val="24"/>
        </w:rPr>
        <w:t xml:space="preserve"> and tachycardia, which can cause unexpected death </w:t>
      </w:r>
      <w:r w:rsidR="00232D7A">
        <w:rPr>
          <w:rFonts w:asciiTheme="majorBidi" w:hAnsiTheme="majorBidi" w:cstheme="majorBidi"/>
          <w:sz w:val="24"/>
          <w:szCs w:val="24"/>
        </w:rPr>
        <w:t>[</w:t>
      </w:r>
      <w:r w:rsidR="00AF7F04">
        <w:rPr>
          <w:rFonts w:asciiTheme="majorBidi" w:hAnsiTheme="majorBidi" w:cstheme="majorBidi"/>
          <w:sz w:val="24"/>
          <w:szCs w:val="24"/>
        </w:rPr>
        <w:t>9</w:t>
      </w:r>
      <w:r w:rsidRPr="007E388E">
        <w:rPr>
          <w:rFonts w:asciiTheme="majorBidi" w:hAnsiTheme="majorBidi" w:cstheme="majorBidi"/>
          <w:sz w:val="24"/>
          <w:szCs w:val="24"/>
        </w:rPr>
        <w:t xml:space="preserve">, </w:t>
      </w:r>
      <w:r w:rsidR="00AF7F04">
        <w:rPr>
          <w:rFonts w:asciiTheme="majorBidi" w:hAnsiTheme="majorBidi" w:cstheme="majorBidi"/>
          <w:sz w:val="24"/>
          <w:szCs w:val="24"/>
        </w:rPr>
        <w:t>10</w:t>
      </w:r>
      <w:r w:rsidR="00232D7A">
        <w:rPr>
          <w:rFonts w:asciiTheme="majorBidi" w:hAnsiTheme="majorBidi" w:cstheme="majorBidi"/>
          <w:sz w:val="24"/>
          <w:szCs w:val="24"/>
        </w:rPr>
        <w:t>]</w:t>
      </w:r>
      <w:r w:rsidRPr="007E388E">
        <w:rPr>
          <w:rFonts w:asciiTheme="majorBidi" w:hAnsiTheme="majorBidi" w:cstheme="majorBidi"/>
          <w:sz w:val="24"/>
          <w:szCs w:val="24"/>
        </w:rPr>
        <w:t>.</w:t>
      </w:r>
    </w:p>
    <w:p w14:paraId="6EED17DA" w14:textId="3B7001CF" w:rsidR="007E388E" w:rsidRDefault="007E388E" w:rsidP="00AF7F04">
      <w:pPr>
        <w:spacing w:line="360" w:lineRule="auto"/>
        <w:jc w:val="both"/>
        <w:rPr>
          <w:rFonts w:asciiTheme="majorBidi" w:hAnsiTheme="majorBidi" w:cstheme="majorBidi"/>
          <w:sz w:val="24"/>
          <w:szCs w:val="24"/>
        </w:rPr>
      </w:pPr>
      <w:r w:rsidRPr="007E388E">
        <w:rPr>
          <w:rFonts w:asciiTheme="majorBidi" w:hAnsiTheme="majorBidi" w:cstheme="majorBidi"/>
          <w:sz w:val="24"/>
          <w:szCs w:val="24"/>
        </w:rPr>
        <w:t xml:space="preserve">Unfortunately, these abnormalities are rarely identified because of their subclinical course. Until patients are exposed to stress, the condition </w:t>
      </w:r>
      <w:r w:rsidR="008774DD">
        <w:rPr>
          <w:rFonts w:asciiTheme="majorBidi" w:hAnsiTheme="majorBidi" w:cstheme="majorBidi"/>
          <w:sz w:val="24"/>
          <w:szCs w:val="24"/>
        </w:rPr>
        <w:t>remains typically</w:t>
      </w:r>
      <w:r w:rsidRPr="007E388E">
        <w:rPr>
          <w:rFonts w:asciiTheme="majorBidi" w:hAnsiTheme="majorBidi" w:cstheme="majorBidi"/>
          <w:sz w:val="24"/>
          <w:szCs w:val="24"/>
        </w:rPr>
        <w:t xml:space="preserve"> asymptomatic with nearly normal cardiac function. Liver transplantation may result in circulatory system decompensation, which raises perioperative mortality from cardiovascular causes </w:t>
      </w:r>
      <w:r w:rsidR="00232D7A">
        <w:rPr>
          <w:rFonts w:asciiTheme="majorBidi" w:hAnsiTheme="majorBidi" w:cstheme="majorBidi"/>
          <w:sz w:val="24"/>
          <w:szCs w:val="24"/>
        </w:rPr>
        <w:t>[</w:t>
      </w:r>
      <w:r w:rsidRPr="007E388E">
        <w:rPr>
          <w:rFonts w:asciiTheme="majorBidi" w:hAnsiTheme="majorBidi" w:cstheme="majorBidi"/>
          <w:sz w:val="24"/>
          <w:szCs w:val="24"/>
        </w:rPr>
        <w:t>1</w:t>
      </w:r>
      <w:r w:rsidR="00AF7F04">
        <w:rPr>
          <w:rFonts w:asciiTheme="majorBidi" w:hAnsiTheme="majorBidi" w:cstheme="majorBidi"/>
          <w:sz w:val="24"/>
          <w:szCs w:val="24"/>
        </w:rPr>
        <w:t>1</w:t>
      </w:r>
      <w:r w:rsidR="00232D7A">
        <w:rPr>
          <w:rFonts w:asciiTheme="majorBidi" w:hAnsiTheme="majorBidi" w:cstheme="majorBidi"/>
          <w:sz w:val="24"/>
          <w:szCs w:val="24"/>
        </w:rPr>
        <w:t>]</w:t>
      </w:r>
      <w:r w:rsidRPr="007E388E">
        <w:rPr>
          <w:rFonts w:asciiTheme="majorBidi" w:hAnsiTheme="majorBidi" w:cstheme="majorBidi"/>
          <w:sz w:val="24"/>
          <w:szCs w:val="24"/>
        </w:rPr>
        <w:t>.</w:t>
      </w:r>
    </w:p>
    <w:p w14:paraId="1E13FD8B" w14:textId="196F8A2B" w:rsidR="00D26481" w:rsidRPr="00D26481" w:rsidRDefault="00D26481" w:rsidP="00AF7F04">
      <w:pPr>
        <w:spacing w:line="360" w:lineRule="auto"/>
        <w:jc w:val="both"/>
        <w:rPr>
          <w:rFonts w:asciiTheme="majorBidi" w:hAnsiTheme="majorBidi" w:cstheme="majorBidi"/>
          <w:sz w:val="24"/>
          <w:szCs w:val="24"/>
        </w:rPr>
      </w:pPr>
      <w:r w:rsidRPr="00D26481">
        <w:rPr>
          <w:rFonts w:asciiTheme="majorBidi" w:hAnsiTheme="majorBidi" w:cstheme="majorBidi"/>
          <w:sz w:val="24"/>
          <w:szCs w:val="24"/>
        </w:rPr>
        <w:t xml:space="preserve">One of the symptoms of decompensated cirrhosis is portal hypertension, which frequently causes upper gastrointestinal bleeding (UGIB). Patients with liver cirrhosis </w:t>
      </w:r>
      <w:r w:rsidR="008774DD">
        <w:rPr>
          <w:rFonts w:asciiTheme="majorBidi" w:hAnsiTheme="majorBidi" w:cstheme="majorBidi"/>
          <w:sz w:val="24"/>
          <w:szCs w:val="24"/>
        </w:rPr>
        <w:t>often</w:t>
      </w:r>
      <w:r w:rsidRPr="00D26481">
        <w:rPr>
          <w:rFonts w:asciiTheme="majorBidi" w:hAnsiTheme="majorBidi" w:cstheme="majorBidi"/>
          <w:sz w:val="24"/>
          <w:szCs w:val="24"/>
        </w:rPr>
        <w:t xml:space="preserve"> experience UGIB, a potentially fatal consequence</w:t>
      </w:r>
      <w:r w:rsidR="00232D7A">
        <w:rPr>
          <w:rFonts w:asciiTheme="majorBidi" w:hAnsiTheme="majorBidi" w:cstheme="majorBidi"/>
          <w:sz w:val="24"/>
          <w:szCs w:val="24"/>
        </w:rPr>
        <w:t xml:space="preserve"> [</w:t>
      </w:r>
      <w:r w:rsidRPr="00D26481">
        <w:rPr>
          <w:rFonts w:asciiTheme="majorBidi" w:hAnsiTheme="majorBidi" w:cstheme="majorBidi"/>
          <w:sz w:val="24"/>
          <w:szCs w:val="24"/>
        </w:rPr>
        <w:t>1</w:t>
      </w:r>
      <w:r w:rsidR="00AF7F04">
        <w:rPr>
          <w:rFonts w:asciiTheme="majorBidi" w:hAnsiTheme="majorBidi" w:cstheme="majorBidi"/>
          <w:sz w:val="24"/>
          <w:szCs w:val="24"/>
        </w:rPr>
        <w:t>2</w:t>
      </w:r>
      <w:r w:rsidR="00232D7A">
        <w:rPr>
          <w:rFonts w:asciiTheme="majorBidi" w:hAnsiTheme="majorBidi" w:cstheme="majorBidi"/>
          <w:sz w:val="24"/>
          <w:szCs w:val="24"/>
        </w:rPr>
        <w:t>]</w:t>
      </w:r>
      <w:r w:rsidRPr="00D26481">
        <w:rPr>
          <w:rFonts w:asciiTheme="majorBidi" w:hAnsiTheme="majorBidi" w:cstheme="majorBidi"/>
          <w:sz w:val="24"/>
          <w:szCs w:val="24"/>
        </w:rPr>
        <w:t>.</w:t>
      </w:r>
    </w:p>
    <w:p w14:paraId="5F962228" w14:textId="6FB16A35" w:rsidR="001C6576" w:rsidRPr="00C654BD" w:rsidRDefault="00D26481" w:rsidP="00AF7F04">
      <w:pPr>
        <w:spacing w:line="360" w:lineRule="auto"/>
        <w:jc w:val="both"/>
        <w:rPr>
          <w:rFonts w:asciiTheme="majorBidi" w:hAnsiTheme="majorBidi" w:cstheme="majorBidi"/>
          <w:sz w:val="24"/>
          <w:szCs w:val="24"/>
        </w:rPr>
      </w:pPr>
      <w:r w:rsidRPr="00D26481">
        <w:rPr>
          <w:rFonts w:asciiTheme="majorBidi" w:hAnsiTheme="majorBidi" w:cstheme="majorBidi"/>
          <w:sz w:val="24"/>
          <w:szCs w:val="24"/>
        </w:rPr>
        <w:t xml:space="preserve">In addition to causing myocardial ischemia, the bleeding also results in anemia, hypotension, and tachycardia. For this reason, individuals with CCM and extended QT have an even worse clinical state </w:t>
      </w:r>
      <w:r w:rsidR="00232D7A">
        <w:rPr>
          <w:rFonts w:asciiTheme="majorBidi" w:hAnsiTheme="majorBidi" w:cstheme="majorBidi"/>
          <w:sz w:val="24"/>
          <w:szCs w:val="24"/>
        </w:rPr>
        <w:t>[</w:t>
      </w:r>
      <w:r w:rsidRPr="00D26481">
        <w:rPr>
          <w:rFonts w:asciiTheme="majorBidi" w:hAnsiTheme="majorBidi" w:cstheme="majorBidi"/>
          <w:sz w:val="24"/>
          <w:szCs w:val="24"/>
        </w:rPr>
        <w:t>1</w:t>
      </w:r>
      <w:r w:rsidR="00AF7F04">
        <w:rPr>
          <w:rFonts w:asciiTheme="majorBidi" w:hAnsiTheme="majorBidi" w:cstheme="majorBidi"/>
          <w:sz w:val="24"/>
          <w:szCs w:val="24"/>
        </w:rPr>
        <w:t>3</w:t>
      </w:r>
      <w:r w:rsidR="00232D7A">
        <w:rPr>
          <w:rFonts w:asciiTheme="majorBidi" w:hAnsiTheme="majorBidi" w:cstheme="majorBidi"/>
          <w:sz w:val="24"/>
          <w:szCs w:val="24"/>
        </w:rPr>
        <w:t>]</w:t>
      </w:r>
      <w:r w:rsidRPr="00D26481">
        <w:rPr>
          <w:rFonts w:asciiTheme="majorBidi" w:hAnsiTheme="majorBidi" w:cstheme="majorBidi"/>
          <w:sz w:val="24"/>
          <w:szCs w:val="24"/>
        </w:rPr>
        <w:t>.</w:t>
      </w:r>
      <w:r w:rsidR="008774DD">
        <w:rPr>
          <w:rFonts w:asciiTheme="majorBidi" w:hAnsiTheme="majorBidi" w:cstheme="majorBidi"/>
          <w:sz w:val="24"/>
          <w:szCs w:val="24"/>
        </w:rPr>
        <w:t xml:space="preserve"> </w:t>
      </w:r>
      <w:r w:rsidR="00894E8B" w:rsidRPr="00D26481">
        <w:rPr>
          <w:rFonts w:asciiTheme="majorBidi" w:hAnsiTheme="majorBidi" w:cstheme="majorBidi"/>
          <w:sz w:val="24"/>
          <w:szCs w:val="24"/>
        </w:rPr>
        <w:t>So</w:t>
      </w:r>
      <w:r w:rsidR="008774DD">
        <w:rPr>
          <w:rFonts w:asciiTheme="majorBidi" w:hAnsiTheme="majorBidi" w:cstheme="majorBidi"/>
          <w:sz w:val="24"/>
          <w:szCs w:val="24"/>
        </w:rPr>
        <w:t>,</w:t>
      </w:r>
      <w:r w:rsidR="00894E8B" w:rsidRPr="00D26481">
        <w:rPr>
          <w:rFonts w:asciiTheme="majorBidi" w:hAnsiTheme="majorBidi" w:cstheme="majorBidi"/>
          <w:sz w:val="24"/>
          <w:szCs w:val="24"/>
        </w:rPr>
        <w:t xml:space="preserve"> this study aimed to study cardiac changes in cirrhotic patients </w:t>
      </w:r>
      <w:r w:rsidR="008774DD">
        <w:rPr>
          <w:rFonts w:asciiTheme="majorBidi" w:hAnsiTheme="majorBidi" w:cstheme="majorBidi"/>
          <w:sz w:val="24"/>
          <w:szCs w:val="24"/>
        </w:rPr>
        <w:t>about</w:t>
      </w:r>
      <w:r w:rsidR="00894E8B" w:rsidRPr="00D26481">
        <w:rPr>
          <w:rFonts w:asciiTheme="majorBidi" w:hAnsiTheme="majorBidi" w:cstheme="majorBidi"/>
          <w:sz w:val="24"/>
          <w:szCs w:val="24"/>
        </w:rPr>
        <w:t xml:space="preserve"> the degree of esophageal varices.</w:t>
      </w:r>
    </w:p>
    <w:p w14:paraId="1B630268" w14:textId="501EA3CC" w:rsidR="00475102" w:rsidRPr="00D31C78" w:rsidRDefault="0010066A" w:rsidP="001E26C9">
      <w:pPr>
        <w:spacing w:line="360" w:lineRule="auto"/>
        <w:jc w:val="both"/>
        <w:rPr>
          <w:rFonts w:asciiTheme="majorBidi" w:eastAsia="Arial" w:hAnsiTheme="majorBidi" w:cstheme="majorBidi"/>
          <w:b/>
          <w:bCs/>
          <w:sz w:val="32"/>
          <w:szCs w:val="32"/>
          <w:lang w:eastAsia="de-DE"/>
        </w:rPr>
      </w:pPr>
      <w:r>
        <w:rPr>
          <w:rFonts w:asciiTheme="majorBidi" w:eastAsia="Arial" w:hAnsiTheme="majorBidi" w:cstheme="majorBidi"/>
          <w:b/>
          <w:bCs/>
          <w:sz w:val="32"/>
          <w:szCs w:val="32"/>
          <w:lang w:eastAsia="de-DE"/>
        </w:rPr>
        <w:t xml:space="preserve">Patients and methods </w:t>
      </w:r>
    </w:p>
    <w:p w14:paraId="200A0111" w14:textId="77777777" w:rsidR="006220DF" w:rsidRDefault="006220DF" w:rsidP="001E26C9">
      <w:pPr>
        <w:spacing w:line="360" w:lineRule="auto"/>
        <w:ind w:firstLine="284"/>
        <w:jc w:val="both"/>
        <w:rPr>
          <w:rFonts w:asciiTheme="majorBidi" w:eastAsia="Arial" w:hAnsiTheme="majorBidi" w:cstheme="majorBidi"/>
          <w:sz w:val="24"/>
          <w:szCs w:val="24"/>
          <w:lang w:eastAsia="de-DE"/>
        </w:rPr>
      </w:pPr>
      <w:r w:rsidRPr="006220DF">
        <w:rPr>
          <w:rFonts w:asciiTheme="majorBidi" w:eastAsia="Arial" w:hAnsiTheme="majorBidi" w:cstheme="majorBidi"/>
          <w:b/>
          <w:bCs/>
          <w:sz w:val="24"/>
          <w:szCs w:val="24"/>
          <w:lang w:eastAsia="de-DE"/>
        </w:rPr>
        <w:t>Study design</w:t>
      </w:r>
      <w:r>
        <w:rPr>
          <w:rFonts w:asciiTheme="majorBidi" w:eastAsia="Arial" w:hAnsiTheme="majorBidi" w:cstheme="majorBidi"/>
          <w:sz w:val="24"/>
          <w:szCs w:val="24"/>
          <w:lang w:eastAsia="de-DE"/>
        </w:rPr>
        <w:t>:</w:t>
      </w:r>
      <w:r w:rsidR="00475102" w:rsidRPr="001B24EE">
        <w:rPr>
          <w:rFonts w:asciiTheme="majorBidi" w:eastAsia="Arial" w:hAnsiTheme="majorBidi" w:cstheme="majorBidi"/>
          <w:sz w:val="24"/>
          <w:szCs w:val="24"/>
          <w:lang w:eastAsia="de-DE"/>
        </w:rPr>
        <w:t xml:space="preserve"> </w:t>
      </w:r>
      <w:r w:rsidR="00D26481" w:rsidRPr="00D26481">
        <w:rPr>
          <w:rFonts w:asciiTheme="majorBidi" w:eastAsia="Arial" w:hAnsiTheme="majorBidi" w:cstheme="majorBidi"/>
          <w:sz w:val="24"/>
          <w:szCs w:val="24"/>
          <w:lang w:eastAsia="de-DE"/>
        </w:rPr>
        <w:t xml:space="preserve">This </w:t>
      </w:r>
      <w:r>
        <w:rPr>
          <w:rFonts w:asciiTheme="majorBidi" w:eastAsia="Arial" w:hAnsiTheme="majorBidi" w:cstheme="majorBidi"/>
          <w:sz w:val="24"/>
          <w:szCs w:val="24"/>
          <w:lang w:eastAsia="de-DE"/>
        </w:rPr>
        <w:t xml:space="preserve">is a </w:t>
      </w:r>
      <w:r w:rsidR="00D26481" w:rsidRPr="00D26481">
        <w:rPr>
          <w:rFonts w:asciiTheme="majorBidi" w:eastAsia="Arial" w:hAnsiTheme="majorBidi" w:cstheme="majorBidi"/>
          <w:sz w:val="24"/>
          <w:szCs w:val="24"/>
          <w:lang w:eastAsia="de-DE"/>
        </w:rPr>
        <w:t>cross-sectional study</w:t>
      </w:r>
      <w:r>
        <w:rPr>
          <w:rFonts w:asciiTheme="majorBidi" w:eastAsia="Arial" w:hAnsiTheme="majorBidi" w:cstheme="majorBidi"/>
          <w:sz w:val="24"/>
          <w:szCs w:val="24"/>
          <w:lang w:eastAsia="de-DE"/>
        </w:rPr>
        <w:t>.</w:t>
      </w:r>
    </w:p>
    <w:p w14:paraId="137D3D69" w14:textId="708DA1C0" w:rsidR="0046159E" w:rsidRPr="001F7617" w:rsidRDefault="006220DF" w:rsidP="001E26C9">
      <w:pPr>
        <w:spacing w:line="360" w:lineRule="auto"/>
        <w:ind w:firstLine="284"/>
        <w:jc w:val="both"/>
        <w:rPr>
          <w:rFonts w:asciiTheme="majorBidi" w:eastAsia="Arial" w:hAnsiTheme="majorBidi" w:cstheme="majorBidi"/>
          <w:sz w:val="24"/>
          <w:szCs w:val="24"/>
          <w:lang w:eastAsia="de-DE"/>
        </w:rPr>
      </w:pPr>
      <w:r w:rsidRPr="006220DF">
        <w:rPr>
          <w:rFonts w:asciiTheme="majorBidi" w:eastAsia="Arial" w:hAnsiTheme="majorBidi" w:cstheme="majorBidi"/>
          <w:b/>
          <w:bCs/>
          <w:sz w:val="24"/>
          <w:szCs w:val="24"/>
          <w:lang w:eastAsia="de-DE"/>
        </w:rPr>
        <w:t>Study setting</w:t>
      </w:r>
      <w:r>
        <w:rPr>
          <w:rFonts w:asciiTheme="majorBidi" w:eastAsia="Arial" w:hAnsiTheme="majorBidi" w:cstheme="majorBidi"/>
          <w:sz w:val="24"/>
          <w:szCs w:val="24"/>
          <w:lang w:eastAsia="de-DE"/>
        </w:rPr>
        <w:t>:</w:t>
      </w:r>
      <w:r w:rsidR="00D26481" w:rsidRPr="00D26481">
        <w:rPr>
          <w:rFonts w:asciiTheme="majorBidi" w:eastAsia="Arial" w:hAnsiTheme="majorBidi" w:cstheme="majorBidi"/>
          <w:sz w:val="24"/>
          <w:szCs w:val="24"/>
          <w:lang w:eastAsia="de-DE"/>
        </w:rPr>
        <w:t xml:space="preserve"> </w:t>
      </w:r>
      <w:r w:rsidR="008774DD">
        <w:rPr>
          <w:rFonts w:asciiTheme="majorBidi" w:eastAsia="Arial" w:hAnsiTheme="majorBidi" w:cstheme="majorBidi"/>
          <w:sz w:val="24"/>
          <w:szCs w:val="24"/>
          <w:lang w:eastAsia="de-DE"/>
        </w:rPr>
        <w:t xml:space="preserve">This study was conducted on 60 patients presenting to the Department of Tropical Medicine and Infectious Diseases at Tanta University Hospital </w:t>
      </w:r>
      <w:r w:rsidR="00D26481" w:rsidRPr="00D26481">
        <w:rPr>
          <w:rFonts w:asciiTheme="majorBidi" w:eastAsia="Arial" w:hAnsiTheme="majorBidi" w:cstheme="majorBidi"/>
          <w:sz w:val="24"/>
          <w:szCs w:val="24"/>
          <w:lang w:eastAsia="de-DE"/>
        </w:rPr>
        <w:t xml:space="preserve">between February 2023 and August 2023. </w:t>
      </w:r>
    </w:p>
    <w:p w14:paraId="14DA336B" w14:textId="73F3E8FE" w:rsidR="005E68BA" w:rsidRPr="005E68BA" w:rsidRDefault="005E68BA" w:rsidP="001E26C9">
      <w:pPr>
        <w:spacing w:line="360" w:lineRule="auto"/>
        <w:ind w:firstLine="284"/>
        <w:jc w:val="both"/>
        <w:rPr>
          <w:rFonts w:asciiTheme="majorBidi" w:eastAsia="Arial" w:hAnsiTheme="majorBidi" w:cstheme="majorBidi"/>
          <w:b/>
          <w:bCs/>
          <w:sz w:val="24"/>
          <w:szCs w:val="24"/>
          <w:lang w:eastAsia="de-DE"/>
        </w:rPr>
      </w:pPr>
      <w:r w:rsidRPr="005E68BA">
        <w:rPr>
          <w:rFonts w:asciiTheme="majorBidi" w:eastAsia="Arial" w:hAnsiTheme="majorBidi" w:cstheme="majorBidi"/>
          <w:b/>
          <w:bCs/>
          <w:sz w:val="24"/>
          <w:szCs w:val="24"/>
          <w:lang w:eastAsia="de-DE"/>
        </w:rPr>
        <w:t xml:space="preserve">Study patients and sample </w:t>
      </w:r>
      <w:r w:rsidR="00303FCE" w:rsidRPr="005E68BA">
        <w:rPr>
          <w:rFonts w:asciiTheme="majorBidi" w:eastAsia="Arial" w:hAnsiTheme="majorBidi" w:cstheme="majorBidi"/>
          <w:b/>
          <w:bCs/>
          <w:sz w:val="24"/>
          <w:szCs w:val="24"/>
          <w:lang w:eastAsia="de-DE"/>
        </w:rPr>
        <w:t>size:</w:t>
      </w:r>
    </w:p>
    <w:p w14:paraId="73AC8B3E" w14:textId="3A4F8E2F" w:rsidR="005E68BA" w:rsidRPr="005E68BA" w:rsidRDefault="005E68BA" w:rsidP="00AF7F04">
      <w:pPr>
        <w:spacing w:line="360" w:lineRule="auto"/>
        <w:ind w:firstLine="284"/>
        <w:jc w:val="both"/>
        <w:rPr>
          <w:rFonts w:asciiTheme="majorBidi" w:eastAsia="Arial" w:hAnsiTheme="majorBidi" w:cstheme="majorBidi"/>
          <w:sz w:val="24"/>
          <w:szCs w:val="24"/>
          <w:lang w:eastAsia="de-DE"/>
        </w:rPr>
      </w:pPr>
      <w:r w:rsidRPr="005E68BA">
        <w:rPr>
          <w:rFonts w:asciiTheme="majorBidi" w:eastAsia="Arial" w:hAnsiTheme="majorBidi" w:cstheme="majorBidi"/>
          <w:sz w:val="24"/>
          <w:szCs w:val="24"/>
          <w:lang w:eastAsia="de-DE"/>
        </w:rPr>
        <w:t>Our studied sample</w:t>
      </w:r>
      <w:r>
        <w:rPr>
          <w:rFonts w:asciiTheme="majorBidi" w:eastAsia="Arial" w:hAnsiTheme="majorBidi" w:cstheme="majorBidi"/>
          <w:sz w:val="24"/>
          <w:szCs w:val="24"/>
          <w:lang w:eastAsia="de-DE"/>
        </w:rPr>
        <w:t xml:space="preserve"> (60 cirrhotic patients)</w:t>
      </w:r>
      <w:r w:rsidRPr="005E68BA">
        <w:rPr>
          <w:rFonts w:asciiTheme="majorBidi" w:eastAsia="Arial" w:hAnsiTheme="majorBidi" w:cstheme="majorBidi"/>
          <w:sz w:val="24"/>
          <w:szCs w:val="24"/>
          <w:lang w:eastAsia="de-DE"/>
        </w:rPr>
        <w:t xml:space="preserve"> was divided into </w:t>
      </w:r>
      <w:r w:rsidR="008774DD">
        <w:rPr>
          <w:rFonts w:asciiTheme="majorBidi" w:eastAsia="Arial" w:hAnsiTheme="majorBidi" w:cstheme="majorBidi"/>
          <w:sz w:val="24"/>
          <w:szCs w:val="24"/>
          <w:lang w:eastAsia="de-DE"/>
        </w:rPr>
        <w:t>three</w:t>
      </w:r>
      <w:r w:rsidRPr="005E68BA">
        <w:rPr>
          <w:rFonts w:asciiTheme="majorBidi" w:eastAsia="Arial" w:hAnsiTheme="majorBidi" w:cstheme="majorBidi"/>
          <w:sz w:val="24"/>
          <w:szCs w:val="24"/>
          <w:lang w:eastAsia="de-DE"/>
        </w:rPr>
        <w:t xml:space="preserve"> groups: Group I included 20 cirrhotic patients without esophageal varices, Group II included 20 cirrhotic patients with small esophageal varices (grade I – II)</w:t>
      </w:r>
      <w:r w:rsidR="008774DD">
        <w:rPr>
          <w:rFonts w:asciiTheme="majorBidi" w:eastAsia="Arial" w:hAnsiTheme="majorBidi" w:cstheme="majorBidi"/>
          <w:sz w:val="24"/>
          <w:szCs w:val="24"/>
          <w:lang w:eastAsia="de-DE"/>
        </w:rPr>
        <w:t>,</w:t>
      </w:r>
      <w:r w:rsidRPr="005E68BA">
        <w:rPr>
          <w:rFonts w:asciiTheme="majorBidi" w:eastAsia="Arial" w:hAnsiTheme="majorBidi" w:cstheme="majorBidi"/>
          <w:sz w:val="24"/>
          <w:szCs w:val="24"/>
          <w:lang w:eastAsia="de-DE"/>
        </w:rPr>
        <w:t xml:space="preserve"> and Group III included 20 Cirrhotic patients, with large esophageal varices (grade </w:t>
      </w:r>
      <w:r w:rsidR="00AC3B89">
        <w:rPr>
          <w:rFonts w:asciiTheme="majorBidi" w:eastAsia="Arial" w:hAnsiTheme="majorBidi" w:cstheme="majorBidi"/>
          <w:sz w:val="24"/>
          <w:szCs w:val="24"/>
          <w:lang w:eastAsia="de-DE"/>
        </w:rPr>
        <w:t>III–IV</w:t>
      </w:r>
      <w:r w:rsidRPr="005E68BA">
        <w:rPr>
          <w:rFonts w:asciiTheme="majorBidi" w:eastAsia="Arial" w:hAnsiTheme="majorBidi" w:cstheme="majorBidi"/>
          <w:sz w:val="24"/>
          <w:szCs w:val="24"/>
          <w:lang w:eastAsia="de-DE"/>
        </w:rPr>
        <w:t xml:space="preserve">). The </w:t>
      </w:r>
      <w:r w:rsidR="008774DD">
        <w:rPr>
          <w:rFonts w:asciiTheme="majorBidi" w:eastAsia="Arial" w:hAnsiTheme="majorBidi" w:cstheme="majorBidi"/>
          <w:sz w:val="24"/>
          <w:szCs w:val="24"/>
          <w:lang w:eastAsia="de-DE"/>
        </w:rPr>
        <w:t>varices grades</w:t>
      </w:r>
      <w:r w:rsidRPr="005E68BA">
        <w:rPr>
          <w:rFonts w:asciiTheme="majorBidi" w:eastAsia="Arial" w:hAnsiTheme="majorBidi" w:cstheme="majorBidi"/>
          <w:sz w:val="24"/>
          <w:szCs w:val="24"/>
          <w:lang w:eastAsia="de-DE"/>
        </w:rPr>
        <w:t xml:space="preserve"> were classified according to </w:t>
      </w:r>
      <w:r w:rsidR="008774DD">
        <w:rPr>
          <w:rFonts w:asciiTheme="majorBidi" w:eastAsia="Arial" w:hAnsiTheme="majorBidi" w:cstheme="majorBidi"/>
          <w:sz w:val="24"/>
          <w:szCs w:val="24"/>
          <w:lang w:eastAsia="de-DE"/>
        </w:rPr>
        <w:t xml:space="preserve">the </w:t>
      </w:r>
      <w:r w:rsidRPr="005E68BA">
        <w:rPr>
          <w:rFonts w:asciiTheme="majorBidi" w:eastAsia="Arial" w:hAnsiTheme="majorBidi" w:cstheme="majorBidi"/>
          <w:sz w:val="24"/>
          <w:szCs w:val="24"/>
          <w:lang w:eastAsia="de-DE"/>
        </w:rPr>
        <w:t>Baveno IV classification [1</w:t>
      </w:r>
      <w:r w:rsidR="00AF7F04">
        <w:rPr>
          <w:rFonts w:asciiTheme="majorBidi" w:eastAsia="Arial" w:hAnsiTheme="majorBidi" w:cstheme="majorBidi"/>
          <w:sz w:val="24"/>
          <w:szCs w:val="24"/>
          <w:lang w:eastAsia="de-DE"/>
        </w:rPr>
        <w:t>4</w:t>
      </w:r>
      <w:r w:rsidRPr="005E68BA">
        <w:rPr>
          <w:rFonts w:asciiTheme="majorBidi" w:eastAsia="Arial" w:hAnsiTheme="majorBidi" w:cstheme="majorBidi"/>
          <w:sz w:val="24"/>
          <w:szCs w:val="24"/>
          <w:lang w:eastAsia="de-DE"/>
        </w:rPr>
        <w:t>].</w:t>
      </w:r>
    </w:p>
    <w:p w14:paraId="216C54A0" w14:textId="7926CF44" w:rsidR="005E68BA" w:rsidRDefault="005E68BA" w:rsidP="001E26C9">
      <w:pPr>
        <w:spacing w:line="360" w:lineRule="auto"/>
        <w:ind w:firstLine="284"/>
        <w:jc w:val="both"/>
        <w:rPr>
          <w:rFonts w:asciiTheme="majorBidi" w:eastAsia="Arial" w:hAnsiTheme="majorBidi" w:cstheme="majorBidi"/>
          <w:b/>
          <w:bCs/>
          <w:sz w:val="24"/>
          <w:szCs w:val="24"/>
          <w:lang w:eastAsia="de-DE"/>
        </w:rPr>
      </w:pPr>
      <w:r>
        <w:rPr>
          <w:rFonts w:asciiTheme="majorBidi" w:eastAsia="Arial" w:hAnsiTheme="majorBidi" w:cstheme="majorBidi"/>
          <w:b/>
          <w:bCs/>
          <w:sz w:val="24"/>
          <w:szCs w:val="24"/>
          <w:lang w:eastAsia="de-DE"/>
        </w:rPr>
        <w:t>Inclusion criteria:</w:t>
      </w:r>
    </w:p>
    <w:p w14:paraId="52C8BF81" w14:textId="008EA37B" w:rsidR="005E68BA" w:rsidRDefault="005E68BA" w:rsidP="001E26C9">
      <w:pPr>
        <w:spacing w:line="360" w:lineRule="auto"/>
        <w:ind w:firstLine="284"/>
        <w:jc w:val="both"/>
        <w:rPr>
          <w:rFonts w:asciiTheme="majorBidi" w:eastAsia="Arial" w:hAnsiTheme="majorBidi" w:cstheme="majorBidi"/>
          <w:sz w:val="24"/>
          <w:szCs w:val="24"/>
          <w:lang w:eastAsia="de-DE"/>
        </w:rPr>
      </w:pPr>
      <w:r>
        <w:rPr>
          <w:rFonts w:asciiTheme="majorBidi" w:eastAsia="Arial" w:hAnsiTheme="majorBidi" w:cstheme="majorBidi"/>
          <w:sz w:val="24"/>
          <w:szCs w:val="24"/>
          <w:lang w:eastAsia="de-DE"/>
        </w:rPr>
        <w:t>A</w:t>
      </w:r>
      <w:r w:rsidRPr="005E68BA">
        <w:rPr>
          <w:rFonts w:asciiTheme="majorBidi" w:eastAsia="Arial" w:hAnsiTheme="majorBidi" w:cstheme="majorBidi"/>
          <w:sz w:val="24"/>
          <w:szCs w:val="24"/>
          <w:lang w:eastAsia="de-DE"/>
        </w:rPr>
        <w:t xml:space="preserve">ll adult patients (&gt;18 years) </w:t>
      </w:r>
      <w:r w:rsidR="008774DD">
        <w:rPr>
          <w:rFonts w:asciiTheme="majorBidi" w:eastAsia="Arial" w:hAnsiTheme="majorBidi" w:cstheme="majorBidi"/>
          <w:sz w:val="24"/>
          <w:szCs w:val="24"/>
          <w:lang w:eastAsia="de-DE"/>
        </w:rPr>
        <w:t xml:space="preserve">were </w:t>
      </w:r>
      <w:r w:rsidRPr="005E68BA">
        <w:rPr>
          <w:rFonts w:asciiTheme="majorBidi" w:eastAsia="Arial" w:hAnsiTheme="majorBidi" w:cstheme="majorBidi"/>
          <w:sz w:val="24"/>
          <w:szCs w:val="24"/>
          <w:lang w:eastAsia="de-DE"/>
        </w:rPr>
        <w:t>diagnosed with liver cirrhosis based on clinical, biochemical, and radiological features</w:t>
      </w:r>
      <w:r>
        <w:rPr>
          <w:rFonts w:asciiTheme="majorBidi" w:eastAsia="Arial" w:hAnsiTheme="majorBidi" w:cstheme="majorBidi"/>
          <w:sz w:val="24"/>
          <w:szCs w:val="24"/>
          <w:lang w:eastAsia="de-DE"/>
        </w:rPr>
        <w:t>.</w:t>
      </w:r>
    </w:p>
    <w:p w14:paraId="7A34EA6B" w14:textId="77777777" w:rsidR="005E68BA" w:rsidRDefault="00D26481" w:rsidP="0066703D">
      <w:pPr>
        <w:spacing w:line="360" w:lineRule="auto"/>
        <w:ind w:firstLine="284"/>
        <w:jc w:val="both"/>
        <w:rPr>
          <w:rFonts w:asciiTheme="majorBidi" w:eastAsia="Arial" w:hAnsiTheme="majorBidi" w:cstheme="majorBidi"/>
          <w:sz w:val="24"/>
          <w:szCs w:val="24"/>
          <w:lang w:eastAsia="de-DE"/>
        </w:rPr>
      </w:pPr>
      <w:r w:rsidRPr="005E68BA">
        <w:rPr>
          <w:rFonts w:asciiTheme="majorBidi" w:eastAsia="Arial" w:hAnsiTheme="majorBidi" w:cstheme="majorBidi"/>
          <w:b/>
          <w:bCs/>
          <w:sz w:val="24"/>
          <w:szCs w:val="24"/>
          <w:lang w:eastAsia="de-DE"/>
        </w:rPr>
        <w:t>Exclusion criteria</w:t>
      </w:r>
      <w:r w:rsidR="005E68BA">
        <w:rPr>
          <w:rFonts w:asciiTheme="majorBidi" w:eastAsia="Arial" w:hAnsiTheme="majorBidi" w:cstheme="majorBidi"/>
          <w:b/>
          <w:bCs/>
          <w:sz w:val="24"/>
          <w:szCs w:val="24"/>
          <w:lang w:eastAsia="de-DE"/>
        </w:rPr>
        <w:t>:</w:t>
      </w:r>
    </w:p>
    <w:p w14:paraId="660EF1E6" w14:textId="1ADC9650" w:rsidR="00ED2853" w:rsidRDefault="008774DD" w:rsidP="00972E0A">
      <w:pPr>
        <w:spacing w:line="360" w:lineRule="auto"/>
        <w:ind w:firstLine="284"/>
        <w:jc w:val="both"/>
        <w:rPr>
          <w:rFonts w:asciiTheme="majorBidi" w:eastAsia="Arial" w:hAnsiTheme="majorBidi" w:cstheme="majorBidi"/>
          <w:sz w:val="24"/>
          <w:szCs w:val="24"/>
          <w:lang w:eastAsia="de-DE"/>
        </w:rPr>
      </w:pPr>
      <w:r>
        <w:rPr>
          <w:rFonts w:asciiTheme="majorBidi" w:eastAsia="Arial" w:hAnsiTheme="majorBidi" w:cstheme="majorBidi"/>
          <w:sz w:val="24"/>
          <w:szCs w:val="24"/>
          <w:lang w:eastAsia="de-DE"/>
        </w:rPr>
        <w:t>They included</w:t>
      </w:r>
      <w:r w:rsidR="00D26481" w:rsidRPr="00D26481">
        <w:rPr>
          <w:rFonts w:asciiTheme="majorBidi" w:eastAsia="Arial" w:hAnsiTheme="majorBidi" w:cstheme="majorBidi"/>
          <w:sz w:val="24"/>
          <w:szCs w:val="24"/>
          <w:lang w:eastAsia="de-DE"/>
        </w:rPr>
        <w:t xml:space="preserve"> patients with alcoholic liver </w:t>
      </w:r>
      <w:r w:rsidR="00D26481" w:rsidRPr="00303FCE">
        <w:rPr>
          <w:rFonts w:asciiTheme="majorBidi" w:eastAsia="Arial" w:hAnsiTheme="majorBidi" w:cstheme="majorBidi"/>
          <w:sz w:val="24"/>
          <w:szCs w:val="24"/>
          <w:lang w:eastAsia="de-DE"/>
        </w:rPr>
        <w:t>cirrhosis, thyroid disease, hypertension</w:t>
      </w:r>
      <w:r w:rsidR="00D26481" w:rsidRPr="00D26481">
        <w:rPr>
          <w:rFonts w:asciiTheme="majorBidi" w:eastAsia="Arial" w:hAnsiTheme="majorBidi" w:cstheme="majorBidi"/>
          <w:sz w:val="24"/>
          <w:szCs w:val="24"/>
          <w:lang w:eastAsia="de-DE"/>
        </w:rPr>
        <w:t xml:space="preserve">, dyslipidemia, and renal disease, as well as patients with congenital heart disease, rheumatic heart disease, dilated cardiomyopathy, and other coexisting cardiac diseases. Antiviral </w:t>
      </w:r>
      <w:r>
        <w:rPr>
          <w:rFonts w:asciiTheme="majorBidi" w:eastAsia="Arial" w:hAnsiTheme="majorBidi" w:cstheme="majorBidi"/>
          <w:sz w:val="24"/>
          <w:szCs w:val="24"/>
          <w:lang w:eastAsia="de-DE"/>
        </w:rPr>
        <w:t xml:space="preserve">medications, such as beta blockers used for non-cardiac reasons, were also excluded, as individuals were on drugs that may impact the heart, and these </w:t>
      </w:r>
      <w:r w:rsidR="00D26481" w:rsidRPr="00D26481">
        <w:rPr>
          <w:rFonts w:asciiTheme="majorBidi" w:eastAsia="Arial" w:hAnsiTheme="majorBidi" w:cstheme="majorBidi"/>
          <w:sz w:val="24"/>
          <w:szCs w:val="24"/>
          <w:lang w:eastAsia="de-DE"/>
        </w:rPr>
        <w:t xml:space="preserve">were stopped at least seven days </w:t>
      </w:r>
      <w:r>
        <w:rPr>
          <w:rFonts w:asciiTheme="majorBidi" w:eastAsia="Arial" w:hAnsiTheme="majorBidi" w:cstheme="majorBidi"/>
          <w:sz w:val="24"/>
          <w:szCs w:val="24"/>
          <w:lang w:eastAsia="de-DE"/>
        </w:rPr>
        <w:t>before</w:t>
      </w:r>
      <w:r w:rsidR="00D26481" w:rsidRPr="00D26481">
        <w:rPr>
          <w:rFonts w:asciiTheme="majorBidi" w:eastAsia="Arial" w:hAnsiTheme="majorBidi" w:cstheme="majorBidi"/>
          <w:sz w:val="24"/>
          <w:szCs w:val="24"/>
          <w:lang w:eastAsia="de-DE"/>
        </w:rPr>
        <w:t xml:space="preserve"> evaluation.</w:t>
      </w:r>
    </w:p>
    <w:p w14:paraId="7AC1AEA3" w14:textId="17A0CBC5" w:rsidR="005E68BA" w:rsidRPr="005E68BA" w:rsidRDefault="009028B5" w:rsidP="00A83FB8">
      <w:pPr>
        <w:spacing w:line="360" w:lineRule="auto"/>
        <w:ind w:firstLine="284"/>
        <w:jc w:val="both"/>
        <w:rPr>
          <w:rFonts w:asciiTheme="majorBidi" w:eastAsia="Arial" w:hAnsiTheme="majorBidi" w:cstheme="majorBidi"/>
          <w:b/>
          <w:bCs/>
          <w:sz w:val="24"/>
          <w:szCs w:val="24"/>
          <w:lang w:eastAsia="de-DE"/>
        </w:rPr>
      </w:pPr>
      <w:r w:rsidRPr="005E68BA">
        <w:rPr>
          <w:rFonts w:asciiTheme="majorBidi" w:eastAsia="Arial" w:hAnsiTheme="majorBidi" w:cstheme="majorBidi"/>
          <w:b/>
          <w:bCs/>
          <w:sz w:val="24"/>
          <w:szCs w:val="24"/>
          <w:lang w:eastAsia="de-DE"/>
        </w:rPr>
        <w:t>Patients’</w:t>
      </w:r>
      <w:r w:rsidR="005E68BA" w:rsidRPr="005E68BA">
        <w:rPr>
          <w:rFonts w:asciiTheme="majorBidi" w:eastAsia="Arial" w:hAnsiTheme="majorBidi" w:cstheme="majorBidi"/>
          <w:b/>
          <w:bCs/>
          <w:sz w:val="24"/>
          <w:szCs w:val="24"/>
          <w:lang w:eastAsia="de-DE"/>
        </w:rPr>
        <w:t xml:space="preserve"> </w:t>
      </w:r>
      <w:r w:rsidRPr="005E68BA">
        <w:rPr>
          <w:rFonts w:asciiTheme="majorBidi" w:eastAsia="Arial" w:hAnsiTheme="majorBidi" w:cstheme="majorBidi"/>
          <w:b/>
          <w:bCs/>
          <w:sz w:val="24"/>
          <w:szCs w:val="24"/>
          <w:lang w:eastAsia="de-DE"/>
        </w:rPr>
        <w:t>assessment:</w:t>
      </w:r>
    </w:p>
    <w:p w14:paraId="58F6297D" w14:textId="0230B5BD" w:rsidR="003A4A83" w:rsidRPr="00303FCE" w:rsidRDefault="00D26481" w:rsidP="003A4A83">
      <w:pPr>
        <w:spacing w:line="360" w:lineRule="auto"/>
        <w:ind w:firstLine="284"/>
        <w:jc w:val="both"/>
        <w:rPr>
          <w:rFonts w:asciiTheme="majorBidi" w:eastAsia="Arial" w:hAnsiTheme="majorBidi" w:cstheme="majorBidi"/>
          <w:sz w:val="24"/>
          <w:szCs w:val="24"/>
          <w:lang w:eastAsia="de-DE"/>
        </w:rPr>
      </w:pPr>
      <w:r>
        <w:rPr>
          <w:rFonts w:asciiTheme="majorBidi" w:eastAsia="Arial" w:hAnsiTheme="majorBidi" w:cstheme="majorBidi"/>
          <w:sz w:val="24"/>
          <w:szCs w:val="24"/>
          <w:lang w:eastAsia="de-DE"/>
        </w:rPr>
        <w:t>Sixty</w:t>
      </w:r>
      <w:r w:rsidRPr="00D26481">
        <w:rPr>
          <w:rFonts w:asciiTheme="majorBidi" w:eastAsia="Arial" w:hAnsiTheme="majorBidi" w:cstheme="majorBidi"/>
          <w:sz w:val="24"/>
          <w:szCs w:val="24"/>
          <w:lang w:eastAsia="de-DE"/>
        </w:rPr>
        <w:t xml:space="preserve"> patients who met the</w:t>
      </w:r>
      <w:r w:rsidR="008D726B">
        <w:rPr>
          <w:rFonts w:asciiTheme="majorBidi" w:eastAsia="Arial" w:hAnsiTheme="majorBidi" w:cstheme="majorBidi"/>
          <w:sz w:val="24"/>
          <w:szCs w:val="24"/>
          <w:lang w:eastAsia="de-DE"/>
        </w:rPr>
        <w:t xml:space="preserve"> </w:t>
      </w:r>
      <w:r w:rsidR="00974385">
        <w:rPr>
          <w:rFonts w:asciiTheme="majorBidi" w:eastAsia="Arial" w:hAnsiTheme="majorBidi" w:cstheme="majorBidi"/>
          <w:sz w:val="24"/>
          <w:szCs w:val="24"/>
          <w:lang w:eastAsia="de-DE"/>
        </w:rPr>
        <w:t>inclusion criteria</w:t>
      </w:r>
      <w:r w:rsidR="008774DD">
        <w:rPr>
          <w:rFonts w:asciiTheme="majorBidi" w:eastAsia="Arial" w:hAnsiTheme="majorBidi" w:cstheme="majorBidi"/>
          <w:sz w:val="24"/>
          <w:szCs w:val="24"/>
          <w:lang w:eastAsia="de-DE"/>
        </w:rPr>
        <w:t xml:space="preserve"> </w:t>
      </w:r>
      <w:r w:rsidRPr="00D26481">
        <w:rPr>
          <w:rFonts w:asciiTheme="majorBidi" w:eastAsia="Arial" w:hAnsiTheme="majorBidi" w:cstheme="majorBidi"/>
          <w:sz w:val="24"/>
          <w:szCs w:val="24"/>
          <w:lang w:eastAsia="de-DE"/>
        </w:rPr>
        <w:t xml:space="preserve">were enrolled in our study and were subjected to </w:t>
      </w:r>
      <w:r w:rsidR="008774DD">
        <w:rPr>
          <w:rFonts w:asciiTheme="majorBidi" w:eastAsia="Arial" w:hAnsiTheme="majorBidi" w:cstheme="majorBidi"/>
          <w:sz w:val="24"/>
          <w:szCs w:val="24"/>
          <w:lang w:eastAsia="de-DE"/>
        </w:rPr>
        <w:t>complete</w:t>
      </w:r>
      <w:r w:rsidRPr="00D26481">
        <w:rPr>
          <w:rFonts w:asciiTheme="majorBidi" w:eastAsia="Arial" w:hAnsiTheme="majorBidi" w:cstheme="majorBidi"/>
          <w:sz w:val="24"/>
          <w:szCs w:val="24"/>
          <w:lang w:eastAsia="de-DE"/>
        </w:rPr>
        <w:t xml:space="preserve"> history</w:t>
      </w:r>
      <w:r w:rsidR="008774DD">
        <w:rPr>
          <w:rFonts w:asciiTheme="majorBidi" w:eastAsia="Arial" w:hAnsiTheme="majorBidi" w:cstheme="majorBidi"/>
          <w:sz w:val="24"/>
          <w:szCs w:val="24"/>
          <w:lang w:eastAsia="de-DE"/>
        </w:rPr>
        <w:t>,</w:t>
      </w:r>
      <w:r w:rsidRPr="00D26481">
        <w:rPr>
          <w:rFonts w:asciiTheme="majorBidi" w:eastAsia="Arial" w:hAnsiTheme="majorBidi" w:cstheme="majorBidi"/>
          <w:sz w:val="24"/>
          <w:szCs w:val="24"/>
          <w:lang w:eastAsia="de-DE"/>
        </w:rPr>
        <w:t xml:space="preserve"> a full clinical examination</w:t>
      </w:r>
      <w:r w:rsidRPr="00303FCE">
        <w:rPr>
          <w:rFonts w:asciiTheme="majorBidi" w:eastAsia="Arial" w:hAnsiTheme="majorBidi" w:cstheme="majorBidi"/>
          <w:sz w:val="24"/>
          <w:szCs w:val="24"/>
          <w:lang w:eastAsia="de-DE"/>
        </w:rPr>
        <w:t xml:space="preserve">, </w:t>
      </w:r>
      <w:r w:rsidR="008774DD" w:rsidRPr="00303FCE">
        <w:rPr>
          <w:rFonts w:asciiTheme="majorBidi" w:eastAsia="Arial" w:hAnsiTheme="majorBidi" w:cstheme="majorBidi"/>
          <w:sz w:val="24"/>
          <w:szCs w:val="24"/>
          <w:lang w:eastAsia="de-DE"/>
        </w:rPr>
        <w:t xml:space="preserve">and </w:t>
      </w:r>
      <w:r w:rsidRPr="00303FCE">
        <w:rPr>
          <w:rFonts w:asciiTheme="majorBidi" w:eastAsia="Arial" w:hAnsiTheme="majorBidi" w:cstheme="majorBidi"/>
          <w:sz w:val="24"/>
          <w:szCs w:val="24"/>
          <w:lang w:eastAsia="de-DE"/>
        </w:rPr>
        <w:t>routine laboratory investigation</w:t>
      </w:r>
      <w:r w:rsidR="008774DD" w:rsidRPr="00303FCE">
        <w:rPr>
          <w:rFonts w:asciiTheme="majorBidi" w:eastAsia="Arial" w:hAnsiTheme="majorBidi" w:cstheme="majorBidi"/>
          <w:sz w:val="24"/>
          <w:szCs w:val="24"/>
          <w:lang w:eastAsia="de-DE"/>
        </w:rPr>
        <w:t>,</w:t>
      </w:r>
      <w:r w:rsidR="00CC2F90" w:rsidRPr="00303FCE">
        <w:rPr>
          <w:rFonts w:asciiTheme="majorBidi" w:eastAsia="Arial" w:hAnsiTheme="majorBidi" w:cstheme="majorBidi"/>
          <w:sz w:val="24"/>
          <w:szCs w:val="24"/>
          <w:lang w:eastAsia="de-DE"/>
        </w:rPr>
        <w:t xml:space="preserve"> including complete blood count (</w:t>
      </w:r>
      <w:r w:rsidR="003A4A83" w:rsidRPr="00303FCE">
        <w:rPr>
          <w:rFonts w:asciiTheme="majorBidi" w:eastAsia="Arial" w:hAnsiTheme="majorBidi" w:cstheme="majorBidi"/>
          <w:sz w:val="24"/>
          <w:szCs w:val="24"/>
          <w:lang w:eastAsia="de-DE"/>
        </w:rPr>
        <w:t>red blood cell count, hemoglobin percent</w:t>
      </w:r>
      <w:r w:rsidR="00CC2F90" w:rsidRPr="00303FCE">
        <w:rPr>
          <w:rFonts w:asciiTheme="majorBidi" w:eastAsia="Arial" w:hAnsiTheme="majorBidi" w:cstheme="majorBidi"/>
          <w:sz w:val="24"/>
          <w:szCs w:val="24"/>
          <w:lang w:eastAsia="de-DE"/>
        </w:rPr>
        <w:t>,</w:t>
      </w:r>
      <w:r w:rsidR="003A4A83" w:rsidRPr="00303FCE">
        <w:rPr>
          <w:rFonts w:asciiTheme="majorBidi" w:eastAsia="Arial" w:hAnsiTheme="majorBidi" w:cstheme="majorBidi"/>
          <w:sz w:val="24"/>
          <w:szCs w:val="24"/>
          <w:lang w:eastAsia="de-DE"/>
        </w:rPr>
        <w:t xml:space="preserve"> platelet count,</w:t>
      </w:r>
      <w:r w:rsidR="008774DD" w:rsidRPr="00303FCE">
        <w:rPr>
          <w:rFonts w:asciiTheme="majorBidi" w:eastAsia="Arial" w:hAnsiTheme="majorBidi" w:cstheme="majorBidi"/>
          <w:sz w:val="24"/>
          <w:szCs w:val="24"/>
          <w:lang w:eastAsia="de-DE"/>
        </w:rPr>
        <w:t xml:space="preserve"> </w:t>
      </w:r>
      <w:r w:rsidR="003A4A83" w:rsidRPr="00303FCE">
        <w:rPr>
          <w:rFonts w:asciiTheme="majorBidi" w:eastAsia="Arial" w:hAnsiTheme="majorBidi" w:cstheme="majorBidi"/>
          <w:sz w:val="24"/>
          <w:szCs w:val="24"/>
          <w:lang w:eastAsia="de-DE"/>
        </w:rPr>
        <w:t>white blood cell count and differentiation)</w:t>
      </w:r>
      <w:r w:rsidR="00CC2F90" w:rsidRPr="00303FCE">
        <w:rPr>
          <w:rFonts w:asciiTheme="majorBidi" w:eastAsia="Arial" w:hAnsiTheme="majorBidi" w:cstheme="majorBidi"/>
          <w:sz w:val="24"/>
          <w:szCs w:val="24"/>
          <w:lang w:eastAsia="de-DE"/>
        </w:rPr>
        <w:t xml:space="preserve">, </w:t>
      </w:r>
      <w:r w:rsidR="003A4A83" w:rsidRPr="00303FCE">
        <w:rPr>
          <w:rFonts w:asciiTheme="majorBidi" w:eastAsia="Arial" w:hAnsiTheme="majorBidi" w:cstheme="majorBidi"/>
          <w:sz w:val="24"/>
          <w:szCs w:val="24"/>
          <w:lang w:eastAsia="de-DE"/>
        </w:rPr>
        <w:t>liver function tests  (</w:t>
      </w:r>
      <w:r w:rsidR="00CC2F90" w:rsidRPr="00303FCE">
        <w:rPr>
          <w:rFonts w:asciiTheme="majorBidi" w:eastAsia="Arial" w:hAnsiTheme="majorBidi" w:cstheme="majorBidi"/>
          <w:sz w:val="24"/>
          <w:szCs w:val="24"/>
          <w:lang w:eastAsia="de-DE"/>
        </w:rPr>
        <w:t>albumin, bilirubin</w:t>
      </w:r>
      <w:r w:rsidR="003A4A83" w:rsidRPr="00303FCE">
        <w:rPr>
          <w:rFonts w:asciiTheme="majorBidi" w:eastAsia="Arial" w:hAnsiTheme="majorBidi" w:cstheme="majorBidi"/>
          <w:sz w:val="24"/>
          <w:szCs w:val="24"/>
          <w:lang w:eastAsia="de-DE"/>
        </w:rPr>
        <w:t xml:space="preserve"> alanine aminotransferase, aspartate aminotransferase)</w:t>
      </w:r>
      <w:r w:rsidR="00CC2F90" w:rsidRPr="00303FCE">
        <w:rPr>
          <w:rFonts w:asciiTheme="majorBidi" w:eastAsia="Arial" w:hAnsiTheme="majorBidi" w:cstheme="majorBidi"/>
          <w:sz w:val="24"/>
          <w:szCs w:val="24"/>
          <w:lang w:eastAsia="de-DE"/>
        </w:rPr>
        <w:t>,</w:t>
      </w:r>
      <w:r w:rsidR="008774DD" w:rsidRPr="00303FCE">
        <w:rPr>
          <w:rFonts w:asciiTheme="majorBidi" w:eastAsia="Arial" w:hAnsiTheme="majorBidi" w:cstheme="majorBidi"/>
          <w:sz w:val="24"/>
          <w:szCs w:val="24"/>
          <w:lang w:eastAsia="de-DE"/>
        </w:rPr>
        <w:t xml:space="preserve"> </w:t>
      </w:r>
      <w:r w:rsidR="00CC2F90" w:rsidRPr="00303FCE">
        <w:rPr>
          <w:rFonts w:asciiTheme="majorBidi" w:eastAsia="Arial" w:hAnsiTheme="majorBidi" w:cstheme="majorBidi"/>
          <w:sz w:val="24"/>
          <w:szCs w:val="24"/>
          <w:lang w:eastAsia="de-DE"/>
        </w:rPr>
        <w:t xml:space="preserve">international normalized ratio, </w:t>
      </w:r>
      <w:r w:rsidR="003A4A83" w:rsidRPr="00303FCE">
        <w:rPr>
          <w:rFonts w:asciiTheme="majorBidi" w:eastAsia="Arial" w:hAnsiTheme="majorBidi" w:cstheme="majorBidi"/>
          <w:sz w:val="24"/>
          <w:szCs w:val="24"/>
          <w:lang w:eastAsia="de-DE"/>
        </w:rPr>
        <w:t>and renal function tests (blood urea and serum creatinine</w:t>
      </w:r>
      <w:r w:rsidR="001C436F" w:rsidRPr="00303FCE">
        <w:rPr>
          <w:rFonts w:asciiTheme="majorBidi" w:eastAsia="Arial" w:hAnsiTheme="majorBidi" w:cstheme="majorBidi"/>
          <w:sz w:val="24"/>
          <w:szCs w:val="24"/>
          <w:lang w:eastAsia="de-DE"/>
        </w:rPr>
        <w:t>)</w:t>
      </w:r>
      <w:r w:rsidR="003A4A83" w:rsidRPr="00303FCE">
        <w:rPr>
          <w:rFonts w:asciiTheme="majorBidi" w:eastAsia="Arial" w:hAnsiTheme="majorBidi" w:cstheme="majorBidi"/>
          <w:sz w:val="24"/>
          <w:szCs w:val="24"/>
          <w:lang w:eastAsia="de-DE"/>
        </w:rPr>
        <w:t>.</w:t>
      </w:r>
    </w:p>
    <w:p w14:paraId="39A36CA8" w14:textId="3057FE63" w:rsidR="00D26481" w:rsidRDefault="00303FCE" w:rsidP="00AF7F04">
      <w:pPr>
        <w:spacing w:line="360" w:lineRule="auto"/>
        <w:ind w:firstLine="284"/>
        <w:jc w:val="both"/>
        <w:rPr>
          <w:rFonts w:asciiTheme="majorBidi" w:eastAsia="Arial" w:hAnsiTheme="majorBidi" w:cstheme="majorBidi"/>
          <w:sz w:val="24"/>
          <w:szCs w:val="24"/>
          <w:lang w:eastAsia="de-DE"/>
        </w:rPr>
      </w:pPr>
      <w:r w:rsidRPr="00303FCE">
        <w:rPr>
          <w:rFonts w:asciiTheme="majorBidi" w:eastAsia="Arial" w:hAnsiTheme="majorBidi" w:cstheme="majorBidi"/>
          <w:sz w:val="24"/>
          <w:szCs w:val="24"/>
          <w:lang w:eastAsia="de-DE"/>
        </w:rPr>
        <w:t>All patients underwent abdominal ultrasonography, upper endoscopy, electrocardiography, and echocardiographic examination</w:t>
      </w:r>
      <w:r w:rsidR="00D26481" w:rsidRPr="00D26481">
        <w:rPr>
          <w:rFonts w:asciiTheme="majorBidi" w:eastAsia="Arial" w:hAnsiTheme="majorBidi" w:cstheme="majorBidi"/>
          <w:sz w:val="24"/>
          <w:szCs w:val="24"/>
          <w:lang w:eastAsia="de-DE"/>
        </w:rPr>
        <w:t xml:space="preserve">. Patients were defined according to the modified Child-Turcotte-Pugh classification </w:t>
      </w:r>
      <w:r w:rsidR="00617856">
        <w:rPr>
          <w:rFonts w:asciiTheme="majorBidi" w:eastAsia="Arial" w:hAnsiTheme="majorBidi" w:cstheme="majorBidi"/>
          <w:sz w:val="24"/>
          <w:szCs w:val="24"/>
          <w:lang w:eastAsia="de-DE"/>
        </w:rPr>
        <w:t>[</w:t>
      </w:r>
      <w:r w:rsidR="00D26481" w:rsidRPr="00D26481">
        <w:rPr>
          <w:rFonts w:asciiTheme="majorBidi" w:eastAsia="Arial" w:hAnsiTheme="majorBidi" w:cstheme="majorBidi"/>
          <w:sz w:val="24"/>
          <w:szCs w:val="24"/>
          <w:lang w:eastAsia="de-DE"/>
        </w:rPr>
        <w:t>1</w:t>
      </w:r>
      <w:r w:rsidR="00AF7F04">
        <w:rPr>
          <w:rFonts w:asciiTheme="majorBidi" w:eastAsia="Arial" w:hAnsiTheme="majorBidi" w:cstheme="majorBidi"/>
          <w:sz w:val="24"/>
          <w:szCs w:val="24"/>
          <w:lang w:eastAsia="de-DE"/>
        </w:rPr>
        <w:t>5</w:t>
      </w:r>
      <w:r w:rsidR="00617856">
        <w:rPr>
          <w:rFonts w:asciiTheme="majorBidi" w:eastAsia="Arial" w:hAnsiTheme="majorBidi" w:cstheme="majorBidi"/>
          <w:sz w:val="24"/>
          <w:szCs w:val="24"/>
          <w:lang w:eastAsia="de-DE"/>
        </w:rPr>
        <w:t>]</w:t>
      </w:r>
      <w:r w:rsidR="00D26481" w:rsidRPr="00D26481">
        <w:rPr>
          <w:rFonts w:asciiTheme="majorBidi" w:eastAsia="Arial" w:hAnsiTheme="majorBidi" w:cstheme="majorBidi"/>
          <w:sz w:val="24"/>
          <w:szCs w:val="24"/>
          <w:lang w:eastAsia="de-DE"/>
        </w:rPr>
        <w:t>.</w:t>
      </w:r>
    </w:p>
    <w:p w14:paraId="21CF9F0B" w14:textId="710F1215" w:rsidR="00475102" w:rsidRPr="005670A9" w:rsidRDefault="00475102" w:rsidP="00A83FB8">
      <w:pPr>
        <w:spacing w:line="360" w:lineRule="auto"/>
        <w:ind w:firstLine="284"/>
        <w:jc w:val="both"/>
        <w:rPr>
          <w:rFonts w:asciiTheme="majorBidi" w:eastAsia="Arial" w:hAnsiTheme="majorBidi" w:cstheme="majorBidi"/>
          <w:b/>
          <w:bCs/>
          <w:sz w:val="24"/>
          <w:szCs w:val="24"/>
          <w:lang w:eastAsia="de-DE"/>
        </w:rPr>
      </w:pPr>
      <w:r w:rsidRPr="005670A9">
        <w:rPr>
          <w:rFonts w:asciiTheme="majorBidi" w:eastAsia="Arial" w:hAnsiTheme="majorBidi" w:cstheme="majorBidi"/>
          <w:b/>
          <w:bCs/>
          <w:sz w:val="24"/>
          <w:szCs w:val="24"/>
          <w:lang w:eastAsia="de-DE"/>
        </w:rPr>
        <w:t xml:space="preserve">1. </w:t>
      </w:r>
      <w:r w:rsidR="00D26481" w:rsidRPr="005670A9">
        <w:rPr>
          <w:rFonts w:asciiTheme="majorBidi" w:eastAsia="Arial" w:hAnsiTheme="majorBidi" w:cstheme="majorBidi"/>
          <w:b/>
          <w:bCs/>
          <w:sz w:val="24"/>
          <w:szCs w:val="24"/>
          <w:lang w:eastAsia="de-DE"/>
        </w:rPr>
        <w:t>Upper</w:t>
      </w:r>
      <w:r w:rsidRPr="005670A9">
        <w:rPr>
          <w:rFonts w:asciiTheme="majorBidi" w:eastAsia="Arial" w:hAnsiTheme="majorBidi" w:cstheme="majorBidi"/>
          <w:b/>
          <w:bCs/>
          <w:sz w:val="24"/>
          <w:szCs w:val="24"/>
          <w:lang w:eastAsia="de-DE"/>
        </w:rPr>
        <w:t xml:space="preserve"> endoscopy</w:t>
      </w:r>
    </w:p>
    <w:p w14:paraId="7B05D454" w14:textId="4335D83D" w:rsidR="002E5EAC" w:rsidRPr="00E1616E" w:rsidRDefault="00D26481" w:rsidP="00E1616E">
      <w:pPr>
        <w:spacing w:line="360" w:lineRule="auto"/>
        <w:ind w:firstLine="284"/>
        <w:jc w:val="both"/>
        <w:rPr>
          <w:rFonts w:asciiTheme="majorBidi" w:eastAsia="Arial" w:hAnsiTheme="majorBidi" w:cstheme="majorBidi"/>
          <w:sz w:val="24"/>
          <w:szCs w:val="24"/>
          <w:lang w:eastAsia="de-DE"/>
        </w:rPr>
      </w:pPr>
      <w:r w:rsidRPr="00D26481">
        <w:rPr>
          <w:rFonts w:asciiTheme="majorBidi" w:eastAsia="Arial" w:hAnsiTheme="majorBidi" w:cstheme="majorBidi"/>
          <w:sz w:val="24"/>
          <w:szCs w:val="24"/>
          <w:lang w:eastAsia="de-DE"/>
        </w:rPr>
        <w:t xml:space="preserve">After overnight fasting, </w:t>
      </w:r>
      <w:r w:rsidR="008774DD">
        <w:rPr>
          <w:rFonts w:asciiTheme="majorBidi" w:eastAsia="Arial" w:hAnsiTheme="majorBidi" w:cstheme="majorBidi"/>
          <w:sz w:val="24"/>
          <w:szCs w:val="24"/>
          <w:lang w:eastAsia="de-DE"/>
        </w:rPr>
        <w:t>the entire esophagus, stomach, and proximal duodenum were examined wherever possible</w:t>
      </w:r>
      <w:r w:rsidR="00617856">
        <w:rPr>
          <w:rFonts w:asciiTheme="majorBidi" w:eastAsia="Arial" w:hAnsiTheme="majorBidi" w:cstheme="majorBidi"/>
          <w:sz w:val="24"/>
          <w:szCs w:val="24"/>
          <w:lang w:eastAsia="de-DE"/>
        </w:rPr>
        <w:t>.</w:t>
      </w:r>
    </w:p>
    <w:p w14:paraId="0B33631C" w14:textId="4380D6EE" w:rsidR="00475102" w:rsidRPr="005670A9" w:rsidRDefault="00475102" w:rsidP="00A83FB8">
      <w:pPr>
        <w:spacing w:line="360" w:lineRule="auto"/>
        <w:ind w:firstLine="284"/>
        <w:jc w:val="both"/>
        <w:rPr>
          <w:rFonts w:asciiTheme="majorBidi" w:eastAsia="Arial" w:hAnsiTheme="majorBidi" w:cstheme="majorBidi"/>
          <w:b/>
          <w:bCs/>
          <w:sz w:val="24"/>
          <w:szCs w:val="24"/>
          <w:lang w:eastAsia="de-DE"/>
        </w:rPr>
      </w:pPr>
      <w:r w:rsidRPr="005670A9">
        <w:rPr>
          <w:rFonts w:asciiTheme="majorBidi" w:eastAsia="Arial" w:hAnsiTheme="majorBidi" w:cstheme="majorBidi"/>
          <w:b/>
          <w:bCs/>
          <w:sz w:val="24"/>
          <w:szCs w:val="24"/>
          <w:lang w:eastAsia="de-DE"/>
        </w:rPr>
        <w:t xml:space="preserve">2. Abdominal Ultrasonography </w:t>
      </w:r>
    </w:p>
    <w:p w14:paraId="1BACA07B" w14:textId="33DA1CE0" w:rsidR="00E1616E" w:rsidRPr="00031F61" w:rsidRDefault="008774DD" w:rsidP="00031F61">
      <w:pPr>
        <w:spacing w:line="360" w:lineRule="auto"/>
        <w:ind w:firstLine="284"/>
        <w:jc w:val="both"/>
        <w:rPr>
          <w:rFonts w:asciiTheme="majorBidi" w:eastAsia="Arial" w:hAnsiTheme="majorBidi" w:cstheme="majorBidi"/>
          <w:sz w:val="24"/>
          <w:szCs w:val="24"/>
          <w:lang w:eastAsia="de-DE"/>
        </w:rPr>
      </w:pPr>
      <w:r>
        <w:rPr>
          <w:rFonts w:asciiTheme="majorBidi" w:eastAsia="Arial" w:hAnsiTheme="majorBidi" w:cstheme="majorBidi"/>
          <w:sz w:val="24"/>
          <w:szCs w:val="24"/>
          <w:lang w:eastAsia="de-DE"/>
        </w:rPr>
        <w:t>It was</w:t>
      </w:r>
      <w:r w:rsidR="00475102" w:rsidRPr="001B24EE">
        <w:rPr>
          <w:rFonts w:asciiTheme="majorBidi" w:eastAsia="Arial" w:hAnsiTheme="majorBidi" w:cstheme="majorBidi"/>
          <w:sz w:val="24"/>
          <w:szCs w:val="24"/>
          <w:lang w:eastAsia="de-DE"/>
        </w:rPr>
        <w:t xml:space="preserve"> performed in </w:t>
      </w:r>
      <w:r>
        <w:rPr>
          <w:rFonts w:asciiTheme="majorBidi" w:eastAsia="Arial" w:hAnsiTheme="majorBidi" w:cstheme="majorBidi"/>
          <w:sz w:val="24"/>
          <w:szCs w:val="24"/>
          <w:lang w:eastAsia="de-DE"/>
        </w:rPr>
        <w:t xml:space="preserve">the </w:t>
      </w:r>
      <w:r w:rsidR="00475102" w:rsidRPr="001B24EE">
        <w:rPr>
          <w:rFonts w:asciiTheme="majorBidi" w:eastAsia="Arial" w:hAnsiTheme="majorBidi" w:cstheme="majorBidi"/>
          <w:sz w:val="24"/>
          <w:szCs w:val="24"/>
          <w:lang w:eastAsia="de-DE"/>
        </w:rPr>
        <w:t>Tropical Medicine Department</w:t>
      </w:r>
      <w:r w:rsidR="009028B5">
        <w:rPr>
          <w:rFonts w:asciiTheme="majorBidi" w:eastAsia="Arial" w:hAnsiTheme="majorBidi" w:cstheme="majorBidi"/>
          <w:sz w:val="24"/>
          <w:szCs w:val="24"/>
          <w:lang w:eastAsia="de-DE"/>
        </w:rPr>
        <w:t xml:space="preserve">, where </w:t>
      </w:r>
      <w:r>
        <w:rPr>
          <w:rFonts w:asciiTheme="majorBidi" w:eastAsia="Arial" w:hAnsiTheme="majorBidi" w:cstheme="majorBidi"/>
          <w:sz w:val="24"/>
          <w:szCs w:val="24"/>
          <w:lang w:eastAsia="de-DE"/>
        </w:rPr>
        <w:t>an expert specialist assisted with the hepatic condition, portal vein diameter, and maximum spleen bipolar diameter</w:t>
      </w:r>
      <w:r w:rsidR="00475102" w:rsidRPr="001B24EE">
        <w:rPr>
          <w:rFonts w:asciiTheme="majorBidi" w:eastAsia="Arial" w:hAnsiTheme="majorBidi" w:cstheme="majorBidi"/>
          <w:sz w:val="24"/>
          <w:szCs w:val="24"/>
          <w:lang w:eastAsia="de-DE"/>
        </w:rPr>
        <w:t xml:space="preserve">. </w:t>
      </w:r>
    </w:p>
    <w:p w14:paraId="0912F0DD" w14:textId="5092C1FD" w:rsidR="00475102" w:rsidRPr="005670A9" w:rsidRDefault="00475102" w:rsidP="00A83FB8">
      <w:pPr>
        <w:spacing w:line="360" w:lineRule="auto"/>
        <w:ind w:firstLine="284"/>
        <w:jc w:val="both"/>
        <w:rPr>
          <w:rFonts w:asciiTheme="majorBidi" w:hAnsiTheme="majorBidi" w:cstheme="majorBidi"/>
          <w:b/>
          <w:bCs/>
          <w:color w:val="000000"/>
          <w:sz w:val="24"/>
          <w:szCs w:val="24"/>
        </w:rPr>
      </w:pPr>
      <w:r w:rsidRPr="005670A9">
        <w:rPr>
          <w:rFonts w:asciiTheme="majorBidi" w:eastAsia="Arial" w:hAnsiTheme="majorBidi" w:cstheme="majorBidi"/>
          <w:b/>
          <w:bCs/>
          <w:sz w:val="24"/>
          <w:szCs w:val="24"/>
          <w:lang w:eastAsia="de-DE"/>
        </w:rPr>
        <w:t>3.</w:t>
      </w:r>
      <w:r w:rsidR="008774DD">
        <w:rPr>
          <w:rFonts w:asciiTheme="majorBidi" w:eastAsia="Arial" w:hAnsiTheme="majorBidi" w:cstheme="majorBidi"/>
          <w:b/>
          <w:bCs/>
          <w:sz w:val="24"/>
          <w:szCs w:val="24"/>
          <w:lang w:eastAsia="de-DE"/>
        </w:rPr>
        <w:t xml:space="preserve"> </w:t>
      </w:r>
      <w:r w:rsidRPr="005670A9">
        <w:rPr>
          <w:rFonts w:asciiTheme="majorBidi" w:hAnsiTheme="majorBidi" w:cstheme="majorBidi"/>
          <w:b/>
          <w:bCs/>
          <w:color w:val="000000"/>
          <w:sz w:val="24"/>
          <w:szCs w:val="24"/>
        </w:rPr>
        <w:t>Transthoracic echocardiography TTE:</w:t>
      </w:r>
    </w:p>
    <w:p w14:paraId="72005D5C" w14:textId="5BA7BA34" w:rsidR="00FA1443" w:rsidRPr="00FA1443" w:rsidRDefault="00FA1443" w:rsidP="00A83FB8">
      <w:pPr>
        <w:spacing w:line="360" w:lineRule="auto"/>
        <w:ind w:firstLine="284"/>
        <w:jc w:val="both"/>
        <w:rPr>
          <w:rFonts w:asciiTheme="majorBidi" w:hAnsiTheme="majorBidi" w:cstheme="majorBidi"/>
          <w:color w:val="000000"/>
          <w:sz w:val="24"/>
          <w:szCs w:val="24"/>
        </w:rPr>
      </w:pPr>
      <w:r w:rsidRPr="00FA1443">
        <w:rPr>
          <w:rFonts w:asciiTheme="majorBidi" w:hAnsiTheme="majorBidi" w:cstheme="majorBidi"/>
          <w:color w:val="000000"/>
          <w:sz w:val="24"/>
          <w:szCs w:val="24"/>
        </w:rPr>
        <w:t xml:space="preserve">Conventional Doppler echocardiography, Tissue Doppler imaging (TDI) in the lateral decubitus position, and 2D, M-mode measurement </w:t>
      </w:r>
      <w:r w:rsidR="005B5D81">
        <w:rPr>
          <w:rFonts w:asciiTheme="majorBidi" w:hAnsiTheme="majorBidi" w:cstheme="majorBidi"/>
          <w:color w:val="000000"/>
          <w:sz w:val="24"/>
          <w:szCs w:val="24"/>
        </w:rPr>
        <w:t>were</w:t>
      </w:r>
      <w:r w:rsidRPr="00FA1443">
        <w:rPr>
          <w:rFonts w:asciiTheme="majorBidi" w:hAnsiTheme="majorBidi" w:cstheme="majorBidi"/>
          <w:color w:val="000000"/>
          <w:sz w:val="24"/>
          <w:szCs w:val="24"/>
        </w:rPr>
        <w:t xml:space="preserve"> all performed on each patient during a standard transthoracic echocardiographic examination (TTE). </w:t>
      </w:r>
    </w:p>
    <w:p w14:paraId="513311E5" w14:textId="131920BF" w:rsidR="00FA1443" w:rsidRDefault="00ED2853" w:rsidP="00AF7F04">
      <w:pPr>
        <w:spacing w:line="360" w:lineRule="auto"/>
        <w:jc w:val="both"/>
        <w:rPr>
          <w:rFonts w:asciiTheme="majorBidi" w:hAnsiTheme="majorBidi" w:cstheme="majorBidi"/>
          <w:color w:val="000000"/>
          <w:sz w:val="24"/>
          <w:szCs w:val="24"/>
        </w:rPr>
      </w:pPr>
      <w:r w:rsidRPr="00ED2853">
        <w:rPr>
          <w:rFonts w:asciiTheme="majorBidi" w:hAnsiTheme="majorBidi" w:cstheme="majorBidi"/>
          <w:b/>
          <w:bCs/>
          <w:color w:val="000000"/>
          <w:sz w:val="24"/>
          <w:szCs w:val="24"/>
        </w:rPr>
        <w:t>a</w:t>
      </w:r>
      <w:r w:rsidR="00FA1443" w:rsidRPr="00FA1443">
        <w:rPr>
          <w:rFonts w:asciiTheme="majorBidi" w:hAnsiTheme="majorBidi" w:cstheme="majorBidi"/>
          <w:color w:val="000000"/>
          <w:sz w:val="24"/>
          <w:szCs w:val="24"/>
        </w:rPr>
        <w:t xml:space="preserve">. Two-dimensional guided M-mode echocardiographic tracings recorded at mid-chordal level in the parasternal long axis view were used to evaluate the </w:t>
      </w:r>
      <w:r w:rsidR="008774DD">
        <w:rPr>
          <w:rFonts w:asciiTheme="majorBidi" w:hAnsiTheme="majorBidi" w:cstheme="majorBidi"/>
          <w:color w:val="000000"/>
          <w:sz w:val="24"/>
          <w:szCs w:val="24"/>
        </w:rPr>
        <w:t>left ventricle's internal dimensions and wall thickness</w:t>
      </w:r>
      <w:r w:rsidR="00FA1443" w:rsidRPr="00FA1443">
        <w:rPr>
          <w:rFonts w:asciiTheme="majorBidi" w:hAnsiTheme="majorBidi" w:cstheme="majorBidi"/>
          <w:color w:val="000000"/>
          <w:sz w:val="24"/>
          <w:szCs w:val="24"/>
        </w:rPr>
        <w:t>. The Teichnolz formula was used to determine the percentage of fractional shortening (FS) and the ejection fraction (EF)</w:t>
      </w:r>
      <w:r w:rsidR="005756DF">
        <w:rPr>
          <w:rFonts w:asciiTheme="majorBidi" w:hAnsiTheme="majorBidi" w:cstheme="majorBidi"/>
          <w:color w:val="000000"/>
          <w:sz w:val="24"/>
          <w:szCs w:val="24"/>
        </w:rPr>
        <w:t xml:space="preserve"> </w:t>
      </w:r>
      <w:r w:rsidR="00FE298C" w:rsidRPr="00303FCE">
        <w:rPr>
          <w:rFonts w:asciiTheme="majorBidi" w:hAnsiTheme="majorBidi" w:cstheme="majorBidi"/>
          <w:color w:val="000000"/>
          <w:sz w:val="24"/>
          <w:szCs w:val="24"/>
        </w:rPr>
        <w:t>[1</w:t>
      </w:r>
      <w:r w:rsidR="00AF7F04" w:rsidRPr="00303FCE">
        <w:rPr>
          <w:rFonts w:asciiTheme="majorBidi" w:hAnsiTheme="majorBidi" w:cstheme="majorBidi"/>
          <w:color w:val="000000"/>
          <w:sz w:val="24"/>
          <w:szCs w:val="24"/>
        </w:rPr>
        <w:t>6</w:t>
      </w:r>
      <w:r w:rsidR="00FE298C" w:rsidRPr="00303FCE">
        <w:rPr>
          <w:rFonts w:asciiTheme="majorBidi" w:hAnsiTheme="majorBidi" w:cstheme="majorBidi"/>
          <w:color w:val="000000"/>
          <w:sz w:val="24"/>
          <w:szCs w:val="24"/>
        </w:rPr>
        <w:t>]</w:t>
      </w:r>
      <w:r w:rsidR="00FA1443" w:rsidRPr="00303FCE">
        <w:rPr>
          <w:rFonts w:asciiTheme="majorBidi" w:hAnsiTheme="majorBidi" w:cstheme="majorBidi"/>
          <w:color w:val="000000"/>
          <w:sz w:val="24"/>
          <w:szCs w:val="24"/>
        </w:rPr>
        <w:t>.</w:t>
      </w:r>
    </w:p>
    <w:p w14:paraId="0E9CFA6C" w14:textId="35BE3961" w:rsidR="00475102" w:rsidRDefault="00ED2853" w:rsidP="00AF7F04">
      <w:pPr>
        <w:pBdr>
          <w:top w:val="nil"/>
          <w:left w:val="nil"/>
          <w:bottom w:val="nil"/>
          <w:right w:val="nil"/>
          <w:between w:val="nil"/>
        </w:pBdr>
        <w:spacing w:after="0" w:line="360" w:lineRule="auto"/>
        <w:jc w:val="both"/>
        <w:rPr>
          <w:rFonts w:asciiTheme="majorBidi" w:hAnsiTheme="majorBidi" w:cstheme="majorBidi"/>
          <w:color w:val="000000"/>
          <w:sz w:val="24"/>
          <w:szCs w:val="24"/>
        </w:rPr>
      </w:pPr>
      <w:r w:rsidRPr="00ED2853">
        <w:rPr>
          <w:rFonts w:asciiTheme="majorBidi" w:hAnsiTheme="majorBidi" w:cstheme="majorBidi"/>
          <w:b/>
          <w:bCs/>
          <w:color w:val="000000"/>
          <w:sz w:val="24"/>
          <w:szCs w:val="24"/>
        </w:rPr>
        <w:t>b</w:t>
      </w:r>
      <w:r w:rsidR="00FA1443">
        <w:rPr>
          <w:rFonts w:asciiTheme="majorBidi" w:hAnsiTheme="majorBidi" w:cstheme="majorBidi"/>
          <w:color w:val="000000"/>
          <w:sz w:val="24"/>
          <w:szCs w:val="24"/>
        </w:rPr>
        <w:t>.</w:t>
      </w:r>
      <w:r w:rsidR="008774DD">
        <w:rPr>
          <w:rFonts w:asciiTheme="majorBidi" w:hAnsiTheme="majorBidi" w:cstheme="majorBidi"/>
          <w:color w:val="000000"/>
          <w:sz w:val="24"/>
          <w:szCs w:val="24"/>
        </w:rPr>
        <w:t xml:space="preserve"> Pulse-wave Doppler obtained mitral inflow velocities</w:t>
      </w:r>
      <w:r w:rsidR="00475102" w:rsidRPr="00B04FD9">
        <w:rPr>
          <w:rFonts w:asciiTheme="majorBidi" w:hAnsiTheme="majorBidi" w:cstheme="majorBidi"/>
          <w:color w:val="000000"/>
          <w:sz w:val="24"/>
          <w:szCs w:val="24"/>
        </w:rPr>
        <w:t xml:space="preserve"> in the apical 4-chamber view with the sample volume placed at the tips of the mitral valve leaflets. The peak early and late diastolic mitral inflow velocities were measured and averaged over </w:t>
      </w:r>
      <w:r w:rsidR="008774DD">
        <w:rPr>
          <w:rFonts w:asciiTheme="majorBidi" w:hAnsiTheme="majorBidi" w:cstheme="majorBidi"/>
          <w:color w:val="000000"/>
          <w:sz w:val="24"/>
          <w:szCs w:val="24"/>
        </w:rPr>
        <w:t>five</w:t>
      </w:r>
      <w:r w:rsidR="00475102" w:rsidRPr="00B04FD9">
        <w:rPr>
          <w:rFonts w:asciiTheme="majorBidi" w:hAnsiTheme="majorBidi" w:cstheme="majorBidi"/>
          <w:color w:val="000000"/>
          <w:sz w:val="24"/>
          <w:szCs w:val="24"/>
        </w:rPr>
        <w:t xml:space="preserve"> cardiac cycles during normal respiration. The </w:t>
      </w:r>
      <w:r w:rsidR="008774DD">
        <w:rPr>
          <w:rFonts w:asciiTheme="majorBidi" w:hAnsiTheme="majorBidi" w:cstheme="majorBidi"/>
          <w:color w:val="000000"/>
          <w:sz w:val="24"/>
          <w:szCs w:val="24"/>
        </w:rPr>
        <w:t xml:space="preserve">early diastolic to late diastolic mitral inflow velocities (E/A) ratio </w:t>
      </w:r>
      <w:r w:rsidR="00475102" w:rsidRPr="00B04FD9">
        <w:rPr>
          <w:rFonts w:asciiTheme="majorBidi" w:hAnsiTheme="majorBidi" w:cstheme="majorBidi"/>
          <w:color w:val="000000"/>
          <w:sz w:val="24"/>
          <w:szCs w:val="24"/>
        </w:rPr>
        <w:t>was calculated. A ratio of 0.75-1.5 indicates normal diastolic function</w:t>
      </w:r>
      <w:r w:rsidR="00444141">
        <w:rPr>
          <w:rFonts w:asciiTheme="majorBidi" w:hAnsiTheme="majorBidi" w:cstheme="majorBidi"/>
          <w:color w:val="000000"/>
          <w:sz w:val="24"/>
          <w:szCs w:val="24"/>
        </w:rPr>
        <w:t xml:space="preserve"> </w:t>
      </w:r>
      <w:r w:rsidR="001F5EFB">
        <w:rPr>
          <w:rFonts w:asciiTheme="majorBidi" w:hAnsiTheme="majorBidi" w:cstheme="majorBidi"/>
          <w:color w:val="000000"/>
          <w:sz w:val="24"/>
          <w:szCs w:val="24"/>
        </w:rPr>
        <w:t>[1</w:t>
      </w:r>
      <w:r w:rsidR="00AF7F04">
        <w:rPr>
          <w:rFonts w:asciiTheme="majorBidi" w:hAnsiTheme="majorBidi" w:cstheme="majorBidi"/>
          <w:color w:val="000000"/>
          <w:sz w:val="24"/>
          <w:szCs w:val="24"/>
        </w:rPr>
        <w:t>7</w:t>
      </w:r>
      <w:r w:rsidR="001F5EFB">
        <w:rPr>
          <w:rFonts w:asciiTheme="majorBidi" w:hAnsiTheme="majorBidi" w:cstheme="majorBidi"/>
          <w:color w:val="000000"/>
          <w:sz w:val="24"/>
          <w:szCs w:val="24"/>
        </w:rPr>
        <w:t>].</w:t>
      </w:r>
    </w:p>
    <w:p w14:paraId="460FDC84" w14:textId="77777777" w:rsidR="00FA1443" w:rsidRPr="00B04FD9" w:rsidRDefault="00FA1443" w:rsidP="00A83FB8">
      <w:pPr>
        <w:pBdr>
          <w:top w:val="nil"/>
          <w:left w:val="nil"/>
          <w:bottom w:val="nil"/>
          <w:right w:val="nil"/>
          <w:between w:val="nil"/>
        </w:pBdr>
        <w:spacing w:after="0" w:line="360" w:lineRule="auto"/>
        <w:jc w:val="both"/>
        <w:rPr>
          <w:rFonts w:asciiTheme="majorBidi" w:hAnsiTheme="majorBidi" w:cstheme="majorBidi"/>
          <w:color w:val="000000"/>
          <w:sz w:val="24"/>
          <w:szCs w:val="24"/>
        </w:rPr>
      </w:pPr>
    </w:p>
    <w:p w14:paraId="2F9A91B1" w14:textId="5CB9DA7F" w:rsidR="00FA1443" w:rsidRDefault="009028B5" w:rsidP="00A83FB8">
      <w:pPr>
        <w:pBdr>
          <w:top w:val="nil"/>
          <w:left w:val="nil"/>
          <w:bottom w:val="nil"/>
          <w:right w:val="nil"/>
          <w:between w:val="nil"/>
        </w:pBdr>
        <w:spacing w:after="0" w:line="360" w:lineRule="auto"/>
        <w:jc w:val="both"/>
        <w:rPr>
          <w:rFonts w:asciiTheme="majorBidi" w:hAnsiTheme="majorBidi" w:cstheme="majorBidi"/>
          <w:color w:val="000000"/>
          <w:sz w:val="24"/>
          <w:szCs w:val="24"/>
        </w:rPr>
      </w:pPr>
      <w:r w:rsidRPr="00ED2853">
        <w:rPr>
          <w:rFonts w:asciiTheme="majorBidi" w:hAnsiTheme="majorBidi" w:cstheme="majorBidi"/>
          <w:b/>
          <w:bCs/>
          <w:color w:val="000000"/>
          <w:sz w:val="24"/>
          <w:szCs w:val="24"/>
        </w:rPr>
        <w:t>c</w:t>
      </w:r>
      <w:r>
        <w:rPr>
          <w:rFonts w:asciiTheme="majorBidi" w:hAnsiTheme="majorBidi" w:cstheme="majorBidi"/>
          <w:color w:val="000000"/>
          <w:sz w:val="24"/>
          <w:szCs w:val="24"/>
        </w:rPr>
        <w:t>.</w:t>
      </w:r>
      <w:r w:rsidRPr="00FA1443">
        <w:rPr>
          <w:rFonts w:asciiTheme="majorBidi" w:hAnsiTheme="majorBidi" w:cstheme="majorBidi"/>
          <w:color w:val="000000"/>
          <w:sz w:val="24"/>
          <w:szCs w:val="24"/>
        </w:rPr>
        <w:t xml:space="preserve"> Tricuspid</w:t>
      </w:r>
      <w:r w:rsidR="00475102" w:rsidRPr="00FA1443">
        <w:rPr>
          <w:rFonts w:asciiTheme="majorBidi" w:hAnsiTheme="majorBidi" w:cstheme="majorBidi"/>
          <w:color w:val="000000"/>
          <w:sz w:val="24"/>
          <w:szCs w:val="24"/>
        </w:rPr>
        <w:t xml:space="preserve"> annular systolic plane excursion (TAPSE):</w:t>
      </w:r>
    </w:p>
    <w:p w14:paraId="5FE50296" w14:textId="4161FE79" w:rsidR="00FA1443" w:rsidRPr="00AF7F04" w:rsidRDefault="00FA1443" w:rsidP="00AF7F04">
      <w:pPr>
        <w:pBdr>
          <w:top w:val="nil"/>
          <w:left w:val="nil"/>
          <w:bottom w:val="nil"/>
          <w:right w:val="nil"/>
          <w:between w:val="nil"/>
        </w:pBdr>
        <w:spacing w:after="0" w:line="360" w:lineRule="auto"/>
        <w:jc w:val="both"/>
        <w:rPr>
          <w:rFonts w:asciiTheme="majorBidi" w:hAnsiTheme="majorBidi" w:cstheme="majorBidi"/>
          <w:color w:val="000000"/>
          <w:sz w:val="24"/>
          <w:szCs w:val="24"/>
        </w:rPr>
      </w:pPr>
      <w:r w:rsidRPr="00AF7F04">
        <w:rPr>
          <w:rFonts w:asciiTheme="majorBidi" w:hAnsiTheme="majorBidi" w:cstheme="majorBidi"/>
          <w:color w:val="000000"/>
          <w:sz w:val="24"/>
          <w:szCs w:val="24"/>
        </w:rPr>
        <w:t xml:space="preserve">The longitudinal plane is where right-ventricular contraction mostly happens. TAPSE is one of the methods recommended by the American Society of Echocardiography for evaluating RV function. RV systolic function is diminished when the TAPSE value is less than 16 mm. To measure it, the RV apical four-chamber image </w:t>
      </w:r>
      <w:r w:rsidR="008774DD">
        <w:rPr>
          <w:rFonts w:asciiTheme="majorBidi" w:hAnsiTheme="majorBidi" w:cstheme="majorBidi"/>
          <w:color w:val="000000"/>
          <w:sz w:val="24"/>
          <w:szCs w:val="24"/>
        </w:rPr>
        <w:t>aligned</w:t>
      </w:r>
      <w:r w:rsidRPr="00AF7F04">
        <w:rPr>
          <w:rFonts w:asciiTheme="majorBidi" w:hAnsiTheme="majorBidi" w:cstheme="majorBidi"/>
          <w:color w:val="000000"/>
          <w:sz w:val="24"/>
          <w:szCs w:val="24"/>
        </w:rPr>
        <w:t xml:space="preserve"> an M-mode cursor parallel to the RV free wall where it meets the tricuspid annulus</w:t>
      </w:r>
      <w:r w:rsidR="00E070BA" w:rsidRPr="00AF7F04">
        <w:rPr>
          <w:rFonts w:asciiTheme="majorBidi" w:hAnsiTheme="majorBidi" w:cstheme="majorBidi"/>
          <w:color w:val="000000"/>
          <w:sz w:val="24"/>
          <w:szCs w:val="24"/>
        </w:rPr>
        <w:t xml:space="preserve"> [1</w:t>
      </w:r>
      <w:r w:rsidR="00AF7F04" w:rsidRPr="00AF7F04">
        <w:rPr>
          <w:rFonts w:asciiTheme="majorBidi" w:hAnsiTheme="majorBidi" w:cstheme="majorBidi"/>
          <w:color w:val="000000"/>
          <w:sz w:val="24"/>
          <w:szCs w:val="24"/>
        </w:rPr>
        <w:t>8</w:t>
      </w:r>
      <w:r w:rsidR="00E070BA" w:rsidRPr="00AF7F04">
        <w:rPr>
          <w:rFonts w:asciiTheme="majorBidi" w:hAnsiTheme="majorBidi" w:cstheme="majorBidi"/>
          <w:color w:val="000000"/>
          <w:sz w:val="24"/>
          <w:szCs w:val="24"/>
        </w:rPr>
        <w:t>]</w:t>
      </w:r>
      <w:r w:rsidRPr="00AF7F04">
        <w:rPr>
          <w:rFonts w:asciiTheme="majorBidi" w:hAnsiTheme="majorBidi" w:cstheme="majorBidi"/>
          <w:color w:val="000000"/>
          <w:sz w:val="24"/>
          <w:szCs w:val="24"/>
        </w:rPr>
        <w:t>.</w:t>
      </w:r>
    </w:p>
    <w:p w14:paraId="545B1E8C" w14:textId="77777777" w:rsidR="00FA1443" w:rsidRPr="00FA1443" w:rsidRDefault="00FA1443" w:rsidP="00A83FB8">
      <w:pPr>
        <w:pBdr>
          <w:top w:val="nil"/>
          <w:left w:val="nil"/>
          <w:bottom w:val="nil"/>
          <w:right w:val="nil"/>
          <w:between w:val="nil"/>
        </w:pBdr>
        <w:spacing w:after="0" w:line="360" w:lineRule="auto"/>
        <w:jc w:val="both"/>
        <w:rPr>
          <w:rFonts w:asciiTheme="majorBidi" w:hAnsiTheme="majorBidi" w:cstheme="majorBidi"/>
          <w:color w:val="000000"/>
          <w:sz w:val="24"/>
          <w:szCs w:val="24"/>
        </w:rPr>
      </w:pPr>
    </w:p>
    <w:p w14:paraId="46AFBFCB" w14:textId="3C44E519" w:rsidR="00FA1443" w:rsidRPr="00AF7F04" w:rsidRDefault="00ED2853" w:rsidP="00AF7F04">
      <w:pPr>
        <w:autoSpaceDE w:val="0"/>
        <w:autoSpaceDN w:val="0"/>
        <w:adjustRightInd w:val="0"/>
        <w:spacing w:after="0" w:line="360" w:lineRule="auto"/>
        <w:jc w:val="both"/>
        <w:rPr>
          <w:rFonts w:asciiTheme="majorBidi" w:hAnsiTheme="majorBidi" w:cstheme="majorBidi"/>
          <w:color w:val="000000"/>
          <w:sz w:val="24"/>
          <w:szCs w:val="24"/>
        </w:rPr>
      </w:pPr>
      <w:r w:rsidRPr="00AF7F04">
        <w:rPr>
          <w:rFonts w:asciiTheme="majorBidi" w:hAnsiTheme="majorBidi" w:cstheme="majorBidi"/>
          <w:color w:val="000000"/>
          <w:sz w:val="24"/>
          <w:szCs w:val="24"/>
        </w:rPr>
        <w:t>d</w:t>
      </w:r>
      <w:r w:rsidR="009316CD" w:rsidRPr="00AF7F04">
        <w:rPr>
          <w:rFonts w:asciiTheme="majorBidi" w:hAnsiTheme="majorBidi" w:cstheme="majorBidi"/>
          <w:color w:val="000000"/>
          <w:sz w:val="24"/>
          <w:szCs w:val="24"/>
        </w:rPr>
        <w:t>.</w:t>
      </w:r>
      <w:r w:rsidR="00303FCE">
        <w:rPr>
          <w:rFonts w:asciiTheme="majorBidi" w:hAnsiTheme="majorBidi" w:cstheme="majorBidi"/>
          <w:color w:val="000000"/>
          <w:sz w:val="24"/>
          <w:szCs w:val="24"/>
        </w:rPr>
        <w:t xml:space="preserve"> </w:t>
      </w:r>
      <w:r w:rsidR="00FA1443" w:rsidRPr="00AF7F04">
        <w:rPr>
          <w:rFonts w:asciiTheme="majorBidi" w:hAnsiTheme="majorBidi" w:cstheme="majorBidi"/>
          <w:color w:val="000000"/>
          <w:sz w:val="24"/>
          <w:szCs w:val="24"/>
        </w:rPr>
        <w:t>Pulmonary artery systolic pressure (PASP): The right atrium and right ventricle pressure differences were measured using the tricuspid regurgitation (TR) trace's continuous wave (CW) Doppler. This pressure difference is found using peak TR velocity and the simplified Bernoulli equation (P = 4 [TR</w:t>
      </w:r>
      <w:r w:rsidR="00303FCE">
        <w:rPr>
          <w:rFonts w:asciiTheme="majorBidi" w:hAnsiTheme="majorBidi" w:cstheme="majorBidi"/>
          <w:color w:val="000000"/>
          <w:sz w:val="24"/>
          <w:szCs w:val="24"/>
        </w:rPr>
        <w:t xml:space="preserve"> </w:t>
      </w:r>
      <w:r w:rsidR="00FA1443" w:rsidRPr="00AF7F04">
        <w:rPr>
          <w:rFonts w:asciiTheme="majorBidi" w:hAnsiTheme="majorBidi" w:cstheme="majorBidi"/>
          <w:color w:val="000000"/>
          <w:sz w:val="24"/>
          <w:szCs w:val="24"/>
        </w:rPr>
        <w:t>max]2). This is the RV systolic pressure, and by adding RA pressure. Usually, PASP&lt; 30 mmHg is considered normal</w:t>
      </w:r>
      <w:r w:rsidR="00E070BA" w:rsidRPr="00AF7F04">
        <w:rPr>
          <w:rFonts w:asciiTheme="majorBidi" w:hAnsiTheme="majorBidi" w:cstheme="majorBidi"/>
          <w:color w:val="000000"/>
          <w:sz w:val="24"/>
          <w:szCs w:val="24"/>
        </w:rPr>
        <w:t xml:space="preserve"> [1</w:t>
      </w:r>
      <w:r w:rsidR="00AF7F04" w:rsidRPr="00AF7F04">
        <w:rPr>
          <w:rFonts w:asciiTheme="majorBidi" w:hAnsiTheme="majorBidi" w:cstheme="majorBidi"/>
          <w:color w:val="000000"/>
          <w:sz w:val="24"/>
          <w:szCs w:val="24"/>
        </w:rPr>
        <w:t>9</w:t>
      </w:r>
      <w:r w:rsidR="00E070BA" w:rsidRPr="00AF7F04">
        <w:rPr>
          <w:rFonts w:asciiTheme="majorBidi" w:hAnsiTheme="majorBidi" w:cstheme="majorBidi"/>
          <w:color w:val="000000"/>
          <w:sz w:val="24"/>
          <w:szCs w:val="24"/>
        </w:rPr>
        <w:t>]</w:t>
      </w:r>
      <w:r w:rsidR="00FA1443" w:rsidRPr="00AF7F04">
        <w:rPr>
          <w:rFonts w:asciiTheme="majorBidi" w:hAnsiTheme="majorBidi" w:cstheme="majorBidi"/>
          <w:color w:val="000000"/>
          <w:sz w:val="24"/>
          <w:szCs w:val="24"/>
        </w:rPr>
        <w:t>.</w:t>
      </w:r>
    </w:p>
    <w:p w14:paraId="73E661D4" w14:textId="3D1FEA86" w:rsidR="009316CD" w:rsidRPr="004021EF" w:rsidRDefault="00475102" w:rsidP="00A83FB8">
      <w:pPr>
        <w:autoSpaceDE w:val="0"/>
        <w:autoSpaceDN w:val="0"/>
        <w:adjustRightInd w:val="0"/>
        <w:spacing w:after="0" w:line="360" w:lineRule="auto"/>
        <w:jc w:val="both"/>
        <w:rPr>
          <w:rFonts w:asciiTheme="majorBidi" w:hAnsiTheme="majorBidi" w:cstheme="majorBidi"/>
          <w:sz w:val="24"/>
          <w:szCs w:val="24"/>
        </w:rPr>
      </w:pPr>
      <w:r w:rsidRPr="00AF7F04">
        <w:rPr>
          <w:rFonts w:asciiTheme="majorBidi" w:hAnsiTheme="majorBidi" w:cstheme="majorBidi"/>
          <w:color w:val="000000"/>
          <w:sz w:val="24"/>
          <w:szCs w:val="24"/>
        </w:rPr>
        <w:t>Tissue Doppler imaging (TDI)</w:t>
      </w:r>
      <w:r w:rsidR="008774DD">
        <w:rPr>
          <w:rFonts w:asciiTheme="majorBidi" w:hAnsiTheme="majorBidi" w:cstheme="majorBidi"/>
          <w:color w:val="000000"/>
          <w:sz w:val="24"/>
          <w:szCs w:val="24"/>
        </w:rPr>
        <w:t xml:space="preserve"> uses Doppler principles to measure the velocity of myocardial motion. Color tissue Doppler imaging was performed from the apical 4-chamber view using a 2.5-MHz transducer and frame rates of &gt; 80/second, and the images were digitized. Derivation and analysis of tissue Doppler velocity profiles were</w:t>
      </w:r>
      <w:r w:rsidRPr="004021EF">
        <w:rPr>
          <w:rFonts w:asciiTheme="majorBidi" w:hAnsiTheme="majorBidi" w:cstheme="majorBidi"/>
          <w:color w:val="000000"/>
          <w:sz w:val="24"/>
          <w:szCs w:val="24"/>
        </w:rPr>
        <w:t xml:space="preserve"> performed offline using commercially available computer software (Echopac, GE-Vingmed).</w:t>
      </w:r>
    </w:p>
    <w:p w14:paraId="5AE2A20A" w14:textId="01971DC2" w:rsidR="009316CD" w:rsidRPr="00ED2853" w:rsidRDefault="00ED2853" w:rsidP="006F7909">
      <w:pPr>
        <w:autoSpaceDE w:val="0"/>
        <w:autoSpaceDN w:val="0"/>
        <w:adjustRightInd w:val="0"/>
        <w:spacing w:after="0" w:line="360" w:lineRule="auto"/>
        <w:jc w:val="both"/>
        <w:rPr>
          <w:rFonts w:asciiTheme="majorBidi" w:hAnsiTheme="majorBidi" w:cstheme="majorBidi"/>
          <w:color w:val="000000"/>
          <w:sz w:val="24"/>
          <w:szCs w:val="24"/>
        </w:rPr>
      </w:pPr>
      <w:r w:rsidRPr="00ED2853">
        <w:rPr>
          <w:rFonts w:asciiTheme="majorBidi" w:hAnsiTheme="majorBidi" w:cstheme="majorBidi"/>
          <w:b/>
          <w:bCs/>
          <w:color w:val="000000"/>
          <w:sz w:val="24"/>
          <w:szCs w:val="24"/>
        </w:rPr>
        <w:t>e</w:t>
      </w:r>
      <w:r>
        <w:rPr>
          <w:rFonts w:asciiTheme="majorBidi" w:hAnsiTheme="majorBidi" w:cstheme="majorBidi"/>
          <w:color w:val="000000"/>
          <w:sz w:val="24"/>
          <w:szCs w:val="24"/>
        </w:rPr>
        <w:t>.</w:t>
      </w:r>
      <w:r w:rsidR="00475102" w:rsidRPr="00ED2853">
        <w:rPr>
          <w:rFonts w:asciiTheme="majorBidi" w:hAnsiTheme="majorBidi" w:cstheme="majorBidi"/>
          <w:color w:val="000000"/>
          <w:sz w:val="24"/>
          <w:szCs w:val="24"/>
        </w:rPr>
        <w:t xml:space="preserve"> </w:t>
      </w:r>
      <w:r w:rsidR="009316CD" w:rsidRPr="00ED2853">
        <w:rPr>
          <w:rFonts w:asciiTheme="majorBidi" w:hAnsiTheme="majorBidi" w:cstheme="majorBidi"/>
          <w:color w:val="000000"/>
          <w:sz w:val="24"/>
          <w:szCs w:val="24"/>
        </w:rPr>
        <w:t xml:space="preserve">The heart's velocity </w:t>
      </w:r>
      <w:r w:rsidR="00303FCE">
        <w:rPr>
          <w:rFonts w:asciiTheme="majorBidi" w:hAnsiTheme="majorBidi" w:cstheme="majorBidi"/>
          <w:color w:val="000000"/>
          <w:sz w:val="24"/>
          <w:szCs w:val="24"/>
        </w:rPr>
        <w:t xml:space="preserve">was determined by positioning a 6-mm sample volume at the intersection of the mitral annulus and septal myocardial wall, and </w:t>
      </w:r>
      <w:r w:rsidR="005B5D81">
        <w:rPr>
          <w:rFonts w:asciiTheme="majorBidi" w:hAnsiTheme="majorBidi" w:cstheme="majorBidi"/>
          <w:color w:val="000000"/>
          <w:sz w:val="24"/>
          <w:szCs w:val="24"/>
        </w:rPr>
        <w:t xml:space="preserve">the septal mitral annulus profiles </w:t>
      </w:r>
      <w:r w:rsidR="009316CD" w:rsidRPr="00ED2853">
        <w:rPr>
          <w:rFonts w:asciiTheme="majorBidi" w:hAnsiTheme="majorBidi" w:cstheme="majorBidi"/>
          <w:color w:val="000000"/>
          <w:sz w:val="24"/>
          <w:szCs w:val="24"/>
        </w:rPr>
        <w:t>were acquired. The early diastolic (E'), late diastolic (A'), and peak mitral septal systolic (S') velocities were recorded from two consecutive cardiac cycles and averaged. Additionally, the ratio (E/E') of the peak early diastolic mitral annulus velocity by tissue Doppler imaging and the peak early diastolic mitral inflow velocity by pulse-wave Doppler was calculated.</w:t>
      </w:r>
      <w:r>
        <w:rPr>
          <w:rFonts w:asciiTheme="majorBidi" w:hAnsiTheme="majorBidi" w:cstheme="majorBidi"/>
          <w:color w:val="000000"/>
          <w:sz w:val="24"/>
          <w:szCs w:val="24"/>
        </w:rPr>
        <w:t xml:space="preserve"> </w:t>
      </w:r>
      <w:r w:rsidR="009316CD" w:rsidRPr="00ED2853">
        <w:rPr>
          <w:rFonts w:asciiTheme="majorBidi" w:hAnsiTheme="majorBidi" w:cstheme="majorBidi"/>
          <w:color w:val="000000"/>
          <w:sz w:val="24"/>
          <w:szCs w:val="24"/>
        </w:rPr>
        <w:t xml:space="preserve">Longitudinal systolic function </w:t>
      </w:r>
      <w:r>
        <w:rPr>
          <w:rFonts w:asciiTheme="majorBidi" w:hAnsiTheme="majorBidi" w:cstheme="majorBidi"/>
          <w:color w:val="000000"/>
          <w:sz w:val="24"/>
          <w:szCs w:val="24"/>
        </w:rPr>
        <w:t>was</w:t>
      </w:r>
      <w:r w:rsidR="009316CD" w:rsidRPr="00ED2853">
        <w:rPr>
          <w:rFonts w:asciiTheme="majorBidi" w:hAnsiTheme="majorBidi" w:cstheme="majorBidi"/>
          <w:color w:val="000000"/>
          <w:sz w:val="24"/>
          <w:szCs w:val="24"/>
        </w:rPr>
        <w:t xml:space="preserve"> measured by systolic myocardial velocity (S') at the septal mitral annulus; a measurement &gt;7.5 cm/s is thought to be sensitive and specific in predicting normal global left ventricular systolic function</w:t>
      </w:r>
      <w:r w:rsidR="006B2F76">
        <w:rPr>
          <w:rFonts w:asciiTheme="majorBidi" w:hAnsiTheme="majorBidi" w:cstheme="majorBidi"/>
          <w:color w:val="000000"/>
          <w:sz w:val="24"/>
          <w:szCs w:val="24"/>
        </w:rPr>
        <w:t xml:space="preserve"> [</w:t>
      </w:r>
      <w:r w:rsidR="006F7909">
        <w:rPr>
          <w:rFonts w:asciiTheme="majorBidi" w:hAnsiTheme="majorBidi" w:cstheme="majorBidi"/>
          <w:color w:val="000000"/>
          <w:sz w:val="24"/>
          <w:szCs w:val="24"/>
        </w:rPr>
        <w:t>20</w:t>
      </w:r>
      <w:r w:rsidR="006B2F76">
        <w:rPr>
          <w:rFonts w:asciiTheme="majorBidi" w:hAnsiTheme="majorBidi" w:cstheme="majorBidi"/>
          <w:color w:val="000000"/>
          <w:sz w:val="24"/>
          <w:szCs w:val="24"/>
        </w:rPr>
        <w:t>]</w:t>
      </w:r>
      <w:r w:rsidR="009316CD" w:rsidRPr="00ED2853">
        <w:rPr>
          <w:rFonts w:asciiTheme="majorBidi" w:hAnsiTheme="majorBidi" w:cstheme="majorBidi"/>
          <w:color w:val="000000"/>
          <w:sz w:val="24"/>
          <w:szCs w:val="24"/>
        </w:rPr>
        <w:t>.</w:t>
      </w:r>
    </w:p>
    <w:p w14:paraId="25A724D5" w14:textId="7C444AA6" w:rsidR="00FE6096" w:rsidRPr="00ED2853" w:rsidRDefault="00475102" w:rsidP="006F7909">
      <w:pPr>
        <w:autoSpaceDE w:val="0"/>
        <w:autoSpaceDN w:val="0"/>
        <w:adjustRightInd w:val="0"/>
        <w:spacing w:after="0" w:line="360" w:lineRule="auto"/>
        <w:jc w:val="both"/>
        <w:rPr>
          <w:rFonts w:asciiTheme="majorBidi" w:hAnsiTheme="majorBidi" w:cstheme="majorBidi"/>
          <w:color w:val="000000"/>
          <w:sz w:val="24"/>
          <w:szCs w:val="24"/>
        </w:rPr>
      </w:pPr>
      <w:r w:rsidRPr="00ED2853">
        <w:rPr>
          <w:rFonts w:asciiTheme="majorBidi" w:hAnsiTheme="majorBidi" w:cstheme="majorBidi"/>
          <w:color w:val="000000"/>
          <w:sz w:val="24"/>
          <w:szCs w:val="24"/>
        </w:rPr>
        <w:t>The ratio of early diastolic mitral inflow velocity to early diastolic</w:t>
      </w:r>
      <w:r w:rsidRPr="00ED2853">
        <w:rPr>
          <w:rFonts w:asciiTheme="majorBidi" w:hAnsiTheme="majorBidi" w:cstheme="majorBidi"/>
          <w:color w:val="212121"/>
          <w:sz w:val="24"/>
          <w:szCs w:val="24"/>
          <w:shd w:val="clear" w:color="auto" w:fill="FFFFFF"/>
        </w:rPr>
        <w:t xml:space="preserve"> </w:t>
      </w:r>
      <w:r w:rsidRPr="00ED2853">
        <w:rPr>
          <w:rFonts w:asciiTheme="majorBidi" w:hAnsiTheme="majorBidi" w:cstheme="majorBidi"/>
          <w:color w:val="000000"/>
          <w:sz w:val="24"/>
          <w:szCs w:val="24"/>
        </w:rPr>
        <w:t>mitral annulus velocity (</w:t>
      </w:r>
      <w:r w:rsidR="007216FE">
        <w:rPr>
          <w:rFonts w:asciiTheme="majorBidi" w:hAnsiTheme="majorBidi" w:cstheme="majorBidi"/>
          <w:color w:val="000000"/>
          <w:sz w:val="24"/>
          <w:szCs w:val="24"/>
        </w:rPr>
        <w:t>E/E</w:t>
      </w:r>
      <w:r w:rsidRPr="00ED2853">
        <w:rPr>
          <w:rFonts w:asciiTheme="majorBidi" w:hAnsiTheme="majorBidi" w:cstheme="majorBidi"/>
          <w:color w:val="000000"/>
          <w:sz w:val="24"/>
          <w:szCs w:val="24"/>
        </w:rPr>
        <w:t xml:space="preserve"> ratio) is used </w:t>
      </w:r>
      <w:r w:rsidR="008774DD">
        <w:rPr>
          <w:rFonts w:asciiTheme="majorBidi" w:hAnsiTheme="majorBidi" w:cstheme="majorBidi"/>
          <w:color w:val="000000"/>
          <w:sz w:val="24"/>
          <w:szCs w:val="24"/>
        </w:rPr>
        <w:t>to evaluate</w:t>
      </w:r>
      <w:r w:rsidRPr="00ED2853">
        <w:rPr>
          <w:rFonts w:asciiTheme="majorBidi" w:hAnsiTheme="majorBidi" w:cstheme="majorBidi"/>
          <w:color w:val="000000"/>
          <w:sz w:val="24"/>
          <w:szCs w:val="24"/>
        </w:rPr>
        <w:t xml:space="preserve"> LV filling pressure, and it has been used as a marker to diagnose diastolic HF. An average E/E’ &gt; 15 </w:t>
      </w:r>
      <w:r w:rsidR="00181493" w:rsidRPr="00ED2853">
        <w:rPr>
          <w:rFonts w:asciiTheme="majorBidi" w:hAnsiTheme="majorBidi" w:cstheme="majorBidi"/>
          <w:color w:val="000000"/>
          <w:sz w:val="24"/>
          <w:szCs w:val="24"/>
        </w:rPr>
        <w:t>wa</w:t>
      </w:r>
      <w:r w:rsidRPr="00ED2853">
        <w:rPr>
          <w:rFonts w:asciiTheme="majorBidi" w:hAnsiTheme="majorBidi" w:cstheme="majorBidi"/>
          <w:color w:val="000000"/>
          <w:sz w:val="24"/>
          <w:szCs w:val="24"/>
        </w:rPr>
        <w:t>s deemed specific for elevated LV filling pressure</w:t>
      </w:r>
      <w:r w:rsidR="008774DD">
        <w:rPr>
          <w:rFonts w:asciiTheme="majorBidi" w:hAnsiTheme="majorBidi" w:cstheme="majorBidi"/>
          <w:color w:val="000000"/>
          <w:sz w:val="24"/>
          <w:szCs w:val="24"/>
        </w:rPr>
        <w:t>, and &lt;8 indicated</w:t>
      </w:r>
      <w:r w:rsidRPr="00ED2853">
        <w:rPr>
          <w:rFonts w:asciiTheme="majorBidi" w:hAnsiTheme="majorBidi" w:cstheme="majorBidi"/>
          <w:color w:val="000000"/>
          <w:sz w:val="24"/>
          <w:szCs w:val="24"/>
        </w:rPr>
        <w:t xml:space="preserve"> low/normal filling pressures</w:t>
      </w:r>
      <w:r w:rsidR="00B140FF">
        <w:rPr>
          <w:rFonts w:asciiTheme="majorBidi" w:hAnsiTheme="majorBidi" w:cstheme="majorBidi"/>
          <w:color w:val="000000"/>
          <w:sz w:val="24"/>
          <w:szCs w:val="24"/>
        </w:rPr>
        <w:t xml:space="preserve"> [</w:t>
      </w:r>
      <w:r w:rsidR="00FE298C">
        <w:rPr>
          <w:rFonts w:asciiTheme="majorBidi" w:hAnsiTheme="majorBidi" w:cstheme="majorBidi"/>
          <w:color w:val="000000"/>
          <w:sz w:val="24"/>
          <w:szCs w:val="24"/>
        </w:rPr>
        <w:t>2</w:t>
      </w:r>
      <w:r w:rsidR="006F7909">
        <w:rPr>
          <w:rFonts w:asciiTheme="majorBidi" w:hAnsiTheme="majorBidi" w:cstheme="majorBidi"/>
          <w:color w:val="000000"/>
          <w:sz w:val="24"/>
          <w:szCs w:val="24"/>
        </w:rPr>
        <w:t>1</w:t>
      </w:r>
      <w:r w:rsidR="00B140FF">
        <w:rPr>
          <w:rFonts w:asciiTheme="majorBidi" w:hAnsiTheme="majorBidi" w:cstheme="majorBidi"/>
          <w:color w:val="000000"/>
          <w:sz w:val="24"/>
          <w:szCs w:val="24"/>
        </w:rPr>
        <w:t>]</w:t>
      </w:r>
      <w:r w:rsidRPr="00ED2853">
        <w:rPr>
          <w:rFonts w:asciiTheme="majorBidi" w:hAnsiTheme="majorBidi" w:cstheme="majorBidi"/>
          <w:color w:val="000000"/>
          <w:sz w:val="24"/>
          <w:szCs w:val="24"/>
        </w:rPr>
        <w:t>.</w:t>
      </w:r>
    </w:p>
    <w:p w14:paraId="0497A1D4" w14:textId="068CD530" w:rsidR="00ED2853" w:rsidRDefault="00ED2853" w:rsidP="006F7909">
      <w:pPr>
        <w:spacing w:line="360" w:lineRule="auto"/>
        <w:jc w:val="both"/>
        <w:rPr>
          <w:rFonts w:asciiTheme="majorBidi" w:hAnsiTheme="majorBidi" w:cstheme="majorBidi"/>
          <w:color w:val="000000"/>
          <w:sz w:val="24"/>
          <w:szCs w:val="24"/>
        </w:rPr>
      </w:pPr>
      <w:r w:rsidRPr="00ED2853">
        <w:rPr>
          <w:rFonts w:asciiTheme="majorBidi" w:hAnsiTheme="majorBidi" w:cstheme="majorBidi"/>
          <w:b/>
          <w:bCs/>
          <w:color w:val="000000"/>
          <w:sz w:val="24"/>
          <w:szCs w:val="24"/>
        </w:rPr>
        <w:t>f</w:t>
      </w:r>
      <w:r>
        <w:rPr>
          <w:rFonts w:asciiTheme="majorBidi" w:hAnsiTheme="majorBidi" w:cstheme="majorBidi"/>
          <w:color w:val="000000"/>
          <w:sz w:val="24"/>
          <w:szCs w:val="24"/>
        </w:rPr>
        <w:t>.</w:t>
      </w:r>
      <w:r w:rsidR="009316CD" w:rsidRPr="001B24EE">
        <w:rPr>
          <w:rFonts w:asciiTheme="majorBidi" w:hAnsiTheme="majorBidi" w:cstheme="majorBidi"/>
          <w:color w:val="000000"/>
          <w:sz w:val="24"/>
          <w:szCs w:val="24"/>
        </w:rPr>
        <w:t xml:space="preserve"> Cirrhotic</w:t>
      </w:r>
      <w:r w:rsidR="00475102" w:rsidRPr="001B24EE">
        <w:rPr>
          <w:rFonts w:asciiTheme="majorBidi" w:hAnsiTheme="majorBidi" w:cstheme="majorBidi"/>
          <w:color w:val="000000"/>
          <w:sz w:val="24"/>
          <w:szCs w:val="24"/>
        </w:rPr>
        <w:t xml:space="preserve"> cardiomyopathy was diagnosed according to the revised CCM criteria </w:t>
      </w:r>
      <w:r w:rsidR="00617856">
        <w:rPr>
          <w:rFonts w:asciiTheme="majorBidi" w:hAnsiTheme="majorBidi" w:cstheme="majorBidi"/>
          <w:color w:val="000000"/>
          <w:sz w:val="24"/>
          <w:szCs w:val="24"/>
        </w:rPr>
        <w:t>[</w:t>
      </w:r>
      <w:r w:rsidR="00A815BE">
        <w:rPr>
          <w:rFonts w:asciiTheme="majorBidi" w:hAnsiTheme="majorBidi" w:cstheme="majorBidi"/>
          <w:color w:val="000000"/>
          <w:sz w:val="24"/>
          <w:szCs w:val="24"/>
        </w:rPr>
        <w:t>2</w:t>
      </w:r>
      <w:r w:rsidR="006F7909">
        <w:rPr>
          <w:rFonts w:asciiTheme="majorBidi" w:hAnsiTheme="majorBidi" w:cstheme="majorBidi"/>
          <w:color w:val="000000"/>
          <w:sz w:val="24"/>
          <w:szCs w:val="24"/>
        </w:rPr>
        <w:t>2</w:t>
      </w:r>
      <w:r w:rsidR="00617856">
        <w:rPr>
          <w:rFonts w:asciiTheme="majorBidi" w:hAnsiTheme="majorBidi" w:cstheme="majorBidi"/>
          <w:color w:val="000000"/>
          <w:sz w:val="24"/>
          <w:szCs w:val="24"/>
        </w:rPr>
        <w:t>]</w:t>
      </w:r>
      <w:r w:rsidR="00475102">
        <w:rPr>
          <w:rFonts w:asciiTheme="majorBidi" w:hAnsiTheme="majorBidi" w:cstheme="majorBidi"/>
          <w:color w:val="000000"/>
          <w:sz w:val="24"/>
          <w:szCs w:val="24"/>
        </w:rPr>
        <w:t>.</w:t>
      </w:r>
    </w:p>
    <w:p w14:paraId="6EC11F68" w14:textId="6ABF6E4F" w:rsidR="00475102" w:rsidRPr="000D01F1" w:rsidRDefault="00475102" w:rsidP="00A83FB8">
      <w:pPr>
        <w:autoSpaceDE w:val="0"/>
        <w:autoSpaceDN w:val="0"/>
        <w:adjustRightInd w:val="0"/>
        <w:spacing w:after="0" w:line="360" w:lineRule="auto"/>
        <w:jc w:val="both"/>
        <w:rPr>
          <w:rFonts w:asciiTheme="majorBidi" w:hAnsiTheme="majorBidi" w:cstheme="majorBidi"/>
          <w:b/>
          <w:bCs/>
          <w:color w:val="000000"/>
          <w:sz w:val="24"/>
          <w:szCs w:val="24"/>
        </w:rPr>
      </w:pPr>
      <w:r w:rsidRPr="000D01F1">
        <w:rPr>
          <w:rFonts w:asciiTheme="majorBidi" w:hAnsiTheme="majorBidi" w:cstheme="majorBidi"/>
          <w:b/>
          <w:bCs/>
          <w:color w:val="000000"/>
          <w:sz w:val="24"/>
          <w:szCs w:val="24"/>
        </w:rPr>
        <w:t>4</w:t>
      </w:r>
      <w:r w:rsidR="009316CD">
        <w:rPr>
          <w:rFonts w:asciiTheme="majorBidi" w:hAnsiTheme="majorBidi" w:cstheme="majorBidi"/>
          <w:b/>
          <w:bCs/>
          <w:color w:val="000000"/>
          <w:sz w:val="24"/>
          <w:szCs w:val="24"/>
        </w:rPr>
        <w:t>.</w:t>
      </w:r>
      <w:r w:rsidRPr="000D01F1">
        <w:rPr>
          <w:rFonts w:asciiTheme="majorBidi" w:hAnsiTheme="majorBidi" w:cstheme="majorBidi"/>
          <w:b/>
          <w:bCs/>
          <w:color w:val="000000"/>
          <w:sz w:val="24"/>
          <w:szCs w:val="24"/>
        </w:rPr>
        <w:t xml:space="preserve"> Electrocardiography</w:t>
      </w:r>
    </w:p>
    <w:p w14:paraId="66EB58A5" w14:textId="2B62AAC7" w:rsidR="009316CD" w:rsidRPr="009316CD" w:rsidRDefault="009316CD" w:rsidP="00A83FB8">
      <w:pPr>
        <w:spacing w:line="360" w:lineRule="auto"/>
        <w:jc w:val="both"/>
        <w:rPr>
          <w:rFonts w:asciiTheme="majorBidi" w:hAnsiTheme="majorBidi" w:cstheme="majorBidi"/>
          <w:color w:val="000000"/>
          <w:sz w:val="24"/>
          <w:szCs w:val="24"/>
        </w:rPr>
      </w:pPr>
      <w:r w:rsidRPr="009316CD">
        <w:rPr>
          <w:rFonts w:asciiTheme="majorBidi" w:hAnsiTheme="majorBidi" w:cstheme="majorBidi"/>
          <w:color w:val="000000"/>
          <w:sz w:val="24"/>
          <w:szCs w:val="24"/>
        </w:rPr>
        <w:t xml:space="preserve">For all patients, a baseline 12-lead standard electrocardiogram (ECG) was conducted in a supine posture at a rate of 25 mm/s with a calibration of 1 mV/cm = 10 mm. Throughout the analysis, </w:t>
      </w:r>
      <w:r w:rsidR="009028B5" w:rsidRPr="009316CD">
        <w:rPr>
          <w:rFonts w:asciiTheme="majorBidi" w:hAnsiTheme="majorBidi" w:cstheme="majorBidi"/>
          <w:color w:val="000000"/>
          <w:sz w:val="24"/>
          <w:szCs w:val="24"/>
        </w:rPr>
        <w:t>all</w:t>
      </w:r>
      <w:r w:rsidRPr="009316CD">
        <w:rPr>
          <w:rFonts w:asciiTheme="majorBidi" w:hAnsiTheme="majorBidi" w:cstheme="majorBidi"/>
          <w:color w:val="000000"/>
          <w:sz w:val="24"/>
          <w:szCs w:val="24"/>
        </w:rPr>
        <w:t xml:space="preserve"> the patients had sinus rhythms. At least </w:t>
      </w:r>
      <w:r w:rsidR="008774DD">
        <w:rPr>
          <w:rFonts w:asciiTheme="majorBidi" w:hAnsiTheme="majorBidi" w:cstheme="majorBidi"/>
          <w:color w:val="000000"/>
          <w:sz w:val="24"/>
          <w:szCs w:val="24"/>
        </w:rPr>
        <w:t>ten</w:t>
      </w:r>
      <w:r w:rsidRPr="009316CD">
        <w:rPr>
          <w:rFonts w:asciiTheme="majorBidi" w:hAnsiTheme="majorBidi" w:cstheme="majorBidi"/>
          <w:color w:val="000000"/>
          <w:sz w:val="24"/>
          <w:szCs w:val="24"/>
        </w:rPr>
        <w:t xml:space="preserve"> leads could be analyzed in every ECG, and three consecutive beats were utilized for analysis. </w:t>
      </w:r>
    </w:p>
    <w:p w14:paraId="7F4477FC" w14:textId="09D5D15B" w:rsidR="00475102" w:rsidRDefault="009316CD" w:rsidP="006F7909">
      <w:pPr>
        <w:spacing w:line="360" w:lineRule="auto"/>
        <w:jc w:val="both"/>
        <w:rPr>
          <w:rFonts w:asciiTheme="majorBidi" w:hAnsiTheme="majorBidi" w:cstheme="majorBidi"/>
          <w:color w:val="000000"/>
          <w:sz w:val="24"/>
          <w:szCs w:val="24"/>
        </w:rPr>
      </w:pPr>
      <w:r w:rsidRPr="009316CD">
        <w:rPr>
          <w:rFonts w:asciiTheme="majorBidi" w:hAnsiTheme="majorBidi" w:cstheme="majorBidi"/>
          <w:color w:val="000000"/>
          <w:sz w:val="24"/>
          <w:szCs w:val="24"/>
        </w:rPr>
        <w:t xml:space="preserve">Where necessary, </w:t>
      </w:r>
      <w:r w:rsidR="008774DD">
        <w:rPr>
          <w:rFonts w:asciiTheme="majorBidi" w:hAnsiTheme="majorBidi" w:cstheme="majorBidi"/>
          <w:color w:val="000000"/>
          <w:sz w:val="24"/>
          <w:szCs w:val="24"/>
        </w:rPr>
        <w:t xml:space="preserve">the </w:t>
      </w:r>
      <w:r w:rsidRPr="009316CD">
        <w:rPr>
          <w:rFonts w:asciiTheme="majorBidi" w:hAnsiTheme="majorBidi" w:cstheme="majorBidi"/>
          <w:color w:val="000000"/>
          <w:sz w:val="24"/>
          <w:szCs w:val="24"/>
        </w:rPr>
        <w:t>heart rate was measured and adjusted. The QTC = QT/√ RR formula was used to calculate the Qt interval, and a QT interval greater than 0.44 was considered prolonged</w:t>
      </w:r>
      <w:r w:rsidR="00972EED">
        <w:rPr>
          <w:rFonts w:asciiTheme="majorBidi" w:hAnsiTheme="majorBidi" w:cstheme="majorBidi"/>
          <w:color w:val="000000"/>
          <w:sz w:val="24"/>
          <w:szCs w:val="24"/>
        </w:rPr>
        <w:t xml:space="preserve"> </w:t>
      </w:r>
      <w:r w:rsidR="00D62DC4">
        <w:rPr>
          <w:rFonts w:asciiTheme="majorBidi" w:hAnsiTheme="majorBidi" w:cstheme="majorBidi"/>
          <w:color w:val="000000"/>
          <w:sz w:val="24"/>
          <w:szCs w:val="24"/>
        </w:rPr>
        <w:t>[2</w:t>
      </w:r>
      <w:r w:rsidR="006F7909">
        <w:rPr>
          <w:rFonts w:asciiTheme="majorBidi" w:hAnsiTheme="majorBidi" w:cstheme="majorBidi"/>
          <w:color w:val="000000"/>
          <w:sz w:val="24"/>
          <w:szCs w:val="24"/>
        </w:rPr>
        <w:t>3</w:t>
      </w:r>
      <w:r w:rsidR="00D62DC4">
        <w:rPr>
          <w:rFonts w:asciiTheme="majorBidi" w:hAnsiTheme="majorBidi" w:cstheme="majorBidi"/>
          <w:color w:val="000000"/>
          <w:sz w:val="24"/>
          <w:szCs w:val="24"/>
        </w:rPr>
        <w:t>]</w:t>
      </w:r>
      <w:r w:rsidR="004A479E">
        <w:rPr>
          <w:rFonts w:asciiTheme="majorBidi" w:hAnsiTheme="majorBidi" w:cstheme="majorBidi"/>
          <w:color w:val="000000"/>
          <w:sz w:val="24"/>
          <w:szCs w:val="24"/>
        </w:rPr>
        <w:t>.</w:t>
      </w:r>
    </w:p>
    <w:p w14:paraId="723DE8D7" w14:textId="77777777" w:rsidR="00ED2853" w:rsidRPr="00ED2853" w:rsidRDefault="00ED2853" w:rsidP="00A83FB8">
      <w:pPr>
        <w:tabs>
          <w:tab w:val="left" w:pos="1395"/>
          <w:tab w:val="left" w:pos="3435"/>
        </w:tabs>
        <w:spacing w:after="0" w:line="360" w:lineRule="auto"/>
        <w:jc w:val="both"/>
        <w:rPr>
          <w:rFonts w:asciiTheme="majorBidi" w:eastAsia="Arial" w:hAnsiTheme="majorBidi" w:cstheme="majorBidi"/>
          <w:b/>
          <w:bCs/>
          <w:sz w:val="24"/>
          <w:szCs w:val="24"/>
          <w:lang w:eastAsia="de-DE"/>
        </w:rPr>
      </w:pPr>
      <w:r w:rsidRPr="00ED2853">
        <w:rPr>
          <w:rFonts w:asciiTheme="majorBidi" w:eastAsia="Arial" w:hAnsiTheme="majorBidi" w:cstheme="majorBidi"/>
          <w:b/>
          <w:bCs/>
          <w:sz w:val="32"/>
          <w:szCs w:val="32"/>
          <w:lang w:eastAsia="de-DE"/>
        </w:rPr>
        <w:t>Ethical consideration</w:t>
      </w:r>
    </w:p>
    <w:p w14:paraId="2DEA940C" w14:textId="6D74E42C" w:rsidR="00ED2853" w:rsidRDefault="00ED2853" w:rsidP="00A83FB8">
      <w:pPr>
        <w:tabs>
          <w:tab w:val="left" w:pos="1395"/>
          <w:tab w:val="left" w:pos="3435"/>
        </w:tabs>
        <w:spacing w:after="0" w:line="360" w:lineRule="auto"/>
        <w:jc w:val="both"/>
        <w:rPr>
          <w:rFonts w:asciiTheme="majorBidi" w:eastAsia="Arial" w:hAnsiTheme="majorBidi" w:cstheme="majorBidi"/>
          <w:sz w:val="24"/>
          <w:szCs w:val="24"/>
          <w:lang w:eastAsia="de-DE"/>
        </w:rPr>
      </w:pPr>
      <w:r w:rsidRPr="00D26481">
        <w:rPr>
          <w:rFonts w:asciiTheme="majorBidi" w:eastAsia="Arial" w:hAnsiTheme="majorBidi" w:cstheme="majorBidi"/>
          <w:sz w:val="24"/>
          <w:szCs w:val="24"/>
          <w:lang w:eastAsia="de-DE"/>
        </w:rPr>
        <w:t>The ethical committee’s approval</w:t>
      </w:r>
      <w:r w:rsidR="008774DD">
        <w:rPr>
          <w:rFonts w:asciiTheme="majorBidi" w:eastAsia="Arial" w:hAnsiTheme="majorBidi" w:cstheme="majorBidi"/>
          <w:sz w:val="24"/>
          <w:szCs w:val="24"/>
          <w:lang w:eastAsia="de-DE"/>
        </w:rPr>
        <w:t>, with adherence to the Helsinki Declaration, was obtained</w:t>
      </w:r>
      <w:r w:rsidRPr="00D26481">
        <w:rPr>
          <w:rFonts w:asciiTheme="majorBidi" w:eastAsia="Arial" w:hAnsiTheme="majorBidi" w:cstheme="majorBidi"/>
          <w:sz w:val="24"/>
          <w:szCs w:val="24"/>
          <w:lang w:eastAsia="de-DE"/>
        </w:rPr>
        <w:t xml:space="preserve"> before the start of the study, approval code 36264PR41/1/23. The aim of the research and side were made clear to all participants, and </w:t>
      </w:r>
      <w:r w:rsidR="008774DD">
        <w:rPr>
          <w:rFonts w:asciiTheme="majorBidi" w:eastAsia="Arial" w:hAnsiTheme="majorBidi" w:cstheme="majorBidi"/>
          <w:sz w:val="24"/>
          <w:szCs w:val="24"/>
          <w:lang w:eastAsia="de-DE"/>
        </w:rPr>
        <w:t>every patient signed informed consent</w:t>
      </w:r>
      <w:r w:rsidRPr="00D26481">
        <w:rPr>
          <w:rFonts w:asciiTheme="majorBidi" w:eastAsia="Arial" w:hAnsiTheme="majorBidi" w:cstheme="majorBidi"/>
          <w:sz w:val="24"/>
          <w:szCs w:val="24"/>
          <w:lang w:eastAsia="de-DE"/>
        </w:rPr>
        <w:t xml:space="preserve"> before </w:t>
      </w:r>
      <w:r w:rsidR="008774DD">
        <w:rPr>
          <w:rFonts w:asciiTheme="majorBidi" w:eastAsia="Arial" w:hAnsiTheme="majorBidi" w:cstheme="majorBidi"/>
          <w:sz w:val="24"/>
          <w:szCs w:val="24"/>
          <w:lang w:eastAsia="de-DE"/>
        </w:rPr>
        <w:t>study enrollment</w:t>
      </w:r>
      <w:r w:rsidRPr="00D26481">
        <w:rPr>
          <w:rFonts w:asciiTheme="majorBidi" w:eastAsia="Arial" w:hAnsiTheme="majorBidi" w:cstheme="majorBidi"/>
          <w:sz w:val="24"/>
          <w:szCs w:val="24"/>
          <w:lang w:eastAsia="de-DE"/>
        </w:rPr>
        <w:t>. All authors had access to the study data and reviewed and approved the final manuscript.</w:t>
      </w:r>
    </w:p>
    <w:p w14:paraId="6F619528" w14:textId="77777777" w:rsidR="0097788B" w:rsidRDefault="0097788B" w:rsidP="00A83FB8">
      <w:pPr>
        <w:tabs>
          <w:tab w:val="left" w:pos="1395"/>
          <w:tab w:val="left" w:pos="3435"/>
        </w:tabs>
        <w:spacing w:after="0" w:line="360" w:lineRule="auto"/>
        <w:jc w:val="both"/>
        <w:rPr>
          <w:rFonts w:asciiTheme="majorBidi" w:eastAsia="Times New Roman" w:hAnsiTheme="majorBidi" w:cstheme="majorBidi"/>
          <w:b/>
          <w:bCs/>
          <w:kern w:val="0"/>
          <w:sz w:val="24"/>
          <w:szCs w:val="24"/>
          <w14:ligatures w14:val="none"/>
        </w:rPr>
      </w:pPr>
    </w:p>
    <w:p w14:paraId="00BBF6BC" w14:textId="2E6DD232" w:rsidR="00475102" w:rsidRPr="00ED2853" w:rsidRDefault="00475102" w:rsidP="00A83FB8">
      <w:pPr>
        <w:tabs>
          <w:tab w:val="left" w:pos="1395"/>
          <w:tab w:val="left" w:pos="3435"/>
        </w:tabs>
        <w:spacing w:after="0" w:line="360" w:lineRule="auto"/>
        <w:jc w:val="both"/>
        <w:rPr>
          <w:rFonts w:asciiTheme="majorBidi" w:eastAsia="Arial" w:hAnsiTheme="majorBidi" w:cstheme="majorBidi"/>
          <w:sz w:val="24"/>
          <w:szCs w:val="24"/>
          <w:lang w:eastAsia="de-DE"/>
        </w:rPr>
      </w:pPr>
      <w:r w:rsidRPr="00ED2853">
        <w:rPr>
          <w:rFonts w:asciiTheme="majorBidi" w:eastAsia="Times New Roman" w:hAnsiTheme="majorBidi" w:cstheme="majorBidi"/>
          <w:b/>
          <w:bCs/>
          <w:kern w:val="0"/>
          <w:sz w:val="28"/>
          <w:szCs w:val="28"/>
          <w14:ligatures w14:val="none"/>
        </w:rPr>
        <w:t xml:space="preserve">Statistical </w:t>
      </w:r>
      <w:r w:rsidR="00C66EE6" w:rsidRPr="00ED2853">
        <w:rPr>
          <w:rFonts w:asciiTheme="majorBidi" w:eastAsia="Times New Roman" w:hAnsiTheme="majorBidi" w:cstheme="majorBidi"/>
          <w:b/>
          <w:bCs/>
          <w:kern w:val="0"/>
          <w:sz w:val="28"/>
          <w:szCs w:val="28"/>
          <w14:ligatures w14:val="none"/>
        </w:rPr>
        <w:t>analyses</w:t>
      </w:r>
      <w:r w:rsidRPr="00ED2853">
        <w:rPr>
          <w:rFonts w:asciiTheme="majorBidi" w:eastAsia="Times New Roman" w:hAnsiTheme="majorBidi" w:cstheme="majorBidi"/>
          <w:b/>
          <w:bCs/>
          <w:kern w:val="0"/>
          <w:sz w:val="28"/>
          <w:szCs w:val="28"/>
          <w14:ligatures w14:val="none"/>
        </w:rPr>
        <w:t xml:space="preserve"> of data</w:t>
      </w:r>
    </w:p>
    <w:p w14:paraId="6071BCEE" w14:textId="1557C80A" w:rsidR="0008797B" w:rsidRDefault="005B72C5" w:rsidP="00A83FB8">
      <w:pPr>
        <w:tabs>
          <w:tab w:val="left" w:pos="1395"/>
          <w:tab w:val="left" w:pos="3435"/>
        </w:tabs>
        <w:spacing w:after="0" w:line="360" w:lineRule="auto"/>
        <w:ind w:firstLine="284"/>
        <w:jc w:val="both"/>
        <w:rPr>
          <w:rFonts w:asciiTheme="majorBidi" w:eastAsia="Times New Roman" w:hAnsiTheme="majorBidi" w:cstheme="majorBidi"/>
          <w:kern w:val="0"/>
          <w:sz w:val="24"/>
          <w:szCs w:val="24"/>
          <w14:ligatures w14:val="none"/>
        </w:rPr>
      </w:pPr>
      <w:r w:rsidRPr="005B72C5">
        <w:rPr>
          <w:rFonts w:asciiTheme="majorBidi" w:eastAsia="Times New Roman" w:hAnsiTheme="majorBidi" w:cstheme="majorBidi"/>
          <w:kern w:val="0"/>
          <w:sz w:val="24"/>
          <w:szCs w:val="24"/>
          <w14:ligatures w14:val="none"/>
        </w:rPr>
        <w:t xml:space="preserve">Data was uploaded </w:t>
      </w:r>
      <w:r w:rsidR="009028B5" w:rsidRPr="005B72C5">
        <w:rPr>
          <w:rFonts w:asciiTheme="majorBidi" w:eastAsia="Times New Roman" w:hAnsiTheme="majorBidi" w:cstheme="majorBidi"/>
          <w:kern w:val="0"/>
          <w:sz w:val="24"/>
          <w:szCs w:val="24"/>
          <w14:ligatures w14:val="none"/>
        </w:rPr>
        <w:t>onto</w:t>
      </w:r>
      <w:r w:rsidRPr="005B72C5">
        <w:rPr>
          <w:rFonts w:asciiTheme="majorBidi" w:eastAsia="Times New Roman" w:hAnsiTheme="majorBidi" w:cstheme="majorBidi"/>
          <w:kern w:val="0"/>
          <w:sz w:val="24"/>
          <w:szCs w:val="24"/>
          <w14:ligatures w14:val="none"/>
        </w:rPr>
        <w:t xml:space="preserve"> the computer</w:t>
      </w:r>
      <w:r w:rsidR="00303FCE">
        <w:rPr>
          <w:rFonts w:asciiTheme="majorBidi" w:eastAsia="Times New Roman" w:hAnsiTheme="majorBidi" w:cstheme="majorBidi"/>
          <w:kern w:val="0"/>
          <w:sz w:val="24"/>
          <w:szCs w:val="24"/>
          <w14:ligatures w14:val="none"/>
        </w:rPr>
        <w:t xml:space="preserve"> and analyzed</w:t>
      </w:r>
      <w:r w:rsidRPr="005B72C5">
        <w:rPr>
          <w:rFonts w:asciiTheme="majorBidi" w:eastAsia="Times New Roman" w:hAnsiTheme="majorBidi" w:cstheme="majorBidi"/>
          <w:kern w:val="0"/>
          <w:sz w:val="24"/>
          <w:szCs w:val="24"/>
          <w14:ligatures w14:val="none"/>
        </w:rPr>
        <w:t xml:space="preserve"> using IBM SPSS software version 20.0.  (New York, Armonk, IBM Corp.). For categorical data, percentage and numerical representations were utilized.  Any correlations between the category variables were examined using a chi-square test.</w:t>
      </w:r>
      <w:r w:rsidR="008774DD">
        <w:rPr>
          <w:rFonts w:asciiTheme="majorBidi" w:eastAsia="Times New Roman" w:hAnsiTheme="majorBidi" w:cstheme="majorBidi"/>
          <w:kern w:val="0"/>
          <w:sz w:val="24"/>
          <w:szCs w:val="24"/>
          <w14:ligatures w14:val="none"/>
        </w:rPr>
        <w:t xml:space="preserve"> Suppose the expected count was less than five in more than 20% of the cells;</w:t>
      </w:r>
      <w:r w:rsidRPr="005B72C5">
        <w:rPr>
          <w:rFonts w:asciiTheme="majorBidi" w:eastAsia="Times New Roman" w:hAnsiTheme="majorBidi" w:cstheme="majorBidi"/>
          <w:kern w:val="0"/>
          <w:sz w:val="24"/>
          <w:szCs w:val="24"/>
          <w14:ligatures w14:val="none"/>
        </w:rPr>
        <w:t xml:space="preserve"> an </w:t>
      </w:r>
      <w:r w:rsidR="009028B5" w:rsidRPr="005B72C5">
        <w:rPr>
          <w:rFonts w:asciiTheme="majorBidi" w:eastAsia="Times New Roman" w:hAnsiTheme="majorBidi" w:cstheme="majorBidi"/>
          <w:kern w:val="0"/>
          <w:sz w:val="24"/>
          <w:szCs w:val="24"/>
          <w14:ligatures w14:val="none"/>
        </w:rPr>
        <w:t>alternative</w:t>
      </w:r>
      <w:r w:rsidRPr="005B72C5">
        <w:rPr>
          <w:rFonts w:asciiTheme="majorBidi" w:eastAsia="Times New Roman" w:hAnsiTheme="majorBidi" w:cstheme="majorBidi"/>
          <w:kern w:val="0"/>
          <w:sz w:val="24"/>
          <w:szCs w:val="24"/>
          <w14:ligatures w14:val="none"/>
        </w:rPr>
        <w:t xml:space="preserve"> test known as the Monte Carlo correlation test was employed. To verify that continuous data were </w:t>
      </w:r>
      <w:r w:rsidR="008774DD">
        <w:rPr>
          <w:rFonts w:asciiTheme="majorBidi" w:eastAsia="Times New Roman" w:hAnsiTheme="majorBidi" w:cstheme="majorBidi"/>
          <w:kern w:val="0"/>
          <w:sz w:val="24"/>
          <w:szCs w:val="24"/>
          <w14:ligatures w14:val="none"/>
        </w:rPr>
        <w:t>average</w:t>
      </w:r>
      <w:r w:rsidRPr="005B72C5">
        <w:rPr>
          <w:rFonts w:asciiTheme="majorBidi" w:eastAsia="Times New Roman" w:hAnsiTheme="majorBidi" w:cstheme="majorBidi"/>
          <w:kern w:val="0"/>
          <w:sz w:val="24"/>
          <w:szCs w:val="24"/>
          <w14:ligatures w14:val="none"/>
        </w:rPr>
        <w:t xml:space="preserve">, the Shapiro-Wilk test was employed. Quantitative data were described using mean, standard deviation, median, and range (minimum and maximum).  </w:t>
      </w:r>
      <w:r w:rsidR="008774DD">
        <w:rPr>
          <w:rFonts w:asciiTheme="majorBidi" w:eastAsia="Times New Roman" w:hAnsiTheme="majorBidi" w:cstheme="majorBidi"/>
          <w:kern w:val="0"/>
          <w:sz w:val="24"/>
          <w:szCs w:val="24"/>
          <w14:ligatures w14:val="none"/>
        </w:rPr>
        <w:t>The student t-test was employed to compare two sets of quantitative data that were regularly distributed</w:t>
      </w:r>
      <w:r w:rsidRPr="005B72C5">
        <w:rPr>
          <w:rFonts w:asciiTheme="majorBidi" w:eastAsia="Times New Roman" w:hAnsiTheme="majorBidi" w:cstheme="majorBidi"/>
          <w:kern w:val="0"/>
          <w:sz w:val="24"/>
          <w:szCs w:val="24"/>
          <w14:ligatures w14:val="none"/>
        </w:rPr>
        <w:t>.</w:t>
      </w:r>
      <w:r>
        <w:rPr>
          <w:rFonts w:asciiTheme="majorBidi" w:eastAsia="Times New Roman" w:hAnsiTheme="majorBidi" w:cstheme="majorBidi"/>
          <w:kern w:val="0"/>
          <w:sz w:val="24"/>
          <w:szCs w:val="24"/>
          <w14:ligatures w14:val="none"/>
        </w:rPr>
        <w:t xml:space="preserve"> </w:t>
      </w:r>
      <w:r w:rsidRPr="005B72C5">
        <w:rPr>
          <w:rFonts w:asciiTheme="majorBidi" w:eastAsia="Times New Roman" w:hAnsiTheme="majorBidi" w:cstheme="majorBidi"/>
          <w:kern w:val="0"/>
          <w:sz w:val="24"/>
          <w:szCs w:val="24"/>
          <w14:ligatures w14:val="none"/>
        </w:rPr>
        <w:t xml:space="preserve">For non-normally distributed quantitative variables, the </w:t>
      </w:r>
      <w:r w:rsidR="008774DD">
        <w:rPr>
          <w:rFonts w:asciiTheme="majorBidi" w:eastAsia="Times New Roman" w:hAnsiTheme="majorBidi" w:cstheme="majorBidi"/>
          <w:kern w:val="0"/>
          <w:sz w:val="24"/>
          <w:szCs w:val="24"/>
          <w14:ligatures w14:val="none"/>
        </w:rPr>
        <w:t xml:space="preserve">Kruskal-Wallis test was used to compare groups, and for pairwise comparisons, </w:t>
      </w:r>
      <w:r w:rsidRPr="005B72C5">
        <w:rPr>
          <w:rFonts w:asciiTheme="majorBidi" w:eastAsia="Times New Roman" w:hAnsiTheme="majorBidi" w:cstheme="majorBidi"/>
          <w:kern w:val="0"/>
          <w:sz w:val="24"/>
          <w:szCs w:val="24"/>
          <w14:ligatures w14:val="none"/>
        </w:rPr>
        <w:t>Dunn's multiple comparisons test and the Post Hoc test were utilized.  The results were deemed significant at the 5% level.</w:t>
      </w:r>
    </w:p>
    <w:p w14:paraId="2B6A0727" w14:textId="62F88D9F" w:rsidR="0008797B" w:rsidRPr="000D01F1" w:rsidRDefault="0008797B" w:rsidP="00A83FB8">
      <w:pPr>
        <w:spacing w:line="300" w:lineRule="auto"/>
        <w:ind w:firstLine="397"/>
        <w:jc w:val="both"/>
        <w:rPr>
          <w:rFonts w:asciiTheme="majorBidi" w:hAnsiTheme="majorBidi" w:cstheme="majorBidi"/>
          <w:b/>
          <w:bCs/>
          <w:sz w:val="32"/>
          <w:szCs w:val="32"/>
        </w:rPr>
      </w:pPr>
      <w:r w:rsidRPr="000D01F1">
        <w:rPr>
          <w:rFonts w:asciiTheme="majorBidi" w:eastAsia="Times New Roman" w:hAnsiTheme="majorBidi" w:cstheme="majorBidi"/>
          <w:b/>
          <w:bCs/>
          <w:kern w:val="0"/>
          <w:sz w:val="32"/>
          <w:szCs w:val="32"/>
          <w14:ligatures w14:val="none"/>
        </w:rPr>
        <w:t>R</w:t>
      </w:r>
      <w:r w:rsidR="00020D3E">
        <w:rPr>
          <w:rFonts w:asciiTheme="majorBidi" w:eastAsia="Times New Roman" w:hAnsiTheme="majorBidi" w:cstheme="majorBidi"/>
          <w:b/>
          <w:bCs/>
          <w:kern w:val="0"/>
          <w:sz w:val="32"/>
          <w:szCs w:val="32"/>
          <w14:ligatures w14:val="none"/>
        </w:rPr>
        <w:t xml:space="preserve">esults </w:t>
      </w:r>
    </w:p>
    <w:p w14:paraId="23822848" w14:textId="77777777" w:rsidR="004C3970" w:rsidRDefault="005B72C5" w:rsidP="00A83FB8">
      <w:pPr>
        <w:spacing w:line="360" w:lineRule="auto"/>
        <w:ind w:firstLine="397"/>
        <w:jc w:val="both"/>
        <w:rPr>
          <w:rFonts w:asciiTheme="majorBidi" w:hAnsiTheme="majorBidi" w:cstheme="majorBidi"/>
          <w:sz w:val="24"/>
          <w:szCs w:val="24"/>
        </w:rPr>
      </w:pPr>
      <w:r w:rsidRPr="005B72C5">
        <w:rPr>
          <w:rFonts w:asciiTheme="majorBidi" w:hAnsiTheme="majorBidi" w:cstheme="majorBidi"/>
          <w:sz w:val="24"/>
          <w:szCs w:val="24"/>
        </w:rPr>
        <w:t xml:space="preserve">The study population consisted of 60 cirrhotic patients. </w:t>
      </w:r>
      <w:r w:rsidR="004C3970">
        <w:rPr>
          <w:rFonts w:asciiTheme="majorBidi" w:hAnsiTheme="majorBidi" w:cstheme="majorBidi"/>
          <w:sz w:val="24"/>
          <w:szCs w:val="24"/>
        </w:rPr>
        <w:t>Twenty</w:t>
      </w:r>
      <w:r w:rsidRPr="005B72C5">
        <w:rPr>
          <w:rFonts w:asciiTheme="majorBidi" w:hAnsiTheme="majorBidi" w:cstheme="majorBidi"/>
          <w:sz w:val="24"/>
          <w:szCs w:val="24"/>
        </w:rPr>
        <w:t xml:space="preserve"> did not have EVs and served as the control group. The other 40 patients were diagnosed to have </w:t>
      </w:r>
      <w:r w:rsidR="008774DD">
        <w:rPr>
          <w:rFonts w:asciiTheme="majorBidi" w:hAnsiTheme="majorBidi" w:cstheme="majorBidi"/>
          <w:sz w:val="24"/>
          <w:szCs w:val="24"/>
        </w:rPr>
        <w:t>EVs</w:t>
      </w:r>
      <w:r w:rsidRPr="005B72C5">
        <w:rPr>
          <w:rFonts w:asciiTheme="majorBidi" w:hAnsiTheme="majorBidi" w:cstheme="majorBidi"/>
          <w:sz w:val="24"/>
          <w:szCs w:val="24"/>
        </w:rPr>
        <w:t xml:space="preserve">, 20 of whom had small EVs (grades I and II), and the other 20 had large EVs (grades II and III). There were no significant differences in age between the three groups. The sex distribution was similar in the three groups, with no significant differences. Regarding the history of having previous episodes of upper GIT bleeding, there was a high statistically significant difference between the three groups (p-value &lt;0.001). </w:t>
      </w:r>
    </w:p>
    <w:p w14:paraId="45C29AC8" w14:textId="727E6864" w:rsidR="008A210D" w:rsidRDefault="008A210D" w:rsidP="008A210D">
      <w:pPr>
        <w:pStyle w:val="Caption"/>
        <w:keepNext/>
      </w:pPr>
      <w:r>
        <w:t xml:space="preserve">Tab </w:t>
      </w:r>
      <w:r>
        <w:fldChar w:fldCharType="begin"/>
      </w:r>
      <w:r>
        <w:instrText xml:space="preserve"> SEQ Table \* ARABIC </w:instrText>
      </w:r>
      <w:r>
        <w:fldChar w:fldCharType="separate"/>
      </w:r>
      <w:r w:rsidR="00CE2A69">
        <w:rPr>
          <w:noProof/>
        </w:rPr>
        <w:t>1</w:t>
      </w:r>
      <w:r>
        <w:fldChar w:fldCharType="end"/>
      </w:r>
      <w:r>
        <w:t xml:space="preserve">. </w:t>
      </w:r>
      <w:r w:rsidRPr="008A210D">
        <w:rPr>
          <w:b/>
          <w:bCs/>
        </w:rPr>
        <w:t>Comparison of criteria of CCM in 2005 and 2019</w:t>
      </w:r>
      <w:r>
        <w:rPr>
          <w:b/>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mparison of criteria of CCM in 2005 and 2019 "/>
        <w:tblDescription w:val="• GLS;global longitudinal strain; LV;left ventricle; E;early diastolic transmitral filling; A;late diastolic transmitral filling; e’;early diastolic mitral annular velocity; LAVI;left atrium volume index; TR;tricuspid regurgitation; QTc;corrected QT interval; BNP;brain natriuretic peptide; MRI;magnetic resonance imaging."/>
      </w:tblPr>
      <w:tblGrid>
        <w:gridCol w:w="4680"/>
        <w:gridCol w:w="4680"/>
      </w:tblGrid>
      <w:tr w:rsidR="004C3970" w:rsidRPr="004C3970" w14:paraId="43C8B155" w14:textId="77777777" w:rsidTr="008A210D">
        <w:tc>
          <w:tcPr>
            <w:tcW w:w="5000" w:type="pct"/>
            <w:gridSpan w:val="2"/>
            <w:tcBorders>
              <w:top w:val="single" w:sz="4" w:space="0" w:color="auto"/>
              <w:bottom w:val="single" w:sz="4" w:space="0" w:color="auto"/>
            </w:tcBorders>
          </w:tcPr>
          <w:p w14:paraId="1E371FB9" w14:textId="77777777" w:rsidR="004C3970" w:rsidRPr="004C3970" w:rsidRDefault="004C3970" w:rsidP="00EC58EF">
            <w:pPr>
              <w:spacing w:line="360" w:lineRule="auto"/>
              <w:jc w:val="both"/>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CCM Diagnostic Criteria</w:t>
            </w:r>
          </w:p>
        </w:tc>
      </w:tr>
      <w:tr w:rsidR="004C3970" w:rsidRPr="004C3970" w14:paraId="30B8C9DF" w14:textId="77777777" w:rsidTr="008A210D">
        <w:tc>
          <w:tcPr>
            <w:tcW w:w="5000" w:type="pct"/>
            <w:gridSpan w:val="2"/>
            <w:tcBorders>
              <w:top w:val="single" w:sz="4" w:space="0" w:color="auto"/>
            </w:tcBorders>
          </w:tcPr>
          <w:p w14:paraId="0547DB68" w14:textId="77777777" w:rsidR="004C3970" w:rsidRPr="004C3970" w:rsidRDefault="004C3970" w:rsidP="00EC58EF">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I. Systolic Dysfunction</w:t>
            </w:r>
          </w:p>
        </w:tc>
      </w:tr>
      <w:tr w:rsidR="004C3970" w:rsidRPr="004C3970" w14:paraId="0FE6DDF6" w14:textId="77777777" w:rsidTr="008A210D">
        <w:tc>
          <w:tcPr>
            <w:tcW w:w="2500" w:type="pct"/>
          </w:tcPr>
          <w:p w14:paraId="3C25467B" w14:textId="7BC158F0" w:rsidR="004C3970" w:rsidRPr="004C3970" w:rsidRDefault="004C3970" w:rsidP="00EC58EF">
            <w:pPr>
              <w:spacing w:line="360" w:lineRule="auto"/>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2005 criteria:(any of the following)</w:t>
            </w:r>
          </w:p>
        </w:tc>
        <w:tc>
          <w:tcPr>
            <w:tcW w:w="2500" w:type="pct"/>
          </w:tcPr>
          <w:p w14:paraId="7D0DA7AF" w14:textId="437DD6D0" w:rsidR="004C3970" w:rsidRPr="004C3970" w:rsidRDefault="004C3970" w:rsidP="00EC58EF">
            <w:pPr>
              <w:spacing w:line="360" w:lineRule="auto"/>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2019 proposed criteria:(any of the following)</w:t>
            </w:r>
          </w:p>
        </w:tc>
      </w:tr>
      <w:tr w:rsidR="004C3970" w:rsidRPr="004C3970" w14:paraId="7C67E2E0" w14:textId="77777777" w:rsidTr="008A210D">
        <w:trPr>
          <w:trHeight w:val="547"/>
        </w:trPr>
        <w:tc>
          <w:tcPr>
            <w:tcW w:w="2500" w:type="pct"/>
          </w:tcPr>
          <w:p w14:paraId="26DDE3BC"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LV ejection fraction &lt; 55%</w:t>
            </w:r>
          </w:p>
          <w:p w14:paraId="404FA909" w14:textId="6D6FF971" w:rsidR="004C3970" w:rsidRPr="004C3970" w:rsidRDefault="004C3970" w:rsidP="004C3970">
            <w:pPr>
              <w:spacing w:before="100" w:beforeAutospacing="1"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Blunted contractile response on stress testing</w:t>
            </w:r>
          </w:p>
        </w:tc>
        <w:tc>
          <w:tcPr>
            <w:tcW w:w="2500" w:type="pct"/>
          </w:tcPr>
          <w:p w14:paraId="4B149795" w14:textId="77777777" w:rsidR="004C3970" w:rsidRPr="004C3970" w:rsidRDefault="004C3970" w:rsidP="004C3970">
            <w:pPr>
              <w:spacing w:line="360" w:lineRule="auto"/>
              <w:contextualSpacing/>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LV ejection fraction ≤ 50%</w:t>
            </w:r>
          </w:p>
          <w:p w14:paraId="0243C1A1" w14:textId="2E7F8722" w:rsidR="004C3970" w:rsidRPr="004C3970" w:rsidRDefault="004C3970" w:rsidP="004C3970">
            <w:pPr>
              <w:spacing w:beforeAutospacing="1" w:line="360" w:lineRule="auto"/>
              <w:contextualSpacing/>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Absolute 1 GLS &lt; 18%</w:t>
            </w:r>
          </w:p>
        </w:tc>
      </w:tr>
      <w:tr w:rsidR="004C3970" w:rsidRPr="004C3970" w14:paraId="5FEA6D70" w14:textId="77777777" w:rsidTr="008A210D">
        <w:tc>
          <w:tcPr>
            <w:tcW w:w="5000" w:type="pct"/>
            <w:gridSpan w:val="2"/>
          </w:tcPr>
          <w:p w14:paraId="3E94AFF0" w14:textId="77777777" w:rsidR="004C3970" w:rsidRPr="004C3970" w:rsidRDefault="004C3970" w:rsidP="00EC58EF">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AND/OR</w:t>
            </w:r>
          </w:p>
          <w:p w14:paraId="38779DB8" w14:textId="12D98A20" w:rsidR="004C3970" w:rsidRPr="004C3970" w:rsidRDefault="004C3970" w:rsidP="00EC58EF">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II. Diastolic dysfunction</w:t>
            </w:r>
          </w:p>
        </w:tc>
      </w:tr>
      <w:tr w:rsidR="004C3970" w:rsidRPr="004C3970" w14:paraId="2A24C9B7" w14:textId="77777777" w:rsidTr="008A210D">
        <w:tc>
          <w:tcPr>
            <w:tcW w:w="2500" w:type="pct"/>
          </w:tcPr>
          <w:p w14:paraId="3A64B942"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2005 criteria:</w:t>
            </w:r>
          </w:p>
          <w:p w14:paraId="3F755A79" w14:textId="325322A4"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(any of the following)</w:t>
            </w:r>
          </w:p>
        </w:tc>
        <w:tc>
          <w:tcPr>
            <w:tcW w:w="2500" w:type="pct"/>
          </w:tcPr>
          <w:p w14:paraId="27CA825E"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2019 proposed criteria:</w:t>
            </w:r>
          </w:p>
          <w:p w14:paraId="141CA64E" w14:textId="0C07F18E"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(≥3 of the following)</w:t>
            </w:r>
          </w:p>
        </w:tc>
      </w:tr>
      <w:tr w:rsidR="004C3970" w:rsidRPr="004C3970" w14:paraId="16F4921C" w14:textId="77777777" w:rsidTr="008A210D">
        <w:tc>
          <w:tcPr>
            <w:tcW w:w="2500" w:type="pct"/>
          </w:tcPr>
          <w:p w14:paraId="605B40FA"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Deceleration time &gt; 200 ms</w:t>
            </w:r>
          </w:p>
          <w:p w14:paraId="27D8AC4F" w14:textId="77777777" w:rsidR="004C3970" w:rsidRPr="004C3970" w:rsidRDefault="004C3970" w:rsidP="004C3970">
            <w:pPr>
              <w:spacing w:before="100" w:beforeAutospacing="1"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Isovolumetric relaxation time &gt; 80 ms</w:t>
            </w:r>
          </w:p>
          <w:p w14:paraId="30408839" w14:textId="1EF82951" w:rsidR="004C3970" w:rsidRPr="004C3970" w:rsidRDefault="004C3970" w:rsidP="004C3970">
            <w:pPr>
              <w:spacing w:before="100" w:beforeAutospacing="1"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E/A &lt; 1</w:t>
            </w:r>
          </w:p>
        </w:tc>
        <w:tc>
          <w:tcPr>
            <w:tcW w:w="2500" w:type="pct"/>
          </w:tcPr>
          <w:p w14:paraId="36B6B1B9"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Septal e′ velocity &lt; 7 cm/s</w:t>
            </w:r>
          </w:p>
          <w:p w14:paraId="19CCD6D5" w14:textId="77777777" w:rsidR="004C3970" w:rsidRPr="004C3970" w:rsidRDefault="004C3970" w:rsidP="004C3970">
            <w:pPr>
              <w:spacing w:before="100" w:beforeAutospacing="1"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E/e′ ratio ≥ 15</w:t>
            </w:r>
          </w:p>
          <w:p w14:paraId="625A6DF0" w14:textId="77777777" w:rsidR="004C3970" w:rsidRPr="004C3970" w:rsidRDefault="004C3970" w:rsidP="004C3970">
            <w:pPr>
              <w:spacing w:beforeAutospacing="1"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LAVI &gt; 34 mL/m2</w:t>
            </w:r>
          </w:p>
          <w:p w14:paraId="0A7072E6" w14:textId="3155C1BF" w:rsidR="004C3970" w:rsidRPr="004C3970" w:rsidRDefault="004C3970" w:rsidP="004C3970">
            <w:pPr>
              <w:spacing w:beforeAutospacing="1"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TR velocity 2 &gt; 2.8 m/second</w:t>
            </w:r>
          </w:p>
        </w:tc>
      </w:tr>
      <w:tr w:rsidR="004C3970" w:rsidRPr="004C3970" w14:paraId="125A2CDA" w14:textId="77777777" w:rsidTr="008A210D">
        <w:tc>
          <w:tcPr>
            <w:tcW w:w="2500" w:type="pct"/>
          </w:tcPr>
          <w:p w14:paraId="7C4BCEED"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IIIa. Supportive criteria</w:t>
            </w:r>
          </w:p>
          <w:p w14:paraId="3F960A9F" w14:textId="2BABE3B8"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(Not diagnostic!)</w:t>
            </w:r>
          </w:p>
        </w:tc>
        <w:tc>
          <w:tcPr>
            <w:tcW w:w="2500" w:type="pct"/>
          </w:tcPr>
          <w:p w14:paraId="7A22566A" w14:textId="5AC5648D"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IIIb. Areas for further research (Validation required)</w:t>
            </w:r>
          </w:p>
        </w:tc>
      </w:tr>
      <w:tr w:rsidR="004C3970" w:rsidRPr="004C3970" w14:paraId="5C13880E" w14:textId="77777777" w:rsidTr="008A210D">
        <w:tc>
          <w:tcPr>
            <w:tcW w:w="2500" w:type="pct"/>
            <w:tcBorders>
              <w:bottom w:val="single" w:sz="4" w:space="0" w:color="auto"/>
            </w:tcBorders>
          </w:tcPr>
          <w:p w14:paraId="287762EA"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2005 criteria:</w:t>
            </w:r>
          </w:p>
          <w:p w14:paraId="071A7BEF"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Electrophysiological abnormalities</w:t>
            </w:r>
          </w:p>
          <w:p w14:paraId="1E1139E5"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Abnormal chronotropic response</w:t>
            </w:r>
          </w:p>
          <w:p w14:paraId="15E6D744"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Electromechanical uncoupling</w:t>
            </w:r>
          </w:p>
          <w:p w14:paraId="53DD13B5"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Prolonged QTc interval</w:t>
            </w:r>
          </w:p>
          <w:p w14:paraId="6349F5F2" w14:textId="1A821154"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Enlarged left atrium.</w:t>
            </w:r>
          </w:p>
          <w:p w14:paraId="276D3409" w14:textId="5E2D816B"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Increased cardiac mass.</w:t>
            </w:r>
          </w:p>
          <w:p w14:paraId="2371FF0F"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Elevated BNP</w:t>
            </w:r>
          </w:p>
          <w:p w14:paraId="6752A85B"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Elevated proBNP</w:t>
            </w:r>
          </w:p>
          <w:p w14:paraId="62D8FE0F" w14:textId="1E985D8E"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Increased troponin I</w:t>
            </w:r>
          </w:p>
        </w:tc>
        <w:tc>
          <w:tcPr>
            <w:tcW w:w="2500" w:type="pct"/>
            <w:tcBorders>
              <w:bottom w:val="single" w:sz="4" w:space="0" w:color="auto"/>
            </w:tcBorders>
          </w:tcPr>
          <w:p w14:paraId="3997631C"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2019 proposed criteria:</w:t>
            </w:r>
          </w:p>
          <w:p w14:paraId="7FC204F5"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Abnormal chronotropic or inotropic response 3</w:t>
            </w:r>
          </w:p>
          <w:p w14:paraId="51451866"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Electrocardiographic changes</w:t>
            </w:r>
          </w:p>
          <w:p w14:paraId="62C5E262"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Electromechanical uncoupling</w:t>
            </w:r>
          </w:p>
          <w:p w14:paraId="5C8AC7EE"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Myocardial mass change</w:t>
            </w:r>
          </w:p>
          <w:p w14:paraId="5324D8BD" w14:textId="77777777"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Serum biomarkers</w:t>
            </w:r>
          </w:p>
          <w:p w14:paraId="479BBE59" w14:textId="6C8F9148" w:rsidR="004C3970" w:rsidRPr="004C3970" w:rsidRDefault="004C3970" w:rsidP="004C3970">
            <w:pPr>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Chamber enlargement.</w:t>
            </w:r>
          </w:p>
          <w:p w14:paraId="4FDFE9A7" w14:textId="61AF568E" w:rsidR="004C3970" w:rsidRPr="004C3970" w:rsidRDefault="004C3970" w:rsidP="008A210D">
            <w:pPr>
              <w:keepNext/>
              <w:spacing w:line="360" w:lineRule="auto"/>
              <w:jc w:val="center"/>
              <w:rPr>
                <w:rFonts w:asciiTheme="majorBidi" w:eastAsiaTheme="minorEastAsia" w:hAnsiTheme="majorBidi" w:cstheme="majorBidi"/>
                <w:kern w:val="2"/>
                <w:sz w:val="20"/>
                <w:szCs w:val="20"/>
                <w14:ligatures w14:val="standardContextual"/>
              </w:rPr>
            </w:pPr>
            <w:r w:rsidRPr="004C3970">
              <w:rPr>
                <w:rFonts w:asciiTheme="majorBidi" w:eastAsiaTheme="minorEastAsia" w:hAnsiTheme="majorBidi" w:cstheme="majorBidi"/>
                <w:kern w:val="2"/>
                <w:sz w:val="20"/>
                <w:szCs w:val="20"/>
                <w14:ligatures w14:val="standardContextual"/>
              </w:rPr>
              <w:t>Cardiac MRI 4</w:t>
            </w:r>
          </w:p>
        </w:tc>
      </w:tr>
    </w:tbl>
    <w:p w14:paraId="40CAF64B" w14:textId="764CEE7D" w:rsidR="008A210D" w:rsidRPr="008A210D" w:rsidRDefault="008A210D" w:rsidP="008A210D">
      <w:pPr>
        <w:spacing w:line="360" w:lineRule="auto"/>
        <w:ind w:left="720"/>
        <w:jc w:val="both"/>
        <w:rPr>
          <w:i/>
          <w:iCs/>
          <w:color w:val="0E2841" w:themeColor="text2"/>
          <w:sz w:val="18"/>
          <w:szCs w:val="18"/>
        </w:rPr>
      </w:pPr>
      <w:r w:rsidRPr="008A210D">
        <w:rPr>
          <w:i/>
          <w:iCs/>
          <w:color w:val="0E2841" w:themeColor="text2"/>
          <w:sz w:val="18"/>
          <w:szCs w:val="18"/>
        </w:rPr>
        <w:t>GLS;</w:t>
      </w:r>
      <w:r>
        <w:rPr>
          <w:i/>
          <w:iCs/>
          <w:color w:val="0E2841" w:themeColor="text2"/>
          <w:sz w:val="18"/>
          <w:szCs w:val="18"/>
        </w:rPr>
        <w:t xml:space="preserve"> </w:t>
      </w:r>
      <w:r w:rsidRPr="008A210D">
        <w:rPr>
          <w:i/>
          <w:iCs/>
          <w:color w:val="0E2841" w:themeColor="text2"/>
          <w:sz w:val="18"/>
          <w:szCs w:val="18"/>
        </w:rPr>
        <w:t>global longitudinal strain; LV;</w:t>
      </w:r>
      <w:r>
        <w:rPr>
          <w:i/>
          <w:iCs/>
          <w:color w:val="0E2841" w:themeColor="text2"/>
          <w:sz w:val="18"/>
          <w:szCs w:val="18"/>
        </w:rPr>
        <w:t xml:space="preserve"> </w:t>
      </w:r>
      <w:r w:rsidRPr="008A210D">
        <w:rPr>
          <w:i/>
          <w:iCs/>
          <w:color w:val="0E2841" w:themeColor="text2"/>
          <w:sz w:val="18"/>
          <w:szCs w:val="18"/>
        </w:rPr>
        <w:t>left ventricle; E; early diastolic transmitral filling; A;</w:t>
      </w:r>
      <w:r>
        <w:rPr>
          <w:i/>
          <w:iCs/>
          <w:color w:val="0E2841" w:themeColor="text2"/>
          <w:sz w:val="18"/>
          <w:szCs w:val="18"/>
        </w:rPr>
        <w:t xml:space="preserve"> </w:t>
      </w:r>
      <w:r w:rsidRPr="008A210D">
        <w:rPr>
          <w:i/>
          <w:iCs/>
          <w:color w:val="0E2841" w:themeColor="text2"/>
          <w:sz w:val="18"/>
          <w:szCs w:val="18"/>
        </w:rPr>
        <w:t>late diastolic transmitral filling; e’;</w:t>
      </w:r>
      <w:r>
        <w:rPr>
          <w:i/>
          <w:iCs/>
          <w:color w:val="0E2841" w:themeColor="text2"/>
          <w:sz w:val="18"/>
          <w:szCs w:val="18"/>
        </w:rPr>
        <w:t xml:space="preserve"> </w:t>
      </w:r>
      <w:r w:rsidRPr="008A210D">
        <w:rPr>
          <w:i/>
          <w:iCs/>
          <w:color w:val="0E2841" w:themeColor="text2"/>
          <w:sz w:val="18"/>
          <w:szCs w:val="18"/>
        </w:rPr>
        <w:t>early diastolic mitral annular velocity; LAVI;</w:t>
      </w:r>
      <w:r>
        <w:rPr>
          <w:i/>
          <w:iCs/>
          <w:color w:val="0E2841" w:themeColor="text2"/>
          <w:sz w:val="18"/>
          <w:szCs w:val="18"/>
        </w:rPr>
        <w:t xml:space="preserve"> </w:t>
      </w:r>
      <w:r w:rsidRPr="008A210D">
        <w:rPr>
          <w:i/>
          <w:iCs/>
          <w:color w:val="0E2841" w:themeColor="text2"/>
          <w:sz w:val="18"/>
          <w:szCs w:val="18"/>
        </w:rPr>
        <w:t>left atrium volume index; TR;</w:t>
      </w:r>
      <w:r>
        <w:rPr>
          <w:i/>
          <w:iCs/>
          <w:color w:val="0E2841" w:themeColor="text2"/>
          <w:sz w:val="18"/>
          <w:szCs w:val="18"/>
        </w:rPr>
        <w:t xml:space="preserve"> </w:t>
      </w:r>
      <w:r w:rsidRPr="008A210D">
        <w:rPr>
          <w:i/>
          <w:iCs/>
          <w:color w:val="0E2841" w:themeColor="text2"/>
          <w:sz w:val="18"/>
          <w:szCs w:val="18"/>
        </w:rPr>
        <w:t>tricuspid regurgitation; QTc;</w:t>
      </w:r>
      <w:r>
        <w:rPr>
          <w:i/>
          <w:iCs/>
          <w:color w:val="0E2841" w:themeColor="text2"/>
          <w:sz w:val="18"/>
          <w:szCs w:val="18"/>
        </w:rPr>
        <w:t xml:space="preserve"> </w:t>
      </w:r>
      <w:r w:rsidRPr="008A210D">
        <w:rPr>
          <w:i/>
          <w:iCs/>
          <w:color w:val="0E2841" w:themeColor="text2"/>
          <w:sz w:val="18"/>
          <w:szCs w:val="18"/>
        </w:rPr>
        <w:t>corrected QT interval; BNP;</w:t>
      </w:r>
      <w:r>
        <w:rPr>
          <w:i/>
          <w:iCs/>
          <w:color w:val="0E2841" w:themeColor="text2"/>
          <w:sz w:val="18"/>
          <w:szCs w:val="18"/>
        </w:rPr>
        <w:t xml:space="preserve"> </w:t>
      </w:r>
      <w:r w:rsidRPr="008A210D">
        <w:rPr>
          <w:i/>
          <w:iCs/>
          <w:color w:val="0E2841" w:themeColor="text2"/>
          <w:sz w:val="18"/>
          <w:szCs w:val="18"/>
        </w:rPr>
        <w:t>brain natriuretic peptide; MRI;</w:t>
      </w:r>
      <w:r>
        <w:rPr>
          <w:i/>
          <w:iCs/>
          <w:color w:val="0E2841" w:themeColor="text2"/>
          <w:sz w:val="18"/>
          <w:szCs w:val="18"/>
        </w:rPr>
        <w:t xml:space="preserve"> </w:t>
      </w:r>
      <w:r w:rsidRPr="008A210D">
        <w:rPr>
          <w:i/>
          <w:iCs/>
          <w:color w:val="0E2841" w:themeColor="text2"/>
          <w:sz w:val="18"/>
          <w:szCs w:val="18"/>
        </w:rPr>
        <w:t>magnetic resonance imaging.</w:t>
      </w:r>
    </w:p>
    <w:p w14:paraId="4A373847" w14:textId="53502A6C" w:rsidR="005B72C5" w:rsidRDefault="005B72C5" w:rsidP="00A83FB8">
      <w:pPr>
        <w:spacing w:line="360" w:lineRule="auto"/>
        <w:ind w:firstLine="397"/>
        <w:jc w:val="both"/>
        <w:rPr>
          <w:rFonts w:asciiTheme="majorBidi" w:hAnsiTheme="majorBidi" w:cstheme="majorBidi"/>
          <w:sz w:val="24"/>
          <w:szCs w:val="24"/>
        </w:rPr>
      </w:pPr>
      <w:r w:rsidRPr="005B72C5">
        <w:rPr>
          <w:rFonts w:asciiTheme="majorBidi" w:hAnsiTheme="majorBidi" w:cstheme="majorBidi"/>
          <w:sz w:val="24"/>
          <w:szCs w:val="24"/>
        </w:rPr>
        <w:t xml:space="preserve">There was no significant difference between the studied groups regarding diabetes mellitus or their fasting blood glucose levels. According to the Child-Pugh classification, 5 (25%) of the patients in the control group were Child A, 12 (60%) patients were Child B, and 3 (15%) were Child C. Besides that, 5 (25%) of the patients in the group with a </w:t>
      </w:r>
      <w:r w:rsidR="008774DD">
        <w:rPr>
          <w:rFonts w:asciiTheme="majorBidi" w:hAnsiTheme="majorBidi" w:cstheme="majorBidi"/>
          <w:sz w:val="24"/>
          <w:szCs w:val="24"/>
        </w:rPr>
        <w:t>tiny</w:t>
      </w:r>
      <w:r w:rsidRPr="005B72C5">
        <w:rPr>
          <w:rFonts w:asciiTheme="majorBidi" w:hAnsiTheme="majorBidi" w:cstheme="majorBidi"/>
          <w:sz w:val="24"/>
          <w:szCs w:val="24"/>
        </w:rPr>
        <w:t xml:space="preserve"> EV were child A, 11 (55%) were child B, and 4 (20%) were child C. In the group of patients with large EVs, 1 (5%) patient was child A, 9 (45%) patients were child B, and 10 (50%) were child C. These details are shown in Table </w:t>
      </w:r>
      <w:r>
        <w:rPr>
          <w:rFonts w:asciiTheme="majorBidi" w:hAnsiTheme="majorBidi" w:cstheme="majorBidi"/>
          <w:sz w:val="24"/>
          <w:szCs w:val="24"/>
        </w:rPr>
        <w:t>(</w:t>
      </w:r>
      <w:r w:rsidR="00BE2BAB">
        <w:rPr>
          <w:rFonts w:asciiTheme="majorBidi" w:hAnsiTheme="majorBidi" w:cstheme="majorBidi"/>
          <w:sz w:val="24"/>
          <w:szCs w:val="24"/>
        </w:rPr>
        <w:t>2)</w:t>
      </w:r>
      <w:r w:rsidRPr="005B72C5">
        <w:rPr>
          <w:rFonts w:asciiTheme="majorBidi" w:hAnsiTheme="majorBidi" w:cstheme="majorBidi"/>
          <w:sz w:val="24"/>
          <w:szCs w:val="24"/>
        </w:rPr>
        <w:t>.</w:t>
      </w:r>
    </w:p>
    <w:p w14:paraId="5D80F17E" w14:textId="6C4560F1" w:rsidR="00193FDE" w:rsidRDefault="00193FDE" w:rsidP="00193FDE">
      <w:pPr>
        <w:pStyle w:val="Caption"/>
        <w:keepNext/>
      </w:pPr>
      <w:r>
        <w:t xml:space="preserve">Tab </w:t>
      </w:r>
      <w:r>
        <w:fldChar w:fldCharType="begin"/>
      </w:r>
      <w:r>
        <w:instrText xml:space="preserve"> SEQ Table \* ARABIC </w:instrText>
      </w:r>
      <w:r>
        <w:fldChar w:fldCharType="separate"/>
      </w:r>
      <w:r w:rsidR="00CE2A69">
        <w:rPr>
          <w:noProof/>
        </w:rPr>
        <w:t>2</w:t>
      </w:r>
      <w:r>
        <w:fldChar w:fldCharType="end"/>
      </w:r>
      <w:r>
        <w:t xml:space="preserve">. </w:t>
      </w:r>
      <w:r w:rsidRPr="00193FDE">
        <w:rPr>
          <w:b/>
          <w:bCs/>
        </w:rPr>
        <w:t>Comparison between the studied groups according to different parameters</w:t>
      </w:r>
      <w:r w:rsidR="002D264D">
        <w:rPr>
          <w:b/>
          <w:bC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Caption w:val="Comparison between the studied groups according to different parameters"/>
        <w:tblDescription w:val="SD: Standard deviation&#10;p: p-value for comparing between the three studied groups.&#10;*: Statistically significant at p ≤ 0.05.&#10;"/>
      </w:tblPr>
      <w:tblGrid>
        <w:gridCol w:w="2653"/>
        <w:gridCol w:w="1872"/>
        <w:gridCol w:w="1872"/>
        <w:gridCol w:w="1872"/>
        <w:gridCol w:w="1091"/>
      </w:tblGrid>
      <w:tr w:rsidR="00193FDE" w:rsidRPr="002D264D" w14:paraId="6455E999" w14:textId="77777777" w:rsidTr="002D264D">
        <w:trPr>
          <w:jc w:val="center"/>
        </w:trPr>
        <w:tc>
          <w:tcPr>
            <w:tcW w:w="1417" w:type="pct"/>
            <w:tcBorders>
              <w:top w:val="single" w:sz="4" w:space="0" w:color="auto"/>
              <w:bottom w:val="single" w:sz="4" w:space="0" w:color="auto"/>
            </w:tcBorders>
            <w:vAlign w:val="center"/>
          </w:tcPr>
          <w:p w14:paraId="313F6029" w14:textId="77777777" w:rsidR="00193FDE" w:rsidRPr="002D264D" w:rsidRDefault="00193FDE" w:rsidP="00EC58EF">
            <w:pPr>
              <w:jc w:val="center"/>
              <w:rPr>
                <w:rFonts w:asciiTheme="majorBidi" w:hAnsiTheme="majorBidi" w:cstheme="majorBidi"/>
                <w:b/>
                <w:bCs/>
                <w:sz w:val="20"/>
                <w:szCs w:val="20"/>
              </w:rPr>
            </w:pPr>
          </w:p>
        </w:tc>
        <w:tc>
          <w:tcPr>
            <w:tcW w:w="1000" w:type="pct"/>
            <w:tcBorders>
              <w:top w:val="single" w:sz="4" w:space="0" w:color="auto"/>
              <w:bottom w:val="single" w:sz="4" w:space="0" w:color="auto"/>
            </w:tcBorders>
            <w:vAlign w:val="center"/>
          </w:tcPr>
          <w:p w14:paraId="6758C9E7" w14:textId="7525A98C" w:rsidR="00193FDE" w:rsidRPr="002D264D" w:rsidRDefault="00193FDE" w:rsidP="00EC58EF">
            <w:pPr>
              <w:jc w:val="center"/>
              <w:rPr>
                <w:rFonts w:asciiTheme="majorBidi" w:hAnsiTheme="majorBidi" w:cstheme="majorBidi"/>
                <w:b/>
                <w:bCs/>
                <w:sz w:val="20"/>
                <w:szCs w:val="20"/>
              </w:rPr>
            </w:pPr>
            <w:r w:rsidRPr="002D264D">
              <w:rPr>
                <w:rFonts w:asciiTheme="majorBidi" w:hAnsiTheme="majorBidi" w:cstheme="majorBidi"/>
                <w:b/>
                <w:bCs/>
                <w:sz w:val="20"/>
                <w:szCs w:val="20"/>
              </w:rPr>
              <w:t>Control (n = 20)</w:t>
            </w:r>
          </w:p>
        </w:tc>
        <w:tc>
          <w:tcPr>
            <w:tcW w:w="1000" w:type="pct"/>
            <w:tcBorders>
              <w:top w:val="single" w:sz="4" w:space="0" w:color="auto"/>
              <w:bottom w:val="single" w:sz="4" w:space="0" w:color="auto"/>
            </w:tcBorders>
            <w:vAlign w:val="center"/>
          </w:tcPr>
          <w:p w14:paraId="544687EC" w14:textId="523923F7" w:rsidR="00193FDE" w:rsidRPr="002D264D" w:rsidRDefault="00193FDE" w:rsidP="00EC58EF">
            <w:pPr>
              <w:jc w:val="center"/>
              <w:rPr>
                <w:rFonts w:asciiTheme="majorBidi" w:hAnsiTheme="majorBidi" w:cstheme="majorBidi"/>
                <w:b/>
                <w:bCs/>
                <w:sz w:val="20"/>
                <w:szCs w:val="20"/>
              </w:rPr>
            </w:pPr>
            <w:r w:rsidRPr="002D264D">
              <w:rPr>
                <w:rFonts w:asciiTheme="majorBidi" w:hAnsiTheme="majorBidi" w:cstheme="majorBidi"/>
                <w:b/>
                <w:bCs/>
                <w:sz w:val="20"/>
                <w:szCs w:val="20"/>
              </w:rPr>
              <w:t>Cases S (n = 20)</w:t>
            </w:r>
          </w:p>
        </w:tc>
        <w:tc>
          <w:tcPr>
            <w:tcW w:w="1000" w:type="pct"/>
            <w:tcBorders>
              <w:top w:val="single" w:sz="4" w:space="0" w:color="auto"/>
              <w:bottom w:val="single" w:sz="4" w:space="0" w:color="auto"/>
            </w:tcBorders>
            <w:vAlign w:val="center"/>
          </w:tcPr>
          <w:p w14:paraId="30D93CE1" w14:textId="40E65280" w:rsidR="00193FDE" w:rsidRPr="002D264D" w:rsidRDefault="00193FDE" w:rsidP="00EC58EF">
            <w:pPr>
              <w:jc w:val="center"/>
              <w:rPr>
                <w:rFonts w:asciiTheme="majorBidi" w:hAnsiTheme="majorBidi" w:cstheme="majorBidi"/>
                <w:b/>
                <w:bCs/>
                <w:sz w:val="20"/>
                <w:szCs w:val="20"/>
              </w:rPr>
            </w:pPr>
            <w:r w:rsidRPr="002D264D">
              <w:rPr>
                <w:rFonts w:asciiTheme="majorBidi" w:hAnsiTheme="majorBidi" w:cstheme="majorBidi"/>
                <w:b/>
                <w:bCs/>
                <w:sz w:val="20"/>
                <w:szCs w:val="20"/>
              </w:rPr>
              <w:t>Cases I (n = 20)</w:t>
            </w:r>
          </w:p>
        </w:tc>
        <w:tc>
          <w:tcPr>
            <w:tcW w:w="583" w:type="pct"/>
            <w:tcBorders>
              <w:top w:val="single" w:sz="4" w:space="0" w:color="auto"/>
              <w:bottom w:val="single" w:sz="4" w:space="0" w:color="auto"/>
            </w:tcBorders>
            <w:vAlign w:val="center"/>
          </w:tcPr>
          <w:p w14:paraId="19015CE8" w14:textId="77777777" w:rsidR="00193FDE" w:rsidRPr="002D264D" w:rsidRDefault="00193FDE" w:rsidP="00EC58EF">
            <w:pPr>
              <w:jc w:val="center"/>
              <w:rPr>
                <w:rFonts w:asciiTheme="majorBidi" w:hAnsiTheme="majorBidi" w:cstheme="majorBidi"/>
                <w:b/>
                <w:bCs/>
                <w:sz w:val="20"/>
                <w:szCs w:val="20"/>
              </w:rPr>
            </w:pPr>
            <w:r w:rsidRPr="002D264D">
              <w:rPr>
                <w:rFonts w:asciiTheme="majorBidi" w:hAnsiTheme="majorBidi" w:cstheme="majorBidi"/>
                <w:b/>
                <w:bCs/>
                <w:sz w:val="20"/>
                <w:szCs w:val="20"/>
              </w:rPr>
              <w:t>p</w:t>
            </w:r>
          </w:p>
        </w:tc>
      </w:tr>
      <w:tr w:rsidR="00193FDE" w:rsidRPr="002D264D" w14:paraId="2D60723D" w14:textId="77777777" w:rsidTr="002D264D">
        <w:trPr>
          <w:jc w:val="center"/>
        </w:trPr>
        <w:tc>
          <w:tcPr>
            <w:tcW w:w="1417" w:type="pct"/>
            <w:tcBorders>
              <w:top w:val="single" w:sz="4" w:space="0" w:color="auto"/>
            </w:tcBorders>
            <w:vAlign w:val="center"/>
          </w:tcPr>
          <w:p w14:paraId="4EEF910F" w14:textId="77777777" w:rsidR="00193FDE" w:rsidRPr="002D264D" w:rsidRDefault="00193FDE" w:rsidP="00EC58EF">
            <w:pPr>
              <w:rPr>
                <w:rFonts w:asciiTheme="majorBidi" w:hAnsiTheme="majorBidi" w:cstheme="majorBidi"/>
                <w:b/>
                <w:bCs/>
                <w:sz w:val="20"/>
                <w:szCs w:val="20"/>
              </w:rPr>
            </w:pPr>
            <w:r w:rsidRPr="002D264D">
              <w:rPr>
                <w:rFonts w:asciiTheme="majorBidi" w:hAnsiTheme="majorBidi" w:cstheme="majorBidi"/>
                <w:b/>
                <w:bCs/>
                <w:sz w:val="20"/>
                <w:szCs w:val="20"/>
              </w:rPr>
              <w:t>Sex</w:t>
            </w:r>
          </w:p>
        </w:tc>
        <w:tc>
          <w:tcPr>
            <w:tcW w:w="1000" w:type="pct"/>
            <w:tcBorders>
              <w:top w:val="single" w:sz="4" w:space="0" w:color="auto"/>
            </w:tcBorders>
            <w:vAlign w:val="center"/>
          </w:tcPr>
          <w:p w14:paraId="579CDDAA" w14:textId="77777777" w:rsidR="00193FDE" w:rsidRPr="002D264D" w:rsidRDefault="00193FDE" w:rsidP="00EC58EF">
            <w:pPr>
              <w:jc w:val="center"/>
              <w:rPr>
                <w:rFonts w:asciiTheme="majorBidi" w:hAnsiTheme="majorBidi" w:cstheme="majorBidi"/>
                <w:sz w:val="20"/>
                <w:szCs w:val="20"/>
              </w:rPr>
            </w:pPr>
          </w:p>
        </w:tc>
        <w:tc>
          <w:tcPr>
            <w:tcW w:w="1000" w:type="pct"/>
            <w:tcBorders>
              <w:top w:val="single" w:sz="4" w:space="0" w:color="auto"/>
            </w:tcBorders>
            <w:vAlign w:val="center"/>
          </w:tcPr>
          <w:p w14:paraId="37F0AE35" w14:textId="77777777" w:rsidR="00193FDE" w:rsidRPr="002D264D" w:rsidRDefault="00193FDE" w:rsidP="00EC58EF">
            <w:pPr>
              <w:jc w:val="center"/>
              <w:rPr>
                <w:rFonts w:asciiTheme="majorBidi" w:hAnsiTheme="majorBidi" w:cstheme="majorBidi"/>
                <w:sz w:val="20"/>
                <w:szCs w:val="20"/>
              </w:rPr>
            </w:pPr>
          </w:p>
        </w:tc>
        <w:tc>
          <w:tcPr>
            <w:tcW w:w="1000" w:type="pct"/>
            <w:tcBorders>
              <w:top w:val="single" w:sz="4" w:space="0" w:color="auto"/>
            </w:tcBorders>
            <w:vAlign w:val="center"/>
          </w:tcPr>
          <w:p w14:paraId="2757ECDD" w14:textId="77777777" w:rsidR="00193FDE" w:rsidRPr="002D264D" w:rsidRDefault="00193FDE" w:rsidP="00EC58EF">
            <w:pPr>
              <w:jc w:val="center"/>
              <w:rPr>
                <w:rFonts w:asciiTheme="majorBidi" w:hAnsiTheme="majorBidi" w:cstheme="majorBidi"/>
                <w:sz w:val="20"/>
                <w:szCs w:val="20"/>
              </w:rPr>
            </w:pPr>
          </w:p>
        </w:tc>
        <w:tc>
          <w:tcPr>
            <w:tcW w:w="583" w:type="pct"/>
            <w:tcBorders>
              <w:top w:val="single" w:sz="4" w:space="0" w:color="auto"/>
            </w:tcBorders>
            <w:vAlign w:val="center"/>
          </w:tcPr>
          <w:p w14:paraId="7326AA4E" w14:textId="77777777" w:rsidR="00193FDE" w:rsidRPr="002D264D" w:rsidRDefault="00193FDE" w:rsidP="00EC58EF">
            <w:pPr>
              <w:jc w:val="center"/>
              <w:rPr>
                <w:rFonts w:asciiTheme="majorBidi" w:hAnsiTheme="majorBidi" w:cstheme="majorBidi"/>
                <w:sz w:val="20"/>
                <w:szCs w:val="20"/>
              </w:rPr>
            </w:pPr>
          </w:p>
        </w:tc>
      </w:tr>
      <w:tr w:rsidR="00193FDE" w:rsidRPr="002D264D" w14:paraId="4D139A03" w14:textId="77777777" w:rsidTr="00193FDE">
        <w:trPr>
          <w:jc w:val="center"/>
        </w:trPr>
        <w:tc>
          <w:tcPr>
            <w:tcW w:w="1417" w:type="pct"/>
            <w:vAlign w:val="center"/>
          </w:tcPr>
          <w:p w14:paraId="680B6A65"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Male</w:t>
            </w:r>
          </w:p>
        </w:tc>
        <w:tc>
          <w:tcPr>
            <w:tcW w:w="1000" w:type="pct"/>
            <w:vAlign w:val="center"/>
          </w:tcPr>
          <w:p w14:paraId="18FD9589"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15 (75%)</w:t>
            </w:r>
          </w:p>
        </w:tc>
        <w:tc>
          <w:tcPr>
            <w:tcW w:w="1000" w:type="pct"/>
            <w:vAlign w:val="center"/>
          </w:tcPr>
          <w:p w14:paraId="535E7160"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13 (65%)</w:t>
            </w:r>
          </w:p>
        </w:tc>
        <w:tc>
          <w:tcPr>
            <w:tcW w:w="1000" w:type="pct"/>
            <w:vAlign w:val="center"/>
          </w:tcPr>
          <w:p w14:paraId="69304A16"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12 (60%)</w:t>
            </w:r>
          </w:p>
        </w:tc>
        <w:tc>
          <w:tcPr>
            <w:tcW w:w="583" w:type="pct"/>
            <w:vMerge w:val="restart"/>
            <w:vAlign w:val="center"/>
          </w:tcPr>
          <w:p w14:paraId="7C972281"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0.592</w:t>
            </w:r>
          </w:p>
        </w:tc>
      </w:tr>
      <w:tr w:rsidR="00193FDE" w:rsidRPr="002D264D" w14:paraId="27D78B51" w14:textId="77777777" w:rsidTr="00193FDE">
        <w:trPr>
          <w:jc w:val="center"/>
        </w:trPr>
        <w:tc>
          <w:tcPr>
            <w:tcW w:w="1417" w:type="pct"/>
            <w:vAlign w:val="center"/>
          </w:tcPr>
          <w:p w14:paraId="04083558"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Female</w:t>
            </w:r>
          </w:p>
        </w:tc>
        <w:tc>
          <w:tcPr>
            <w:tcW w:w="1000" w:type="pct"/>
            <w:vAlign w:val="center"/>
          </w:tcPr>
          <w:p w14:paraId="49F312B0"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5 (25%)</w:t>
            </w:r>
          </w:p>
        </w:tc>
        <w:tc>
          <w:tcPr>
            <w:tcW w:w="1000" w:type="pct"/>
            <w:vAlign w:val="center"/>
          </w:tcPr>
          <w:p w14:paraId="0D20B9BD"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7 (35%)</w:t>
            </w:r>
          </w:p>
        </w:tc>
        <w:tc>
          <w:tcPr>
            <w:tcW w:w="1000" w:type="pct"/>
            <w:vAlign w:val="center"/>
          </w:tcPr>
          <w:p w14:paraId="3B824C4C"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8 (40%)</w:t>
            </w:r>
          </w:p>
        </w:tc>
        <w:tc>
          <w:tcPr>
            <w:tcW w:w="583" w:type="pct"/>
            <w:vMerge/>
            <w:vAlign w:val="center"/>
          </w:tcPr>
          <w:p w14:paraId="10B5C1C6" w14:textId="77777777" w:rsidR="00193FDE" w:rsidRPr="002D264D" w:rsidRDefault="00193FDE" w:rsidP="00EC58EF">
            <w:pPr>
              <w:jc w:val="center"/>
              <w:rPr>
                <w:rFonts w:asciiTheme="majorBidi" w:hAnsiTheme="majorBidi" w:cstheme="majorBidi"/>
                <w:sz w:val="20"/>
                <w:szCs w:val="20"/>
              </w:rPr>
            </w:pPr>
          </w:p>
        </w:tc>
      </w:tr>
      <w:tr w:rsidR="00193FDE" w:rsidRPr="002D264D" w14:paraId="6BC5DE83" w14:textId="77777777" w:rsidTr="00193FDE">
        <w:trPr>
          <w:jc w:val="center"/>
        </w:trPr>
        <w:tc>
          <w:tcPr>
            <w:tcW w:w="1417" w:type="pct"/>
            <w:vAlign w:val="center"/>
          </w:tcPr>
          <w:p w14:paraId="2FBDD06C" w14:textId="23043707" w:rsidR="00193FDE" w:rsidRPr="002D264D" w:rsidRDefault="00193FDE" w:rsidP="00193FDE">
            <w:pPr>
              <w:rPr>
                <w:rFonts w:asciiTheme="majorBidi" w:hAnsiTheme="majorBidi" w:cstheme="majorBidi"/>
                <w:sz w:val="20"/>
                <w:szCs w:val="20"/>
              </w:rPr>
            </w:pPr>
            <w:r w:rsidRPr="002D264D">
              <w:rPr>
                <w:rFonts w:asciiTheme="majorBidi" w:hAnsiTheme="majorBidi" w:cstheme="majorBidi"/>
                <w:b/>
                <w:bCs/>
                <w:sz w:val="20"/>
                <w:szCs w:val="20"/>
              </w:rPr>
              <w:t>Age</w:t>
            </w:r>
            <w:r w:rsidRPr="002D264D">
              <w:rPr>
                <w:rFonts w:asciiTheme="majorBidi" w:hAnsiTheme="majorBidi" w:cstheme="majorBidi"/>
                <w:sz w:val="20"/>
                <w:szCs w:val="20"/>
              </w:rPr>
              <w:t xml:space="preserve"> (Mean ± SD)</w:t>
            </w:r>
          </w:p>
        </w:tc>
        <w:tc>
          <w:tcPr>
            <w:tcW w:w="1000" w:type="pct"/>
            <w:vAlign w:val="center"/>
          </w:tcPr>
          <w:p w14:paraId="1FF17C4E"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58.3 ± 6.6</w:t>
            </w:r>
          </w:p>
        </w:tc>
        <w:tc>
          <w:tcPr>
            <w:tcW w:w="1000" w:type="pct"/>
            <w:vAlign w:val="center"/>
          </w:tcPr>
          <w:p w14:paraId="0E3A713D"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62.7 ± 6</w:t>
            </w:r>
          </w:p>
        </w:tc>
        <w:tc>
          <w:tcPr>
            <w:tcW w:w="1000" w:type="pct"/>
            <w:vAlign w:val="center"/>
          </w:tcPr>
          <w:p w14:paraId="7316EDC6"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60.6 ± 6.6</w:t>
            </w:r>
          </w:p>
        </w:tc>
        <w:tc>
          <w:tcPr>
            <w:tcW w:w="583" w:type="pct"/>
            <w:vAlign w:val="center"/>
          </w:tcPr>
          <w:p w14:paraId="51ACC31C"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0.109</w:t>
            </w:r>
          </w:p>
        </w:tc>
      </w:tr>
      <w:tr w:rsidR="00193FDE" w:rsidRPr="002D264D" w14:paraId="038C4903" w14:textId="77777777" w:rsidTr="00193FDE">
        <w:trPr>
          <w:jc w:val="center"/>
        </w:trPr>
        <w:tc>
          <w:tcPr>
            <w:tcW w:w="1417" w:type="pct"/>
          </w:tcPr>
          <w:p w14:paraId="20F64386" w14:textId="77777777" w:rsidR="00193FDE" w:rsidRPr="002D264D" w:rsidRDefault="00193FDE" w:rsidP="00EC58EF">
            <w:pPr>
              <w:rPr>
                <w:rFonts w:asciiTheme="majorBidi" w:hAnsiTheme="majorBidi" w:cstheme="majorBidi"/>
                <w:b/>
                <w:bCs/>
                <w:sz w:val="20"/>
                <w:szCs w:val="20"/>
              </w:rPr>
            </w:pPr>
            <w:r w:rsidRPr="002D264D">
              <w:rPr>
                <w:rFonts w:asciiTheme="majorBidi" w:hAnsiTheme="majorBidi" w:cstheme="majorBidi"/>
                <w:b/>
                <w:bCs/>
                <w:sz w:val="20"/>
                <w:szCs w:val="20"/>
              </w:rPr>
              <w:t>History of bleeding</w:t>
            </w:r>
          </w:p>
        </w:tc>
        <w:tc>
          <w:tcPr>
            <w:tcW w:w="1000" w:type="pct"/>
            <w:vAlign w:val="center"/>
          </w:tcPr>
          <w:p w14:paraId="22892FF1"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0 (0%)</w:t>
            </w:r>
          </w:p>
        </w:tc>
        <w:tc>
          <w:tcPr>
            <w:tcW w:w="1000" w:type="pct"/>
            <w:vAlign w:val="center"/>
          </w:tcPr>
          <w:p w14:paraId="0400F63D"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16 (80%)</w:t>
            </w:r>
          </w:p>
        </w:tc>
        <w:tc>
          <w:tcPr>
            <w:tcW w:w="1000" w:type="pct"/>
            <w:vAlign w:val="center"/>
          </w:tcPr>
          <w:p w14:paraId="33F332CA"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20 (100%)</w:t>
            </w:r>
          </w:p>
        </w:tc>
        <w:tc>
          <w:tcPr>
            <w:tcW w:w="583" w:type="pct"/>
            <w:vAlign w:val="center"/>
          </w:tcPr>
          <w:p w14:paraId="13F044CE"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&lt;0.001</w:t>
            </w:r>
            <w:r w:rsidRPr="002D264D">
              <w:rPr>
                <w:rFonts w:asciiTheme="majorBidi" w:hAnsiTheme="majorBidi" w:cstheme="majorBidi"/>
                <w:sz w:val="20"/>
                <w:szCs w:val="20"/>
                <w:vertAlign w:val="superscript"/>
              </w:rPr>
              <w:t>*</w:t>
            </w:r>
          </w:p>
        </w:tc>
      </w:tr>
      <w:tr w:rsidR="00193FDE" w:rsidRPr="002D264D" w14:paraId="1421EB9F" w14:textId="77777777" w:rsidTr="00193FDE">
        <w:trPr>
          <w:jc w:val="center"/>
        </w:trPr>
        <w:tc>
          <w:tcPr>
            <w:tcW w:w="1417" w:type="pct"/>
            <w:vAlign w:val="center"/>
          </w:tcPr>
          <w:p w14:paraId="37D9B814" w14:textId="77777777" w:rsidR="00193FDE" w:rsidRPr="002D264D" w:rsidRDefault="00193FDE" w:rsidP="00EC58EF">
            <w:pPr>
              <w:rPr>
                <w:rFonts w:asciiTheme="majorBidi" w:hAnsiTheme="majorBidi" w:cstheme="majorBidi"/>
                <w:b/>
                <w:bCs/>
                <w:sz w:val="20"/>
                <w:szCs w:val="20"/>
              </w:rPr>
            </w:pPr>
            <w:r w:rsidRPr="002D264D">
              <w:rPr>
                <w:rFonts w:asciiTheme="majorBidi" w:hAnsiTheme="majorBidi" w:cstheme="majorBidi"/>
                <w:b/>
                <w:bCs/>
                <w:sz w:val="20"/>
                <w:szCs w:val="20"/>
              </w:rPr>
              <w:t>Diabetic</w:t>
            </w:r>
          </w:p>
        </w:tc>
        <w:tc>
          <w:tcPr>
            <w:tcW w:w="1000" w:type="pct"/>
            <w:vAlign w:val="center"/>
          </w:tcPr>
          <w:p w14:paraId="3677B5C0" w14:textId="77777777" w:rsidR="00193FDE" w:rsidRPr="002D264D" w:rsidRDefault="00193FDE" w:rsidP="00EC58EF">
            <w:pPr>
              <w:jc w:val="center"/>
              <w:rPr>
                <w:rFonts w:asciiTheme="majorBidi" w:hAnsiTheme="majorBidi" w:cstheme="majorBidi"/>
                <w:sz w:val="20"/>
                <w:szCs w:val="20"/>
              </w:rPr>
            </w:pPr>
          </w:p>
        </w:tc>
        <w:tc>
          <w:tcPr>
            <w:tcW w:w="1000" w:type="pct"/>
            <w:vAlign w:val="center"/>
          </w:tcPr>
          <w:p w14:paraId="29846277" w14:textId="77777777" w:rsidR="00193FDE" w:rsidRPr="002D264D" w:rsidRDefault="00193FDE" w:rsidP="00EC58EF">
            <w:pPr>
              <w:jc w:val="center"/>
              <w:rPr>
                <w:rFonts w:asciiTheme="majorBidi" w:hAnsiTheme="majorBidi" w:cstheme="majorBidi"/>
                <w:sz w:val="20"/>
                <w:szCs w:val="20"/>
              </w:rPr>
            </w:pPr>
          </w:p>
        </w:tc>
        <w:tc>
          <w:tcPr>
            <w:tcW w:w="1000" w:type="pct"/>
            <w:vAlign w:val="center"/>
          </w:tcPr>
          <w:p w14:paraId="56C22F4B" w14:textId="77777777" w:rsidR="00193FDE" w:rsidRPr="002D264D" w:rsidRDefault="00193FDE" w:rsidP="00EC58EF">
            <w:pPr>
              <w:jc w:val="center"/>
              <w:rPr>
                <w:rFonts w:asciiTheme="majorBidi" w:hAnsiTheme="majorBidi" w:cstheme="majorBidi"/>
                <w:sz w:val="20"/>
                <w:szCs w:val="20"/>
              </w:rPr>
            </w:pPr>
          </w:p>
        </w:tc>
        <w:tc>
          <w:tcPr>
            <w:tcW w:w="583" w:type="pct"/>
            <w:vAlign w:val="center"/>
          </w:tcPr>
          <w:p w14:paraId="729D35B2" w14:textId="77777777" w:rsidR="00193FDE" w:rsidRPr="002D264D" w:rsidRDefault="00193FDE" w:rsidP="00EC58EF">
            <w:pPr>
              <w:jc w:val="center"/>
              <w:rPr>
                <w:rFonts w:asciiTheme="majorBidi" w:hAnsiTheme="majorBidi" w:cstheme="majorBidi"/>
                <w:sz w:val="20"/>
                <w:szCs w:val="20"/>
              </w:rPr>
            </w:pPr>
          </w:p>
        </w:tc>
      </w:tr>
      <w:tr w:rsidR="00193FDE" w:rsidRPr="002D264D" w14:paraId="0CB56147" w14:textId="77777777" w:rsidTr="00193FDE">
        <w:trPr>
          <w:jc w:val="center"/>
        </w:trPr>
        <w:tc>
          <w:tcPr>
            <w:tcW w:w="1417" w:type="pct"/>
            <w:vAlign w:val="center"/>
          </w:tcPr>
          <w:p w14:paraId="7458F346"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Diabetic</w:t>
            </w:r>
          </w:p>
        </w:tc>
        <w:tc>
          <w:tcPr>
            <w:tcW w:w="1000" w:type="pct"/>
            <w:vAlign w:val="center"/>
          </w:tcPr>
          <w:p w14:paraId="1379AD55"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3 (15%)</w:t>
            </w:r>
          </w:p>
        </w:tc>
        <w:tc>
          <w:tcPr>
            <w:tcW w:w="1000" w:type="pct"/>
            <w:vAlign w:val="center"/>
          </w:tcPr>
          <w:p w14:paraId="3DFB54BF"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3 (15%)</w:t>
            </w:r>
          </w:p>
        </w:tc>
        <w:tc>
          <w:tcPr>
            <w:tcW w:w="1000" w:type="pct"/>
            <w:vAlign w:val="center"/>
          </w:tcPr>
          <w:p w14:paraId="6DEEE612"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3 (15%)</w:t>
            </w:r>
          </w:p>
        </w:tc>
        <w:tc>
          <w:tcPr>
            <w:tcW w:w="583" w:type="pct"/>
            <w:vMerge w:val="restart"/>
            <w:vAlign w:val="center"/>
          </w:tcPr>
          <w:p w14:paraId="00FD33B5" w14:textId="190E8508"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vertAlign w:val="superscript"/>
              </w:rPr>
              <w:t>MC</w:t>
            </w:r>
            <w:r w:rsidRPr="002D264D">
              <w:rPr>
                <w:rFonts w:asciiTheme="majorBidi" w:hAnsiTheme="majorBidi" w:cstheme="majorBidi"/>
                <w:sz w:val="20"/>
                <w:szCs w:val="20"/>
              </w:rPr>
              <w:t>p=1.000</w:t>
            </w:r>
          </w:p>
        </w:tc>
      </w:tr>
      <w:tr w:rsidR="00193FDE" w:rsidRPr="002D264D" w14:paraId="528F79B4" w14:textId="77777777" w:rsidTr="00193FDE">
        <w:trPr>
          <w:jc w:val="center"/>
        </w:trPr>
        <w:tc>
          <w:tcPr>
            <w:tcW w:w="1417" w:type="pct"/>
            <w:vAlign w:val="center"/>
          </w:tcPr>
          <w:p w14:paraId="25618EF4"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Not diabetic</w:t>
            </w:r>
          </w:p>
        </w:tc>
        <w:tc>
          <w:tcPr>
            <w:tcW w:w="1000" w:type="pct"/>
            <w:vAlign w:val="center"/>
          </w:tcPr>
          <w:p w14:paraId="2AB5E16C"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17 (85%)</w:t>
            </w:r>
          </w:p>
        </w:tc>
        <w:tc>
          <w:tcPr>
            <w:tcW w:w="1000" w:type="pct"/>
            <w:vAlign w:val="center"/>
          </w:tcPr>
          <w:p w14:paraId="1E95C5F7"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17 (85%)</w:t>
            </w:r>
          </w:p>
        </w:tc>
        <w:tc>
          <w:tcPr>
            <w:tcW w:w="1000" w:type="pct"/>
            <w:vAlign w:val="center"/>
          </w:tcPr>
          <w:p w14:paraId="72D848C4"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17 (85%)</w:t>
            </w:r>
          </w:p>
        </w:tc>
        <w:tc>
          <w:tcPr>
            <w:tcW w:w="583" w:type="pct"/>
            <w:vMerge/>
            <w:vAlign w:val="center"/>
          </w:tcPr>
          <w:p w14:paraId="6E6C79F4" w14:textId="77777777" w:rsidR="00193FDE" w:rsidRPr="002D264D" w:rsidRDefault="00193FDE" w:rsidP="00EC58EF">
            <w:pPr>
              <w:jc w:val="center"/>
              <w:rPr>
                <w:rFonts w:asciiTheme="majorBidi" w:hAnsiTheme="majorBidi" w:cstheme="majorBidi"/>
                <w:sz w:val="20"/>
                <w:szCs w:val="20"/>
              </w:rPr>
            </w:pPr>
          </w:p>
        </w:tc>
      </w:tr>
      <w:tr w:rsidR="00193FDE" w:rsidRPr="002D264D" w14:paraId="5C8F41DC" w14:textId="77777777" w:rsidTr="00193FDE">
        <w:trPr>
          <w:trHeight w:val="103"/>
          <w:jc w:val="center"/>
        </w:trPr>
        <w:tc>
          <w:tcPr>
            <w:tcW w:w="1417" w:type="pct"/>
            <w:vAlign w:val="center"/>
          </w:tcPr>
          <w:p w14:paraId="653CD62A" w14:textId="77777777" w:rsidR="00193FDE" w:rsidRPr="002D264D" w:rsidRDefault="00193FDE" w:rsidP="00EC58EF">
            <w:pPr>
              <w:rPr>
                <w:rFonts w:asciiTheme="majorBidi" w:hAnsiTheme="majorBidi" w:cstheme="majorBidi"/>
                <w:b/>
                <w:bCs/>
                <w:sz w:val="20"/>
                <w:szCs w:val="20"/>
              </w:rPr>
            </w:pPr>
            <w:r w:rsidRPr="002D264D">
              <w:rPr>
                <w:rFonts w:asciiTheme="majorBidi" w:hAnsiTheme="majorBidi" w:cstheme="majorBidi"/>
                <w:b/>
                <w:bCs/>
                <w:sz w:val="20"/>
                <w:szCs w:val="20"/>
              </w:rPr>
              <w:t>Fasting blood glucose</w:t>
            </w:r>
          </w:p>
        </w:tc>
        <w:tc>
          <w:tcPr>
            <w:tcW w:w="3583" w:type="pct"/>
            <w:gridSpan w:val="4"/>
            <w:vAlign w:val="center"/>
          </w:tcPr>
          <w:p w14:paraId="69F0F90C" w14:textId="77777777" w:rsidR="00193FDE" w:rsidRPr="002D264D" w:rsidRDefault="00193FDE" w:rsidP="00EC58EF">
            <w:pPr>
              <w:jc w:val="center"/>
              <w:rPr>
                <w:rFonts w:asciiTheme="majorBidi" w:hAnsiTheme="majorBidi" w:cstheme="majorBidi"/>
                <w:sz w:val="20"/>
                <w:szCs w:val="20"/>
              </w:rPr>
            </w:pPr>
          </w:p>
        </w:tc>
      </w:tr>
      <w:tr w:rsidR="00193FDE" w:rsidRPr="002D264D" w14:paraId="5A84C021" w14:textId="77777777" w:rsidTr="00193FDE">
        <w:trPr>
          <w:trHeight w:val="149"/>
          <w:jc w:val="center"/>
        </w:trPr>
        <w:tc>
          <w:tcPr>
            <w:tcW w:w="1417" w:type="pct"/>
            <w:vAlign w:val="center"/>
          </w:tcPr>
          <w:p w14:paraId="7EDE8277"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Mean ± SD.</w:t>
            </w:r>
          </w:p>
        </w:tc>
        <w:tc>
          <w:tcPr>
            <w:tcW w:w="1000" w:type="pct"/>
            <w:vAlign w:val="center"/>
          </w:tcPr>
          <w:p w14:paraId="393FFE80"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98.5 ± 13.6</w:t>
            </w:r>
          </w:p>
        </w:tc>
        <w:tc>
          <w:tcPr>
            <w:tcW w:w="1000" w:type="pct"/>
            <w:vAlign w:val="center"/>
          </w:tcPr>
          <w:p w14:paraId="6713444C"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99.3 ± 15.9</w:t>
            </w:r>
          </w:p>
        </w:tc>
        <w:tc>
          <w:tcPr>
            <w:tcW w:w="1000" w:type="pct"/>
            <w:vAlign w:val="center"/>
          </w:tcPr>
          <w:p w14:paraId="6930029B"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101.8 ± 24.2</w:t>
            </w:r>
          </w:p>
        </w:tc>
        <w:tc>
          <w:tcPr>
            <w:tcW w:w="583" w:type="pct"/>
            <w:vAlign w:val="center"/>
          </w:tcPr>
          <w:p w14:paraId="71E0DCD5"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0.841</w:t>
            </w:r>
          </w:p>
        </w:tc>
      </w:tr>
      <w:tr w:rsidR="00193FDE" w:rsidRPr="002D264D" w14:paraId="633F9DD3" w14:textId="77777777" w:rsidTr="00193FDE">
        <w:trPr>
          <w:jc w:val="center"/>
        </w:trPr>
        <w:tc>
          <w:tcPr>
            <w:tcW w:w="1417" w:type="pct"/>
            <w:vAlign w:val="center"/>
          </w:tcPr>
          <w:p w14:paraId="31CB896E" w14:textId="77777777" w:rsidR="00193FDE" w:rsidRPr="002D264D" w:rsidRDefault="00193FDE" w:rsidP="00EC58EF">
            <w:pPr>
              <w:rPr>
                <w:rFonts w:asciiTheme="majorBidi" w:hAnsiTheme="majorBidi" w:cstheme="majorBidi"/>
                <w:b/>
                <w:bCs/>
                <w:sz w:val="20"/>
                <w:szCs w:val="20"/>
              </w:rPr>
            </w:pPr>
            <w:r w:rsidRPr="002D264D">
              <w:rPr>
                <w:rFonts w:asciiTheme="majorBidi" w:hAnsiTheme="majorBidi" w:cstheme="majorBidi"/>
                <w:b/>
                <w:bCs/>
                <w:sz w:val="20"/>
                <w:szCs w:val="20"/>
              </w:rPr>
              <w:t xml:space="preserve">Child-Pugh classification </w:t>
            </w:r>
          </w:p>
        </w:tc>
        <w:tc>
          <w:tcPr>
            <w:tcW w:w="3583" w:type="pct"/>
            <w:gridSpan w:val="4"/>
            <w:vAlign w:val="center"/>
          </w:tcPr>
          <w:p w14:paraId="686419D3" w14:textId="77777777" w:rsidR="00193FDE" w:rsidRPr="002D264D" w:rsidRDefault="00193FDE" w:rsidP="00EC58EF">
            <w:pPr>
              <w:jc w:val="center"/>
              <w:rPr>
                <w:rFonts w:asciiTheme="majorBidi" w:hAnsiTheme="majorBidi" w:cstheme="majorBidi"/>
                <w:sz w:val="20"/>
                <w:szCs w:val="20"/>
              </w:rPr>
            </w:pPr>
          </w:p>
        </w:tc>
      </w:tr>
      <w:tr w:rsidR="00193FDE" w:rsidRPr="002D264D" w14:paraId="3A1FDB39" w14:textId="77777777" w:rsidTr="00193FDE">
        <w:trPr>
          <w:jc w:val="center"/>
        </w:trPr>
        <w:tc>
          <w:tcPr>
            <w:tcW w:w="1417" w:type="pct"/>
            <w:vAlign w:val="center"/>
          </w:tcPr>
          <w:p w14:paraId="1A969041"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A</w:t>
            </w:r>
          </w:p>
        </w:tc>
        <w:tc>
          <w:tcPr>
            <w:tcW w:w="1000" w:type="pct"/>
            <w:vAlign w:val="center"/>
          </w:tcPr>
          <w:p w14:paraId="1D28D6F8"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5 (25%)</w:t>
            </w:r>
          </w:p>
        </w:tc>
        <w:tc>
          <w:tcPr>
            <w:tcW w:w="1000" w:type="pct"/>
            <w:vAlign w:val="center"/>
          </w:tcPr>
          <w:p w14:paraId="42CBBB44"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5 (25%)</w:t>
            </w:r>
          </w:p>
        </w:tc>
        <w:tc>
          <w:tcPr>
            <w:tcW w:w="1000" w:type="pct"/>
            <w:vAlign w:val="center"/>
          </w:tcPr>
          <w:p w14:paraId="1CDBEB02"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 (5%)</w:t>
            </w:r>
          </w:p>
        </w:tc>
        <w:tc>
          <w:tcPr>
            <w:tcW w:w="583" w:type="pct"/>
            <w:vMerge w:val="restart"/>
            <w:vAlign w:val="center"/>
          </w:tcPr>
          <w:p w14:paraId="3BD37442"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0.088</w:t>
            </w:r>
          </w:p>
        </w:tc>
      </w:tr>
      <w:tr w:rsidR="00193FDE" w:rsidRPr="002D264D" w14:paraId="52292844" w14:textId="77777777" w:rsidTr="00193FDE">
        <w:trPr>
          <w:jc w:val="center"/>
        </w:trPr>
        <w:tc>
          <w:tcPr>
            <w:tcW w:w="1417" w:type="pct"/>
            <w:vAlign w:val="center"/>
          </w:tcPr>
          <w:p w14:paraId="7329EBFA"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B</w:t>
            </w:r>
          </w:p>
        </w:tc>
        <w:tc>
          <w:tcPr>
            <w:tcW w:w="1000" w:type="pct"/>
            <w:vAlign w:val="center"/>
          </w:tcPr>
          <w:p w14:paraId="2A4EC098"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12 (60%)</w:t>
            </w:r>
          </w:p>
        </w:tc>
        <w:tc>
          <w:tcPr>
            <w:tcW w:w="1000" w:type="pct"/>
            <w:vAlign w:val="center"/>
          </w:tcPr>
          <w:p w14:paraId="2A3F5AEA"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11 (55%)</w:t>
            </w:r>
          </w:p>
        </w:tc>
        <w:tc>
          <w:tcPr>
            <w:tcW w:w="1000" w:type="pct"/>
            <w:vAlign w:val="center"/>
          </w:tcPr>
          <w:p w14:paraId="5B8F98B9"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9 (45%)</w:t>
            </w:r>
          </w:p>
        </w:tc>
        <w:tc>
          <w:tcPr>
            <w:tcW w:w="583" w:type="pct"/>
            <w:vMerge/>
            <w:vAlign w:val="center"/>
          </w:tcPr>
          <w:p w14:paraId="2EE2E99E" w14:textId="77777777" w:rsidR="00193FDE" w:rsidRPr="002D264D" w:rsidRDefault="00193FDE" w:rsidP="00EC58EF">
            <w:pPr>
              <w:jc w:val="center"/>
              <w:rPr>
                <w:rFonts w:asciiTheme="majorBidi" w:hAnsiTheme="majorBidi" w:cstheme="majorBidi"/>
                <w:sz w:val="20"/>
                <w:szCs w:val="20"/>
              </w:rPr>
            </w:pPr>
          </w:p>
        </w:tc>
      </w:tr>
      <w:tr w:rsidR="00193FDE" w:rsidRPr="002D264D" w14:paraId="422F2204" w14:textId="77777777" w:rsidTr="002D264D">
        <w:trPr>
          <w:trHeight w:val="282"/>
          <w:jc w:val="center"/>
        </w:trPr>
        <w:tc>
          <w:tcPr>
            <w:tcW w:w="1417" w:type="pct"/>
            <w:tcBorders>
              <w:bottom w:val="single" w:sz="4" w:space="0" w:color="auto"/>
            </w:tcBorders>
            <w:vAlign w:val="center"/>
          </w:tcPr>
          <w:p w14:paraId="0FFA98B1" w14:textId="77777777" w:rsidR="00193FDE" w:rsidRPr="002D264D" w:rsidRDefault="00193FDE" w:rsidP="00EC58EF">
            <w:pPr>
              <w:ind w:left="284"/>
              <w:rPr>
                <w:rFonts w:asciiTheme="majorBidi" w:hAnsiTheme="majorBidi" w:cstheme="majorBidi"/>
                <w:sz w:val="20"/>
                <w:szCs w:val="20"/>
              </w:rPr>
            </w:pPr>
            <w:r w:rsidRPr="002D264D">
              <w:rPr>
                <w:rFonts w:asciiTheme="majorBidi" w:hAnsiTheme="majorBidi" w:cstheme="majorBidi"/>
                <w:sz w:val="20"/>
                <w:szCs w:val="20"/>
              </w:rPr>
              <w:t>C</w:t>
            </w:r>
          </w:p>
        </w:tc>
        <w:tc>
          <w:tcPr>
            <w:tcW w:w="1000" w:type="pct"/>
            <w:tcBorders>
              <w:bottom w:val="single" w:sz="4" w:space="0" w:color="auto"/>
            </w:tcBorders>
            <w:vAlign w:val="center"/>
          </w:tcPr>
          <w:p w14:paraId="1BC06591"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3 (15%)</w:t>
            </w:r>
          </w:p>
        </w:tc>
        <w:tc>
          <w:tcPr>
            <w:tcW w:w="1000" w:type="pct"/>
            <w:tcBorders>
              <w:bottom w:val="single" w:sz="4" w:space="0" w:color="auto"/>
            </w:tcBorders>
            <w:vAlign w:val="center"/>
          </w:tcPr>
          <w:p w14:paraId="3F05260C"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4 (20%)</w:t>
            </w:r>
          </w:p>
        </w:tc>
        <w:tc>
          <w:tcPr>
            <w:tcW w:w="1000" w:type="pct"/>
            <w:tcBorders>
              <w:bottom w:val="single" w:sz="4" w:space="0" w:color="auto"/>
            </w:tcBorders>
            <w:vAlign w:val="center"/>
          </w:tcPr>
          <w:p w14:paraId="439160F1" w14:textId="77777777" w:rsidR="00193FDE" w:rsidRPr="002D264D" w:rsidRDefault="00193FDE" w:rsidP="00EC58EF">
            <w:pPr>
              <w:jc w:val="center"/>
              <w:rPr>
                <w:rFonts w:asciiTheme="majorBidi" w:hAnsiTheme="majorBidi" w:cstheme="majorBidi"/>
                <w:sz w:val="20"/>
                <w:szCs w:val="20"/>
              </w:rPr>
            </w:pPr>
            <w:r w:rsidRPr="002D264D">
              <w:rPr>
                <w:rFonts w:asciiTheme="majorBidi" w:hAnsiTheme="majorBidi" w:cstheme="majorBidi"/>
                <w:sz w:val="20"/>
                <w:szCs w:val="20"/>
              </w:rPr>
              <w:t>10 (50%)</w:t>
            </w:r>
          </w:p>
        </w:tc>
        <w:tc>
          <w:tcPr>
            <w:tcW w:w="583" w:type="pct"/>
            <w:vMerge/>
            <w:tcBorders>
              <w:bottom w:val="single" w:sz="4" w:space="0" w:color="auto"/>
            </w:tcBorders>
            <w:vAlign w:val="center"/>
          </w:tcPr>
          <w:p w14:paraId="3B40DB70" w14:textId="77777777" w:rsidR="00193FDE" w:rsidRPr="002D264D" w:rsidRDefault="00193FDE" w:rsidP="00193FDE">
            <w:pPr>
              <w:keepNext/>
              <w:jc w:val="center"/>
              <w:rPr>
                <w:rFonts w:asciiTheme="majorBidi" w:hAnsiTheme="majorBidi" w:cstheme="majorBidi"/>
                <w:sz w:val="20"/>
                <w:szCs w:val="20"/>
              </w:rPr>
            </w:pPr>
          </w:p>
        </w:tc>
      </w:tr>
    </w:tbl>
    <w:p w14:paraId="716DD34D" w14:textId="70ADE102" w:rsidR="00193FDE" w:rsidRPr="00193FDE" w:rsidRDefault="00193FDE" w:rsidP="002D264D">
      <w:pPr>
        <w:spacing w:line="360" w:lineRule="auto"/>
        <w:ind w:firstLine="397"/>
        <w:jc w:val="both"/>
        <w:rPr>
          <w:i/>
          <w:iCs/>
          <w:color w:val="0E2841" w:themeColor="text2"/>
          <w:sz w:val="18"/>
          <w:szCs w:val="18"/>
        </w:rPr>
      </w:pPr>
      <w:r w:rsidRPr="00193FDE">
        <w:rPr>
          <w:i/>
          <w:iCs/>
          <w:color w:val="0E2841" w:themeColor="text2"/>
          <w:sz w:val="18"/>
          <w:szCs w:val="18"/>
        </w:rPr>
        <w:t xml:space="preserve">SD: </w:t>
      </w:r>
      <w:r w:rsidRPr="00193FDE">
        <w:rPr>
          <w:b/>
          <w:bCs/>
          <w:i/>
          <w:iCs/>
          <w:color w:val="0E2841" w:themeColor="text2"/>
          <w:sz w:val="18"/>
          <w:szCs w:val="18"/>
        </w:rPr>
        <w:t>Standard deviation</w:t>
      </w:r>
      <w:r w:rsidR="002D264D">
        <w:rPr>
          <w:b/>
          <w:bCs/>
          <w:i/>
          <w:iCs/>
          <w:color w:val="0E2841" w:themeColor="text2"/>
          <w:sz w:val="18"/>
          <w:szCs w:val="18"/>
        </w:rPr>
        <w:t xml:space="preserve">, </w:t>
      </w:r>
      <w:r w:rsidRPr="00193FDE">
        <w:rPr>
          <w:i/>
          <w:iCs/>
          <w:color w:val="0E2841" w:themeColor="text2"/>
          <w:sz w:val="18"/>
          <w:szCs w:val="18"/>
        </w:rPr>
        <w:t>p: p-value for comparing the three studied groups</w:t>
      </w:r>
      <w:r w:rsidR="002D264D">
        <w:rPr>
          <w:i/>
          <w:iCs/>
          <w:color w:val="0E2841" w:themeColor="text2"/>
          <w:sz w:val="18"/>
          <w:szCs w:val="18"/>
        </w:rPr>
        <w:t xml:space="preserve">, </w:t>
      </w:r>
      <w:r w:rsidRPr="00193FDE">
        <w:rPr>
          <w:i/>
          <w:iCs/>
          <w:color w:val="0E2841" w:themeColor="text2"/>
          <w:sz w:val="18"/>
          <w:szCs w:val="18"/>
        </w:rPr>
        <w:t>*: Statistically significant at p ≤ 0.05.</w:t>
      </w:r>
    </w:p>
    <w:p w14:paraId="738C9D7B" w14:textId="2FD3FB41" w:rsidR="005B72C5" w:rsidRDefault="005B72C5" w:rsidP="00A83FB8">
      <w:pPr>
        <w:spacing w:line="360" w:lineRule="auto"/>
        <w:ind w:firstLine="397"/>
        <w:jc w:val="both"/>
        <w:rPr>
          <w:rFonts w:asciiTheme="majorBidi" w:hAnsiTheme="majorBidi" w:cstheme="majorBidi"/>
          <w:sz w:val="24"/>
          <w:szCs w:val="24"/>
        </w:rPr>
      </w:pPr>
      <w:r w:rsidRPr="005B72C5">
        <w:rPr>
          <w:rFonts w:asciiTheme="majorBidi" w:hAnsiTheme="majorBidi" w:cstheme="majorBidi"/>
          <w:sz w:val="24"/>
          <w:szCs w:val="24"/>
        </w:rPr>
        <w:t>Both groups were compared for blood biochemical and radiological parameters, which show there were statistically significant differences for platelet count, albumin, bilirubin, portal vein diameter, spleen diameter, and grade of ascites (p&lt;0.05)., but there were no significant differences for red blood cell count, hemoglobin percent</w:t>
      </w:r>
      <w:r>
        <w:rPr>
          <w:rFonts w:asciiTheme="majorBidi" w:hAnsiTheme="majorBidi" w:cstheme="majorBidi"/>
          <w:sz w:val="24"/>
          <w:szCs w:val="24"/>
        </w:rPr>
        <w:t>,</w:t>
      </w:r>
      <w:r w:rsidR="008774DD">
        <w:rPr>
          <w:rFonts w:asciiTheme="majorBidi" w:hAnsiTheme="majorBidi" w:cstheme="majorBidi"/>
          <w:sz w:val="24"/>
          <w:szCs w:val="24"/>
        </w:rPr>
        <w:t xml:space="preserve"> </w:t>
      </w:r>
      <w:r w:rsidRPr="005B72C5">
        <w:rPr>
          <w:rFonts w:asciiTheme="majorBidi" w:hAnsiTheme="majorBidi" w:cstheme="majorBidi"/>
          <w:sz w:val="24"/>
          <w:szCs w:val="24"/>
        </w:rPr>
        <w:t xml:space="preserve">international normalized ratio, alanine aminotransferase, or aspartate aminotransferase. This data </w:t>
      </w:r>
      <w:r w:rsidR="008774DD">
        <w:rPr>
          <w:rFonts w:asciiTheme="majorBidi" w:hAnsiTheme="majorBidi" w:cstheme="majorBidi"/>
          <w:sz w:val="24"/>
          <w:szCs w:val="24"/>
        </w:rPr>
        <w:t>is</w:t>
      </w:r>
      <w:r w:rsidRPr="005B72C5">
        <w:rPr>
          <w:rFonts w:asciiTheme="majorBidi" w:hAnsiTheme="majorBidi" w:cstheme="majorBidi"/>
          <w:sz w:val="24"/>
          <w:szCs w:val="24"/>
        </w:rPr>
        <w:t xml:space="preserve"> demonstrated in Table (</w:t>
      </w:r>
      <w:r w:rsidR="00BE2BAB">
        <w:rPr>
          <w:rFonts w:asciiTheme="majorBidi" w:hAnsiTheme="majorBidi" w:cstheme="majorBidi"/>
          <w:sz w:val="24"/>
          <w:szCs w:val="24"/>
        </w:rPr>
        <w:t>3</w:t>
      </w:r>
      <w:r w:rsidRPr="005B72C5">
        <w:rPr>
          <w:rFonts w:asciiTheme="majorBidi" w:hAnsiTheme="majorBidi" w:cstheme="majorBidi"/>
          <w:sz w:val="24"/>
          <w:szCs w:val="24"/>
        </w:rPr>
        <w:t>).</w:t>
      </w:r>
    </w:p>
    <w:p w14:paraId="5CC05C2D" w14:textId="20BEA5D4" w:rsidR="00075EDA" w:rsidRPr="00075EDA" w:rsidRDefault="00075EDA" w:rsidP="00075EDA">
      <w:pPr>
        <w:pStyle w:val="Caption"/>
        <w:keepNext/>
        <w:rPr>
          <w:b/>
          <w:bCs/>
        </w:rPr>
      </w:pPr>
      <w:r>
        <w:t xml:space="preserve">Tab </w:t>
      </w:r>
      <w:r>
        <w:fldChar w:fldCharType="begin"/>
      </w:r>
      <w:r>
        <w:instrText xml:space="preserve"> SEQ Table \* ARABIC </w:instrText>
      </w:r>
      <w:r>
        <w:fldChar w:fldCharType="separate"/>
      </w:r>
      <w:r w:rsidR="00CE2A69">
        <w:rPr>
          <w:noProof/>
        </w:rPr>
        <w:t>3</w:t>
      </w:r>
      <w:r>
        <w:fldChar w:fldCharType="end"/>
      </w:r>
      <w:r>
        <w:t xml:space="preserve">. </w:t>
      </w:r>
      <w:r w:rsidRPr="00075EDA">
        <w:rPr>
          <w:b/>
          <w:bCs/>
        </w:rPr>
        <w:t>Comparison between the studied groups according to biochemical and radiological findings</w:t>
      </w:r>
      <w:r>
        <w:rPr>
          <w:b/>
          <w:bC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Caption w:val="Comparison between the studied groups according to biochemical and radiological findings"/>
        <w:tblDescription w:val="p1: p value for comparing between Control and Cases S p2: p value for comparing between Control and Cases I p3: p value for comparing between Cases S and Cases I ALT: alanine aminotransferase, AST: aspartate aminotransferase, pv: portal vein, INR: international normalized ratio.&#10;&#10;"/>
      </w:tblPr>
      <w:tblGrid>
        <w:gridCol w:w="2653"/>
        <w:gridCol w:w="1872"/>
        <w:gridCol w:w="1872"/>
        <w:gridCol w:w="1872"/>
        <w:gridCol w:w="1091"/>
      </w:tblGrid>
      <w:tr w:rsidR="00075EDA" w:rsidRPr="00BA2976" w14:paraId="72E40995" w14:textId="77777777" w:rsidTr="00BA2976">
        <w:trPr>
          <w:trHeight w:val="358"/>
          <w:jc w:val="center"/>
        </w:trPr>
        <w:tc>
          <w:tcPr>
            <w:tcW w:w="1417" w:type="pct"/>
            <w:tcBorders>
              <w:top w:val="single" w:sz="4" w:space="0" w:color="auto"/>
              <w:bottom w:val="single" w:sz="4" w:space="0" w:color="auto"/>
            </w:tcBorders>
            <w:vAlign w:val="center"/>
          </w:tcPr>
          <w:p w14:paraId="1CD43AE0" w14:textId="77777777" w:rsidR="00075EDA" w:rsidRPr="00BA2976" w:rsidRDefault="00075EDA" w:rsidP="00EC58EF">
            <w:pPr>
              <w:jc w:val="center"/>
              <w:rPr>
                <w:rFonts w:asciiTheme="majorBidi" w:hAnsiTheme="majorBidi" w:cstheme="majorBidi"/>
                <w:b/>
                <w:bCs/>
                <w:sz w:val="20"/>
                <w:szCs w:val="20"/>
              </w:rPr>
            </w:pPr>
          </w:p>
        </w:tc>
        <w:tc>
          <w:tcPr>
            <w:tcW w:w="1000" w:type="pct"/>
            <w:tcBorders>
              <w:top w:val="single" w:sz="4" w:space="0" w:color="auto"/>
              <w:bottom w:val="single" w:sz="4" w:space="0" w:color="auto"/>
            </w:tcBorders>
            <w:vAlign w:val="center"/>
          </w:tcPr>
          <w:p w14:paraId="14E35FC5" w14:textId="50FFFAD5"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Control (n = 20)</w:t>
            </w:r>
          </w:p>
        </w:tc>
        <w:tc>
          <w:tcPr>
            <w:tcW w:w="1000" w:type="pct"/>
            <w:tcBorders>
              <w:top w:val="single" w:sz="4" w:space="0" w:color="auto"/>
              <w:bottom w:val="single" w:sz="4" w:space="0" w:color="auto"/>
            </w:tcBorders>
            <w:vAlign w:val="center"/>
          </w:tcPr>
          <w:p w14:paraId="71DDCB7A" w14:textId="074693C6"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Cases S (n = 20)</w:t>
            </w:r>
          </w:p>
        </w:tc>
        <w:tc>
          <w:tcPr>
            <w:tcW w:w="1000" w:type="pct"/>
            <w:tcBorders>
              <w:top w:val="single" w:sz="4" w:space="0" w:color="auto"/>
              <w:bottom w:val="single" w:sz="4" w:space="0" w:color="auto"/>
            </w:tcBorders>
            <w:vAlign w:val="center"/>
          </w:tcPr>
          <w:p w14:paraId="64D3E906" w14:textId="399FD6F7"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Cases I (n = 20)</w:t>
            </w:r>
          </w:p>
        </w:tc>
        <w:tc>
          <w:tcPr>
            <w:tcW w:w="583" w:type="pct"/>
            <w:tcBorders>
              <w:top w:val="single" w:sz="4" w:space="0" w:color="auto"/>
              <w:bottom w:val="single" w:sz="4" w:space="0" w:color="auto"/>
            </w:tcBorders>
            <w:vAlign w:val="center"/>
          </w:tcPr>
          <w:p w14:paraId="309F85FD" w14:textId="77777777"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p</w:t>
            </w:r>
          </w:p>
        </w:tc>
      </w:tr>
      <w:tr w:rsidR="00075EDA" w:rsidRPr="00BA2976" w14:paraId="73AFD501" w14:textId="77777777" w:rsidTr="00BA2976">
        <w:trPr>
          <w:trHeight w:val="263"/>
          <w:jc w:val="center"/>
        </w:trPr>
        <w:tc>
          <w:tcPr>
            <w:tcW w:w="1417" w:type="pct"/>
            <w:tcBorders>
              <w:top w:val="single" w:sz="4" w:space="0" w:color="auto"/>
            </w:tcBorders>
            <w:vAlign w:val="center"/>
          </w:tcPr>
          <w:p w14:paraId="31508EB1"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RBCS /mcl</w:t>
            </w:r>
          </w:p>
        </w:tc>
        <w:tc>
          <w:tcPr>
            <w:tcW w:w="3583" w:type="pct"/>
            <w:gridSpan w:val="4"/>
            <w:tcBorders>
              <w:top w:val="single" w:sz="4" w:space="0" w:color="auto"/>
            </w:tcBorders>
            <w:vAlign w:val="center"/>
          </w:tcPr>
          <w:p w14:paraId="7A7EF5FD" w14:textId="77777777" w:rsidR="00075EDA" w:rsidRPr="00BA2976" w:rsidRDefault="00075EDA" w:rsidP="00EC58EF">
            <w:pPr>
              <w:jc w:val="center"/>
              <w:rPr>
                <w:rFonts w:asciiTheme="majorBidi" w:hAnsiTheme="majorBidi" w:cstheme="majorBidi"/>
                <w:sz w:val="20"/>
                <w:szCs w:val="20"/>
              </w:rPr>
            </w:pPr>
          </w:p>
        </w:tc>
      </w:tr>
      <w:tr w:rsidR="00075EDA" w:rsidRPr="00BA2976" w14:paraId="375DCBAA" w14:textId="77777777" w:rsidTr="00BA2976">
        <w:trPr>
          <w:trHeight w:val="458"/>
          <w:jc w:val="center"/>
        </w:trPr>
        <w:tc>
          <w:tcPr>
            <w:tcW w:w="1417" w:type="pct"/>
            <w:vAlign w:val="center"/>
          </w:tcPr>
          <w:p w14:paraId="3B8B8F5C" w14:textId="77777777" w:rsidR="00075EDA" w:rsidRPr="00BA2976" w:rsidRDefault="00075EDA" w:rsidP="00EC58EF">
            <w:pPr>
              <w:ind w:left="284"/>
              <w:rPr>
                <w:rFonts w:asciiTheme="majorBidi" w:hAnsiTheme="majorBidi" w:cstheme="majorBidi"/>
                <w:sz w:val="20"/>
                <w:szCs w:val="20"/>
              </w:rPr>
            </w:pPr>
            <w:r w:rsidRPr="00BA2976">
              <w:rPr>
                <w:rFonts w:asciiTheme="majorBidi" w:hAnsiTheme="majorBidi" w:cstheme="majorBidi"/>
                <w:sz w:val="20"/>
                <w:szCs w:val="20"/>
              </w:rPr>
              <w:t>Mean ± SD.</w:t>
            </w:r>
          </w:p>
        </w:tc>
        <w:tc>
          <w:tcPr>
            <w:tcW w:w="1000" w:type="pct"/>
            <w:vAlign w:val="center"/>
          </w:tcPr>
          <w:p w14:paraId="740789F8"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3.6 ± 0.6</w:t>
            </w:r>
          </w:p>
        </w:tc>
        <w:tc>
          <w:tcPr>
            <w:tcW w:w="1000" w:type="pct"/>
            <w:vAlign w:val="center"/>
          </w:tcPr>
          <w:p w14:paraId="6044EF38"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3.7 ± 0.7</w:t>
            </w:r>
          </w:p>
        </w:tc>
        <w:tc>
          <w:tcPr>
            <w:tcW w:w="1000" w:type="pct"/>
            <w:vAlign w:val="center"/>
          </w:tcPr>
          <w:p w14:paraId="4F9A288F"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3.5 ± 0.6</w:t>
            </w:r>
          </w:p>
        </w:tc>
        <w:tc>
          <w:tcPr>
            <w:tcW w:w="583" w:type="pct"/>
            <w:vAlign w:val="center"/>
          </w:tcPr>
          <w:p w14:paraId="6812E165"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0.562</w:t>
            </w:r>
          </w:p>
        </w:tc>
      </w:tr>
      <w:tr w:rsidR="00075EDA" w:rsidRPr="00BA2976" w14:paraId="57FE4BE8" w14:textId="77777777" w:rsidTr="00BA2976">
        <w:trPr>
          <w:trHeight w:val="263"/>
          <w:jc w:val="center"/>
        </w:trPr>
        <w:tc>
          <w:tcPr>
            <w:tcW w:w="1417" w:type="pct"/>
            <w:vAlign w:val="center"/>
          </w:tcPr>
          <w:p w14:paraId="245B08C9" w14:textId="440698DF"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Hemoglobin (g/dl)</w:t>
            </w:r>
          </w:p>
        </w:tc>
        <w:tc>
          <w:tcPr>
            <w:tcW w:w="1000" w:type="pct"/>
            <w:vMerge w:val="restart"/>
            <w:vAlign w:val="center"/>
          </w:tcPr>
          <w:p w14:paraId="536CBA32"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10 ± 1.6</w:t>
            </w:r>
          </w:p>
        </w:tc>
        <w:tc>
          <w:tcPr>
            <w:tcW w:w="1000" w:type="pct"/>
            <w:vMerge w:val="restart"/>
            <w:vAlign w:val="center"/>
          </w:tcPr>
          <w:p w14:paraId="0D2FEC54"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10.1 ± 1.8</w:t>
            </w:r>
          </w:p>
        </w:tc>
        <w:tc>
          <w:tcPr>
            <w:tcW w:w="1000" w:type="pct"/>
            <w:vMerge w:val="restart"/>
            <w:vAlign w:val="center"/>
          </w:tcPr>
          <w:p w14:paraId="028A1608"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9.7 ± 1.5</w:t>
            </w:r>
          </w:p>
        </w:tc>
        <w:tc>
          <w:tcPr>
            <w:tcW w:w="583" w:type="pct"/>
            <w:vMerge w:val="restart"/>
            <w:vAlign w:val="center"/>
          </w:tcPr>
          <w:p w14:paraId="067BD746"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0.666</w:t>
            </w:r>
          </w:p>
        </w:tc>
      </w:tr>
      <w:tr w:rsidR="00075EDA" w:rsidRPr="00BA2976" w14:paraId="37F61521" w14:textId="77777777" w:rsidTr="00BA2976">
        <w:trPr>
          <w:trHeight w:val="240"/>
          <w:jc w:val="center"/>
        </w:trPr>
        <w:tc>
          <w:tcPr>
            <w:tcW w:w="1417" w:type="pct"/>
            <w:vAlign w:val="center"/>
          </w:tcPr>
          <w:p w14:paraId="51B2EBF2" w14:textId="77777777" w:rsidR="00075EDA" w:rsidRPr="00BA2976" w:rsidRDefault="00075EDA" w:rsidP="00EC58EF">
            <w:pPr>
              <w:ind w:left="284"/>
              <w:rPr>
                <w:rFonts w:asciiTheme="majorBidi" w:hAnsiTheme="majorBidi" w:cstheme="majorBidi"/>
                <w:sz w:val="20"/>
                <w:szCs w:val="20"/>
              </w:rPr>
            </w:pPr>
            <w:r w:rsidRPr="00BA2976">
              <w:rPr>
                <w:rFonts w:asciiTheme="majorBidi" w:hAnsiTheme="majorBidi" w:cstheme="majorBidi"/>
                <w:sz w:val="20"/>
                <w:szCs w:val="20"/>
              </w:rPr>
              <w:t>Mean ± SD.</w:t>
            </w:r>
          </w:p>
        </w:tc>
        <w:tc>
          <w:tcPr>
            <w:tcW w:w="1000" w:type="pct"/>
            <w:vMerge/>
            <w:vAlign w:val="center"/>
          </w:tcPr>
          <w:p w14:paraId="58128A50" w14:textId="77777777" w:rsidR="00075EDA" w:rsidRPr="00BA2976" w:rsidRDefault="00075EDA" w:rsidP="00EC58EF">
            <w:pPr>
              <w:jc w:val="center"/>
              <w:rPr>
                <w:rFonts w:asciiTheme="majorBidi" w:hAnsiTheme="majorBidi" w:cstheme="majorBidi"/>
                <w:sz w:val="20"/>
                <w:szCs w:val="20"/>
              </w:rPr>
            </w:pPr>
          </w:p>
        </w:tc>
        <w:tc>
          <w:tcPr>
            <w:tcW w:w="1000" w:type="pct"/>
            <w:vMerge/>
            <w:vAlign w:val="center"/>
          </w:tcPr>
          <w:p w14:paraId="5A511260" w14:textId="77777777" w:rsidR="00075EDA" w:rsidRPr="00BA2976" w:rsidRDefault="00075EDA" w:rsidP="00EC58EF">
            <w:pPr>
              <w:jc w:val="center"/>
              <w:rPr>
                <w:rFonts w:asciiTheme="majorBidi" w:hAnsiTheme="majorBidi" w:cstheme="majorBidi"/>
                <w:sz w:val="20"/>
                <w:szCs w:val="20"/>
              </w:rPr>
            </w:pPr>
          </w:p>
        </w:tc>
        <w:tc>
          <w:tcPr>
            <w:tcW w:w="1000" w:type="pct"/>
            <w:vMerge/>
            <w:vAlign w:val="center"/>
          </w:tcPr>
          <w:p w14:paraId="733ADB9E" w14:textId="77777777" w:rsidR="00075EDA" w:rsidRPr="00BA2976" w:rsidRDefault="00075EDA" w:rsidP="00EC58EF">
            <w:pPr>
              <w:jc w:val="center"/>
              <w:rPr>
                <w:rFonts w:asciiTheme="majorBidi" w:hAnsiTheme="majorBidi" w:cstheme="majorBidi"/>
                <w:sz w:val="20"/>
                <w:szCs w:val="20"/>
              </w:rPr>
            </w:pPr>
          </w:p>
        </w:tc>
        <w:tc>
          <w:tcPr>
            <w:tcW w:w="583" w:type="pct"/>
            <w:vMerge/>
            <w:vAlign w:val="center"/>
          </w:tcPr>
          <w:p w14:paraId="34082812" w14:textId="77777777" w:rsidR="00075EDA" w:rsidRPr="00BA2976" w:rsidRDefault="00075EDA" w:rsidP="00EC58EF">
            <w:pPr>
              <w:jc w:val="center"/>
              <w:rPr>
                <w:rFonts w:asciiTheme="majorBidi" w:hAnsiTheme="majorBidi" w:cstheme="majorBidi"/>
                <w:sz w:val="20"/>
                <w:szCs w:val="20"/>
              </w:rPr>
            </w:pPr>
          </w:p>
        </w:tc>
      </w:tr>
      <w:tr w:rsidR="00075EDA" w:rsidRPr="00BA2976" w14:paraId="26D58B99" w14:textId="77777777" w:rsidTr="00BA2976">
        <w:trPr>
          <w:trHeight w:val="263"/>
          <w:jc w:val="center"/>
        </w:trPr>
        <w:tc>
          <w:tcPr>
            <w:tcW w:w="1417" w:type="pct"/>
            <w:vAlign w:val="center"/>
          </w:tcPr>
          <w:p w14:paraId="76955D9D" w14:textId="77777777" w:rsidR="00075EDA" w:rsidRPr="00BA2976" w:rsidRDefault="00075EDA" w:rsidP="00EC58EF">
            <w:pPr>
              <w:rPr>
                <w:rFonts w:asciiTheme="majorBidi" w:hAnsiTheme="majorBidi" w:cstheme="majorBidi"/>
                <w:b/>
                <w:bCs/>
                <w:sz w:val="20"/>
                <w:szCs w:val="20"/>
                <w:vertAlign w:val="superscript"/>
              </w:rPr>
            </w:pPr>
            <w:r w:rsidRPr="00BA2976">
              <w:rPr>
                <w:rFonts w:asciiTheme="majorBidi" w:hAnsiTheme="majorBidi" w:cstheme="majorBidi"/>
                <w:b/>
                <w:bCs/>
                <w:sz w:val="20"/>
                <w:szCs w:val="20"/>
              </w:rPr>
              <w:t>Platelets x10</w:t>
            </w:r>
            <w:r w:rsidRPr="00BA2976">
              <w:rPr>
                <w:rFonts w:asciiTheme="majorBidi" w:hAnsiTheme="majorBidi" w:cstheme="majorBidi"/>
                <w:b/>
                <w:bCs/>
                <w:sz w:val="20"/>
                <w:szCs w:val="20"/>
                <w:vertAlign w:val="superscript"/>
              </w:rPr>
              <w:t xml:space="preserve">3  </w:t>
            </w:r>
          </w:p>
        </w:tc>
        <w:tc>
          <w:tcPr>
            <w:tcW w:w="3583" w:type="pct"/>
            <w:gridSpan w:val="4"/>
            <w:vAlign w:val="center"/>
          </w:tcPr>
          <w:p w14:paraId="5B354CF0" w14:textId="77777777" w:rsidR="00075EDA" w:rsidRPr="00BA2976" w:rsidRDefault="00075EDA" w:rsidP="00EC58EF">
            <w:pPr>
              <w:jc w:val="center"/>
              <w:rPr>
                <w:rFonts w:asciiTheme="majorBidi" w:hAnsiTheme="majorBidi" w:cstheme="majorBidi"/>
                <w:sz w:val="20"/>
                <w:szCs w:val="20"/>
              </w:rPr>
            </w:pPr>
          </w:p>
        </w:tc>
      </w:tr>
      <w:tr w:rsidR="00075EDA" w:rsidRPr="00BA2976" w14:paraId="40F59CF3" w14:textId="77777777" w:rsidTr="00BA2976">
        <w:trPr>
          <w:trHeight w:val="493"/>
          <w:jc w:val="center"/>
        </w:trPr>
        <w:tc>
          <w:tcPr>
            <w:tcW w:w="1417" w:type="pct"/>
            <w:vAlign w:val="center"/>
          </w:tcPr>
          <w:p w14:paraId="69594273" w14:textId="77777777" w:rsidR="00075EDA" w:rsidRPr="00BA2976" w:rsidRDefault="00075EDA" w:rsidP="00EC58EF">
            <w:pPr>
              <w:ind w:left="284"/>
              <w:rPr>
                <w:rFonts w:asciiTheme="majorBidi" w:hAnsiTheme="majorBidi" w:cstheme="majorBidi"/>
                <w:sz w:val="20"/>
                <w:szCs w:val="20"/>
              </w:rPr>
            </w:pPr>
            <w:r w:rsidRPr="00BA2976">
              <w:rPr>
                <w:rFonts w:asciiTheme="majorBidi" w:hAnsiTheme="majorBidi" w:cstheme="majorBidi"/>
                <w:sz w:val="20"/>
                <w:szCs w:val="20"/>
              </w:rPr>
              <w:t>Mean ± SD.</w:t>
            </w:r>
          </w:p>
        </w:tc>
        <w:tc>
          <w:tcPr>
            <w:tcW w:w="1000" w:type="pct"/>
            <w:vAlign w:val="center"/>
          </w:tcPr>
          <w:p w14:paraId="205715C3"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122 ± 37.3</w:t>
            </w:r>
          </w:p>
        </w:tc>
        <w:tc>
          <w:tcPr>
            <w:tcW w:w="1000" w:type="pct"/>
            <w:vAlign w:val="center"/>
          </w:tcPr>
          <w:p w14:paraId="47EAA777"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85.2 ± 29.1</w:t>
            </w:r>
          </w:p>
        </w:tc>
        <w:tc>
          <w:tcPr>
            <w:tcW w:w="1000" w:type="pct"/>
            <w:vAlign w:val="center"/>
          </w:tcPr>
          <w:p w14:paraId="102760F7"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90.9 ± 26.4</w:t>
            </w:r>
          </w:p>
        </w:tc>
        <w:tc>
          <w:tcPr>
            <w:tcW w:w="583" w:type="pct"/>
            <w:vAlign w:val="center"/>
          </w:tcPr>
          <w:p w14:paraId="51BFAA50"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0.001</w:t>
            </w:r>
            <w:r w:rsidRPr="00BA2976">
              <w:rPr>
                <w:rFonts w:asciiTheme="majorBidi" w:hAnsiTheme="majorBidi" w:cstheme="majorBidi"/>
                <w:sz w:val="20"/>
                <w:szCs w:val="20"/>
                <w:vertAlign w:val="superscript"/>
              </w:rPr>
              <w:t>*</w:t>
            </w:r>
          </w:p>
        </w:tc>
      </w:tr>
      <w:tr w:rsidR="00075EDA" w:rsidRPr="00BA2976" w14:paraId="06EB9B11" w14:textId="77777777" w:rsidTr="00BA2976">
        <w:trPr>
          <w:trHeight w:val="263"/>
          <w:jc w:val="center"/>
        </w:trPr>
        <w:tc>
          <w:tcPr>
            <w:tcW w:w="1417" w:type="pct"/>
          </w:tcPr>
          <w:p w14:paraId="2992E09C" w14:textId="0AE26E69"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Sig. bet. Groups.</w:t>
            </w:r>
          </w:p>
        </w:tc>
        <w:tc>
          <w:tcPr>
            <w:tcW w:w="3583" w:type="pct"/>
            <w:gridSpan w:val="4"/>
            <w:vAlign w:val="center"/>
          </w:tcPr>
          <w:p w14:paraId="02BF7B58" w14:textId="2BB25630"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p</w:t>
            </w:r>
            <w:r w:rsidRPr="00BA2976">
              <w:rPr>
                <w:rFonts w:asciiTheme="majorBidi" w:hAnsiTheme="majorBidi" w:cstheme="majorBidi"/>
                <w:sz w:val="20"/>
                <w:szCs w:val="20"/>
                <w:vertAlign w:val="subscript"/>
              </w:rPr>
              <w:t>1</w:t>
            </w:r>
            <w:r w:rsidRPr="00BA2976">
              <w:rPr>
                <w:rFonts w:asciiTheme="majorBidi" w:hAnsiTheme="majorBidi" w:cstheme="majorBidi"/>
                <w:sz w:val="20"/>
                <w:szCs w:val="20"/>
              </w:rPr>
              <w:t>=0.001</w:t>
            </w:r>
            <w:r w:rsidRPr="00BA2976">
              <w:rPr>
                <w:rFonts w:asciiTheme="majorBidi" w:hAnsiTheme="majorBidi" w:cstheme="majorBidi"/>
                <w:sz w:val="20"/>
                <w:szCs w:val="20"/>
                <w:vertAlign w:val="superscript"/>
              </w:rPr>
              <w:t>*</w:t>
            </w:r>
            <w:r w:rsidRPr="00BA2976">
              <w:rPr>
                <w:rFonts w:asciiTheme="majorBidi" w:hAnsiTheme="majorBidi" w:cstheme="majorBidi"/>
                <w:sz w:val="20"/>
                <w:szCs w:val="20"/>
              </w:rPr>
              <w:t>, p</w:t>
            </w:r>
            <w:r w:rsidRPr="00BA2976">
              <w:rPr>
                <w:rFonts w:asciiTheme="majorBidi" w:hAnsiTheme="majorBidi" w:cstheme="majorBidi"/>
                <w:sz w:val="20"/>
                <w:szCs w:val="20"/>
                <w:vertAlign w:val="subscript"/>
              </w:rPr>
              <w:t>2</w:t>
            </w:r>
            <w:r w:rsidRPr="00BA2976">
              <w:rPr>
                <w:rFonts w:asciiTheme="majorBidi" w:hAnsiTheme="majorBidi" w:cstheme="majorBidi"/>
                <w:sz w:val="20"/>
                <w:szCs w:val="20"/>
              </w:rPr>
              <w:t>=0.007</w:t>
            </w:r>
            <w:r w:rsidRPr="00BA2976">
              <w:rPr>
                <w:rFonts w:asciiTheme="majorBidi" w:hAnsiTheme="majorBidi" w:cstheme="majorBidi"/>
                <w:sz w:val="20"/>
                <w:szCs w:val="20"/>
                <w:vertAlign w:val="superscript"/>
              </w:rPr>
              <w:t>*</w:t>
            </w:r>
            <w:r w:rsidRPr="00BA2976">
              <w:rPr>
                <w:rFonts w:asciiTheme="majorBidi" w:hAnsiTheme="majorBidi" w:cstheme="majorBidi"/>
                <w:sz w:val="20"/>
                <w:szCs w:val="20"/>
              </w:rPr>
              <w:t>, p</w:t>
            </w:r>
            <w:r w:rsidRPr="00BA2976">
              <w:rPr>
                <w:rFonts w:asciiTheme="majorBidi" w:hAnsiTheme="majorBidi" w:cstheme="majorBidi"/>
                <w:sz w:val="20"/>
                <w:szCs w:val="20"/>
                <w:vertAlign w:val="subscript"/>
              </w:rPr>
              <w:t>3</w:t>
            </w:r>
            <w:r w:rsidRPr="00BA2976">
              <w:rPr>
                <w:rFonts w:asciiTheme="majorBidi" w:hAnsiTheme="majorBidi" w:cstheme="majorBidi"/>
                <w:sz w:val="20"/>
                <w:szCs w:val="20"/>
              </w:rPr>
              <w:t>=0.833</w:t>
            </w:r>
          </w:p>
        </w:tc>
      </w:tr>
      <w:tr w:rsidR="00075EDA" w:rsidRPr="00BA2976" w14:paraId="0DE04B79" w14:textId="77777777" w:rsidTr="00BA2976">
        <w:trPr>
          <w:trHeight w:val="277"/>
          <w:jc w:val="center"/>
        </w:trPr>
        <w:tc>
          <w:tcPr>
            <w:tcW w:w="1417" w:type="pct"/>
            <w:vAlign w:val="center"/>
          </w:tcPr>
          <w:p w14:paraId="17A88238"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Albumin (g/dl)</w:t>
            </w:r>
          </w:p>
        </w:tc>
        <w:tc>
          <w:tcPr>
            <w:tcW w:w="3583" w:type="pct"/>
            <w:gridSpan w:val="4"/>
            <w:vAlign w:val="center"/>
          </w:tcPr>
          <w:p w14:paraId="36985ACD" w14:textId="77777777" w:rsidR="00075EDA" w:rsidRPr="00BA2976" w:rsidRDefault="00075EDA" w:rsidP="00EC58EF">
            <w:pPr>
              <w:jc w:val="center"/>
              <w:rPr>
                <w:rFonts w:asciiTheme="majorBidi" w:hAnsiTheme="majorBidi" w:cstheme="majorBidi"/>
                <w:sz w:val="20"/>
                <w:szCs w:val="20"/>
              </w:rPr>
            </w:pPr>
          </w:p>
        </w:tc>
      </w:tr>
      <w:tr w:rsidR="00075EDA" w:rsidRPr="00BA2976" w14:paraId="7BCE3E5A" w14:textId="77777777" w:rsidTr="00BA2976">
        <w:trPr>
          <w:trHeight w:val="343"/>
          <w:jc w:val="center"/>
        </w:trPr>
        <w:tc>
          <w:tcPr>
            <w:tcW w:w="1417" w:type="pct"/>
            <w:vAlign w:val="center"/>
          </w:tcPr>
          <w:p w14:paraId="70BC066B" w14:textId="77777777" w:rsidR="00075EDA" w:rsidRPr="00BA2976" w:rsidRDefault="00075EDA" w:rsidP="00EC58EF">
            <w:pPr>
              <w:ind w:left="284"/>
              <w:rPr>
                <w:rFonts w:asciiTheme="majorBidi" w:hAnsiTheme="majorBidi" w:cstheme="majorBidi"/>
                <w:sz w:val="20"/>
                <w:szCs w:val="20"/>
              </w:rPr>
            </w:pPr>
            <w:r w:rsidRPr="00BA2976">
              <w:rPr>
                <w:rFonts w:asciiTheme="majorBidi" w:hAnsiTheme="majorBidi" w:cstheme="majorBidi"/>
                <w:sz w:val="20"/>
                <w:szCs w:val="20"/>
              </w:rPr>
              <w:t>Mean ± SD.</w:t>
            </w:r>
          </w:p>
        </w:tc>
        <w:tc>
          <w:tcPr>
            <w:tcW w:w="1000" w:type="pct"/>
            <w:vAlign w:val="center"/>
          </w:tcPr>
          <w:p w14:paraId="784F302D"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3 ± 0.5</w:t>
            </w:r>
          </w:p>
        </w:tc>
        <w:tc>
          <w:tcPr>
            <w:tcW w:w="1000" w:type="pct"/>
            <w:vAlign w:val="center"/>
          </w:tcPr>
          <w:p w14:paraId="10F8318D"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2.9 ± 0.5</w:t>
            </w:r>
          </w:p>
        </w:tc>
        <w:tc>
          <w:tcPr>
            <w:tcW w:w="1000" w:type="pct"/>
            <w:vAlign w:val="center"/>
          </w:tcPr>
          <w:p w14:paraId="1C91A3CD"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2.6 ± 0.4</w:t>
            </w:r>
          </w:p>
        </w:tc>
        <w:tc>
          <w:tcPr>
            <w:tcW w:w="583" w:type="pct"/>
            <w:vAlign w:val="center"/>
          </w:tcPr>
          <w:p w14:paraId="1A459E15"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0.007</w:t>
            </w:r>
            <w:r w:rsidRPr="00BA2976">
              <w:rPr>
                <w:rFonts w:asciiTheme="majorBidi" w:hAnsiTheme="majorBidi" w:cstheme="majorBidi"/>
                <w:sz w:val="20"/>
                <w:szCs w:val="20"/>
                <w:vertAlign w:val="superscript"/>
              </w:rPr>
              <w:t>*</w:t>
            </w:r>
          </w:p>
        </w:tc>
      </w:tr>
      <w:tr w:rsidR="00075EDA" w:rsidRPr="00BA2976" w14:paraId="08C76D1A" w14:textId="77777777" w:rsidTr="00BA2976">
        <w:trPr>
          <w:trHeight w:val="263"/>
          <w:jc w:val="center"/>
        </w:trPr>
        <w:tc>
          <w:tcPr>
            <w:tcW w:w="1417" w:type="pct"/>
          </w:tcPr>
          <w:p w14:paraId="323B01C6" w14:textId="23EF3703"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 xml:space="preserve">Sig. bet. </w:t>
            </w:r>
            <w:r w:rsidR="00D958C3">
              <w:rPr>
                <w:rFonts w:asciiTheme="majorBidi" w:hAnsiTheme="majorBidi" w:cstheme="majorBidi"/>
                <w:b/>
                <w:bCs/>
                <w:sz w:val="20"/>
                <w:szCs w:val="20"/>
              </w:rPr>
              <w:t>Groups</w:t>
            </w:r>
            <w:r w:rsidRPr="00BA2976">
              <w:rPr>
                <w:rFonts w:asciiTheme="majorBidi" w:hAnsiTheme="majorBidi" w:cstheme="majorBidi"/>
                <w:b/>
                <w:bCs/>
                <w:sz w:val="20"/>
                <w:szCs w:val="20"/>
              </w:rPr>
              <w:t>.</w:t>
            </w:r>
          </w:p>
        </w:tc>
        <w:tc>
          <w:tcPr>
            <w:tcW w:w="3583" w:type="pct"/>
            <w:gridSpan w:val="4"/>
            <w:vAlign w:val="center"/>
          </w:tcPr>
          <w:p w14:paraId="1CBFE52B" w14:textId="09E4843E"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p</w:t>
            </w:r>
            <w:r w:rsidRPr="00BA2976">
              <w:rPr>
                <w:rFonts w:asciiTheme="majorBidi" w:hAnsiTheme="majorBidi" w:cstheme="majorBidi"/>
                <w:sz w:val="20"/>
                <w:szCs w:val="20"/>
                <w:vertAlign w:val="subscript"/>
              </w:rPr>
              <w:t>1</w:t>
            </w:r>
            <w:r w:rsidRPr="00BA2976">
              <w:rPr>
                <w:rFonts w:asciiTheme="majorBidi" w:hAnsiTheme="majorBidi" w:cstheme="majorBidi"/>
                <w:sz w:val="20"/>
                <w:szCs w:val="20"/>
              </w:rPr>
              <w:t>=0.718, p</w:t>
            </w:r>
            <w:r w:rsidRPr="00BA2976">
              <w:rPr>
                <w:rFonts w:asciiTheme="majorBidi" w:hAnsiTheme="majorBidi" w:cstheme="majorBidi"/>
                <w:sz w:val="20"/>
                <w:szCs w:val="20"/>
                <w:vertAlign w:val="subscript"/>
              </w:rPr>
              <w:t>2</w:t>
            </w:r>
            <w:r w:rsidRPr="00BA2976">
              <w:rPr>
                <w:rFonts w:asciiTheme="majorBidi" w:hAnsiTheme="majorBidi" w:cstheme="majorBidi"/>
                <w:sz w:val="20"/>
                <w:szCs w:val="20"/>
              </w:rPr>
              <w:t>=0.007</w:t>
            </w:r>
            <w:r w:rsidRPr="00BA2976">
              <w:rPr>
                <w:rFonts w:asciiTheme="majorBidi" w:hAnsiTheme="majorBidi" w:cstheme="majorBidi"/>
                <w:sz w:val="20"/>
                <w:szCs w:val="20"/>
                <w:vertAlign w:val="superscript"/>
              </w:rPr>
              <w:t>*</w:t>
            </w:r>
            <w:r w:rsidRPr="00BA2976">
              <w:rPr>
                <w:rFonts w:asciiTheme="majorBidi" w:hAnsiTheme="majorBidi" w:cstheme="majorBidi"/>
                <w:sz w:val="20"/>
                <w:szCs w:val="20"/>
              </w:rPr>
              <w:t>, p</w:t>
            </w:r>
            <w:r w:rsidRPr="00BA2976">
              <w:rPr>
                <w:rFonts w:asciiTheme="majorBidi" w:hAnsiTheme="majorBidi" w:cstheme="majorBidi"/>
                <w:sz w:val="20"/>
                <w:szCs w:val="20"/>
                <w:vertAlign w:val="subscript"/>
              </w:rPr>
              <w:t>3</w:t>
            </w:r>
            <w:r w:rsidRPr="00BA2976">
              <w:rPr>
                <w:rFonts w:asciiTheme="majorBidi" w:hAnsiTheme="majorBidi" w:cstheme="majorBidi"/>
                <w:sz w:val="20"/>
                <w:szCs w:val="20"/>
              </w:rPr>
              <w:t>=0.054</w:t>
            </w:r>
          </w:p>
        </w:tc>
      </w:tr>
      <w:tr w:rsidR="00075EDA" w:rsidRPr="00BA2976" w14:paraId="5474A056" w14:textId="77777777" w:rsidTr="00BA2976">
        <w:trPr>
          <w:trHeight w:val="277"/>
          <w:jc w:val="center"/>
        </w:trPr>
        <w:tc>
          <w:tcPr>
            <w:tcW w:w="1417" w:type="pct"/>
            <w:vAlign w:val="center"/>
          </w:tcPr>
          <w:p w14:paraId="65B1470D"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Bilirubin (mg/dl)</w:t>
            </w:r>
          </w:p>
        </w:tc>
        <w:tc>
          <w:tcPr>
            <w:tcW w:w="3583" w:type="pct"/>
            <w:gridSpan w:val="4"/>
            <w:vAlign w:val="center"/>
          </w:tcPr>
          <w:p w14:paraId="5CFF97EF" w14:textId="77777777" w:rsidR="00075EDA" w:rsidRPr="00BA2976" w:rsidRDefault="00075EDA" w:rsidP="00EC58EF">
            <w:pPr>
              <w:jc w:val="center"/>
              <w:rPr>
                <w:rFonts w:asciiTheme="majorBidi" w:hAnsiTheme="majorBidi" w:cstheme="majorBidi"/>
                <w:sz w:val="20"/>
                <w:szCs w:val="20"/>
              </w:rPr>
            </w:pPr>
          </w:p>
        </w:tc>
      </w:tr>
      <w:tr w:rsidR="00075EDA" w:rsidRPr="00BA2976" w14:paraId="29FB6CD6" w14:textId="77777777" w:rsidTr="00BA2976">
        <w:trPr>
          <w:trHeight w:val="480"/>
          <w:jc w:val="center"/>
        </w:trPr>
        <w:tc>
          <w:tcPr>
            <w:tcW w:w="1417" w:type="pct"/>
            <w:vAlign w:val="center"/>
          </w:tcPr>
          <w:p w14:paraId="1937EE64" w14:textId="77777777" w:rsidR="00075EDA" w:rsidRPr="00BA2976" w:rsidRDefault="00075EDA" w:rsidP="00EC58EF">
            <w:pPr>
              <w:ind w:left="284"/>
              <w:rPr>
                <w:rFonts w:asciiTheme="majorBidi" w:hAnsiTheme="majorBidi" w:cstheme="majorBidi"/>
                <w:sz w:val="20"/>
                <w:szCs w:val="20"/>
                <w:highlight w:val="yellow"/>
              </w:rPr>
            </w:pPr>
            <w:r w:rsidRPr="00BA2976">
              <w:rPr>
                <w:rFonts w:asciiTheme="majorBidi" w:hAnsiTheme="majorBidi" w:cstheme="majorBidi"/>
                <w:sz w:val="20"/>
                <w:szCs w:val="20"/>
              </w:rPr>
              <w:t>Median (Min. – Max.)</w:t>
            </w:r>
          </w:p>
        </w:tc>
        <w:tc>
          <w:tcPr>
            <w:tcW w:w="1000" w:type="pct"/>
            <w:vAlign w:val="center"/>
          </w:tcPr>
          <w:p w14:paraId="11C1426E"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1.7 (0.5 – 4.9)</w:t>
            </w:r>
          </w:p>
        </w:tc>
        <w:tc>
          <w:tcPr>
            <w:tcW w:w="1000" w:type="pct"/>
            <w:vAlign w:val="center"/>
          </w:tcPr>
          <w:p w14:paraId="3E1E301B"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1.5 (0.5 – 8)</w:t>
            </w:r>
          </w:p>
        </w:tc>
        <w:tc>
          <w:tcPr>
            <w:tcW w:w="1000" w:type="pct"/>
            <w:vAlign w:val="center"/>
          </w:tcPr>
          <w:p w14:paraId="272853DA"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2.8 (0.9 – 8.4)</w:t>
            </w:r>
          </w:p>
        </w:tc>
        <w:tc>
          <w:tcPr>
            <w:tcW w:w="583" w:type="pct"/>
            <w:vAlign w:val="center"/>
          </w:tcPr>
          <w:p w14:paraId="51259614"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0.036</w:t>
            </w:r>
            <w:r w:rsidRPr="00BA2976">
              <w:rPr>
                <w:rFonts w:asciiTheme="majorBidi" w:hAnsiTheme="majorBidi" w:cstheme="majorBidi"/>
                <w:sz w:val="20"/>
                <w:szCs w:val="20"/>
                <w:vertAlign w:val="superscript"/>
              </w:rPr>
              <w:t>*</w:t>
            </w:r>
          </w:p>
        </w:tc>
      </w:tr>
      <w:tr w:rsidR="00075EDA" w:rsidRPr="00BA2976" w14:paraId="4FD6E1EE" w14:textId="77777777" w:rsidTr="00BA2976">
        <w:trPr>
          <w:trHeight w:val="263"/>
          <w:jc w:val="center"/>
        </w:trPr>
        <w:tc>
          <w:tcPr>
            <w:tcW w:w="1417" w:type="pct"/>
          </w:tcPr>
          <w:p w14:paraId="2D8B12FA" w14:textId="6489583B"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 xml:space="preserve">Sig. bet. </w:t>
            </w:r>
            <w:r w:rsidR="00FA06C0">
              <w:rPr>
                <w:rFonts w:asciiTheme="majorBidi" w:hAnsiTheme="majorBidi" w:cstheme="majorBidi"/>
                <w:b/>
                <w:bCs/>
                <w:sz w:val="20"/>
                <w:szCs w:val="20"/>
              </w:rPr>
              <w:t>Groups</w:t>
            </w:r>
            <w:r w:rsidRPr="00BA2976">
              <w:rPr>
                <w:rFonts w:asciiTheme="majorBidi" w:hAnsiTheme="majorBidi" w:cstheme="majorBidi"/>
                <w:b/>
                <w:bCs/>
                <w:sz w:val="20"/>
                <w:szCs w:val="20"/>
              </w:rPr>
              <w:t>.</w:t>
            </w:r>
          </w:p>
        </w:tc>
        <w:tc>
          <w:tcPr>
            <w:tcW w:w="3583" w:type="pct"/>
            <w:gridSpan w:val="4"/>
            <w:vAlign w:val="center"/>
          </w:tcPr>
          <w:p w14:paraId="4B63D45D" w14:textId="29D1D05E"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p</w:t>
            </w:r>
            <w:r w:rsidRPr="00BA2976">
              <w:rPr>
                <w:rFonts w:asciiTheme="majorBidi" w:hAnsiTheme="majorBidi" w:cstheme="majorBidi"/>
                <w:sz w:val="20"/>
                <w:szCs w:val="20"/>
                <w:vertAlign w:val="subscript"/>
              </w:rPr>
              <w:t>1</w:t>
            </w:r>
            <w:r w:rsidRPr="00BA2976">
              <w:rPr>
                <w:rFonts w:asciiTheme="majorBidi" w:hAnsiTheme="majorBidi" w:cstheme="majorBidi"/>
                <w:sz w:val="20"/>
                <w:szCs w:val="20"/>
              </w:rPr>
              <w:t>=0.849, p</w:t>
            </w:r>
            <w:r w:rsidRPr="00BA2976">
              <w:rPr>
                <w:rFonts w:asciiTheme="majorBidi" w:hAnsiTheme="majorBidi" w:cstheme="majorBidi"/>
                <w:sz w:val="20"/>
                <w:szCs w:val="20"/>
                <w:vertAlign w:val="subscript"/>
              </w:rPr>
              <w:t>2</w:t>
            </w:r>
            <w:r w:rsidRPr="00BA2976">
              <w:rPr>
                <w:rFonts w:asciiTheme="majorBidi" w:hAnsiTheme="majorBidi" w:cstheme="majorBidi"/>
                <w:sz w:val="20"/>
                <w:szCs w:val="20"/>
              </w:rPr>
              <w:t>=0.033</w:t>
            </w:r>
            <w:r w:rsidRPr="00BA2976">
              <w:rPr>
                <w:rFonts w:asciiTheme="majorBidi" w:hAnsiTheme="majorBidi" w:cstheme="majorBidi"/>
                <w:sz w:val="20"/>
                <w:szCs w:val="20"/>
                <w:vertAlign w:val="superscript"/>
              </w:rPr>
              <w:t>*</w:t>
            </w:r>
            <w:r w:rsidRPr="00BA2976">
              <w:rPr>
                <w:rFonts w:asciiTheme="majorBidi" w:hAnsiTheme="majorBidi" w:cstheme="majorBidi"/>
                <w:sz w:val="20"/>
                <w:szCs w:val="20"/>
              </w:rPr>
              <w:t>, p</w:t>
            </w:r>
            <w:r w:rsidRPr="00BA2976">
              <w:rPr>
                <w:rFonts w:asciiTheme="majorBidi" w:hAnsiTheme="majorBidi" w:cstheme="majorBidi"/>
                <w:sz w:val="20"/>
                <w:szCs w:val="20"/>
                <w:vertAlign w:val="subscript"/>
              </w:rPr>
              <w:t>3</w:t>
            </w:r>
            <w:r w:rsidRPr="00BA2976">
              <w:rPr>
                <w:rFonts w:asciiTheme="majorBidi" w:hAnsiTheme="majorBidi" w:cstheme="majorBidi"/>
                <w:sz w:val="20"/>
                <w:szCs w:val="20"/>
              </w:rPr>
              <w:t>=0.020</w:t>
            </w:r>
            <w:r w:rsidRPr="00BA2976">
              <w:rPr>
                <w:rFonts w:asciiTheme="majorBidi" w:hAnsiTheme="majorBidi" w:cstheme="majorBidi"/>
                <w:sz w:val="20"/>
                <w:szCs w:val="20"/>
                <w:vertAlign w:val="superscript"/>
              </w:rPr>
              <w:t>*</w:t>
            </w:r>
          </w:p>
        </w:tc>
      </w:tr>
      <w:tr w:rsidR="00075EDA" w:rsidRPr="00BA2976" w14:paraId="2EAD26AD" w14:textId="77777777" w:rsidTr="00BA2976">
        <w:trPr>
          <w:trHeight w:val="263"/>
          <w:jc w:val="center"/>
        </w:trPr>
        <w:tc>
          <w:tcPr>
            <w:tcW w:w="1417" w:type="pct"/>
            <w:vAlign w:val="center"/>
          </w:tcPr>
          <w:p w14:paraId="01A641C1"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INR</w:t>
            </w:r>
          </w:p>
        </w:tc>
        <w:tc>
          <w:tcPr>
            <w:tcW w:w="3583" w:type="pct"/>
            <w:gridSpan w:val="4"/>
            <w:vAlign w:val="center"/>
          </w:tcPr>
          <w:p w14:paraId="623537DE" w14:textId="77777777" w:rsidR="00075EDA" w:rsidRPr="00BA2976" w:rsidRDefault="00075EDA" w:rsidP="00EC58EF">
            <w:pPr>
              <w:jc w:val="center"/>
              <w:rPr>
                <w:rFonts w:asciiTheme="majorBidi" w:hAnsiTheme="majorBidi" w:cstheme="majorBidi"/>
                <w:sz w:val="20"/>
                <w:szCs w:val="20"/>
              </w:rPr>
            </w:pPr>
          </w:p>
        </w:tc>
      </w:tr>
      <w:tr w:rsidR="00075EDA" w:rsidRPr="00BA2976" w14:paraId="1CC32D53" w14:textId="77777777" w:rsidTr="00BA2976">
        <w:trPr>
          <w:trHeight w:val="427"/>
          <w:jc w:val="center"/>
        </w:trPr>
        <w:tc>
          <w:tcPr>
            <w:tcW w:w="1417" w:type="pct"/>
            <w:vAlign w:val="center"/>
          </w:tcPr>
          <w:p w14:paraId="43B196C9" w14:textId="77777777" w:rsidR="00075EDA" w:rsidRPr="00BA2976" w:rsidRDefault="00075EDA" w:rsidP="00EC58EF">
            <w:pPr>
              <w:ind w:left="284"/>
              <w:rPr>
                <w:rFonts w:asciiTheme="majorBidi" w:hAnsiTheme="majorBidi" w:cstheme="majorBidi"/>
                <w:sz w:val="20"/>
                <w:szCs w:val="20"/>
              </w:rPr>
            </w:pPr>
            <w:r w:rsidRPr="00BA2976">
              <w:rPr>
                <w:rFonts w:asciiTheme="majorBidi" w:hAnsiTheme="majorBidi" w:cstheme="majorBidi"/>
                <w:sz w:val="20"/>
                <w:szCs w:val="20"/>
              </w:rPr>
              <w:t>Mean ± SD.</w:t>
            </w:r>
          </w:p>
        </w:tc>
        <w:tc>
          <w:tcPr>
            <w:tcW w:w="1000" w:type="pct"/>
            <w:vAlign w:val="center"/>
          </w:tcPr>
          <w:p w14:paraId="0EF271FE"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1.6 ± 0.4</w:t>
            </w:r>
          </w:p>
        </w:tc>
        <w:tc>
          <w:tcPr>
            <w:tcW w:w="1000" w:type="pct"/>
            <w:vAlign w:val="center"/>
          </w:tcPr>
          <w:p w14:paraId="060BD001"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1.5 ± 0.2</w:t>
            </w:r>
          </w:p>
        </w:tc>
        <w:tc>
          <w:tcPr>
            <w:tcW w:w="1000" w:type="pct"/>
            <w:vAlign w:val="center"/>
          </w:tcPr>
          <w:p w14:paraId="0E3768B8"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1.7 ± 0.4</w:t>
            </w:r>
          </w:p>
        </w:tc>
        <w:tc>
          <w:tcPr>
            <w:tcW w:w="583" w:type="pct"/>
            <w:vAlign w:val="center"/>
          </w:tcPr>
          <w:p w14:paraId="7EB910B7"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0.091</w:t>
            </w:r>
          </w:p>
        </w:tc>
      </w:tr>
      <w:tr w:rsidR="00075EDA" w:rsidRPr="00BA2976" w14:paraId="5E13BD3B" w14:textId="77777777" w:rsidTr="00BA2976">
        <w:trPr>
          <w:trHeight w:val="263"/>
          <w:jc w:val="center"/>
        </w:trPr>
        <w:tc>
          <w:tcPr>
            <w:tcW w:w="1417" w:type="pct"/>
            <w:vAlign w:val="center"/>
          </w:tcPr>
          <w:p w14:paraId="06AE91E9"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AST (IU/ml)</w:t>
            </w:r>
          </w:p>
        </w:tc>
        <w:tc>
          <w:tcPr>
            <w:tcW w:w="3583" w:type="pct"/>
            <w:gridSpan w:val="4"/>
            <w:vAlign w:val="center"/>
          </w:tcPr>
          <w:p w14:paraId="7220596E" w14:textId="77777777" w:rsidR="00075EDA" w:rsidRPr="00BA2976" w:rsidRDefault="00075EDA" w:rsidP="00EC58EF">
            <w:pPr>
              <w:jc w:val="center"/>
              <w:rPr>
                <w:rFonts w:asciiTheme="majorBidi" w:hAnsiTheme="majorBidi" w:cstheme="majorBidi"/>
                <w:sz w:val="20"/>
                <w:szCs w:val="20"/>
              </w:rPr>
            </w:pPr>
          </w:p>
        </w:tc>
      </w:tr>
      <w:tr w:rsidR="00075EDA" w:rsidRPr="00BA2976" w14:paraId="7D5D2F2A" w14:textId="77777777" w:rsidTr="00BA2976">
        <w:trPr>
          <w:trHeight w:val="222"/>
          <w:jc w:val="center"/>
        </w:trPr>
        <w:tc>
          <w:tcPr>
            <w:tcW w:w="1417" w:type="pct"/>
            <w:vAlign w:val="center"/>
          </w:tcPr>
          <w:p w14:paraId="364F6C68" w14:textId="77777777" w:rsidR="00075EDA" w:rsidRPr="00BA2976" w:rsidRDefault="00075EDA" w:rsidP="00EC58EF">
            <w:pPr>
              <w:ind w:left="284"/>
              <w:rPr>
                <w:rFonts w:asciiTheme="majorBidi" w:hAnsiTheme="majorBidi" w:cstheme="majorBidi"/>
                <w:sz w:val="20"/>
                <w:szCs w:val="20"/>
                <w:highlight w:val="yellow"/>
              </w:rPr>
            </w:pPr>
            <w:r w:rsidRPr="00BA2976">
              <w:rPr>
                <w:rFonts w:asciiTheme="majorBidi" w:hAnsiTheme="majorBidi" w:cstheme="majorBidi"/>
                <w:sz w:val="20"/>
                <w:szCs w:val="20"/>
              </w:rPr>
              <w:t>Median (Min. – Max.)</w:t>
            </w:r>
          </w:p>
        </w:tc>
        <w:tc>
          <w:tcPr>
            <w:tcW w:w="1000" w:type="pct"/>
            <w:vAlign w:val="center"/>
          </w:tcPr>
          <w:p w14:paraId="1FFEA1CF"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56 (16 – 115)</w:t>
            </w:r>
          </w:p>
        </w:tc>
        <w:tc>
          <w:tcPr>
            <w:tcW w:w="1000" w:type="pct"/>
            <w:vAlign w:val="center"/>
          </w:tcPr>
          <w:p w14:paraId="06923561"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53.5 (25 – 135)</w:t>
            </w:r>
          </w:p>
        </w:tc>
        <w:tc>
          <w:tcPr>
            <w:tcW w:w="1000" w:type="pct"/>
            <w:vAlign w:val="center"/>
          </w:tcPr>
          <w:p w14:paraId="3216800A"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63.5 (42 – 123)</w:t>
            </w:r>
          </w:p>
        </w:tc>
        <w:tc>
          <w:tcPr>
            <w:tcW w:w="583" w:type="pct"/>
            <w:vAlign w:val="center"/>
          </w:tcPr>
          <w:p w14:paraId="243AC325"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0.255</w:t>
            </w:r>
          </w:p>
        </w:tc>
      </w:tr>
      <w:tr w:rsidR="00075EDA" w:rsidRPr="00BA2976" w14:paraId="6E47B577" w14:textId="77777777" w:rsidTr="00BA2976">
        <w:trPr>
          <w:trHeight w:val="263"/>
          <w:jc w:val="center"/>
        </w:trPr>
        <w:tc>
          <w:tcPr>
            <w:tcW w:w="1417" w:type="pct"/>
            <w:vAlign w:val="center"/>
          </w:tcPr>
          <w:p w14:paraId="7AE75E75"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ALT (IU/ml)</w:t>
            </w:r>
          </w:p>
        </w:tc>
        <w:tc>
          <w:tcPr>
            <w:tcW w:w="3583" w:type="pct"/>
            <w:gridSpan w:val="4"/>
            <w:vAlign w:val="center"/>
          </w:tcPr>
          <w:p w14:paraId="191FA69E" w14:textId="77777777" w:rsidR="00075EDA" w:rsidRPr="00BA2976" w:rsidRDefault="00075EDA" w:rsidP="00EC58EF">
            <w:pPr>
              <w:jc w:val="center"/>
              <w:rPr>
                <w:rFonts w:asciiTheme="majorBidi" w:hAnsiTheme="majorBidi" w:cstheme="majorBidi"/>
                <w:sz w:val="20"/>
                <w:szCs w:val="20"/>
              </w:rPr>
            </w:pPr>
          </w:p>
        </w:tc>
      </w:tr>
      <w:tr w:rsidR="00075EDA" w:rsidRPr="00BA2976" w14:paraId="65ACD873" w14:textId="77777777" w:rsidTr="00BA2976">
        <w:trPr>
          <w:trHeight w:val="475"/>
          <w:jc w:val="center"/>
        </w:trPr>
        <w:tc>
          <w:tcPr>
            <w:tcW w:w="1417" w:type="pct"/>
            <w:vAlign w:val="center"/>
          </w:tcPr>
          <w:p w14:paraId="50098DAA" w14:textId="77777777" w:rsidR="00075EDA" w:rsidRPr="00BA2976" w:rsidRDefault="00075EDA" w:rsidP="00EC58EF">
            <w:pPr>
              <w:ind w:left="284"/>
              <w:rPr>
                <w:sz w:val="20"/>
                <w:szCs w:val="20"/>
                <w:rtl/>
                <w:lang w:bidi="ar-EG"/>
              </w:rPr>
            </w:pPr>
            <w:r w:rsidRPr="00BA2976">
              <w:rPr>
                <w:sz w:val="20"/>
                <w:szCs w:val="20"/>
              </w:rPr>
              <w:t>Median (Min. – Max.)</w:t>
            </w:r>
          </w:p>
        </w:tc>
        <w:tc>
          <w:tcPr>
            <w:tcW w:w="1000" w:type="pct"/>
            <w:vAlign w:val="center"/>
          </w:tcPr>
          <w:p w14:paraId="198CA148" w14:textId="77777777" w:rsidR="00075EDA" w:rsidRPr="00BA2976" w:rsidRDefault="00075EDA" w:rsidP="00EC58EF">
            <w:pPr>
              <w:jc w:val="center"/>
              <w:rPr>
                <w:sz w:val="20"/>
                <w:szCs w:val="20"/>
              </w:rPr>
            </w:pPr>
            <w:r w:rsidRPr="00BA2976">
              <w:rPr>
                <w:sz w:val="20"/>
                <w:szCs w:val="20"/>
              </w:rPr>
              <w:t>36 (10 – 67)</w:t>
            </w:r>
          </w:p>
        </w:tc>
        <w:tc>
          <w:tcPr>
            <w:tcW w:w="1000" w:type="pct"/>
            <w:vAlign w:val="center"/>
          </w:tcPr>
          <w:p w14:paraId="4313F78F" w14:textId="77777777" w:rsidR="00075EDA" w:rsidRPr="00BA2976" w:rsidRDefault="00075EDA" w:rsidP="00EC58EF">
            <w:pPr>
              <w:jc w:val="center"/>
              <w:rPr>
                <w:sz w:val="20"/>
                <w:szCs w:val="20"/>
              </w:rPr>
            </w:pPr>
            <w:r w:rsidRPr="00BA2976">
              <w:rPr>
                <w:sz w:val="20"/>
                <w:szCs w:val="20"/>
              </w:rPr>
              <w:t>32 (12 – 84)</w:t>
            </w:r>
          </w:p>
        </w:tc>
        <w:tc>
          <w:tcPr>
            <w:tcW w:w="1000" w:type="pct"/>
            <w:vAlign w:val="center"/>
          </w:tcPr>
          <w:p w14:paraId="700D0FD3" w14:textId="77777777" w:rsidR="00075EDA" w:rsidRPr="00BA2976" w:rsidRDefault="00075EDA" w:rsidP="00EC58EF">
            <w:pPr>
              <w:jc w:val="center"/>
              <w:rPr>
                <w:sz w:val="20"/>
                <w:szCs w:val="20"/>
              </w:rPr>
            </w:pPr>
            <w:r w:rsidRPr="00BA2976">
              <w:rPr>
                <w:sz w:val="20"/>
                <w:szCs w:val="20"/>
              </w:rPr>
              <w:t>40.5(13 – 85)</w:t>
            </w:r>
          </w:p>
        </w:tc>
        <w:tc>
          <w:tcPr>
            <w:tcW w:w="583" w:type="pct"/>
            <w:vAlign w:val="center"/>
          </w:tcPr>
          <w:p w14:paraId="4024FA8D"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0.201</w:t>
            </w:r>
          </w:p>
        </w:tc>
      </w:tr>
      <w:tr w:rsidR="00075EDA" w:rsidRPr="00BA2976" w14:paraId="426908D9" w14:textId="77777777" w:rsidTr="00BA2976">
        <w:trPr>
          <w:trHeight w:val="313"/>
          <w:jc w:val="center"/>
        </w:trPr>
        <w:tc>
          <w:tcPr>
            <w:tcW w:w="1417" w:type="pct"/>
          </w:tcPr>
          <w:p w14:paraId="32F89CD4" w14:textId="77777777" w:rsidR="00075EDA" w:rsidRPr="00BA2976" w:rsidRDefault="00075EDA" w:rsidP="00EC58EF">
            <w:pPr>
              <w:rPr>
                <w:rFonts w:asciiTheme="majorBidi" w:hAnsiTheme="majorBidi" w:cstheme="majorBidi"/>
                <w:sz w:val="20"/>
                <w:szCs w:val="20"/>
                <w:highlight w:val="yellow"/>
              </w:rPr>
            </w:pPr>
            <w:r w:rsidRPr="00BA2976">
              <w:rPr>
                <w:rFonts w:asciiTheme="majorBidi" w:hAnsiTheme="majorBidi" w:cstheme="majorBidi"/>
                <w:b/>
                <w:bCs/>
                <w:sz w:val="20"/>
                <w:szCs w:val="20"/>
              </w:rPr>
              <w:t>PV diameter (mm)</w:t>
            </w:r>
          </w:p>
        </w:tc>
        <w:tc>
          <w:tcPr>
            <w:tcW w:w="3583" w:type="pct"/>
            <w:gridSpan w:val="4"/>
            <w:vAlign w:val="center"/>
          </w:tcPr>
          <w:p w14:paraId="06A53DD2" w14:textId="77777777" w:rsidR="00075EDA" w:rsidRPr="00BA2976" w:rsidRDefault="00075EDA" w:rsidP="00EC58EF">
            <w:pPr>
              <w:jc w:val="center"/>
              <w:rPr>
                <w:rFonts w:asciiTheme="majorBidi" w:hAnsiTheme="majorBidi" w:cstheme="majorBidi"/>
                <w:sz w:val="20"/>
                <w:szCs w:val="20"/>
              </w:rPr>
            </w:pPr>
          </w:p>
          <w:p w14:paraId="0C415BBD" w14:textId="77777777" w:rsidR="00075EDA" w:rsidRPr="00BA2976" w:rsidRDefault="00075EDA" w:rsidP="00EC58EF">
            <w:pPr>
              <w:rPr>
                <w:rFonts w:asciiTheme="majorBidi" w:hAnsiTheme="majorBidi" w:cstheme="majorBidi"/>
                <w:sz w:val="20"/>
                <w:szCs w:val="20"/>
              </w:rPr>
            </w:pPr>
          </w:p>
        </w:tc>
      </w:tr>
      <w:tr w:rsidR="00075EDA" w:rsidRPr="00BA2976" w14:paraId="5089EEE3" w14:textId="77777777" w:rsidTr="00BA2976">
        <w:trPr>
          <w:trHeight w:val="298"/>
          <w:jc w:val="center"/>
        </w:trPr>
        <w:tc>
          <w:tcPr>
            <w:tcW w:w="1417" w:type="pct"/>
          </w:tcPr>
          <w:p w14:paraId="52854698" w14:textId="77777777" w:rsidR="00075EDA" w:rsidRPr="00BA2976" w:rsidRDefault="00075EDA" w:rsidP="00EC58EF">
            <w:pPr>
              <w:ind w:left="284"/>
              <w:rPr>
                <w:rFonts w:asciiTheme="majorBidi" w:hAnsiTheme="majorBidi" w:cstheme="majorBidi"/>
                <w:sz w:val="20"/>
                <w:szCs w:val="20"/>
              </w:rPr>
            </w:pPr>
            <w:r w:rsidRPr="00BA2976">
              <w:rPr>
                <w:rFonts w:asciiTheme="majorBidi" w:hAnsiTheme="majorBidi" w:cstheme="majorBidi"/>
                <w:sz w:val="20"/>
                <w:szCs w:val="20"/>
              </w:rPr>
              <w:t>Mean ± SD.</w:t>
            </w:r>
          </w:p>
        </w:tc>
        <w:tc>
          <w:tcPr>
            <w:tcW w:w="1000" w:type="pct"/>
            <w:vAlign w:val="center"/>
          </w:tcPr>
          <w:p w14:paraId="5DF22649"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13.5 ± 2</w:t>
            </w:r>
          </w:p>
        </w:tc>
        <w:tc>
          <w:tcPr>
            <w:tcW w:w="1000" w:type="pct"/>
            <w:vAlign w:val="center"/>
          </w:tcPr>
          <w:p w14:paraId="2DB39C08"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13.8 ± 2.1</w:t>
            </w:r>
          </w:p>
        </w:tc>
        <w:tc>
          <w:tcPr>
            <w:tcW w:w="1000" w:type="pct"/>
            <w:vAlign w:val="center"/>
          </w:tcPr>
          <w:p w14:paraId="5E75ACC1"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15.6 ± 1.9</w:t>
            </w:r>
          </w:p>
        </w:tc>
        <w:tc>
          <w:tcPr>
            <w:tcW w:w="583" w:type="pct"/>
            <w:vAlign w:val="center"/>
          </w:tcPr>
          <w:p w14:paraId="63715DC0" w14:textId="77777777" w:rsidR="00075EDA" w:rsidRPr="00BA2976" w:rsidRDefault="00075EDA" w:rsidP="00EC58EF">
            <w:pPr>
              <w:jc w:val="center"/>
              <w:rPr>
                <w:rFonts w:asciiTheme="majorBidi" w:hAnsiTheme="majorBidi" w:cstheme="majorBidi"/>
                <w:sz w:val="20"/>
                <w:szCs w:val="20"/>
              </w:rPr>
            </w:pPr>
          </w:p>
          <w:p w14:paraId="0F266F56"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0.003</w:t>
            </w:r>
            <w:r w:rsidRPr="00BA2976">
              <w:rPr>
                <w:rFonts w:asciiTheme="majorBidi" w:hAnsiTheme="majorBidi" w:cstheme="majorBidi"/>
                <w:sz w:val="20"/>
                <w:szCs w:val="20"/>
                <w:vertAlign w:val="superscript"/>
              </w:rPr>
              <w:t>*</w:t>
            </w:r>
          </w:p>
        </w:tc>
      </w:tr>
      <w:tr w:rsidR="00075EDA" w:rsidRPr="00BA2976" w14:paraId="4B4C7CE4" w14:textId="77777777" w:rsidTr="00BA2976">
        <w:trPr>
          <w:trHeight w:hRule="exact" w:val="340"/>
          <w:jc w:val="center"/>
        </w:trPr>
        <w:tc>
          <w:tcPr>
            <w:tcW w:w="1417" w:type="pct"/>
          </w:tcPr>
          <w:p w14:paraId="569E6097" w14:textId="1E96A525" w:rsidR="00075EDA" w:rsidRPr="00BA2976" w:rsidRDefault="00075EDA" w:rsidP="00EC58EF">
            <w:pPr>
              <w:rPr>
                <w:rFonts w:asciiTheme="majorBidi" w:hAnsiTheme="majorBidi" w:cstheme="majorBidi"/>
                <w:sz w:val="20"/>
                <w:szCs w:val="20"/>
                <w:highlight w:val="yellow"/>
              </w:rPr>
            </w:pPr>
            <w:r w:rsidRPr="00BA2976">
              <w:rPr>
                <w:rFonts w:asciiTheme="majorBidi" w:hAnsiTheme="majorBidi" w:cstheme="majorBidi"/>
                <w:b/>
                <w:bCs/>
                <w:sz w:val="20"/>
                <w:szCs w:val="20"/>
              </w:rPr>
              <w:t xml:space="preserve">Sig. bet. </w:t>
            </w:r>
            <w:r w:rsidR="00FA06C0">
              <w:rPr>
                <w:rFonts w:asciiTheme="majorBidi" w:hAnsiTheme="majorBidi" w:cstheme="majorBidi"/>
                <w:b/>
                <w:bCs/>
                <w:sz w:val="20"/>
                <w:szCs w:val="20"/>
              </w:rPr>
              <w:t>Groups</w:t>
            </w:r>
            <w:r w:rsidRPr="00BA2976">
              <w:rPr>
                <w:rFonts w:asciiTheme="majorBidi" w:hAnsiTheme="majorBidi" w:cstheme="majorBidi"/>
                <w:b/>
                <w:bCs/>
                <w:sz w:val="20"/>
                <w:szCs w:val="20"/>
              </w:rPr>
              <w:t>.</w:t>
            </w:r>
          </w:p>
        </w:tc>
        <w:tc>
          <w:tcPr>
            <w:tcW w:w="3583" w:type="pct"/>
            <w:gridSpan w:val="4"/>
            <w:vAlign w:val="center"/>
          </w:tcPr>
          <w:p w14:paraId="14EC70CD" w14:textId="5E6AF3B5"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p</w:t>
            </w:r>
            <w:r w:rsidRPr="00BA2976">
              <w:rPr>
                <w:rFonts w:asciiTheme="majorBidi" w:hAnsiTheme="majorBidi" w:cstheme="majorBidi"/>
                <w:sz w:val="20"/>
                <w:szCs w:val="20"/>
                <w:vertAlign w:val="subscript"/>
              </w:rPr>
              <w:t>1</w:t>
            </w:r>
            <w:r w:rsidRPr="00BA2976">
              <w:rPr>
                <w:rFonts w:asciiTheme="majorBidi" w:hAnsiTheme="majorBidi" w:cstheme="majorBidi"/>
                <w:sz w:val="20"/>
                <w:szCs w:val="20"/>
              </w:rPr>
              <w:t>=0.875, p</w:t>
            </w:r>
            <w:r w:rsidRPr="00BA2976">
              <w:rPr>
                <w:rFonts w:asciiTheme="majorBidi" w:hAnsiTheme="majorBidi" w:cstheme="majorBidi"/>
                <w:sz w:val="20"/>
                <w:szCs w:val="20"/>
                <w:vertAlign w:val="subscript"/>
              </w:rPr>
              <w:t>2</w:t>
            </w:r>
            <w:r w:rsidRPr="00BA2976">
              <w:rPr>
                <w:rFonts w:asciiTheme="majorBidi" w:hAnsiTheme="majorBidi" w:cstheme="majorBidi"/>
                <w:sz w:val="20"/>
                <w:szCs w:val="20"/>
              </w:rPr>
              <w:t>=0.005</w:t>
            </w:r>
            <w:r w:rsidRPr="00BA2976">
              <w:rPr>
                <w:rFonts w:asciiTheme="majorBidi" w:hAnsiTheme="majorBidi" w:cstheme="majorBidi"/>
                <w:sz w:val="20"/>
                <w:szCs w:val="20"/>
                <w:vertAlign w:val="superscript"/>
              </w:rPr>
              <w:t>*</w:t>
            </w:r>
            <w:r w:rsidRPr="00BA2976">
              <w:rPr>
                <w:rFonts w:asciiTheme="majorBidi" w:hAnsiTheme="majorBidi" w:cstheme="majorBidi"/>
                <w:sz w:val="20"/>
                <w:szCs w:val="20"/>
              </w:rPr>
              <w:t>, p</w:t>
            </w:r>
            <w:r w:rsidRPr="00BA2976">
              <w:rPr>
                <w:rFonts w:asciiTheme="majorBidi" w:hAnsiTheme="majorBidi" w:cstheme="majorBidi"/>
                <w:sz w:val="20"/>
                <w:szCs w:val="20"/>
                <w:vertAlign w:val="subscript"/>
              </w:rPr>
              <w:t>3</w:t>
            </w:r>
            <w:r w:rsidRPr="00BA2976">
              <w:rPr>
                <w:rFonts w:asciiTheme="majorBidi" w:hAnsiTheme="majorBidi" w:cstheme="majorBidi"/>
                <w:sz w:val="20"/>
                <w:szCs w:val="20"/>
              </w:rPr>
              <w:t>=0.018</w:t>
            </w:r>
            <w:r w:rsidRPr="00BA2976">
              <w:rPr>
                <w:rFonts w:asciiTheme="majorBidi" w:hAnsiTheme="majorBidi" w:cstheme="majorBidi"/>
                <w:sz w:val="20"/>
                <w:szCs w:val="20"/>
                <w:vertAlign w:val="superscript"/>
              </w:rPr>
              <w:t>*</w:t>
            </w:r>
          </w:p>
          <w:p w14:paraId="4DB02A2F" w14:textId="77777777" w:rsidR="00075EDA" w:rsidRPr="00BA2976" w:rsidRDefault="00075EDA" w:rsidP="00EC58EF">
            <w:pPr>
              <w:jc w:val="center"/>
              <w:rPr>
                <w:rFonts w:asciiTheme="majorBidi" w:hAnsiTheme="majorBidi" w:cstheme="majorBidi"/>
                <w:sz w:val="20"/>
                <w:szCs w:val="20"/>
              </w:rPr>
            </w:pPr>
          </w:p>
          <w:p w14:paraId="7A4F3260" w14:textId="77777777" w:rsidR="00075EDA" w:rsidRPr="00BA2976" w:rsidRDefault="00075EDA" w:rsidP="00EC58EF">
            <w:pPr>
              <w:jc w:val="center"/>
              <w:rPr>
                <w:rFonts w:asciiTheme="majorBidi" w:hAnsiTheme="majorBidi" w:cstheme="majorBidi"/>
                <w:sz w:val="20"/>
                <w:szCs w:val="20"/>
              </w:rPr>
            </w:pPr>
          </w:p>
        </w:tc>
      </w:tr>
      <w:tr w:rsidR="00075EDA" w:rsidRPr="00BA2976" w14:paraId="7A425B15" w14:textId="77777777" w:rsidTr="00BA2976">
        <w:trPr>
          <w:trHeight w:val="263"/>
          <w:jc w:val="center"/>
        </w:trPr>
        <w:tc>
          <w:tcPr>
            <w:tcW w:w="1417" w:type="pct"/>
          </w:tcPr>
          <w:p w14:paraId="506025F2" w14:textId="77777777" w:rsidR="00075EDA" w:rsidRPr="00BA2976" w:rsidRDefault="00075EDA" w:rsidP="00EC58EF">
            <w:pPr>
              <w:ind w:left="284"/>
              <w:rPr>
                <w:rFonts w:asciiTheme="majorBidi" w:hAnsiTheme="majorBidi" w:cstheme="majorBidi"/>
                <w:sz w:val="20"/>
                <w:szCs w:val="20"/>
              </w:rPr>
            </w:pPr>
            <w:r w:rsidRPr="00BA2976">
              <w:rPr>
                <w:rFonts w:asciiTheme="majorBidi" w:hAnsiTheme="majorBidi" w:cstheme="majorBidi"/>
                <w:b/>
                <w:bCs/>
                <w:sz w:val="20"/>
                <w:szCs w:val="20"/>
              </w:rPr>
              <w:t>Spleen diameter (cm)</w:t>
            </w:r>
          </w:p>
        </w:tc>
        <w:tc>
          <w:tcPr>
            <w:tcW w:w="3583" w:type="pct"/>
            <w:gridSpan w:val="4"/>
            <w:vAlign w:val="center"/>
          </w:tcPr>
          <w:p w14:paraId="139C9D11" w14:textId="77777777" w:rsidR="00075EDA" w:rsidRPr="00BA2976" w:rsidRDefault="00075EDA" w:rsidP="00EC58EF">
            <w:pPr>
              <w:jc w:val="center"/>
              <w:rPr>
                <w:rFonts w:asciiTheme="majorBidi" w:hAnsiTheme="majorBidi" w:cstheme="majorBidi"/>
                <w:sz w:val="20"/>
                <w:szCs w:val="20"/>
              </w:rPr>
            </w:pPr>
          </w:p>
        </w:tc>
      </w:tr>
      <w:tr w:rsidR="00075EDA" w:rsidRPr="00BA2976" w14:paraId="095BD731" w14:textId="77777777" w:rsidTr="00BA2976">
        <w:trPr>
          <w:trHeight w:val="368"/>
          <w:jc w:val="center"/>
        </w:trPr>
        <w:tc>
          <w:tcPr>
            <w:tcW w:w="1417" w:type="pct"/>
          </w:tcPr>
          <w:p w14:paraId="5EAD2086"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sz w:val="20"/>
                <w:szCs w:val="20"/>
              </w:rPr>
              <w:t>Mean ± SD.</w:t>
            </w:r>
          </w:p>
        </w:tc>
        <w:tc>
          <w:tcPr>
            <w:tcW w:w="1000" w:type="pct"/>
            <w:vAlign w:val="center"/>
          </w:tcPr>
          <w:p w14:paraId="32C5A419"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16 ± 2.7</w:t>
            </w:r>
          </w:p>
        </w:tc>
        <w:tc>
          <w:tcPr>
            <w:tcW w:w="1000" w:type="pct"/>
            <w:vAlign w:val="center"/>
          </w:tcPr>
          <w:p w14:paraId="633530BE"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17 ± 3</w:t>
            </w:r>
          </w:p>
        </w:tc>
        <w:tc>
          <w:tcPr>
            <w:tcW w:w="1000" w:type="pct"/>
            <w:vAlign w:val="center"/>
          </w:tcPr>
          <w:p w14:paraId="0A9BC4D0"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19.1 ± 2.9</w:t>
            </w:r>
          </w:p>
        </w:tc>
        <w:tc>
          <w:tcPr>
            <w:tcW w:w="583" w:type="pct"/>
            <w:vAlign w:val="center"/>
          </w:tcPr>
          <w:p w14:paraId="14DA2699" w14:textId="77777777" w:rsidR="00075EDA" w:rsidRPr="00BA2976" w:rsidRDefault="00075EDA" w:rsidP="00EC58EF">
            <w:pPr>
              <w:jc w:val="center"/>
              <w:rPr>
                <w:rFonts w:asciiTheme="majorBidi" w:hAnsiTheme="majorBidi" w:cstheme="majorBidi"/>
                <w:sz w:val="20"/>
                <w:szCs w:val="20"/>
                <w:vertAlign w:val="superscript"/>
              </w:rPr>
            </w:pPr>
            <w:r w:rsidRPr="00BA2976">
              <w:rPr>
                <w:rFonts w:asciiTheme="majorBidi" w:hAnsiTheme="majorBidi" w:cstheme="majorBidi"/>
                <w:sz w:val="20"/>
                <w:szCs w:val="20"/>
              </w:rPr>
              <w:t>0.003</w:t>
            </w:r>
            <w:r w:rsidRPr="00BA2976">
              <w:rPr>
                <w:rFonts w:asciiTheme="majorBidi" w:hAnsiTheme="majorBidi" w:cstheme="majorBidi"/>
                <w:sz w:val="20"/>
                <w:szCs w:val="20"/>
                <w:vertAlign w:val="superscript"/>
              </w:rPr>
              <w:t>*</w:t>
            </w:r>
          </w:p>
          <w:p w14:paraId="1007768E" w14:textId="77777777" w:rsidR="00075EDA" w:rsidRPr="00BA2976" w:rsidRDefault="00075EDA" w:rsidP="00EC58EF">
            <w:pPr>
              <w:rPr>
                <w:rFonts w:asciiTheme="majorBidi" w:hAnsiTheme="majorBidi" w:cstheme="majorBidi"/>
                <w:sz w:val="20"/>
                <w:szCs w:val="20"/>
              </w:rPr>
            </w:pPr>
          </w:p>
        </w:tc>
      </w:tr>
      <w:tr w:rsidR="00075EDA" w:rsidRPr="00BA2976" w14:paraId="1C4923D9" w14:textId="77777777" w:rsidTr="00BA2976">
        <w:trPr>
          <w:trHeight w:val="263"/>
          <w:jc w:val="center"/>
        </w:trPr>
        <w:tc>
          <w:tcPr>
            <w:tcW w:w="1417" w:type="pct"/>
          </w:tcPr>
          <w:p w14:paraId="235B2FB8" w14:textId="7EF1A6F6" w:rsidR="00075EDA" w:rsidRPr="00BA2976" w:rsidRDefault="00075EDA" w:rsidP="00EC58EF">
            <w:pPr>
              <w:ind w:left="284"/>
              <w:rPr>
                <w:rFonts w:asciiTheme="majorBidi" w:hAnsiTheme="majorBidi" w:cstheme="majorBidi"/>
                <w:sz w:val="20"/>
                <w:szCs w:val="20"/>
                <w:highlight w:val="yellow"/>
              </w:rPr>
            </w:pPr>
            <w:r w:rsidRPr="00BA2976">
              <w:rPr>
                <w:rFonts w:asciiTheme="majorBidi" w:hAnsiTheme="majorBidi" w:cstheme="majorBidi"/>
                <w:b/>
                <w:bCs/>
                <w:sz w:val="20"/>
                <w:szCs w:val="20"/>
              </w:rPr>
              <w:t xml:space="preserve">Sig. bet. </w:t>
            </w:r>
            <w:r w:rsidR="00FA06C0">
              <w:rPr>
                <w:rFonts w:asciiTheme="majorBidi" w:hAnsiTheme="majorBidi" w:cstheme="majorBidi"/>
                <w:b/>
                <w:bCs/>
                <w:sz w:val="20"/>
                <w:szCs w:val="20"/>
              </w:rPr>
              <w:t>Groups</w:t>
            </w:r>
            <w:r w:rsidRPr="00BA2976">
              <w:rPr>
                <w:rFonts w:asciiTheme="majorBidi" w:hAnsiTheme="majorBidi" w:cstheme="majorBidi"/>
                <w:b/>
                <w:bCs/>
                <w:sz w:val="20"/>
                <w:szCs w:val="20"/>
              </w:rPr>
              <w:t>.</w:t>
            </w:r>
          </w:p>
        </w:tc>
        <w:tc>
          <w:tcPr>
            <w:tcW w:w="3583" w:type="pct"/>
            <w:gridSpan w:val="4"/>
            <w:vAlign w:val="center"/>
          </w:tcPr>
          <w:p w14:paraId="7C42732B" w14:textId="4F51B29C"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p</w:t>
            </w:r>
            <w:r w:rsidRPr="00BA2976">
              <w:rPr>
                <w:rFonts w:asciiTheme="majorBidi" w:hAnsiTheme="majorBidi" w:cstheme="majorBidi"/>
                <w:sz w:val="20"/>
                <w:szCs w:val="20"/>
                <w:vertAlign w:val="subscript"/>
              </w:rPr>
              <w:t>1</w:t>
            </w:r>
            <w:r w:rsidRPr="00BA2976">
              <w:rPr>
                <w:rFonts w:asciiTheme="majorBidi" w:hAnsiTheme="majorBidi" w:cstheme="majorBidi"/>
                <w:sz w:val="20"/>
                <w:szCs w:val="20"/>
              </w:rPr>
              <w:t>=0.505, p</w:t>
            </w:r>
            <w:r w:rsidRPr="00BA2976">
              <w:rPr>
                <w:rFonts w:asciiTheme="majorBidi" w:hAnsiTheme="majorBidi" w:cstheme="majorBidi"/>
                <w:sz w:val="20"/>
                <w:szCs w:val="20"/>
                <w:vertAlign w:val="subscript"/>
              </w:rPr>
              <w:t>2</w:t>
            </w:r>
            <w:r w:rsidRPr="00BA2976">
              <w:rPr>
                <w:rFonts w:asciiTheme="majorBidi" w:hAnsiTheme="majorBidi" w:cstheme="majorBidi"/>
                <w:sz w:val="20"/>
                <w:szCs w:val="20"/>
              </w:rPr>
              <w:t>=0.003</w:t>
            </w:r>
            <w:r w:rsidRPr="00BA2976">
              <w:rPr>
                <w:rFonts w:asciiTheme="majorBidi" w:hAnsiTheme="majorBidi" w:cstheme="majorBidi"/>
                <w:sz w:val="20"/>
                <w:szCs w:val="20"/>
                <w:vertAlign w:val="superscript"/>
              </w:rPr>
              <w:t>*</w:t>
            </w:r>
            <w:r w:rsidRPr="00BA2976">
              <w:rPr>
                <w:rFonts w:asciiTheme="majorBidi" w:hAnsiTheme="majorBidi" w:cstheme="majorBidi"/>
                <w:sz w:val="20"/>
                <w:szCs w:val="20"/>
              </w:rPr>
              <w:t>, p</w:t>
            </w:r>
            <w:r w:rsidRPr="00BA2976">
              <w:rPr>
                <w:rFonts w:asciiTheme="majorBidi" w:hAnsiTheme="majorBidi" w:cstheme="majorBidi"/>
                <w:sz w:val="20"/>
                <w:szCs w:val="20"/>
                <w:vertAlign w:val="subscript"/>
              </w:rPr>
              <w:t>3</w:t>
            </w:r>
            <w:r w:rsidRPr="00BA2976">
              <w:rPr>
                <w:rFonts w:asciiTheme="majorBidi" w:hAnsiTheme="majorBidi" w:cstheme="majorBidi"/>
                <w:sz w:val="20"/>
                <w:szCs w:val="20"/>
              </w:rPr>
              <w:t>=0.057</w:t>
            </w:r>
          </w:p>
        </w:tc>
      </w:tr>
      <w:tr w:rsidR="00075EDA" w:rsidRPr="00BA2976" w14:paraId="43EA94CE" w14:textId="77777777" w:rsidTr="00BA2976">
        <w:trPr>
          <w:trHeight w:val="277"/>
          <w:jc w:val="center"/>
        </w:trPr>
        <w:tc>
          <w:tcPr>
            <w:tcW w:w="1417" w:type="pct"/>
            <w:vAlign w:val="center"/>
          </w:tcPr>
          <w:p w14:paraId="3CF0EC9C" w14:textId="77777777" w:rsidR="00075EDA" w:rsidRPr="00BA2976" w:rsidRDefault="00075EDA" w:rsidP="00EC58EF">
            <w:pPr>
              <w:rPr>
                <w:rFonts w:asciiTheme="majorBidi" w:hAnsiTheme="majorBidi" w:cstheme="majorBidi"/>
                <w:b/>
                <w:bCs/>
                <w:sz w:val="20"/>
                <w:szCs w:val="20"/>
              </w:rPr>
            </w:pPr>
            <w:r w:rsidRPr="00BA2976">
              <w:rPr>
                <w:rFonts w:asciiTheme="majorBidi" w:hAnsiTheme="majorBidi" w:cstheme="majorBidi"/>
                <w:b/>
                <w:bCs/>
                <w:sz w:val="20"/>
                <w:szCs w:val="20"/>
              </w:rPr>
              <w:t>Ascites</w:t>
            </w:r>
          </w:p>
        </w:tc>
        <w:tc>
          <w:tcPr>
            <w:tcW w:w="1000" w:type="pct"/>
            <w:vAlign w:val="center"/>
          </w:tcPr>
          <w:p w14:paraId="01B20008" w14:textId="77777777" w:rsidR="00075EDA" w:rsidRPr="00BA2976" w:rsidRDefault="00075EDA" w:rsidP="00EC58EF">
            <w:pPr>
              <w:jc w:val="center"/>
              <w:rPr>
                <w:rFonts w:asciiTheme="majorBidi" w:hAnsiTheme="majorBidi" w:cstheme="majorBidi"/>
                <w:sz w:val="20"/>
                <w:szCs w:val="20"/>
              </w:rPr>
            </w:pPr>
          </w:p>
        </w:tc>
        <w:tc>
          <w:tcPr>
            <w:tcW w:w="1000" w:type="pct"/>
            <w:vAlign w:val="center"/>
          </w:tcPr>
          <w:p w14:paraId="24B7E0D7" w14:textId="77777777" w:rsidR="00075EDA" w:rsidRPr="00BA2976" w:rsidRDefault="00075EDA" w:rsidP="00EC58EF">
            <w:pPr>
              <w:jc w:val="center"/>
              <w:rPr>
                <w:rFonts w:asciiTheme="majorBidi" w:hAnsiTheme="majorBidi" w:cstheme="majorBidi"/>
                <w:sz w:val="20"/>
                <w:szCs w:val="20"/>
              </w:rPr>
            </w:pPr>
          </w:p>
        </w:tc>
        <w:tc>
          <w:tcPr>
            <w:tcW w:w="1000" w:type="pct"/>
            <w:vAlign w:val="center"/>
          </w:tcPr>
          <w:p w14:paraId="3D3958D9" w14:textId="77777777" w:rsidR="00075EDA" w:rsidRPr="00BA2976" w:rsidRDefault="00075EDA" w:rsidP="00EC58EF">
            <w:pPr>
              <w:jc w:val="center"/>
              <w:rPr>
                <w:rFonts w:asciiTheme="majorBidi" w:hAnsiTheme="majorBidi" w:cstheme="majorBidi"/>
                <w:sz w:val="20"/>
                <w:szCs w:val="20"/>
              </w:rPr>
            </w:pPr>
          </w:p>
        </w:tc>
        <w:tc>
          <w:tcPr>
            <w:tcW w:w="583" w:type="pct"/>
            <w:vAlign w:val="center"/>
          </w:tcPr>
          <w:p w14:paraId="5C1244E9" w14:textId="77777777" w:rsidR="00075EDA" w:rsidRPr="00BA2976" w:rsidRDefault="00075EDA" w:rsidP="00EC58EF">
            <w:pPr>
              <w:jc w:val="center"/>
              <w:rPr>
                <w:rFonts w:asciiTheme="majorBidi" w:hAnsiTheme="majorBidi" w:cstheme="majorBidi"/>
                <w:sz w:val="20"/>
                <w:szCs w:val="20"/>
              </w:rPr>
            </w:pPr>
          </w:p>
        </w:tc>
      </w:tr>
      <w:tr w:rsidR="00075EDA" w:rsidRPr="00BA2976" w14:paraId="74AD46BD" w14:textId="77777777" w:rsidTr="00BA2976">
        <w:trPr>
          <w:trHeight w:val="567"/>
          <w:jc w:val="center"/>
        </w:trPr>
        <w:tc>
          <w:tcPr>
            <w:tcW w:w="1417" w:type="pct"/>
            <w:vAlign w:val="center"/>
          </w:tcPr>
          <w:p w14:paraId="195B8DD6" w14:textId="77777777" w:rsidR="00075EDA" w:rsidRPr="00BA2976" w:rsidRDefault="00075EDA" w:rsidP="00EC58EF">
            <w:pPr>
              <w:ind w:left="284"/>
              <w:rPr>
                <w:rFonts w:asciiTheme="majorBidi" w:hAnsiTheme="majorBidi" w:cstheme="majorBidi"/>
                <w:sz w:val="20"/>
                <w:szCs w:val="20"/>
                <w:highlight w:val="yellow"/>
              </w:rPr>
            </w:pPr>
            <w:r w:rsidRPr="00BA2976">
              <w:rPr>
                <w:rFonts w:asciiTheme="majorBidi" w:hAnsiTheme="majorBidi" w:cstheme="majorBidi"/>
                <w:sz w:val="20"/>
                <w:szCs w:val="20"/>
              </w:rPr>
              <w:t>Median (Min. – Max.)</w:t>
            </w:r>
          </w:p>
        </w:tc>
        <w:tc>
          <w:tcPr>
            <w:tcW w:w="1000" w:type="pct"/>
            <w:vAlign w:val="center"/>
          </w:tcPr>
          <w:p w14:paraId="685D0CE7"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1 (0 – 3)</w:t>
            </w:r>
          </w:p>
        </w:tc>
        <w:tc>
          <w:tcPr>
            <w:tcW w:w="1000" w:type="pct"/>
            <w:vAlign w:val="center"/>
          </w:tcPr>
          <w:p w14:paraId="54C4E2AB"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1 (0 – 3)</w:t>
            </w:r>
          </w:p>
        </w:tc>
        <w:tc>
          <w:tcPr>
            <w:tcW w:w="1000" w:type="pct"/>
            <w:vAlign w:val="center"/>
          </w:tcPr>
          <w:p w14:paraId="2038916A" w14:textId="77777777" w:rsidR="00075EDA" w:rsidRPr="00BA2976" w:rsidRDefault="00075EDA" w:rsidP="00EC58EF">
            <w:pPr>
              <w:jc w:val="center"/>
              <w:rPr>
                <w:rFonts w:asciiTheme="majorBidi" w:hAnsiTheme="majorBidi" w:cstheme="majorBidi"/>
                <w:sz w:val="20"/>
                <w:szCs w:val="20"/>
                <w:highlight w:val="yellow"/>
              </w:rPr>
            </w:pPr>
            <w:r w:rsidRPr="00BA2976">
              <w:rPr>
                <w:rFonts w:asciiTheme="majorBidi" w:hAnsiTheme="majorBidi" w:cstheme="majorBidi"/>
                <w:sz w:val="20"/>
                <w:szCs w:val="20"/>
              </w:rPr>
              <w:t>2 (0 – 3)</w:t>
            </w:r>
          </w:p>
        </w:tc>
        <w:tc>
          <w:tcPr>
            <w:tcW w:w="583" w:type="pct"/>
            <w:vAlign w:val="center"/>
          </w:tcPr>
          <w:p w14:paraId="352F5A70" w14:textId="77777777" w:rsidR="00075EDA" w:rsidRPr="00BA2976" w:rsidRDefault="00075EDA" w:rsidP="00EC58EF">
            <w:pPr>
              <w:jc w:val="center"/>
              <w:rPr>
                <w:rFonts w:asciiTheme="majorBidi" w:hAnsiTheme="majorBidi" w:cstheme="majorBidi"/>
                <w:sz w:val="20"/>
                <w:szCs w:val="20"/>
              </w:rPr>
            </w:pPr>
            <w:r w:rsidRPr="00BA2976">
              <w:rPr>
                <w:rFonts w:asciiTheme="majorBidi" w:hAnsiTheme="majorBidi" w:cstheme="majorBidi"/>
                <w:sz w:val="20"/>
                <w:szCs w:val="20"/>
              </w:rPr>
              <w:t>0.034</w:t>
            </w:r>
            <w:r w:rsidRPr="00BA2976">
              <w:rPr>
                <w:rFonts w:asciiTheme="majorBidi" w:hAnsiTheme="majorBidi" w:cstheme="majorBidi"/>
                <w:sz w:val="20"/>
                <w:szCs w:val="20"/>
                <w:vertAlign w:val="superscript"/>
              </w:rPr>
              <w:t>*</w:t>
            </w:r>
          </w:p>
        </w:tc>
      </w:tr>
      <w:tr w:rsidR="00075EDA" w:rsidRPr="00BA2976" w14:paraId="280A74AC" w14:textId="77777777" w:rsidTr="00BA2976">
        <w:trPr>
          <w:trHeight w:val="263"/>
          <w:jc w:val="center"/>
        </w:trPr>
        <w:tc>
          <w:tcPr>
            <w:tcW w:w="1417" w:type="pct"/>
            <w:tcBorders>
              <w:bottom w:val="single" w:sz="4" w:space="0" w:color="auto"/>
            </w:tcBorders>
          </w:tcPr>
          <w:p w14:paraId="367FA883" w14:textId="4D57D43E" w:rsidR="00075EDA" w:rsidRPr="00BA2976" w:rsidRDefault="00075EDA" w:rsidP="00EC58EF">
            <w:pPr>
              <w:jc w:val="center"/>
              <w:rPr>
                <w:rFonts w:asciiTheme="majorBidi" w:hAnsiTheme="majorBidi" w:cstheme="majorBidi"/>
                <w:b/>
                <w:bCs/>
                <w:sz w:val="20"/>
                <w:szCs w:val="20"/>
              </w:rPr>
            </w:pPr>
            <w:r w:rsidRPr="00BA2976">
              <w:rPr>
                <w:rFonts w:asciiTheme="majorBidi" w:hAnsiTheme="majorBidi" w:cstheme="majorBidi"/>
                <w:b/>
                <w:bCs/>
                <w:sz w:val="20"/>
                <w:szCs w:val="20"/>
              </w:rPr>
              <w:t xml:space="preserve">Sig. bet. </w:t>
            </w:r>
            <w:r w:rsidR="00FA06C0">
              <w:rPr>
                <w:rFonts w:asciiTheme="majorBidi" w:hAnsiTheme="majorBidi" w:cstheme="majorBidi"/>
                <w:b/>
                <w:bCs/>
                <w:sz w:val="20"/>
                <w:szCs w:val="20"/>
              </w:rPr>
              <w:t>Groups</w:t>
            </w:r>
            <w:r w:rsidRPr="00BA2976">
              <w:rPr>
                <w:rFonts w:asciiTheme="majorBidi" w:hAnsiTheme="majorBidi" w:cstheme="majorBidi"/>
                <w:b/>
                <w:bCs/>
                <w:sz w:val="20"/>
                <w:szCs w:val="20"/>
              </w:rPr>
              <w:t>.</w:t>
            </w:r>
          </w:p>
        </w:tc>
        <w:tc>
          <w:tcPr>
            <w:tcW w:w="3583" w:type="pct"/>
            <w:gridSpan w:val="4"/>
            <w:tcBorders>
              <w:bottom w:val="single" w:sz="4" w:space="0" w:color="auto"/>
            </w:tcBorders>
            <w:vAlign w:val="center"/>
          </w:tcPr>
          <w:p w14:paraId="5A707A23" w14:textId="3E8DFA97" w:rsidR="00075EDA" w:rsidRPr="00BA2976" w:rsidRDefault="00075EDA" w:rsidP="00BA2976">
            <w:pPr>
              <w:keepNext/>
              <w:jc w:val="center"/>
              <w:rPr>
                <w:rFonts w:asciiTheme="majorBidi" w:hAnsiTheme="majorBidi" w:cstheme="majorBidi"/>
                <w:sz w:val="20"/>
                <w:szCs w:val="20"/>
              </w:rPr>
            </w:pPr>
            <w:r w:rsidRPr="00BA2976">
              <w:rPr>
                <w:rFonts w:asciiTheme="majorBidi" w:hAnsiTheme="majorBidi" w:cstheme="majorBidi"/>
                <w:sz w:val="20"/>
                <w:szCs w:val="20"/>
              </w:rPr>
              <w:t>p</w:t>
            </w:r>
            <w:r w:rsidRPr="00BA2976">
              <w:rPr>
                <w:rFonts w:asciiTheme="majorBidi" w:hAnsiTheme="majorBidi" w:cstheme="majorBidi"/>
                <w:sz w:val="20"/>
                <w:szCs w:val="20"/>
                <w:vertAlign w:val="subscript"/>
              </w:rPr>
              <w:t>1</w:t>
            </w:r>
            <w:r w:rsidRPr="00BA2976">
              <w:rPr>
                <w:rFonts w:asciiTheme="majorBidi" w:hAnsiTheme="majorBidi" w:cstheme="majorBidi"/>
                <w:sz w:val="20"/>
                <w:szCs w:val="20"/>
              </w:rPr>
              <w:t>=0.473, p</w:t>
            </w:r>
            <w:r w:rsidRPr="00BA2976">
              <w:rPr>
                <w:rFonts w:asciiTheme="majorBidi" w:hAnsiTheme="majorBidi" w:cstheme="majorBidi"/>
                <w:sz w:val="20"/>
                <w:szCs w:val="20"/>
                <w:vertAlign w:val="subscript"/>
              </w:rPr>
              <w:t>2</w:t>
            </w:r>
            <w:r w:rsidRPr="00BA2976">
              <w:rPr>
                <w:rFonts w:asciiTheme="majorBidi" w:hAnsiTheme="majorBidi" w:cstheme="majorBidi"/>
                <w:sz w:val="20"/>
                <w:szCs w:val="20"/>
              </w:rPr>
              <w:t>=0.012</w:t>
            </w:r>
            <w:r w:rsidRPr="00BA2976">
              <w:rPr>
                <w:rFonts w:asciiTheme="majorBidi" w:hAnsiTheme="majorBidi" w:cstheme="majorBidi"/>
                <w:sz w:val="20"/>
                <w:szCs w:val="20"/>
                <w:vertAlign w:val="superscript"/>
              </w:rPr>
              <w:t>*</w:t>
            </w:r>
            <w:r w:rsidRPr="00BA2976">
              <w:rPr>
                <w:rFonts w:asciiTheme="majorBidi" w:hAnsiTheme="majorBidi" w:cstheme="majorBidi"/>
                <w:sz w:val="20"/>
                <w:szCs w:val="20"/>
              </w:rPr>
              <w:t>, p</w:t>
            </w:r>
            <w:r w:rsidRPr="00BA2976">
              <w:rPr>
                <w:rFonts w:asciiTheme="majorBidi" w:hAnsiTheme="majorBidi" w:cstheme="majorBidi"/>
                <w:sz w:val="20"/>
                <w:szCs w:val="20"/>
                <w:vertAlign w:val="subscript"/>
              </w:rPr>
              <w:t>3</w:t>
            </w:r>
            <w:r w:rsidRPr="00BA2976">
              <w:rPr>
                <w:rFonts w:asciiTheme="majorBidi" w:hAnsiTheme="majorBidi" w:cstheme="majorBidi"/>
                <w:sz w:val="20"/>
                <w:szCs w:val="20"/>
              </w:rPr>
              <w:t>=0.069</w:t>
            </w:r>
          </w:p>
        </w:tc>
      </w:tr>
    </w:tbl>
    <w:p w14:paraId="7582364A" w14:textId="3EC041EC" w:rsidR="00BA2976" w:rsidRPr="00BA2976" w:rsidRDefault="00BA2976" w:rsidP="00BA2976">
      <w:pPr>
        <w:spacing w:after="0" w:line="240" w:lineRule="auto"/>
        <w:jc w:val="both"/>
        <w:rPr>
          <w:i/>
          <w:iCs/>
          <w:color w:val="0E2841" w:themeColor="text2"/>
          <w:sz w:val="18"/>
          <w:szCs w:val="18"/>
        </w:rPr>
      </w:pPr>
      <w:r w:rsidRPr="00BA2976">
        <w:rPr>
          <w:i/>
          <w:iCs/>
          <w:color w:val="0E2841" w:themeColor="text2"/>
          <w:sz w:val="18"/>
          <w:szCs w:val="18"/>
        </w:rPr>
        <w:t>p</w:t>
      </w:r>
      <w:r w:rsidRPr="00BA2976">
        <w:rPr>
          <w:i/>
          <w:iCs/>
          <w:color w:val="0E2841" w:themeColor="text2"/>
          <w:sz w:val="18"/>
          <w:szCs w:val="18"/>
          <w:vertAlign w:val="subscript"/>
        </w:rPr>
        <w:t>1</w:t>
      </w:r>
      <w:r w:rsidRPr="00BA2976">
        <w:rPr>
          <w:i/>
          <w:iCs/>
          <w:color w:val="0E2841" w:themeColor="text2"/>
          <w:sz w:val="18"/>
          <w:szCs w:val="18"/>
        </w:rPr>
        <w:t xml:space="preserve">: </w:t>
      </w:r>
      <w:r w:rsidR="00FA06C0">
        <w:rPr>
          <w:i/>
          <w:iCs/>
          <w:color w:val="0E2841" w:themeColor="text2"/>
          <w:sz w:val="18"/>
          <w:szCs w:val="18"/>
        </w:rPr>
        <w:t>p-value for comparing between Control and Cases S p2: p-value for comparing between Control and Cases I p3: p-value for comparing between Cases S and Cases I ALT: alanine aminotransferase, AST: aspartate aminotransferase, PV</w:t>
      </w:r>
      <w:r w:rsidRPr="00BA2976">
        <w:rPr>
          <w:i/>
          <w:iCs/>
          <w:color w:val="0E2841" w:themeColor="text2"/>
          <w:sz w:val="18"/>
          <w:szCs w:val="18"/>
        </w:rPr>
        <w:t>: portal vein, INR: international normalized ratio.</w:t>
      </w:r>
    </w:p>
    <w:p w14:paraId="1F69A0A2" w14:textId="77777777" w:rsidR="00BA2976" w:rsidRPr="00BA2976" w:rsidRDefault="00BA2976" w:rsidP="00BA2976">
      <w:pPr>
        <w:spacing w:after="0" w:line="240" w:lineRule="auto"/>
        <w:jc w:val="both"/>
        <w:rPr>
          <w:i/>
          <w:iCs/>
          <w:color w:val="0E2841" w:themeColor="text2"/>
          <w:sz w:val="18"/>
          <w:szCs w:val="18"/>
        </w:rPr>
      </w:pPr>
    </w:p>
    <w:p w14:paraId="7EB8C041" w14:textId="086F64D3" w:rsidR="005B72C5" w:rsidRPr="005B72C5" w:rsidRDefault="005B72C5" w:rsidP="00A83FB8">
      <w:pPr>
        <w:spacing w:line="360" w:lineRule="auto"/>
        <w:jc w:val="both"/>
        <w:rPr>
          <w:rFonts w:asciiTheme="majorBidi" w:hAnsiTheme="majorBidi" w:cstheme="majorBidi"/>
          <w:sz w:val="24"/>
          <w:szCs w:val="24"/>
        </w:rPr>
      </w:pPr>
      <w:r w:rsidRPr="005B72C5">
        <w:rPr>
          <w:rFonts w:asciiTheme="majorBidi" w:hAnsiTheme="majorBidi" w:cstheme="majorBidi"/>
          <w:sz w:val="24"/>
          <w:szCs w:val="24"/>
        </w:rPr>
        <w:t xml:space="preserve">The three studied groups were compared regarding their cardiac condition as evaluated by ECG and measuring the corrected QT interval, </w:t>
      </w:r>
      <w:r w:rsidR="008774DD">
        <w:rPr>
          <w:rFonts w:asciiTheme="majorBidi" w:hAnsiTheme="majorBidi" w:cstheme="majorBidi"/>
          <w:sz w:val="24"/>
          <w:szCs w:val="24"/>
        </w:rPr>
        <w:t>showing</w:t>
      </w:r>
      <w:r w:rsidRPr="005B72C5">
        <w:rPr>
          <w:rFonts w:asciiTheme="majorBidi" w:hAnsiTheme="majorBidi" w:cstheme="majorBidi"/>
          <w:sz w:val="24"/>
          <w:szCs w:val="24"/>
        </w:rPr>
        <w:t xml:space="preserve"> a highly statistically significant difference between the three groups (p&lt;0.001). </w:t>
      </w:r>
      <w:r w:rsidR="008774DD">
        <w:rPr>
          <w:rFonts w:asciiTheme="majorBidi" w:hAnsiTheme="majorBidi" w:cstheme="majorBidi"/>
          <w:sz w:val="24"/>
          <w:szCs w:val="24"/>
        </w:rPr>
        <w:t>The</w:t>
      </w:r>
      <w:r w:rsidRPr="005B72C5">
        <w:rPr>
          <w:rFonts w:asciiTheme="majorBidi" w:hAnsiTheme="majorBidi" w:cstheme="majorBidi"/>
          <w:sz w:val="24"/>
          <w:szCs w:val="24"/>
        </w:rPr>
        <w:t xml:space="preserve"> echocardiographic parameters </w:t>
      </w:r>
      <w:r w:rsidR="008774DD">
        <w:rPr>
          <w:rFonts w:asciiTheme="majorBidi" w:hAnsiTheme="majorBidi" w:cstheme="majorBidi"/>
          <w:sz w:val="24"/>
          <w:szCs w:val="24"/>
        </w:rPr>
        <w:t>showed</w:t>
      </w:r>
      <w:r w:rsidRPr="005B72C5">
        <w:rPr>
          <w:rFonts w:asciiTheme="majorBidi" w:hAnsiTheme="majorBidi" w:cstheme="majorBidi"/>
          <w:sz w:val="24"/>
          <w:szCs w:val="24"/>
        </w:rPr>
        <w:t xml:space="preserve"> no significant difference between the studied groups (p &gt; 0.5)</w:t>
      </w:r>
      <w:r w:rsidR="008774DD">
        <w:rPr>
          <w:rFonts w:asciiTheme="majorBidi" w:hAnsiTheme="majorBidi" w:cstheme="majorBidi"/>
          <w:sz w:val="24"/>
          <w:szCs w:val="24"/>
        </w:rPr>
        <w:t>. These</w:t>
      </w:r>
      <w:r w:rsidRPr="005B72C5">
        <w:rPr>
          <w:rFonts w:asciiTheme="majorBidi" w:hAnsiTheme="majorBidi" w:cstheme="majorBidi"/>
          <w:sz w:val="24"/>
          <w:szCs w:val="24"/>
        </w:rPr>
        <w:t xml:space="preserve"> studied parameters included septal velocity,</w:t>
      </w:r>
      <w:r w:rsidR="008774DD">
        <w:rPr>
          <w:rFonts w:asciiTheme="majorBidi" w:hAnsiTheme="majorBidi" w:cstheme="majorBidi"/>
          <w:sz w:val="24"/>
          <w:szCs w:val="24"/>
        </w:rPr>
        <w:t xml:space="preserve"> </w:t>
      </w:r>
      <w:r w:rsidRPr="005B72C5">
        <w:rPr>
          <w:rFonts w:asciiTheme="majorBidi" w:hAnsiTheme="majorBidi" w:cstheme="majorBidi"/>
          <w:sz w:val="24"/>
          <w:szCs w:val="24"/>
        </w:rPr>
        <w:t xml:space="preserve">the ratio of early diastolic to late diastolic mitral inflow velocity (E/A) ratio, tricuspid annular systolic plane </w:t>
      </w:r>
      <w:r w:rsidR="008774DD">
        <w:rPr>
          <w:rFonts w:asciiTheme="majorBidi" w:hAnsiTheme="majorBidi" w:cstheme="majorBidi"/>
          <w:sz w:val="24"/>
          <w:szCs w:val="24"/>
        </w:rPr>
        <w:t>excursion</w:t>
      </w:r>
      <w:r w:rsidRPr="005B72C5">
        <w:rPr>
          <w:rFonts w:asciiTheme="majorBidi" w:hAnsiTheme="majorBidi" w:cstheme="majorBidi"/>
          <w:sz w:val="24"/>
          <w:szCs w:val="24"/>
        </w:rPr>
        <w:t xml:space="preserve"> (TAPSE), systolic pulmonary artery pressure (SPAP), the ratio of peak early diastolic mitral inflow and peak early diastolic annular velocity (E/E') ratio, and tricuspid regurgitation velocity (TR).</w:t>
      </w:r>
    </w:p>
    <w:p w14:paraId="0C3AB1ED" w14:textId="637CEE44" w:rsidR="005B72C5" w:rsidRDefault="005B72C5" w:rsidP="00A83FB8">
      <w:pPr>
        <w:spacing w:line="360" w:lineRule="auto"/>
        <w:jc w:val="both"/>
        <w:rPr>
          <w:rFonts w:asciiTheme="majorBidi" w:hAnsiTheme="majorBidi" w:cstheme="majorBidi"/>
          <w:sz w:val="24"/>
          <w:szCs w:val="24"/>
        </w:rPr>
      </w:pPr>
      <w:r w:rsidRPr="005B72C5">
        <w:rPr>
          <w:rFonts w:asciiTheme="majorBidi" w:hAnsiTheme="majorBidi" w:cstheme="majorBidi"/>
          <w:sz w:val="24"/>
          <w:szCs w:val="24"/>
        </w:rPr>
        <w:t>Upon studying the number and percent of patients with cirrhotic cardiomyopathy (CCM) within each group, it was found that in group I, 5 (25%) patients had CCM</w:t>
      </w:r>
      <w:r w:rsidR="008774DD">
        <w:rPr>
          <w:rFonts w:asciiTheme="majorBidi" w:hAnsiTheme="majorBidi" w:cstheme="majorBidi"/>
          <w:sz w:val="24"/>
          <w:szCs w:val="24"/>
        </w:rPr>
        <w:t>; in</w:t>
      </w:r>
      <w:r w:rsidRPr="005B72C5">
        <w:rPr>
          <w:rFonts w:asciiTheme="majorBidi" w:hAnsiTheme="majorBidi" w:cstheme="majorBidi"/>
          <w:sz w:val="24"/>
          <w:szCs w:val="24"/>
        </w:rPr>
        <w:t xml:space="preserve"> group II, 6 (30%) patients had CCM, and in group III, 7 (35%) patients had CCM, with no significant difference between the three groups. The previously mentioned data is demonstrated in Table </w:t>
      </w:r>
      <w:r>
        <w:rPr>
          <w:rFonts w:asciiTheme="majorBidi" w:hAnsiTheme="majorBidi" w:cstheme="majorBidi"/>
          <w:sz w:val="24"/>
          <w:szCs w:val="24"/>
        </w:rPr>
        <w:t>(</w:t>
      </w:r>
      <w:r w:rsidR="00BC3AD5">
        <w:rPr>
          <w:rFonts w:asciiTheme="majorBidi" w:hAnsiTheme="majorBidi" w:cstheme="majorBidi"/>
          <w:sz w:val="24"/>
          <w:szCs w:val="24"/>
        </w:rPr>
        <w:t>4</w:t>
      </w:r>
      <w:r>
        <w:rPr>
          <w:rFonts w:asciiTheme="majorBidi" w:hAnsiTheme="majorBidi" w:cstheme="majorBidi"/>
          <w:sz w:val="24"/>
          <w:szCs w:val="24"/>
        </w:rPr>
        <w:t>)</w:t>
      </w:r>
      <w:r w:rsidRPr="005B72C5">
        <w:rPr>
          <w:rFonts w:asciiTheme="majorBidi" w:hAnsiTheme="majorBidi" w:cstheme="majorBidi"/>
          <w:sz w:val="24"/>
          <w:szCs w:val="24"/>
        </w:rPr>
        <w:t>.</w:t>
      </w:r>
    </w:p>
    <w:p w14:paraId="20CF55DF" w14:textId="4FF6167A" w:rsidR="005B72C5" w:rsidRPr="005B72C5" w:rsidRDefault="005B72C5" w:rsidP="00A83FB8">
      <w:pPr>
        <w:spacing w:line="360" w:lineRule="auto"/>
        <w:jc w:val="both"/>
        <w:rPr>
          <w:rFonts w:asciiTheme="majorBidi" w:hAnsiTheme="majorBidi" w:cstheme="majorBidi"/>
          <w:sz w:val="24"/>
          <w:szCs w:val="24"/>
        </w:rPr>
      </w:pPr>
      <w:r w:rsidRPr="005B72C5">
        <w:rPr>
          <w:rFonts w:asciiTheme="majorBidi" w:hAnsiTheme="majorBidi" w:cstheme="majorBidi"/>
          <w:sz w:val="24"/>
          <w:szCs w:val="24"/>
        </w:rPr>
        <w:t>A highly statistically significant difference was found upon studying the relation between the child score of the patients in the total studied sample and cardiomyopathy (p = 0.001), where only one patient (9.1%) with child score A had CCM</w:t>
      </w:r>
      <w:r w:rsidR="008774DD">
        <w:rPr>
          <w:rFonts w:asciiTheme="majorBidi" w:hAnsiTheme="majorBidi" w:cstheme="majorBidi"/>
          <w:sz w:val="24"/>
          <w:szCs w:val="24"/>
        </w:rPr>
        <w:t>. In contrast,</w:t>
      </w:r>
      <w:r w:rsidRPr="005B72C5">
        <w:rPr>
          <w:rFonts w:asciiTheme="majorBidi" w:hAnsiTheme="majorBidi" w:cstheme="majorBidi"/>
          <w:sz w:val="24"/>
          <w:szCs w:val="24"/>
        </w:rPr>
        <w:t xml:space="preserve"> 6 (18.8%) patients with child score B had CCM, and 11 (64.7%) had CCM patients </w:t>
      </w:r>
      <w:r w:rsidR="008774DD">
        <w:rPr>
          <w:rFonts w:asciiTheme="majorBidi" w:hAnsiTheme="majorBidi" w:cstheme="majorBidi"/>
          <w:sz w:val="24"/>
          <w:szCs w:val="24"/>
        </w:rPr>
        <w:t>with</w:t>
      </w:r>
      <w:r w:rsidRPr="005B72C5">
        <w:rPr>
          <w:rFonts w:asciiTheme="majorBidi" w:hAnsiTheme="majorBidi" w:cstheme="majorBidi"/>
          <w:sz w:val="24"/>
          <w:szCs w:val="24"/>
        </w:rPr>
        <w:t xml:space="preserve"> child score C, as shown in table </w:t>
      </w:r>
      <w:r>
        <w:rPr>
          <w:rFonts w:asciiTheme="majorBidi" w:hAnsiTheme="majorBidi" w:cstheme="majorBidi"/>
          <w:sz w:val="24"/>
          <w:szCs w:val="24"/>
        </w:rPr>
        <w:t>(</w:t>
      </w:r>
      <w:r w:rsidR="00BC3AD5">
        <w:rPr>
          <w:rFonts w:asciiTheme="majorBidi" w:hAnsiTheme="majorBidi" w:cstheme="majorBidi"/>
          <w:sz w:val="24"/>
          <w:szCs w:val="24"/>
        </w:rPr>
        <w:t>5</w:t>
      </w:r>
      <w:r>
        <w:rPr>
          <w:rFonts w:asciiTheme="majorBidi" w:hAnsiTheme="majorBidi" w:cstheme="majorBidi"/>
          <w:sz w:val="24"/>
          <w:szCs w:val="24"/>
        </w:rPr>
        <w:t>)</w:t>
      </w:r>
      <w:r w:rsidRPr="005B72C5">
        <w:rPr>
          <w:rFonts w:asciiTheme="majorBidi" w:hAnsiTheme="majorBidi" w:cstheme="majorBidi"/>
          <w:sz w:val="24"/>
          <w:szCs w:val="24"/>
        </w:rPr>
        <w:t>.</w:t>
      </w:r>
    </w:p>
    <w:p w14:paraId="3980BA1A" w14:textId="77777777" w:rsidR="003A69BA" w:rsidRDefault="005B72C5" w:rsidP="00A83FB8">
      <w:pPr>
        <w:spacing w:line="360" w:lineRule="auto"/>
        <w:jc w:val="both"/>
        <w:rPr>
          <w:rFonts w:asciiTheme="majorBidi" w:hAnsiTheme="majorBidi" w:cstheme="majorBidi"/>
          <w:sz w:val="24"/>
          <w:szCs w:val="24"/>
        </w:rPr>
      </w:pPr>
      <w:r w:rsidRPr="005B72C5">
        <w:rPr>
          <w:rFonts w:asciiTheme="majorBidi" w:hAnsiTheme="majorBidi" w:cstheme="majorBidi"/>
          <w:sz w:val="24"/>
          <w:szCs w:val="24"/>
        </w:rPr>
        <w:t xml:space="preserve">Also, a highly statistically significant difference was found upon studying the relation between the child score of the patients and the corrected QT interval (p&lt;0.001) (table 4). </w:t>
      </w:r>
    </w:p>
    <w:p w14:paraId="4A5E1645" w14:textId="2660E3E2" w:rsidR="003A69BA" w:rsidRDefault="003A69BA" w:rsidP="003A69BA">
      <w:pPr>
        <w:pStyle w:val="Caption"/>
        <w:keepNext/>
      </w:pPr>
      <w:r>
        <w:t xml:space="preserve">Tab </w:t>
      </w:r>
      <w:r w:rsidR="00023E53">
        <w:t>4</w:t>
      </w:r>
      <w:r>
        <w:t>.</w:t>
      </w:r>
      <w:r w:rsidRPr="003A69BA">
        <w:rPr>
          <w:rFonts w:asciiTheme="majorBidi" w:hAnsiTheme="majorBidi" w:cstheme="majorBidi"/>
          <w:b/>
          <w:bCs/>
          <w:i w:val="0"/>
          <w:iCs w:val="0"/>
          <w:color w:val="auto"/>
          <w:sz w:val="24"/>
          <w:szCs w:val="24"/>
        </w:rPr>
        <w:t xml:space="preserve"> </w:t>
      </w:r>
      <w:r w:rsidRPr="003A69BA">
        <w:rPr>
          <w:b/>
          <w:bCs/>
        </w:rPr>
        <w:t>Comparison between the three studied groups according to cardiological assessment parameters</w:t>
      </w:r>
      <w: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Caption w:val="Comparison between the three studied groups according to cardiological assessment parameters"/>
        <w:tblDescription w:val="SD: Standard deviation&#10;p: p value for comparing between the three studied groups&#10;p1: p value for comparing between Control and Cases S&#10;p2: p value for comparing between Control and Cases I&#10;p3: p value for comparing between Cases S and Cases I&#10;*: Statistically significant at p ≤ 0.05 &#10;"/>
      </w:tblPr>
      <w:tblGrid>
        <w:gridCol w:w="2671"/>
        <w:gridCol w:w="9"/>
        <w:gridCol w:w="1876"/>
        <w:gridCol w:w="17"/>
        <w:gridCol w:w="1868"/>
        <w:gridCol w:w="24"/>
        <w:gridCol w:w="1861"/>
        <w:gridCol w:w="32"/>
        <w:gridCol w:w="1002"/>
      </w:tblGrid>
      <w:tr w:rsidR="003A69BA" w:rsidRPr="008E1074" w14:paraId="7CFFA631" w14:textId="77777777" w:rsidTr="008E1074">
        <w:trPr>
          <w:trHeight w:val="358"/>
          <w:jc w:val="center"/>
        </w:trPr>
        <w:tc>
          <w:tcPr>
            <w:tcW w:w="1432" w:type="pct"/>
            <w:gridSpan w:val="2"/>
            <w:tcBorders>
              <w:top w:val="single" w:sz="4" w:space="0" w:color="auto"/>
              <w:bottom w:val="single" w:sz="4" w:space="0" w:color="auto"/>
            </w:tcBorders>
            <w:vAlign w:val="center"/>
          </w:tcPr>
          <w:p w14:paraId="044E3EAE" w14:textId="77777777" w:rsidR="003A69BA" w:rsidRPr="008E1074" w:rsidRDefault="003A69BA" w:rsidP="00EC58EF">
            <w:pPr>
              <w:jc w:val="center"/>
              <w:rPr>
                <w:rFonts w:asciiTheme="majorBidi" w:hAnsiTheme="majorBidi" w:cstheme="majorBidi"/>
                <w:b/>
                <w:bCs/>
                <w:sz w:val="20"/>
                <w:szCs w:val="20"/>
                <w:highlight w:val="yellow"/>
              </w:rPr>
            </w:pPr>
          </w:p>
        </w:tc>
        <w:tc>
          <w:tcPr>
            <w:tcW w:w="1011" w:type="pct"/>
            <w:gridSpan w:val="2"/>
            <w:tcBorders>
              <w:top w:val="single" w:sz="4" w:space="0" w:color="auto"/>
              <w:bottom w:val="single" w:sz="4" w:space="0" w:color="auto"/>
            </w:tcBorders>
            <w:vAlign w:val="center"/>
          </w:tcPr>
          <w:p w14:paraId="48C74F16" w14:textId="0F473F6D" w:rsidR="003A69BA" w:rsidRPr="008E1074" w:rsidRDefault="008E1074" w:rsidP="00EC58EF">
            <w:pPr>
              <w:jc w:val="center"/>
              <w:rPr>
                <w:b/>
                <w:bCs/>
                <w:sz w:val="20"/>
                <w:szCs w:val="20"/>
              </w:rPr>
            </w:pPr>
            <w:r w:rsidRPr="008E1074">
              <w:rPr>
                <w:b/>
                <w:bCs/>
                <w:sz w:val="20"/>
                <w:szCs w:val="20"/>
              </w:rPr>
              <w:t>Control (</w:t>
            </w:r>
            <w:r w:rsidR="003A69BA" w:rsidRPr="008E1074">
              <w:rPr>
                <w:b/>
                <w:bCs/>
                <w:sz w:val="20"/>
                <w:szCs w:val="20"/>
              </w:rPr>
              <w:t>n = 20)</w:t>
            </w:r>
          </w:p>
        </w:tc>
        <w:tc>
          <w:tcPr>
            <w:tcW w:w="1011" w:type="pct"/>
            <w:gridSpan w:val="2"/>
            <w:tcBorders>
              <w:top w:val="single" w:sz="4" w:space="0" w:color="auto"/>
              <w:bottom w:val="single" w:sz="4" w:space="0" w:color="auto"/>
            </w:tcBorders>
            <w:vAlign w:val="center"/>
          </w:tcPr>
          <w:p w14:paraId="2131C979" w14:textId="3B59046D" w:rsidR="003A69BA" w:rsidRPr="008E1074" w:rsidRDefault="003A69BA" w:rsidP="00EC58EF">
            <w:pPr>
              <w:jc w:val="center"/>
              <w:rPr>
                <w:b/>
                <w:bCs/>
                <w:sz w:val="20"/>
                <w:szCs w:val="20"/>
              </w:rPr>
            </w:pPr>
            <w:r w:rsidRPr="008E1074">
              <w:rPr>
                <w:b/>
                <w:bCs/>
                <w:sz w:val="20"/>
                <w:szCs w:val="20"/>
              </w:rPr>
              <w:t>Cases S</w:t>
            </w:r>
            <w:r w:rsidR="008E1074" w:rsidRPr="008E1074">
              <w:rPr>
                <w:b/>
                <w:bCs/>
                <w:sz w:val="20"/>
                <w:szCs w:val="20"/>
              </w:rPr>
              <w:t xml:space="preserve"> </w:t>
            </w:r>
            <w:r w:rsidRPr="008E1074">
              <w:rPr>
                <w:b/>
                <w:bCs/>
                <w:sz w:val="20"/>
                <w:szCs w:val="20"/>
              </w:rPr>
              <w:t>(n = 20)</w:t>
            </w:r>
          </w:p>
        </w:tc>
        <w:tc>
          <w:tcPr>
            <w:tcW w:w="1011" w:type="pct"/>
            <w:gridSpan w:val="2"/>
            <w:tcBorders>
              <w:top w:val="single" w:sz="4" w:space="0" w:color="auto"/>
              <w:bottom w:val="single" w:sz="4" w:space="0" w:color="auto"/>
            </w:tcBorders>
            <w:vAlign w:val="center"/>
          </w:tcPr>
          <w:p w14:paraId="0E0AEF91" w14:textId="610B9C8B" w:rsidR="003A69BA" w:rsidRPr="008E1074" w:rsidRDefault="003A69BA" w:rsidP="00EC58EF">
            <w:pPr>
              <w:jc w:val="center"/>
              <w:rPr>
                <w:b/>
                <w:bCs/>
                <w:sz w:val="20"/>
                <w:szCs w:val="20"/>
              </w:rPr>
            </w:pPr>
            <w:r w:rsidRPr="008E1074">
              <w:rPr>
                <w:b/>
                <w:bCs/>
                <w:sz w:val="20"/>
                <w:szCs w:val="20"/>
              </w:rPr>
              <w:t>Cases I</w:t>
            </w:r>
            <w:r w:rsidR="008E1074" w:rsidRPr="008E1074">
              <w:rPr>
                <w:b/>
                <w:bCs/>
                <w:sz w:val="20"/>
                <w:szCs w:val="20"/>
              </w:rPr>
              <w:t xml:space="preserve"> </w:t>
            </w:r>
            <w:r w:rsidRPr="008E1074">
              <w:rPr>
                <w:b/>
                <w:bCs/>
                <w:sz w:val="20"/>
                <w:szCs w:val="20"/>
              </w:rPr>
              <w:t>(n = 20)</w:t>
            </w:r>
          </w:p>
        </w:tc>
        <w:tc>
          <w:tcPr>
            <w:tcW w:w="536" w:type="pct"/>
            <w:tcBorders>
              <w:top w:val="single" w:sz="4" w:space="0" w:color="auto"/>
            </w:tcBorders>
            <w:vAlign w:val="center"/>
          </w:tcPr>
          <w:p w14:paraId="54954186" w14:textId="77777777" w:rsidR="003A69BA" w:rsidRPr="008E1074" w:rsidRDefault="003A69BA" w:rsidP="00EC58EF">
            <w:pPr>
              <w:jc w:val="center"/>
              <w:rPr>
                <w:b/>
                <w:bCs/>
                <w:sz w:val="20"/>
                <w:szCs w:val="20"/>
              </w:rPr>
            </w:pPr>
            <w:r w:rsidRPr="008E1074">
              <w:rPr>
                <w:b/>
                <w:bCs/>
                <w:sz w:val="20"/>
                <w:szCs w:val="20"/>
              </w:rPr>
              <w:t>p</w:t>
            </w:r>
          </w:p>
        </w:tc>
      </w:tr>
      <w:tr w:rsidR="003A69BA" w:rsidRPr="008E1074" w14:paraId="3CEF2533" w14:textId="77777777" w:rsidTr="008E1074">
        <w:trPr>
          <w:jc w:val="center"/>
        </w:trPr>
        <w:tc>
          <w:tcPr>
            <w:tcW w:w="1427" w:type="pct"/>
            <w:tcBorders>
              <w:top w:val="single" w:sz="4" w:space="0" w:color="auto"/>
            </w:tcBorders>
          </w:tcPr>
          <w:p w14:paraId="769790F2" w14:textId="77777777" w:rsidR="003A69BA" w:rsidRPr="008E1074" w:rsidRDefault="003A69BA" w:rsidP="00EC58EF">
            <w:pPr>
              <w:rPr>
                <w:b/>
                <w:bCs/>
                <w:sz w:val="20"/>
                <w:szCs w:val="20"/>
              </w:rPr>
            </w:pPr>
            <w:r w:rsidRPr="008E1074">
              <w:rPr>
                <w:b/>
                <w:bCs/>
                <w:sz w:val="20"/>
                <w:szCs w:val="20"/>
              </w:rPr>
              <w:t>QTC (ms)</w:t>
            </w:r>
          </w:p>
        </w:tc>
        <w:tc>
          <w:tcPr>
            <w:tcW w:w="3573" w:type="pct"/>
            <w:gridSpan w:val="8"/>
            <w:tcBorders>
              <w:top w:val="single" w:sz="4" w:space="0" w:color="auto"/>
            </w:tcBorders>
            <w:vAlign w:val="center"/>
          </w:tcPr>
          <w:p w14:paraId="2FA08A87" w14:textId="77777777" w:rsidR="003A69BA" w:rsidRPr="008E1074" w:rsidRDefault="003A69BA" w:rsidP="00EC58EF">
            <w:pPr>
              <w:jc w:val="center"/>
              <w:rPr>
                <w:sz w:val="20"/>
                <w:szCs w:val="20"/>
              </w:rPr>
            </w:pPr>
          </w:p>
        </w:tc>
      </w:tr>
      <w:tr w:rsidR="003A69BA" w:rsidRPr="008E1074" w14:paraId="200FE004" w14:textId="77777777" w:rsidTr="008E1074">
        <w:trPr>
          <w:trHeight w:val="513"/>
          <w:jc w:val="center"/>
        </w:trPr>
        <w:tc>
          <w:tcPr>
            <w:tcW w:w="1427" w:type="pct"/>
          </w:tcPr>
          <w:p w14:paraId="3D72EC4B" w14:textId="77777777" w:rsidR="003A69BA" w:rsidRPr="008E1074" w:rsidRDefault="003A69BA" w:rsidP="00EC58EF">
            <w:pPr>
              <w:ind w:left="284"/>
              <w:rPr>
                <w:sz w:val="20"/>
                <w:szCs w:val="20"/>
              </w:rPr>
            </w:pPr>
            <w:r w:rsidRPr="008E1074">
              <w:rPr>
                <w:sz w:val="20"/>
                <w:szCs w:val="20"/>
              </w:rPr>
              <w:t>Mean ± SD.</w:t>
            </w:r>
          </w:p>
        </w:tc>
        <w:tc>
          <w:tcPr>
            <w:tcW w:w="1007" w:type="pct"/>
            <w:gridSpan w:val="2"/>
            <w:vAlign w:val="center"/>
          </w:tcPr>
          <w:p w14:paraId="7CDFE01F" w14:textId="77777777" w:rsidR="003A69BA" w:rsidRPr="008E1074" w:rsidRDefault="003A69BA" w:rsidP="00EC58EF">
            <w:pPr>
              <w:jc w:val="center"/>
              <w:rPr>
                <w:sz w:val="20"/>
                <w:szCs w:val="20"/>
              </w:rPr>
            </w:pPr>
            <w:r w:rsidRPr="008E1074">
              <w:rPr>
                <w:sz w:val="20"/>
                <w:szCs w:val="20"/>
              </w:rPr>
              <w:t>379.8 ± 44.1</w:t>
            </w:r>
          </w:p>
        </w:tc>
        <w:tc>
          <w:tcPr>
            <w:tcW w:w="1007" w:type="pct"/>
            <w:gridSpan w:val="2"/>
            <w:vAlign w:val="center"/>
          </w:tcPr>
          <w:p w14:paraId="33A5EE2A" w14:textId="77777777" w:rsidR="003A69BA" w:rsidRPr="008E1074" w:rsidRDefault="003A69BA" w:rsidP="00EC58EF">
            <w:pPr>
              <w:jc w:val="center"/>
              <w:rPr>
                <w:sz w:val="20"/>
                <w:szCs w:val="20"/>
              </w:rPr>
            </w:pPr>
            <w:r w:rsidRPr="008E1074">
              <w:rPr>
                <w:sz w:val="20"/>
                <w:szCs w:val="20"/>
              </w:rPr>
              <w:t>387.8 ± 38.9</w:t>
            </w:r>
          </w:p>
        </w:tc>
        <w:tc>
          <w:tcPr>
            <w:tcW w:w="1007" w:type="pct"/>
            <w:gridSpan w:val="2"/>
            <w:vAlign w:val="center"/>
          </w:tcPr>
          <w:p w14:paraId="7FAE801E" w14:textId="77777777" w:rsidR="003A69BA" w:rsidRPr="008E1074" w:rsidRDefault="003A69BA" w:rsidP="00EC58EF">
            <w:pPr>
              <w:jc w:val="center"/>
              <w:rPr>
                <w:sz w:val="20"/>
                <w:szCs w:val="20"/>
              </w:rPr>
            </w:pPr>
            <w:r w:rsidRPr="008E1074">
              <w:rPr>
                <w:sz w:val="20"/>
                <w:szCs w:val="20"/>
              </w:rPr>
              <w:t>439.3 ± 57.6</w:t>
            </w:r>
          </w:p>
        </w:tc>
        <w:tc>
          <w:tcPr>
            <w:tcW w:w="552" w:type="pct"/>
            <w:gridSpan w:val="2"/>
            <w:vAlign w:val="center"/>
          </w:tcPr>
          <w:p w14:paraId="64760E4F" w14:textId="77777777" w:rsidR="003A69BA" w:rsidRPr="008E1074" w:rsidRDefault="003A69BA" w:rsidP="00EC58EF">
            <w:pPr>
              <w:jc w:val="center"/>
              <w:rPr>
                <w:sz w:val="20"/>
                <w:szCs w:val="20"/>
              </w:rPr>
            </w:pPr>
            <w:r w:rsidRPr="008E1074">
              <w:rPr>
                <w:sz w:val="20"/>
                <w:szCs w:val="20"/>
              </w:rPr>
              <w:t>&lt;0.001</w:t>
            </w:r>
            <w:r w:rsidRPr="008E1074">
              <w:rPr>
                <w:sz w:val="20"/>
                <w:szCs w:val="20"/>
                <w:vertAlign w:val="superscript"/>
              </w:rPr>
              <w:t>*</w:t>
            </w:r>
          </w:p>
        </w:tc>
      </w:tr>
      <w:tr w:rsidR="003A69BA" w:rsidRPr="008E1074" w14:paraId="46B0713C" w14:textId="77777777" w:rsidTr="008E1074">
        <w:trPr>
          <w:jc w:val="center"/>
        </w:trPr>
        <w:tc>
          <w:tcPr>
            <w:tcW w:w="1427" w:type="pct"/>
          </w:tcPr>
          <w:p w14:paraId="1C11C1D6" w14:textId="77777777" w:rsidR="003A69BA" w:rsidRPr="008E1074" w:rsidRDefault="003A69BA" w:rsidP="00EC58EF">
            <w:pPr>
              <w:jc w:val="center"/>
              <w:rPr>
                <w:b/>
                <w:bCs/>
                <w:sz w:val="20"/>
                <w:szCs w:val="20"/>
              </w:rPr>
            </w:pPr>
            <w:r w:rsidRPr="008E1074">
              <w:rPr>
                <w:b/>
                <w:bCs/>
                <w:sz w:val="20"/>
                <w:szCs w:val="20"/>
              </w:rPr>
              <w:t>Sig. bet. grps.</w:t>
            </w:r>
          </w:p>
        </w:tc>
        <w:tc>
          <w:tcPr>
            <w:tcW w:w="3573" w:type="pct"/>
            <w:gridSpan w:val="8"/>
            <w:vAlign w:val="center"/>
          </w:tcPr>
          <w:p w14:paraId="7045F40C" w14:textId="1EE381DF" w:rsidR="003A69BA" w:rsidRPr="008E1074" w:rsidRDefault="003A69BA" w:rsidP="00EC58EF">
            <w:pPr>
              <w:jc w:val="center"/>
              <w:rPr>
                <w:sz w:val="20"/>
                <w:szCs w:val="20"/>
              </w:rPr>
            </w:pPr>
            <w:r w:rsidRPr="008E1074">
              <w:rPr>
                <w:sz w:val="20"/>
                <w:szCs w:val="20"/>
              </w:rPr>
              <w:t>p</w:t>
            </w:r>
            <w:r w:rsidRPr="008E1074">
              <w:rPr>
                <w:sz w:val="20"/>
                <w:szCs w:val="20"/>
                <w:vertAlign w:val="subscript"/>
              </w:rPr>
              <w:t>1</w:t>
            </w:r>
            <w:r w:rsidRPr="008E1074">
              <w:rPr>
                <w:sz w:val="20"/>
                <w:szCs w:val="20"/>
              </w:rPr>
              <w:t>=0.856,</w:t>
            </w:r>
            <w:r w:rsidR="008E1074" w:rsidRPr="008E1074">
              <w:rPr>
                <w:sz w:val="20"/>
                <w:szCs w:val="20"/>
              </w:rPr>
              <w:t xml:space="preserve"> </w:t>
            </w:r>
            <w:r w:rsidRPr="008E1074">
              <w:rPr>
                <w:sz w:val="20"/>
                <w:szCs w:val="20"/>
              </w:rPr>
              <w:t>p</w:t>
            </w:r>
            <w:r w:rsidRPr="008E1074">
              <w:rPr>
                <w:sz w:val="20"/>
                <w:szCs w:val="20"/>
                <w:vertAlign w:val="subscript"/>
              </w:rPr>
              <w:t>2</w:t>
            </w:r>
            <w:r w:rsidRPr="008E1074">
              <w:rPr>
                <w:sz w:val="20"/>
                <w:szCs w:val="20"/>
              </w:rPr>
              <w:t>=0.001</w:t>
            </w:r>
            <w:r w:rsidRPr="008E1074">
              <w:rPr>
                <w:sz w:val="20"/>
                <w:szCs w:val="20"/>
                <w:vertAlign w:val="superscript"/>
              </w:rPr>
              <w:t>*</w:t>
            </w:r>
            <w:r w:rsidRPr="008E1074">
              <w:rPr>
                <w:sz w:val="20"/>
                <w:szCs w:val="20"/>
              </w:rPr>
              <w:t>,</w:t>
            </w:r>
            <w:r w:rsidR="008E1074" w:rsidRPr="008E1074">
              <w:rPr>
                <w:sz w:val="20"/>
                <w:szCs w:val="20"/>
              </w:rPr>
              <w:t xml:space="preserve"> </w:t>
            </w:r>
            <w:r w:rsidRPr="008E1074">
              <w:rPr>
                <w:sz w:val="20"/>
                <w:szCs w:val="20"/>
              </w:rPr>
              <w:t>p</w:t>
            </w:r>
            <w:r w:rsidRPr="008E1074">
              <w:rPr>
                <w:sz w:val="20"/>
                <w:szCs w:val="20"/>
                <w:vertAlign w:val="subscript"/>
              </w:rPr>
              <w:t>3</w:t>
            </w:r>
            <w:r w:rsidRPr="008E1074">
              <w:rPr>
                <w:sz w:val="20"/>
                <w:szCs w:val="20"/>
              </w:rPr>
              <w:t>=0.003</w:t>
            </w:r>
            <w:r w:rsidRPr="008E1074">
              <w:rPr>
                <w:sz w:val="20"/>
                <w:szCs w:val="20"/>
                <w:vertAlign w:val="superscript"/>
              </w:rPr>
              <w:t>*</w:t>
            </w:r>
          </w:p>
        </w:tc>
      </w:tr>
      <w:tr w:rsidR="003A69BA" w:rsidRPr="008E1074" w14:paraId="33EEC063" w14:textId="77777777" w:rsidTr="008E1074">
        <w:trPr>
          <w:jc w:val="center"/>
        </w:trPr>
        <w:tc>
          <w:tcPr>
            <w:tcW w:w="1427" w:type="pct"/>
          </w:tcPr>
          <w:p w14:paraId="79F4F4D1" w14:textId="77777777" w:rsidR="003A69BA" w:rsidRPr="008E1074" w:rsidRDefault="003A69BA" w:rsidP="00EC58EF">
            <w:pPr>
              <w:rPr>
                <w:b/>
                <w:bCs/>
                <w:sz w:val="20"/>
                <w:szCs w:val="20"/>
              </w:rPr>
            </w:pPr>
            <w:r w:rsidRPr="008E1074">
              <w:rPr>
                <w:b/>
                <w:bCs/>
                <w:sz w:val="20"/>
                <w:szCs w:val="20"/>
              </w:rPr>
              <w:t>S' (cm/sec)</w:t>
            </w:r>
          </w:p>
        </w:tc>
        <w:tc>
          <w:tcPr>
            <w:tcW w:w="3573" w:type="pct"/>
            <w:gridSpan w:val="8"/>
            <w:vAlign w:val="center"/>
          </w:tcPr>
          <w:p w14:paraId="4560F6F4" w14:textId="77777777" w:rsidR="003A69BA" w:rsidRPr="008E1074" w:rsidRDefault="003A69BA" w:rsidP="00EC58EF">
            <w:pPr>
              <w:jc w:val="center"/>
              <w:rPr>
                <w:sz w:val="20"/>
                <w:szCs w:val="20"/>
              </w:rPr>
            </w:pPr>
          </w:p>
        </w:tc>
      </w:tr>
      <w:tr w:rsidR="003A69BA" w:rsidRPr="008E1074" w14:paraId="002E7B95" w14:textId="77777777" w:rsidTr="008E1074">
        <w:trPr>
          <w:trHeight w:val="513"/>
          <w:jc w:val="center"/>
        </w:trPr>
        <w:tc>
          <w:tcPr>
            <w:tcW w:w="1427" w:type="pct"/>
          </w:tcPr>
          <w:p w14:paraId="69577652" w14:textId="77777777" w:rsidR="003A69BA" w:rsidRPr="008E1074" w:rsidRDefault="003A69BA" w:rsidP="00EC58EF">
            <w:pPr>
              <w:ind w:left="284"/>
              <w:rPr>
                <w:sz w:val="20"/>
                <w:szCs w:val="20"/>
              </w:rPr>
            </w:pPr>
            <w:r w:rsidRPr="008E1074">
              <w:rPr>
                <w:sz w:val="20"/>
                <w:szCs w:val="20"/>
              </w:rPr>
              <w:t>Mean ± SD.</w:t>
            </w:r>
          </w:p>
        </w:tc>
        <w:tc>
          <w:tcPr>
            <w:tcW w:w="1007" w:type="pct"/>
            <w:gridSpan w:val="2"/>
            <w:vAlign w:val="center"/>
          </w:tcPr>
          <w:p w14:paraId="5B631841" w14:textId="77777777" w:rsidR="003A69BA" w:rsidRPr="008E1074" w:rsidRDefault="003A69BA" w:rsidP="00EC58EF">
            <w:pPr>
              <w:jc w:val="center"/>
              <w:rPr>
                <w:sz w:val="20"/>
                <w:szCs w:val="20"/>
              </w:rPr>
            </w:pPr>
            <w:r w:rsidRPr="008E1074">
              <w:rPr>
                <w:sz w:val="20"/>
                <w:szCs w:val="20"/>
              </w:rPr>
              <w:t>9.7 ± 2.5</w:t>
            </w:r>
          </w:p>
        </w:tc>
        <w:tc>
          <w:tcPr>
            <w:tcW w:w="1007" w:type="pct"/>
            <w:gridSpan w:val="2"/>
            <w:vAlign w:val="center"/>
          </w:tcPr>
          <w:p w14:paraId="03A6681C" w14:textId="77777777" w:rsidR="003A69BA" w:rsidRPr="008E1074" w:rsidRDefault="003A69BA" w:rsidP="00EC58EF">
            <w:pPr>
              <w:jc w:val="center"/>
              <w:rPr>
                <w:sz w:val="20"/>
                <w:szCs w:val="20"/>
              </w:rPr>
            </w:pPr>
            <w:r w:rsidRPr="008E1074">
              <w:rPr>
                <w:sz w:val="20"/>
                <w:szCs w:val="20"/>
              </w:rPr>
              <w:t>9.9 ± 2.7</w:t>
            </w:r>
          </w:p>
        </w:tc>
        <w:tc>
          <w:tcPr>
            <w:tcW w:w="1007" w:type="pct"/>
            <w:gridSpan w:val="2"/>
            <w:vAlign w:val="center"/>
          </w:tcPr>
          <w:p w14:paraId="21F49C44" w14:textId="77777777" w:rsidR="003A69BA" w:rsidRPr="008E1074" w:rsidRDefault="003A69BA" w:rsidP="00EC58EF">
            <w:pPr>
              <w:jc w:val="center"/>
              <w:rPr>
                <w:sz w:val="20"/>
                <w:szCs w:val="20"/>
              </w:rPr>
            </w:pPr>
            <w:r w:rsidRPr="008E1074">
              <w:rPr>
                <w:sz w:val="20"/>
                <w:szCs w:val="20"/>
              </w:rPr>
              <w:t>8.9 ± 2.9</w:t>
            </w:r>
          </w:p>
        </w:tc>
        <w:tc>
          <w:tcPr>
            <w:tcW w:w="552" w:type="pct"/>
            <w:gridSpan w:val="2"/>
            <w:vAlign w:val="center"/>
          </w:tcPr>
          <w:p w14:paraId="401BA8FB" w14:textId="77777777" w:rsidR="003A69BA" w:rsidRPr="008E1074" w:rsidRDefault="003A69BA" w:rsidP="00EC58EF">
            <w:pPr>
              <w:jc w:val="center"/>
              <w:rPr>
                <w:sz w:val="20"/>
                <w:szCs w:val="20"/>
              </w:rPr>
            </w:pPr>
            <w:r w:rsidRPr="008E1074">
              <w:rPr>
                <w:sz w:val="20"/>
                <w:szCs w:val="20"/>
              </w:rPr>
              <w:t>0.439</w:t>
            </w:r>
          </w:p>
        </w:tc>
      </w:tr>
      <w:tr w:rsidR="003A69BA" w:rsidRPr="008E1074" w14:paraId="0C8E0BC3" w14:textId="77777777" w:rsidTr="008E1074">
        <w:trPr>
          <w:jc w:val="center"/>
        </w:trPr>
        <w:tc>
          <w:tcPr>
            <w:tcW w:w="1427" w:type="pct"/>
          </w:tcPr>
          <w:p w14:paraId="1247A0CE" w14:textId="77777777" w:rsidR="003A69BA" w:rsidRPr="008E1074" w:rsidRDefault="003A69BA" w:rsidP="00EC58EF">
            <w:pPr>
              <w:rPr>
                <w:b/>
                <w:bCs/>
                <w:sz w:val="20"/>
                <w:szCs w:val="20"/>
              </w:rPr>
            </w:pPr>
            <w:r w:rsidRPr="008E1074">
              <w:rPr>
                <w:b/>
                <w:bCs/>
                <w:sz w:val="20"/>
                <w:szCs w:val="20"/>
              </w:rPr>
              <w:t>E/A</w:t>
            </w:r>
          </w:p>
        </w:tc>
        <w:tc>
          <w:tcPr>
            <w:tcW w:w="3573" w:type="pct"/>
            <w:gridSpan w:val="8"/>
            <w:vAlign w:val="center"/>
          </w:tcPr>
          <w:p w14:paraId="60F0AF9D" w14:textId="77777777" w:rsidR="003A69BA" w:rsidRPr="008E1074" w:rsidRDefault="003A69BA" w:rsidP="00EC58EF">
            <w:pPr>
              <w:jc w:val="center"/>
              <w:rPr>
                <w:sz w:val="20"/>
                <w:szCs w:val="20"/>
              </w:rPr>
            </w:pPr>
          </w:p>
        </w:tc>
      </w:tr>
      <w:tr w:rsidR="003A69BA" w:rsidRPr="008E1074" w14:paraId="0165AB16" w14:textId="77777777" w:rsidTr="008E1074">
        <w:trPr>
          <w:trHeight w:val="513"/>
          <w:jc w:val="center"/>
        </w:trPr>
        <w:tc>
          <w:tcPr>
            <w:tcW w:w="1427" w:type="pct"/>
          </w:tcPr>
          <w:p w14:paraId="4065E8D8" w14:textId="77777777" w:rsidR="003A69BA" w:rsidRPr="008E1074" w:rsidRDefault="003A69BA" w:rsidP="00EC58EF">
            <w:pPr>
              <w:ind w:left="284"/>
              <w:rPr>
                <w:sz w:val="20"/>
                <w:szCs w:val="20"/>
                <w:highlight w:val="yellow"/>
              </w:rPr>
            </w:pPr>
            <w:r w:rsidRPr="008E1074">
              <w:rPr>
                <w:sz w:val="20"/>
                <w:szCs w:val="20"/>
              </w:rPr>
              <w:t>Median (Min. – Max.)</w:t>
            </w:r>
          </w:p>
        </w:tc>
        <w:tc>
          <w:tcPr>
            <w:tcW w:w="1007" w:type="pct"/>
            <w:gridSpan w:val="2"/>
            <w:vAlign w:val="center"/>
          </w:tcPr>
          <w:p w14:paraId="20A2785E" w14:textId="77777777" w:rsidR="003A69BA" w:rsidRPr="008E1074" w:rsidRDefault="003A69BA" w:rsidP="00EC58EF">
            <w:pPr>
              <w:jc w:val="center"/>
              <w:rPr>
                <w:sz w:val="20"/>
                <w:szCs w:val="20"/>
                <w:highlight w:val="yellow"/>
              </w:rPr>
            </w:pPr>
            <w:r w:rsidRPr="008E1074">
              <w:rPr>
                <w:sz w:val="20"/>
                <w:szCs w:val="20"/>
              </w:rPr>
              <w:t>0.8 (0.6 – 1.8)</w:t>
            </w:r>
          </w:p>
        </w:tc>
        <w:tc>
          <w:tcPr>
            <w:tcW w:w="1007" w:type="pct"/>
            <w:gridSpan w:val="2"/>
            <w:vAlign w:val="center"/>
          </w:tcPr>
          <w:p w14:paraId="13F07615" w14:textId="77777777" w:rsidR="003A69BA" w:rsidRPr="008E1074" w:rsidRDefault="003A69BA" w:rsidP="00EC58EF">
            <w:pPr>
              <w:jc w:val="center"/>
              <w:rPr>
                <w:sz w:val="20"/>
                <w:szCs w:val="20"/>
                <w:highlight w:val="yellow"/>
              </w:rPr>
            </w:pPr>
            <w:r w:rsidRPr="008E1074">
              <w:rPr>
                <w:sz w:val="20"/>
                <w:szCs w:val="20"/>
              </w:rPr>
              <w:t>0.9 (0.5 – 1.7)</w:t>
            </w:r>
          </w:p>
        </w:tc>
        <w:tc>
          <w:tcPr>
            <w:tcW w:w="1007" w:type="pct"/>
            <w:gridSpan w:val="2"/>
            <w:vAlign w:val="center"/>
          </w:tcPr>
          <w:p w14:paraId="0AEEC57F" w14:textId="77777777" w:rsidR="003A69BA" w:rsidRPr="008E1074" w:rsidRDefault="003A69BA" w:rsidP="00EC58EF">
            <w:pPr>
              <w:jc w:val="center"/>
              <w:rPr>
                <w:sz w:val="20"/>
                <w:szCs w:val="20"/>
                <w:highlight w:val="yellow"/>
              </w:rPr>
            </w:pPr>
            <w:r w:rsidRPr="008E1074">
              <w:rPr>
                <w:sz w:val="20"/>
                <w:szCs w:val="20"/>
              </w:rPr>
              <w:t>0.7 (0.5 – 1.6)</w:t>
            </w:r>
          </w:p>
        </w:tc>
        <w:tc>
          <w:tcPr>
            <w:tcW w:w="552" w:type="pct"/>
            <w:gridSpan w:val="2"/>
            <w:vAlign w:val="center"/>
          </w:tcPr>
          <w:p w14:paraId="051B3FA7" w14:textId="77777777" w:rsidR="003A69BA" w:rsidRPr="008E1074" w:rsidRDefault="003A69BA" w:rsidP="00EC58EF">
            <w:pPr>
              <w:jc w:val="center"/>
              <w:rPr>
                <w:sz w:val="20"/>
                <w:szCs w:val="20"/>
              </w:rPr>
            </w:pPr>
            <w:r w:rsidRPr="008E1074">
              <w:rPr>
                <w:sz w:val="20"/>
                <w:szCs w:val="20"/>
              </w:rPr>
              <w:t>0.087</w:t>
            </w:r>
          </w:p>
        </w:tc>
      </w:tr>
      <w:tr w:rsidR="003A69BA" w:rsidRPr="008E1074" w14:paraId="66DF8689" w14:textId="77777777" w:rsidTr="008E1074">
        <w:trPr>
          <w:jc w:val="center"/>
        </w:trPr>
        <w:tc>
          <w:tcPr>
            <w:tcW w:w="1427" w:type="pct"/>
          </w:tcPr>
          <w:p w14:paraId="34610E0F" w14:textId="77777777" w:rsidR="003A69BA" w:rsidRPr="008E1074" w:rsidRDefault="003A69BA" w:rsidP="00EC58EF">
            <w:pPr>
              <w:rPr>
                <w:b/>
                <w:bCs/>
                <w:sz w:val="20"/>
                <w:szCs w:val="20"/>
              </w:rPr>
            </w:pPr>
            <w:r w:rsidRPr="008E1074">
              <w:rPr>
                <w:b/>
                <w:bCs/>
                <w:sz w:val="20"/>
                <w:szCs w:val="20"/>
              </w:rPr>
              <w:t>TAPSE (cm)</w:t>
            </w:r>
          </w:p>
        </w:tc>
        <w:tc>
          <w:tcPr>
            <w:tcW w:w="3573" w:type="pct"/>
            <w:gridSpan w:val="8"/>
            <w:vAlign w:val="center"/>
          </w:tcPr>
          <w:p w14:paraId="0A652F98" w14:textId="77777777" w:rsidR="003A69BA" w:rsidRPr="008E1074" w:rsidRDefault="003A69BA" w:rsidP="00EC58EF">
            <w:pPr>
              <w:jc w:val="center"/>
              <w:rPr>
                <w:sz w:val="20"/>
                <w:szCs w:val="20"/>
              </w:rPr>
            </w:pPr>
          </w:p>
        </w:tc>
      </w:tr>
      <w:tr w:rsidR="003A69BA" w:rsidRPr="008E1074" w14:paraId="69553B8F" w14:textId="77777777" w:rsidTr="008E1074">
        <w:trPr>
          <w:trHeight w:val="513"/>
          <w:jc w:val="center"/>
        </w:trPr>
        <w:tc>
          <w:tcPr>
            <w:tcW w:w="1427" w:type="pct"/>
          </w:tcPr>
          <w:p w14:paraId="283933B0" w14:textId="77777777" w:rsidR="003A69BA" w:rsidRPr="008E1074" w:rsidRDefault="003A69BA" w:rsidP="00EC58EF">
            <w:pPr>
              <w:ind w:left="284"/>
              <w:rPr>
                <w:sz w:val="20"/>
                <w:szCs w:val="20"/>
              </w:rPr>
            </w:pPr>
            <w:r w:rsidRPr="008E1074">
              <w:rPr>
                <w:sz w:val="20"/>
                <w:szCs w:val="20"/>
              </w:rPr>
              <w:t>Mean ± SD.</w:t>
            </w:r>
          </w:p>
        </w:tc>
        <w:tc>
          <w:tcPr>
            <w:tcW w:w="1007" w:type="pct"/>
            <w:gridSpan w:val="2"/>
            <w:vAlign w:val="center"/>
          </w:tcPr>
          <w:p w14:paraId="3580B71D" w14:textId="77777777" w:rsidR="003A69BA" w:rsidRPr="008E1074" w:rsidRDefault="003A69BA" w:rsidP="00EC58EF">
            <w:pPr>
              <w:jc w:val="center"/>
              <w:rPr>
                <w:sz w:val="20"/>
                <w:szCs w:val="20"/>
              </w:rPr>
            </w:pPr>
            <w:r w:rsidRPr="008E1074">
              <w:rPr>
                <w:sz w:val="20"/>
                <w:szCs w:val="20"/>
              </w:rPr>
              <w:t>2.5 ± 0.3</w:t>
            </w:r>
          </w:p>
        </w:tc>
        <w:tc>
          <w:tcPr>
            <w:tcW w:w="1007" w:type="pct"/>
            <w:gridSpan w:val="2"/>
            <w:vAlign w:val="center"/>
          </w:tcPr>
          <w:p w14:paraId="25FD94A6" w14:textId="77777777" w:rsidR="003A69BA" w:rsidRPr="008E1074" w:rsidRDefault="003A69BA" w:rsidP="00EC58EF">
            <w:pPr>
              <w:jc w:val="center"/>
              <w:rPr>
                <w:sz w:val="20"/>
                <w:szCs w:val="20"/>
              </w:rPr>
            </w:pPr>
            <w:r w:rsidRPr="008E1074">
              <w:rPr>
                <w:sz w:val="20"/>
                <w:szCs w:val="20"/>
              </w:rPr>
              <w:t>2.5 ± 0.3</w:t>
            </w:r>
          </w:p>
        </w:tc>
        <w:tc>
          <w:tcPr>
            <w:tcW w:w="1007" w:type="pct"/>
            <w:gridSpan w:val="2"/>
            <w:vAlign w:val="center"/>
          </w:tcPr>
          <w:p w14:paraId="0C3C783A" w14:textId="77777777" w:rsidR="003A69BA" w:rsidRPr="008E1074" w:rsidRDefault="003A69BA" w:rsidP="00EC58EF">
            <w:pPr>
              <w:jc w:val="center"/>
              <w:rPr>
                <w:sz w:val="20"/>
                <w:szCs w:val="20"/>
              </w:rPr>
            </w:pPr>
            <w:r w:rsidRPr="008E1074">
              <w:rPr>
                <w:sz w:val="20"/>
                <w:szCs w:val="20"/>
              </w:rPr>
              <w:t>2.3 ± 0.5</w:t>
            </w:r>
          </w:p>
        </w:tc>
        <w:tc>
          <w:tcPr>
            <w:tcW w:w="552" w:type="pct"/>
            <w:gridSpan w:val="2"/>
            <w:vAlign w:val="center"/>
          </w:tcPr>
          <w:p w14:paraId="06DD0D55" w14:textId="77777777" w:rsidR="003A69BA" w:rsidRPr="008E1074" w:rsidRDefault="003A69BA" w:rsidP="00EC58EF">
            <w:pPr>
              <w:jc w:val="center"/>
              <w:rPr>
                <w:sz w:val="20"/>
                <w:szCs w:val="20"/>
              </w:rPr>
            </w:pPr>
            <w:r w:rsidRPr="008E1074">
              <w:rPr>
                <w:sz w:val="20"/>
                <w:szCs w:val="20"/>
              </w:rPr>
              <w:t>0.172</w:t>
            </w:r>
          </w:p>
        </w:tc>
      </w:tr>
      <w:tr w:rsidR="003A69BA" w:rsidRPr="008E1074" w14:paraId="689743A6" w14:textId="77777777" w:rsidTr="008E1074">
        <w:trPr>
          <w:jc w:val="center"/>
        </w:trPr>
        <w:tc>
          <w:tcPr>
            <w:tcW w:w="1427" w:type="pct"/>
          </w:tcPr>
          <w:p w14:paraId="05DADA4F" w14:textId="77777777" w:rsidR="003A69BA" w:rsidRPr="008E1074" w:rsidRDefault="003A69BA" w:rsidP="00EC58EF">
            <w:pPr>
              <w:rPr>
                <w:b/>
                <w:bCs/>
                <w:sz w:val="20"/>
                <w:szCs w:val="20"/>
              </w:rPr>
            </w:pPr>
            <w:r w:rsidRPr="008E1074">
              <w:rPr>
                <w:b/>
                <w:bCs/>
                <w:sz w:val="20"/>
                <w:szCs w:val="20"/>
              </w:rPr>
              <w:t>SPAP (mmHg)</w:t>
            </w:r>
          </w:p>
        </w:tc>
        <w:tc>
          <w:tcPr>
            <w:tcW w:w="3573" w:type="pct"/>
            <w:gridSpan w:val="8"/>
            <w:vAlign w:val="center"/>
          </w:tcPr>
          <w:p w14:paraId="37F5B7C1" w14:textId="77777777" w:rsidR="003A69BA" w:rsidRPr="008E1074" w:rsidRDefault="003A69BA" w:rsidP="00EC58EF">
            <w:pPr>
              <w:jc w:val="center"/>
              <w:rPr>
                <w:sz w:val="20"/>
                <w:szCs w:val="20"/>
              </w:rPr>
            </w:pPr>
          </w:p>
        </w:tc>
      </w:tr>
      <w:tr w:rsidR="003A69BA" w:rsidRPr="008E1074" w14:paraId="45108581" w14:textId="77777777" w:rsidTr="008E1074">
        <w:trPr>
          <w:trHeight w:val="513"/>
          <w:jc w:val="center"/>
        </w:trPr>
        <w:tc>
          <w:tcPr>
            <w:tcW w:w="1427" w:type="pct"/>
          </w:tcPr>
          <w:p w14:paraId="0E0B1DA9" w14:textId="77777777" w:rsidR="003A69BA" w:rsidRPr="008E1074" w:rsidRDefault="003A69BA" w:rsidP="00EC58EF">
            <w:pPr>
              <w:ind w:left="284"/>
              <w:rPr>
                <w:sz w:val="20"/>
                <w:szCs w:val="20"/>
                <w:highlight w:val="yellow"/>
              </w:rPr>
            </w:pPr>
            <w:r w:rsidRPr="008E1074">
              <w:rPr>
                <w:sz w:val="20"/>
                <w:szCs w:val="20"/>
              </w:rPr>
              <w:t>Median (Min. – Max.)</w:t>
            </w:r>
          </w:p>
        </w:tc>
        <w:tc>
          <w:tcPr>
            <w:tcW w:w="1007" w:type="pct"/>
            <w:gridSpan w:val="2"/>
            <w:vAlign w:val="center"/>
          </w:tcPr>
          <w:p w14:paraId="5B7D9484" w14:textId="77777777" w:rsidR="003A69BA" w:rsidRPr="008E1074" w:rsidRDefault="003A69BA" w:rsidP="00EC58EF">
            <w:pPr>
              <w:jc w:val="center"/>
              <w:rPr>
                <w:sz w:val="20"/>
                <w:szCs w:val="20"/>
                <w:highlight w:val="yellow"/>
              </w:rPr>
            </w:pPr>
            <w:r w:rsidRPr="008E1074">
              <w:rPr>
                <w:sz w:val="20"/>
                <w:szCs w:val="20"/>
              </w:rPr>
              <w:t>30 (23 – 50)</w:t>
            </w:r>
          </w:p>
        </w:tc>
        <w:tc>
          <w:tcPr>
            <w:tcW w:w="1007" w:type="pct"/>
            <w:gridSpan w:val="2"/>
            <w:vAlign w:val="center"/>
          </w:tcPr>
          <w:p w14:paraId="7BB767A9" w14:textId="77777777" w:rsidR="003A69BA" w:rsidRPr="008E1074" w:rsidRDefault="003A69BA" w:rsidP="00EC58EF">
            <w:pPr>
              <w:jc w:val="center"/>
              <w:rPr>
                <w:sz w:val="20"/>
                <w:szCs w:val="20"/>
                <w:highlight w:val="yellow"/>
              </w:rPr>
            </w:pPr>
            <w:r w:rsidRPr="008E1074">
              <w:rPr>
                <w:sz w:val="20"/>
                <w:szCs w:val="20"/>
              </w:rPr>
              <w:t>32 (23 – 44)</w:t>
            </w:r>
          </w:p>
        </w:tc>
        <w:tc>
          <w:tcPr>
            <w:tcW w:w="1007" w:type="pct"/>
            <w:gridSpan w:val="2"/>
            <w:vAlign w:val="center"/>
          </w:tcPr>
          <w:p w14:paraId="4610CB2F" w14:textId="77777777" w:rsidR="003A69BA" w:rsidRPr="008E1074" w:rsidRDefault="003A69BA" w:rsidP="00EC58EF">
            <w:pPr>
              <w:jc w:val="center"/>
              <w:rPr>
                <w:sz w:val="20"/>
                <w:szCs w:val="20"/>
                <w:highlight w:val="yellow"/>
              </w:rPr>
            </w:pPr>
            <w:r w:rsidRPr="008E1074">
              <w:rPr>
                <w:sz w:val="20"/>
                <w:szCs w:val="20"/>
              </w:rPr>
              <w:t>40.5 (23 – 65)</w:t>
            </w:r>
          </w:p>
        </w:tc>
        <w:tc>
          <w:tcPr>
            <w:tcW w:w="552" w:type="pct"/>
            <w:gridSpan w:val="2"/>
            <w:vAlign w:val="center"/>
          </w:tcPr>
          <w:p w14:paraId="0D4FAF9B" w14:textId="77777777" w:rsidR="003A69BA" w:rsidRPr="008E1074" w:rsidRDefault="003A69BA" w:rsidP="00EC58EF">
            <w:pPr>
              <w:jc w:val="center"/>
              <w:rPr>
                <w:sz w:val="20"/>
                <w:szCs w:val="20"/>
              </w:rPr>
            </w:pPr>
            <w:r w:rsidRPr="008E1074">
              <w:rPr>
                <w:sz w:val="20"/>
                <w:szCs w:val="20"/>
              </w:rPr>
              <w:t>0.127</w:t>
            </w:r>
          </w:p>
        </w:tc>
      </w:tr>
      <w:tr w:rsidR="003A69BA" w:rsidRPr="008E1074" w14:paraId="758F844C" w14:textId="77777777" w:rsidTr="008E1074">
        <w:trPr>
          <w:trHeight w:val="65"/>
          <w:jc w:val="center"/>
        </w:trPr>
        <w:tc>
          <w:tcPr>
            <w:tcW w:w="1427" w:type="pct"/>
          </w:tcPr>
          <w:p w14:paraId="25DE888C" w14:textId="77777777" w:rsidR="003A69BA" w:rsidRPr="008E1074" w:rsidRDefault="003A69BA" w:rsidP="00EC58EF">
            <w:pPr>
              <w:rPr>
                <w:b/>
                <w:bCs/>
                <w:sz w:val="20"/>
                <w:szCs w:val="20"/>
              </w:rPr>
            </w:pPr>
            <w:r w:rsidRPr="008E1074">
              <w:rPr>
                <w:b/>
                <w:bCs/>
                <w:sz w:val="20"/>
                <w:szCs w:val="20"/>
              </w:rPr>
              <w:t>E/E'</w:t>
            </w:r>
          </w:p>
        </w:tc>
        <w:tc>
          <w:tcPr>
            <w:tcW w:w="3573" w:type="pct"/>
            <w:gridSpan w:val="8"/>
            <w:vAlign w:val="center"/>
          </w:tcPr>
          <w:p w14:paraId="65291ECD" w14:textId="77777777" w:rsidR="003A69BA" w:rsidRPr="008E1074" w:rsidRDefault="003A69BA" w:rsidP="00EC58EF">
            <w:pPr>
              <w:jc w:val="center"/>
              <w:rPr>
                <w:sz w:val="20"/>
                <w:szCs w:val="20"/>
              </w:rPr>
            </w:pPr>
          </w:p>
        </w:tc>
      </w:tr>
      <w:tr w:rsidR="003A69BA" w:rsidRPr="008E1074" w14:paraId="74608F82" w14:textId="77777777" w:rsidTr="008E1074">
        <w:trPr>
          <w:trHeight w:val="513"/>
          <w:jc w:val="center"/>
        </w:trPr>
        <w:tc>
          <w:tcPr>
            <w:tcW w:w="1427" w:type="pct"/>
          </w:tcPr>
          <w:p w14:paraId="1DD3520B" w14:textId="77777777" w:rsidR="003A69BA" w:rsidRPr="008E1074" w:rsidRDefault="003A69BA" w:rsidP="00EC58EF">
            <w:pPr>
              <w:ind w:left="284"/>
              <w:rPr>
                <w:sz w:val="20"/>
                <w:szCs w:val="20"/>
                <w:highlight w:val="yellow"/>
              </w:rPr>
            </w:pPr>
            <w:r w:rsidRPr="008E1074">
              <w:rPr>
                <w:sz w:val="20"/>
                <w:szCs w:val="20"/>
              </w:rPr>
              <w:t>Median (Min. – Max.)</w:t>
            </w:r>
          </w:p>
        </w:tc>
        <w:tc>
          <w:tcPr>
            <w:tcW w:w="1007" w:type="pct"/>
            <w:gridSpan w:val="2"/>
            <w:vAlign w:val="center"/>
          </w:tcPr>
          <w:p w14:paraId="4EFF4257" w14:textId="77777777" w:rsidR="003A69BA" w:rsidRPr="008E1074" w:rsidRDefault="003A69BA" w:rsidP="00EC58EF">
            <w:pPr>
              <w:jc w:val="center"/>
              <w:rPr>
                <w:sz w:val="20"/>
                <w:szCs w:val="20"/>
                <w:highlight w:val="yellow"/>
              </w:rPr>
            </w:pPr>
            <w:r w:rsidRPr="008E1074">
              <w:rPr>
                <w:sz w:val="20"/>
                <w:szCs w:val="20"/>
              </w:rPr>
              <w:t>10.3 (4.3 – 16.3)</w:t>
            </w:r>
          </w:p>
        </w:tc>
        <w:tc>
          <w:tcPr>
            <w:tcW w:w="1007" w:type="pct"/>
            <w:gridSpan w:val="2"/>
            <w:vAlign w:val="center"/>
          </w:tcPr>
          <w:p w14:paraId="31A0F559" w14:textId="77777777" w:rsidR="003A69BA" w:rsidRPr="008E1074" w:rsidRDefault="003A69BA" w:rsidP="00EC58EF">
            <w:pPr>
              <w:jc w:val="center"/>
              <w:rPr>
                <w:sz w:val="20"/>
                <w:szCs w:val="20"/>
                <w:highlight w:val="yellow"/>
              </w:rPr>
            </w:pPr>
            <w:r w:rsidRPr="008E1074">
              <w:rPr>
                <w:sz w:val="20"/>
                <w:szCs w:val="20"/>
              </w:rPr>
              <w:t>10.2 (6.2 – 17.5)</w:t>
            </w:r>
          </w:p>
        </w:tc>
        <w:tc>
          <w:tcPr>
            <w:tcW w:w="1007" w:type="pct"/>
            <w:gridSpan w:val="2"/>
            <w:vAlign w:val="center"/>
          </w:tcPr>
          <w:p w14:paraId="06F126D6" w14:textId="77777777" w:rsidR="003A69BA" w:rsidRPr="008E1074" w:rsidRDefault="003A69BA" w:rsidP="00EC58EF">
            <w:pPr>
              <w:jc w:val="center"/>
              <w:rPr>
                <w:sz w:val="20"/>
                <w:szCs w:val="20"/>
                <w:highlight w:val="yellow"/>
              </w:rPr>
            </w:pPr>
            <w:r w:rsidRPr="008E1074">
              <w:rPr>
                <w:sz w:val="20"/>
                <w:szCs w:val="20"/>
              </w:rPr>
              <w:t>14.5 (5 – 18)</w:t>
            </w:r>
          </w:p>
        </w:tc>
        <w:tc>
          <w:tcPr>
            <w:tcW w:w="552" w:type="pct"/>
            <w:gridSpan w:val="2"/>
            <w:vAlign w:val="center"/>
          </w:tcPr>
          <w:p w14:paraId="6C6B8880" w14:textId="77777777" w:rsidR="003A69BA" w:rsidRPr="008E1074" w:rsidRDefault="003A69BA" w:rsidP="00EC58EF">
            <w:pPr>
              <w:jc w:val="center"/>
              <w:rPr>
                <w:sz w:val="20"/>
                <w:szCs w:val="20"/>
              </w:rPr>
            </w:pPr>
            <w:r w:rsidRPr="008E1074">
              <w:rPr>
                <w:sz w:val="20"/>
                <w:szCs w:val="20"/>
              </w:rPr>
              <w:t>0.176</w:t>
            </w:r>
          </w:p>
        </w:tc>
      </w:tr>
      <w:tr w:rsidR="003A69BA" w:rsidRPr="008E1074" w14:paraId="69D40369" w14:textId="77777777" w:rsidTr="008E1074">
        <w:trPr>
          <w:jc w:val="center"/>
        </w:trPr>
        <w:tc>
          <w:tcPr>
            <w:tcW w:w="1427" w:type="pct"/>
          </w:tcPr>
          <w:p w14:paraId="376E558E" w14:textId="77777777" w:rsidR="003A69BA" w:rsidRPr="008E1074" w:rsidRDefault="003A69BA" w:rsidP="00EC58EF">
            <w:pPr>
              <w:rPr>
                <w:b/>
                <w:bCs/>
                <w:sz w:val="20"/>
                <w:szCs w:val="20"/>
              </w:rPr>
            </w:pPr>
            <w:r w:rsidRPr="008E1074">
              <w:rPr>
                <w:b/>
                <w:bCs/>
                <w:sz w:val="20"/>
                <w:szCs w:val="20"/>
              </w:rPr>
              <w:t>TR</w:t>
            </w:r>
          </w:p>
        </w:tc>
        <w:tc>
          <w:tcPr>
            <w:tcW w:w="3573" w:type="pct"/>
            <w:gridSpan w:val="8"/>
            <w:vAlign w:val="center"/>
          </w:tcPr>
          <w:p w14:paraId="1ED4EEA5" w14:textId="77777777" w:rsidR="003A69BA" w:rsidRPr="008E1074" w:rsidRDefault="003A69BA" w:rsidP="00EC58EF">
            <w:pPr>
              <w:jc w:val="center"/>
              <w:rPr>
                <w:sz w:val="20"/>
                <w:szCs w:val="20"/>
              </w:rPr>
            </w:pPr>
          </w:p>
        </w:tc>
      </w:tr>
      <w:tr w:rsidR="003A69BA" w:rsidRPr="008E1074" w14:paraId="607EAFB9" w14:textId="77777777" w:rsidTr="008E1074">
        <w:trPr>
          <w:trHeight w:val="513"/>
          <w:jc w:val="center"/>
        </w:trPr>
        <w:tc>
          <w:tcPr>
            <w:tcW w:w="1427" w:type="pct"/>
          </w:tcPr>
          <w:p w14:paraId="0593BA53" w14:textId="77777777" w:rsidR="003A69BA" w:rsidRPr="008E1074" w:rsidRDefault="003A69BA" w:rsidP="00EC58EF">
            <w:pPr>
              <w:ind w:left="284"/>
              <w:rPr>
                <w:sz w:val="20"/>
                <w:szCs w:val="20"/>
                <w:highlight w:val="yellow"/>
              </w:rPr>
            </w:pPr>
            <w:r w:rsidRPr="008E1074">
              <w:rPr>
                <w:sz w:val="20"/>
                <w:szCs w:val="20"/>
              </w:rPr>
              <w:t>Median (Min. – Max.)</w:t>
            </w:r>
          </w:p>
        </w:tc>
        <w:tc>
          <w:tcPr>
            <w:tcW w:w="1007" w:type="pct"/>
            <w:gridSpan w:val="2"/>
            <w:vAlign w:val="center"/>
          </w:tcPr>
          <w:p w14:paraId="0F5FBA34" w14:textId="77777777" w:rsidR="003A69BA" w:rsidRPr="008E1074" w:rsidRDefault="003A69BA" w:rsidP="00EC58EF">
            <w:pPr>
              <w:jc w:val="center"/>
              <w:rPr>
                <w:sz w:val="20"/>
                <w:szCs w:val="20"/>
                <w:highlight w:val="yellow"/>
              </w:rPr>
            </w:pPr>
            <w:r w:rsidRPr="008E1074">
              <w:rPr>
                <w:sz w:val="20"/>
                <w:szCs w:val="20"/>
              </w:rPr>
              <w:t>2.7(2.3 – 3.6)</w:t>
            </w:r>
          </w:p>
        </w:tc>
        <w:tc>
          <w:tcPr>
            <w:tcW w:w="1007" w:type="pct"/>
            <w:gridSpan w:val="2"/>
            <w:vAlign w:val="center"/>
          </w:tcPr>
          <w:p w14:paraId="66770B45" w14:textId="77777777" w:rsidR="003A69BA" w:rsidRPr="008E1074" w:rsidRDefault="003A69BA" w:rsidP="00EC58EF">
            <w:pPr>
              <w:jc w:val="center"/>
              <w:rPr>
                <w:sz w:val="20"/>
                <w:szCs w:val="20"/>
                <w:highlight w:val="yellow"/>
              </w:rPr>
            </w:pPr>
            <w:r w:rsidRPr="008E1074">
              <w:rPr>
                <w:sz w:val="20"/>
                <w:szCs w:val="20"/>
              </w:rPr>
              <w:t>2.8 (2.3 – 3.3)</w:t>
            </w:r>
          </w:p>
        </w:tc>
        <w:tc>
          <w:tcPr>
            <w:tcW w:w="1007" w:type="pct"/>
            <w:gridSpan w:val="2"/>
            <w:vAlign w:val="center"/>
          </w:tcPr>
          <w:p w14:paraId="7FF8409C" w14:textId="77777777" w:rsidR="003A69BA" w:rsidRPr="008E1074" w:rsidRDefault="003A69BA" w:rsidP="00EC58EF">
            <w:pPr>
              <w:jc w:val="center"/>
              <w:rPr>
                <w:sz w:val="20"/>
                <w:szCs w:val="20"/>
                <w:highlight w:val="yellow"/>
              </w:rPr>
            </w:pPr>
            <w:r w:rsidRPr="008E1074">
              <w:rPr>
                <w:sz w:val="20"/>
                <w:szCs w:val="20"/>
              </w:rPr>
              <w:t>3.1 (2.3 – 4)</w:t>
            </w:r>
          </w:p>
        </w:tc>
        <w:tc>
          <w:tcPr>
            <w:tcW w:w="552" w:type="pct"/>
            <w:gridSpan w:val="2"/>
            <w:vAlign w:val="center"/>
          </w:tcPr>
          <w:p w14:paraId="71D3AC1C" w14:textId="77777777" w:rsidR="003A69BA" w:rsidRPr="008E1074" w:rsidRDefault="003A69BA" w:rsidP="00EC58EF">
            <w:pPr>
              <w:jc w:val="center"/>
              <w:rPr>
                <w:sz w:val="20"/>
                <w:szCs w:val="20"/>
              </w:rPr>
            </w:pPr>
            <w:r w:rsidRPr="008E1074">
              <w:rPr>
                <w:sz w:val="20"/>
                <w:szCs w:val="20"/>
              </w:rPr>
              <w:t>0.073</w:t>
            </w:r>
          </w:p>
        </w:tc>
      </w:tr>
      <w:tr w:rsidR="003A69BA" w:rsidRPr="008E1074" w14:paraId="0D9BD550" w14:textId="77777777" w:rsidTr="008E1074">
        <w:trPr>
          <w:jc w:val="center"/>
        </w:trPr>
        <w:tc>
          <w:tcPr>
            <w:tcW w:w="1427" w:type="pct"/>
            <w:tcBorders>
              <w:bottom w:val="single" w:sz="4" w:space="0" w:color="auto"/>
            </w:tcBorders>
          </w:tcPr>
          <w:p w14:paraId="7728284A" w14:textId="77777777" w:rsidR="003A69BA" w:rsidRPr="008E1074" w:rsidRDefault="003A69BA" w:rsidP="00EC58EF">
            <w:pPr>
              <w:rPr>
                <w:b/>
                <w:bCs/>
                <w:sz w:val="20"/>
                <w:szCs w:val="20"/>
              </w:rPr>
            </w:pPr>
            <w:r w:rsidRPr="008E1074">
              <w:rPr>
                <w:b/>
                <w:bCs/>
                <w:sz w:val="20"/>
                <w:szCs w:val="20"/>
              </w:rPr>
              <w:t>Cardiomyopathy</w:t>
            </w:r>
          </w:p>
        </w:tc>
        <w:tc>
          <w:tcPr>
            <w:tcW w:w="1007" w:type="pct"/>
            <w:gridSpan w:val="2"/>
            <w:tcBorders>
              <w:bottom w:val="single" w:sz="4" w:space="0" w:color="auto"/>
            </w:tcBorders>
            <w:vAlign w:val="center"/>
          </w:tcPr>
          <w:p w14:paraId="5A9EA826" w14:textId="77777777" w:rsidR="003A69BA" w:rsidRPr="008E1074" w:rsidRDefault="003A69BA" w:rsidP="00EC58EF">
            <w:pPr>
              <w:jc w:val="center"/>
              <w:rPr>
                <w:sz w:val="20"/>
                <w:szCs w:val="20"/>
              </w:rPr>
            </w:pPr>
            <w:r w:rsidRPr="008E1074">
              <w:rPr>
                <w:sz w:val="20"/>
                <w:szCs w:val="20"/>
              </w:rPr>
              <w:t>5 (25%)</w:t>
            </w:r>
          </w:p>
        </w:tc>
        <w:tc>
          <w:tcPr>
            <w:tcW w:w="1007" w:type="pct"/>
            <w:gridSpan w:val="2"/>
            <w:tcBorders>
              <w:bottom w:val="single" w:sz="4" w:space="0" w:color="auto"/>
            </w:tcBorders>
            <w:vAlign w:val="center"/>
          </w:tcPr>
          <w:p w14:paraId="13A5B105" w14:textId="77777777" w:rsidR="003A69BA" w:rsidRPr="008E1074" w:rsidRDefault="003A69BA" w:rsidP="00EC58EF">
            <w:pPr>
              <w:jc w:val="center"/>
              <w:rPr>
                <w:sz w:val="20"/>
                <w:szCs w:val="20"/>
              </w:rPr>
            </w:pPr>
            <w:r w:rsidRPr="008E1074">
              <w:rPr>
                <w:sz w:val="20"/>
                <w:szCs w:val="20"/>
              </w:rPr>
              <w:t>6 (30%)</w:t>
            </w:r>
          </w:p>
        </w:tc>
        <w:tc>
          <w:tcPr>
            <w:tcW w:w="1007" w:type="pct"/>
            <w:gridSpan w:val="2"/>
            <w:tcBorders>
              <w:bottom w:val="single" w:sz="4" w:space="0" w:color="auto"/>
            </w:tcBorders>
            <w:vAlign w:val="center"/>
          </w:tcPr>
          <w:p w14:paraId="5684BFEB" w14:textId="77777777" w:rsidR="003A69BA" w:rsidRPr="008E1074" w:rsidRDefault="003A69BA" w:rsidP="00EC58EF">
            <w:pPr>
              <w:jc w:val="center"/>
              <w:rPr>
                <w:sz w:val="20"/>
                <w:szCs w:val="20"/>
              </w:rPr>
            </w:pPr>
            <w:r w:rsidRPr="008E1074">
              <w:rPr>
                <w:sz w:val="20"/>
                <w:szCs w:val="20"/>
              </w:rPr>
              <w:t>7 (35%)</w:t>
            </w:r>
          </w:p>
        </w:tc>
        <w:tc>
          <w:tcPr>
            <w:tcW w:w="552" w:type="pct"/>
            <w:gridSpan w:val="2"/>
            <w:tcBorders>
              <w:bottom w:val="single" w:sz="4" w:space="0" w:color="auto"/>
            </w:tcBorders>
            <w:vAlign w:val="center"/>
          </w:tcPr>
          <w:p w14:paraId="3DC36F91" w14:textId="77777777" w:rsidR="003A69BA" w:rsidRPr="008E1074" w:rsidRDefault="003A69BA" w:rsidP="008E1074">
            <w:pPr>
              <w:keepNext/>
              <w:jc w:val="center"/>
              <w:rPr>
                <w:sz w:val="20"/>
                <w:szCs w:val="20"/>
              </w:rPr>
            </w:pPr>
            <w:r w:rsidRPr="008E1074">
              <w:rPr>
                <w:sz w:val="20"/>
                <w:szCs w:val="20"/>
              </w:rPr>
              <w:t>0.788</w:t>
            </w:r>
          </w:p>
        </w:tc>
      </w:tr>
    </w:tbl>
    <w:p w14:paraId="0ECF7E94" w14:textId="2447EB5E" w:rsidR="008E1074" w:rsidRPr="008E1074" w:rsidRDefault="008E1074" w:rsidP="006E0FB6">
      <w:pPr>
        <w:spacing w:before="200" w:after="0" w:line="240" w:lineRule="auto"/>
        <w:ind w:left="284" w:hanging="284"/>
        <w:jc w:val="both"/>
        <w:rPr>
          <w:i/>
          <w:iCs/>
          <w:color w:val="0E2841" w:themeColor="text2"/>
          <w:sz w:val="18"/>
          <w:szCs w:val="18"/>
        </w:rPr>
      </w:pPr>
      <w:bookmarkStart w:id="0" w:name="_Hlk162613263"/>
      <w:r w:rsidRPr="008E1074">
        <w:rPr>
          <w:i/>
          <w:iCs/>
          <w:color w:val="0E2841" w:themeColor="text2"/>
          <w:sz w:val="18"/>
          <w:szCs w:val="18"/>
        </w:rPr>
        <w:t xml:space="preserve">SD: </w:t>
      </w:r>
      <w:r w:rsidRPr="008E1074">
        <w:rPr>
          <w:b/>
          <w:bCs/>
          <w:i/>
          <w:iCs/>
          <w:color w:val="0E2841" w:themeColor="text2"/>
          <w:sz w:val="18"/>
          <w:szCs w:val="18"/>
        </w:rPr>
        <w:t>Standard deviation</w:t>
      </w:r>
      <w:r w:rsidR="006E0FB6">
        <w:rPr>
          <w:b/>
          <w:bCs/>
          <w:i/>
          <w:iCs/>
          <w:color w:val="0E2841" w:themeColor="text2"/>
          <w:sz w:val="18"/>
          <w:szCs w:val="18"/>
        </w:rPr>
        <w:t xml:space="preserve">, </w:t>
      </w:r>
      <w:r w:rsidRPr="008E1074">
        <w:rPr>
          <w:i/>
          <w:iCs/>
          <w:color w:val="0E2841" w:themeColor="text2"/>
          <w:sz w:val="18"/>
          <w:szCs w:val="18"/>
        </w:rPr>
        <w:t xml:space="preserve">p: </w:t>
      </w:r>
      <w:r w:rsidR="00FA06C0">
        <w:rPr>
          <w:i/>
          <w:iCs/>
          <w:color w:val="0E2841" w:themeColor="text2"/>
          <w:sz w:val="18"/>
          <w:szCs w:val="18"/>
        </w:rPr>
        <w:t xml:space="preserve">p-value for comparing </w:t>
      </w:r>
      <w:r w:rsidRPr="008E1074">
        <w:rPr>
          <w:i/>
          <w:iCs/>
          <w:color w:val="0E2841" w:themeColor="text2"/>
          <w:sz w:val="18"/>
          <w:szCs w:val="18"/>
        </w:rPr>
        <w:t>the three studied groups</w:t>
      </w:r>
      <w:r w:rsidR="006E0FB6">
        <w:rPr>
          <w:i/>
          <w:iCs/>
          <w:color w:val="0E2841" w:themeColor="text2"/>
          <w:sz w:val="18"/>
          <w:szCs w:val="18"/>
        </w:rPr>
        <w:t xml:space="preserve">, </w:t>
      </w:r>
      <w:r w:rsidRPr="008E1074">
        <w:rPr>
          <w:i/>
          <w:iCs/>
          <w:color w:val="0E2841" w:themeColor="text2"/>
          <w:sz w:val="18"/>
          <w:szCs w:val="18"/>
        </w:rPr>
        <w:t>p</w:t>
      </w:r>
      <w:r w:rsidRPr="008E1074">
        <w:rPr>
          <w:i/>
          <w:iCs/>
          <w:color w:val="0E2841" w:themeColor="text2"/>
          <w:sz w:val="18"/>
          <w:szCs w:val="18"/>
          <w:vertAlign w:val="subscript"/>
        </w:rPr>
        <w:t>1</w:t>
      </w:r>
      <w:r w:rsidRPr="008E1074">
        <w:rPr>
          <w:i/>
          <w:iCs/>
          <w:color w:val="0E2841" w:themeColor="text2"/>
          <w:sz w:val="18"/>
          <w:szCs w:val="18"/>
        </w:rPr>
        <w:t xml:space="preserve">: </w:t>
      </w:r>
      <w:r w:rsidR="00FA06C0">
        <w:rPr>
          <w:i/>
          <w:iCs/>
          <w:color w:val="0E2841" w:themeColor="text2"/>
          <w:sz w:val="18"/>
          <w:szCs w:val="18"/>
        </w:rPr>
        <w:t>p-value</w:t>
      </w:r>
      <w:r w:rsidRPr="008E1074">
        <w:rPr>
          <w:i/>
          <w:iCs/>
          <w:color w:val="0E2841" w:themeColor="text2"/>
          <w:sz w:val="18"/>
          <w:szCs w:val="18"/>
        </w:rPr>
        <w:t xml:space="preserve"> for comparing between </w:t>
      </w:r>
      <w:r w:rsidRPr="008E1074">
        <w:rPr>
          <w:b/>
          <w:bCs/>
          <w:i/>
          <w:iCs/>
          <w:color w:val="0E2841" w:themeColor="text2"/>
          <w:sz w:val="18"/>
          <w:szCs w:val="18"/>
        </w:rPr>
        <w:t>Control</w:t>
      </w:r>
      <w:r w:rsidRPr="008E1074">
        <w:rPr>
          <w:i/>
          <w:iCs/>
          <w:color w:val="0E2841" w:themeColor="text2"/>
          <w:sz w:val="18"/>
          <w:szCs w:val="18"/>
        </w:rPr>
        <w:t xml:space="preserve"> and </w:t>
      </w:r>
      <w:r w:rsidRPr="008E1074">
        <w:rPr>
          <w:b/>
          <w:bCs/>
          <w:i/>
          <w:iCs/>
          <w:color w:val="0E2841" w:themeColor="text2"/>
          <w:sz w:val="18"/>
          <w:szCs w:val="18"/>
        </w:rPr>
        <w:t>Cases S</w:t>
      </w:r>
      <w:r w:rsidR="006E0FB6">
        <w:rPr>
          <w:b/>
          <w:bCs/>
          <w:i/>
          <w:iCs/>
          <w:color w:val="0E2841" w:themeColor="text2"/>
          <w:sz w:val="18"/>
          <w:szCs w:val="18"/>
        </w:rPr>
        <w:t xml:space="preserve">, </w:t>
      </w:r>
      <w:r w:rsidRPr="008E1074">
        <w:rPr>
          <w:i/>
          <w:iCs/>
          <w:color w:val="0E2841" w:themeColor="text2"/>
          <w:sz w:val="18"/>
          <w:szCs w:val="18"/>
        </w:rPr>
        <w:t>p</w:t>
      </w:r>
      <w:r w:rsidRPr="008E1074">
        <w:rPr>
          <w:i/>
          <w:iCs/>
          <w:color w:val="0E2841" w:themeColor="text2"/>
          <w:sz w:val="18"/>
          <w:szCs w:val="18"/>
          <w:vertAlign w:val="subscript"/>
        </w:rPr>
        <w:t>2</w:t>
      </w:r>
      <w:r w:rsidRPr="008E1074">
        <w:rPr>
          <w:i/>
          <w:iCs/>
          <w:color w:val="0E2841" w:themeColor="text2"/>
          <w:sz w:val="18"/>
          <w:szCs w:val="18"/>
        </w:rPr>
        <w:t xml:space="preserve">: </w:t>
      </w:r>
      <w:r w:rsidR="00FA06C0">
        <w:rPr>
          <w:i/>
          <w:iCs/>
          <w:color w:val="0E2841" w:themeColor="text2"/>
          <w:sz w:val="18"/>
          <w:szCs w:val="18"/>
        </w:rPr>
        <w:t>p-value</w:t>
      </w:r>
      <w:r w:rsidRPr="008E1074">
        <w:rPr>
          <w:i/>
          <w:iCs/>
          <w:color w:val="0E2841" w:themeColor="text2"/>
          <w:sz w:val="18"/>
          <w:szCs w:val="18"/>
        </w:rPr>
        <w:t xml:space="preserve"> for comparing between </w:t>
      </w:r>
      <w:r w:rsidRPr="008E1074">
        <w:rPr>
          <w:b/>
          <w:bCs/>
          <w:i/>
          <w:iCs/>
          <w:color w:val="0E2841" w:themeColor="text2"/>
          <w:sz w:val="18"/>
          <w:szCs w:val="18"/>
        </w:rPr>
        <w:t>Control</w:t>
      </w:r>
      <w:r w:rsidRPr="008E1074">
        <w:rPr>
          <w:i/>
          <w:iCs/>
          <w:color w:val="0E2841" w:themeColor="text2"/>
          <w:sz w:val="18"/>
          <w:szCs w:val="18"/>
        </w:rPr>
        <w:t xml:space="preserve"> and </w:t>
      </w:r>
      <w:r w:rsidRPr="008E1074">
        <w:rPr>
          <w:b/>
          <w:bCs/>
          <w:i/>
          <w:iCs/>
          <w:color w:val="0E2841" w:themeColor="text2"/>
          <w:sz w:val="18"/>
          <w:szCs w:val="18"/>
        </w:rPr>
        <w:t>Cases I</w:t>
      </w:r>
      <w:r w:rsidR="006E0FB6">
        <w:rPr>
          <w:b/>
          <w:bCs/>
          <w:i/>
          <w:iCs/>
          <w:color w:val="0E2841" w:themeColor="text2"/>
          <w:sz w:val="18"/>
          <w:szCs w:val="18"/>
        </w:rPr>
        <w:t xml:space="preserve">, </w:t>
      </w:r>
      <w:r w:rsidRPr="008E1074">
        <w:rPr>
          <w:i/>
          <w:iCs/>
          <w:color w:val="0E2841" w:themeColor="text2"/>
          <w:sz w:val="18"/>
          <w:szCs w:val="18"/>
          <w:vertAlign w:val="subscript"/>
        </w:rPr>
        <w:t>3</w:t>
      </w:r>
      <w:r w:rsidRPr="008E1074">
        <w:rPr>
          <w:i/>
          <w:iCs/>
          <w:color w:val="0E2841" w:themeColor="text2"/>
          <w:sz w:val="18"/>
          <w:szCs w:val="18"/>
        </w:rPr>
        <w:t xml:space="preserve">: </w:t>
      </w:r>
      <w:r w:rsidR="00FA06C0">
        <w:rPr>
          <w:i/>
          <w:iCs/>
          <w:color w:val="0E2841" w:themeColor="text2"/>
          <w:sz w:val="18"/>
          <w:szCs w:val="18"/>
        </w:rPr>
        <w:t>p-value</w:t>
      </w:r>
      <w:r w:rsidRPr="008E1074">
        <w:rPr>
          <w:i/>
          <w:iCs/>
          <w:color w:val="0E2841" w:themeColor="text2"/>
          <w:sz w:val="18"/>
          <w:szCs w:val="18"/>
        </w:rPr>
        <w:t xml:space="preserve"> for comparing between </w:t>
      </w:r>
      <w:r w:rsidRPr="008E1074">
        <w:rPr>
          <w:b/>
          <w:bCs/>
          <w:i/>
          <w:iCs/>
          <w:color w:val="0E2841" w:themeColor="text2"/>
          <w:sz w:val="18"/>
          <w:szCs w:val="18"/>
        </w:rPr>
        <w:t>Cases S</w:t>
      </w:r>
      <w:r w:rsidRPr="008E1074">
        <w:rPr>
          <w:i/>
          <w:iCs/>
          <w:color w:val="0E2841" w:themeColor="text2"/>
          <w:sz w:val="18"/>
          <w:szCs w:val="18"/>
        </w:rPr>
        <w:t xml:space="preserve"> and </w:t>
      </w:r>
      <w:r w:rsidRPr="008E1074">
        <w:rPr>
          <w:b/>
          <w:bCs/>
          <w:i/>
          <w:iCs/>
          <w:color w:val="0E2841" w:themeColor="text2"/>
          <w:sz w:val="18"/>
          <w:szCs w:val="18"/>
        </w:rPr>
        <w:t>Cases I</w:t>
      </w:r>
      <w:r w:rsidR="006E0FB6">
        <w:rPr>
          <w:b/>
          <w:bCs/>
          <w:i/>
          <w:iCs/>
          <w:color w:val="0E2841" w:themeColor="text2"/>
          <w:sz w:val="18"/>
          <w:szCs w:val="18"/>
        </w:rPr>
        <w:t xml:space="preserve">, </w:t>
      </w:r>
      <w:r w:rsidRPr="008E1074">
        <w:rPr>
          <w:i/>
          <w:iCs/>
          <w:color w:val="0E2841" w:themeColor="text2"/>
          <w:sz w:val="18"/>
          <w:szCs w:val="18"/>
        </w:rPr>
        <w:t xml:space="preserve">*: Statistically significant at p ≤ 0.05 </w:t>
      </w:r>
    </w:p>
    <w:bookmarkEnd w:id="0"/>
    <w:p w14:paraId="13EA5AAF" w14:textId="1A703ACF" w:rsidR="001F7617" w:rsidRDefault="005B72C5" w:rsidP="00A83FB8">
      <w:pPr>
        <w:spacing w:line="360" w:lineRule="auto"/>
        <w:jc w:val="both"/>
        <w:rPr>
          <w:rFonts w:asciiTheme="majorBidi" w:hAnsiTheme="majorBidi" w:cstheme="majorBidi"/>
          <w:sz w:val="24"/>
          <w:szCs w:val="24"/>
        </w:rPr>
      </w:pPr>
      <w:r w:rsidRPr="005B72C5">
        <w:rPr>
          <w:rFonts w:asciiTheme="majorBidi" w:hAnsiTheme="majorBidi" w:cstheme="majorBidi"/>
          <w:sz w:val="24"/>
          <w:szCs w:val="24"/>
        </w:rPr>
        <w:t xml:space="preserve">Also, a highly significant positive correlation was found between the child score of the patients and the corrected QT interval (p&lt;0.001) (table </w:t>
      </w:r>
      <w:r w:rsidR="00BC3AD5">
        <w:rPr>
          <w:rFonts w:asciiTheme="majorBidi" w:hAnsiTheme="majorBidi" w:cstheme="majorBidi"/>
          <w:sz w:val="24"/>
          <w:szCs w:val="24"/>
        </w:rPr>
        <w:t>6</w:t>
      </w:r>
      <w:r w:rsidRPr="005B72C5">
        <w:rPr>
          <w:rFonts w:asciiTheme="majorBidi" w:hAnsiTheme="majorBidi" w:cstheme="majorBidi"/>
          <w:sz w:val="24"/>
          <w:szCs w:val="24"/>
        </w:rPr>
        <w:t>).</w:t>
      </w:r>
    </w:p>
    <w:p w14:paraId="0FCFDDA7" w14:textId="20A9A7D8" w:rsidR="00023E53" w:rsidRDefault="00023E53" w:rsidP="00023E53">
      <w:pPr>
        <w:pStyle w:val="Caption"/>
        <w:keepNext/>
      </w:pPr>
      <w:r>
        <w:t xml:space="preserve">Tab 5. </w:t>
      </w:r>
      <w:r w:rsidRPr="00023E53">
        <w:rPr>
          <w:b/>
          <w:bCs/>
        </w:rPr>
        <w:t>Relation</w:t>
      </w:r>
      <w:r>
        <w:rPr>
          <w:b/>
          <w:bCs/>
        </w:rPr>
        <w:t>ship</w:t>
      </w:r>
      <w:r w:rsidRPr="00023E53">
        <w:rPr>
          <w:b/>
          <w:bCs/>
        </w:rPr>
        <w:t xml:space="preserve"> between Child score with QTC and Cardiomyopathy in</w:t>
      </w:r>
      <w:r w:rsidRPr="00023E53">
        <w:t xml:space="preserve"> </w:t>
      </w:r>
      <w:r>
        <w:t xml:space="preserve">the </w:t>
      </w:r>
      <w:r w:rsidRPr="00023E53">
        <w:rPr>
          <w:b/>
          <w:bCs/>
        </w:rPr>
        <w:t>total sample</w:t>
      </w:r>
      <w:r>
        <w:rPr>
          <w:b/>
          <w:bC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Caption w:val="Table (5): Relation between Child score with QTC and Cardiomyopathy in total sample (n= 60) "/>
      </w:tblPr>
      <w:tblGrid>
        <w:gridCol w:w="2653"/>
        <w:gridCol w:w="1872"/>
        <w:gridCol w:w="1872"/>
        <w:gridCol w:w="1872"/>
        <w:gridCol w:w="1091"/>
      </w:tblGrid>
      <w:tr w:rsidR="00023E53" w:rsidRPr="00023E53" w14:paraId="1423FE87" w14:textId="77777777" w:rsidTr="00EC58EF">
        <w:trPr>
          <w:jc w:val="center"/>
        </w:trPr>
        <w:tc>
          <w:tcPr>
            <w:tcW w:w="1417" w:type="pct"/>
            <w:vMerge w:val="restart"/>
            <w:tcBorders>
              <w:top w:val="single" w:sz="4" w:space="0" w:color="auto"/>
            </w:tcBorders>
            <w:vAlign w:val="center"/>
          </w:tcPr>
          <w:p w14:paraId="22A1F94E" w14:textId="77777777" w:rsidR="00023E53" w:rsidRPr="00023E53" w:rsidRDefault="00023E53" w:rsidP="00EC58EF">
            <w:pPr>
              <w:spacing w:before="80" w:after="40"/>
              <w:jc w:val="center"/>
              <w:rPr>
                <w:rFonts w:asciiTheme="majorBidi" w:hAnsiTheme="majorBidi" w:cstheme="majorBidi"/>
                <w:b/>
                <w:bCs/>
                <w:sz w:val="20"/>
                <w:szCs w:val="20"/>
              </w:rPr>
            </w:pPr>
          </w:p>
        </w:tc>
        <w:tc>
          <w:tcPr>
            <w:tcW w:w="3000" w:type="pct"/>
            <w:gridSpan w:val="3"/>
            <w:tcBorders>
              <w:top w:val="single" w:sz="4" w:space="0" w:color="auto"/>
            </w:tcBorders>
            <w:vAlign w:val="center"/>
          </w:tcPr>
          <w:p w14:paraId="3AE5EBC5" w14:textId="77777777" w:rsidR="00023E53" w:rsidRPr="00023E53" w:rsidRDefault="00023E53" w:rsidP="00EC58EF">
            <w:pPr>
              <w:spacing w:before="80" w:after="40"/>
              <w:jc w:val="center"/>
              <w:rPr>
                <w:rFonts w:asciiTheme="majorBidi" w:hAnsiTheme="majorBidi" w:cstheme="majorBidi"/>
                <w:b/>
                <w:bCs/>
                <w:sz w:val="20"/>
                <w:szCs w:val="20"/>
              </w:rPr>
            </w:pPr>
            <w:r w:rsidRPr="00023E53">
              <w:rPr>
                <w:rFonts w:asciiTheme="majorBidi" w:hAnsiTheme="majorBidi" w:cstheme="majorBidi"/>
                <w:b/>
                <w:bCs/>
                <w:sz w:val="20"/>
                <w:szCs w:val="20"/>
              </w:rPr>
              <w:t>Child score</w:t>
            </w:r>
          </w:p>
        </w:tc>
        <w:tc>
          <w:tcPr>
            <w:tcW w:w="583" w:type="pct"/>
            <w:vMerge w:val="restart"/>
            <w:tcBorders>
              <w:top w:val="single" w:sz="4" w:space="0" w:color="auto"/>
            </w:tcBorders>
            <w:vAlign w:val="center"/>
          </w:tcPr>
          <w:p w14:paraId="2192B484" w14:textId="77777777" w:rsidR="00023E53" w:rsidRPr="00023E53" w:rsidRDefault="00023E53" w:rsidP="00EC58EF">
            <w:pPr>
              <w:spacing w:before="80" w:after="40"/>
              <w:jc w:val="center"/>
              <w:rPr>
                <w:rFonts w:asciiTheme="majorBidi" w:hAnsiTheme="majorBidi" w:cstheme="majorBidi"/>
                <w:b/>
                <w:bCs/>
                <w:sz w:val="20"/>
                <w:szCs w:val="20"/>
              </w:rPr>
            </w:pPr>
            <w:r w:rsidRPr="00023E53">
              <w:rPr>
                <w:rFonts w:asciiTheme="majorBidi" w:hAnsiTheme="majorBidi" w:cstheme="majorBidi"/>
                <w:b/>
                <w:bCs/>
                <w:sz w:val="20"/>
                <w:szCs w:val="20"/>
              </w:rPr>
              <w:t>p</w:t>
            </w:r>
          </w:p>
        </w:tc>
      </w:tr>
      <w:tr w:rsidR="00023E53" w:rsidRPr="00023E53" w14:paraId="0BA6BA17" w14:textId="77777777" w:rsidTr="00EC58EF">
        <w:trPr>
          <w:jc w:val="center"/>
        </w:trPr>
        <w:tc>
          <w:tcPr>
            <w:tcW w:w="1417" w:type="pct"/>
            <w:vMerge/>
            <w:tcBorders>
              <w:bottom w:val="single" w:sz="4" w:space="0" w:color="auto"/>
            </w:tcBorders>
            <w:vAlign w:val="center"/>
          </w:tcPr>
          <w:p w14:paraId="43E83AF6" w14:textId="77777777" w:rsidR="00023E53" w:rsidRPr="00023E53" w:rsidRDefault="00023E53" w:rsidP="00EC58EF">
            <w:pPr>
              <w:spacing w:before="80" w:after="40"/>
              <w:jc w:val="center"/>
              <w:rPr>
                <w:rFonts w:asciiTheme="majorBidi" w:hAnsiTheme="majorBidi" w:cstheme="majorBidi"/>
                <w:b/>
                <w:bCs/>
                <w:sz w:val="20"/>
                <w:szCs w:val="20"/>
              </w:rPr>
            </w:pPr>
          </w:p>
        </w:tc>
        <w:tc>
          <w:tcPr>
            <w:tcW w:w="1000" w:type="pct"/>
            <w:tcBorders>
              <w:bottom w:val="single" w:sz="4" w:space="0" w:color="auto"/>
            </w:tcBorders>
            <w:vAlign w:val="center"/>
          </w:tcPr>
          <w:p w14:paraId="3F2AD8DE" w14:textId="77777777" w:rsidR="00023E53" w:rsidRPr="00023E53" w:rsidRDefault="00023E53" w:rsidP="00EC58EF">
            <w:pPr>
              <w:spacing w:before="80" w:after="40"/>
              <w:jc w:val="center"/>
              <w:rPr>
                <w:rFonts w:asciiTheme="majorBidi" w:hAnsiTheme="majorBidi" w:cstheme="majorBidi"/>
                <w:b/>
                <w:bCs/>
                <w:sz w:val="20"/>
                <w:szCs w:val="20"/>
              </w:rPr>
            </w:pPr>
            <w:r w:rsidRPr="00023E53">
              <w:rPr>
                <w:rFonts w:asciiTheme="majorBidi" w:hAnsiTheme="majorBidi" w:cstheme="majorBidi"/>
                <w:b/>
                <w:bCs/>
                <w:sz w:val="20"/>
                <w:szCs w:val="20"/>
              </w:rPr>
              <w:t>A (n= 11)</w:t>
            </w:r>
          </w:p>
        </w:tc>
        <w:tc>
          <w:tcPr>
            <w:tcW w:w="1000" w:type="pct"/>
            <w:tcBorders>
              <w:bottom w:val="single" w:sz="4" w:space="0" w:color="auto"/>
            </w:tcBorders>
            <w:vAlign w:val="center"/>
          </w:tcPr>
          <w:p w14:paraId="69CE8CE5" w14:textId="77777777" w:rsidR="00023E53" w:rsidRPr="00023E53" w:rsidRDefault="00023E53" w:rsidP="00EC58EF">
            <w:pPr>
              <w:spacing w:before="80" w:after="40"/>
              <w:jc w:val="center"/>
              <w:rPr>
                <w:rFonts w:asciiTheme="majorBidi" w:hAnsiTheme="majorBidi" w:cstheme="majorBidi"/>
                <w:b/>
                <w:bCs/>
                <w:sz w:val="20"/>
                <w:szCs w:val="20"/>
              </w:rPr>
            </w:pPr>
            <w:r w:rsidRPr="00023E53">
              <w:rPr>
                <w:rFonts w:asciiTheme="majorBidi" w:hAnsiTheme="majorBidi" w:cstheme="majorBidi"/>
                <w:b/>
                <w:bCs/>
                <w:sz w:val="20"/>
                <w:szCs w:val="20"/>
              </w:rPr>
              <w:t>B (n= 32)</w:t>
            </w:r>
          </w:p>
        </w:tc>
        <w:tc>
          <w:tcPr>
            <w:tcW w:w="1000" w:type="pct"/>
            <w:tcBorders>
              <w:bottom w:val="single" w:sz="4" w:space="0" w:color="auto"/>
            </w:tcBorders>
            <w:vAlign w:val="center"/>
          </w:tcPr>
          <w:p w14:paraId="34001BA3" w14:textId="77777777" w:rsidR="00023E53" w:rsidRPr="00023E53" w:rsidRDefault="00023E53" w:rsidP="00EC58EF">
            <w:pPr>
              <w:spacing w:before="80" w:after="40"/>
              <w:jc w:val="center"/>
              <w:rPr>
                <w:rFonts w:asciiTheme="majorBidi" w:hAnsiTheme="majorBidi" w:cstheme="majorBidi"/>
                <w:b/>
                <w:bCs/>
                <w:sz w:val="20"/>
                <w:szCs w:val="20"/>
              </w:rPr>
            </w:pPr>
            <w:r w:rsidRPr="00023E53">
              <w:rPr>
                <w:rFonts w:asciiTheme="majorBidi" w:hAnsiTheme="majorBidi" w:cstheme="majorBidi"/>
                <w:b/>
                <w:bCs/>
                <w:sz w:val="20"/>
                <w:szCs w:val="20"/>
              </w:rPr>
              <w:t>C (n= 17)</w:t>
            </w:r>
          </w:p>
        </w:tc>
        <w:tc>
          <w:tcPr>
            <w:tcW w:w="583" w:type="pct"/>
            <w:vMerge/>
            <w:tcBorders>
              <w:bottom w:val="single" w:sz="4" w:space="0" w:color="auto"/>
            </w:tcBorders>
            <w:vAlign w:val="center"/>
          </w:tcPr>
          <w:p w14:paraId="03310C04" w14:textId="77777777" w:rsidR="00023E53" w:rsidRPr="00023E53" w:rsidRDefault="00023E53" w:rsidP="00EC58EF">
            <w:pPr>
              <w:spacing w:before="80" w:after="40"/>
              <w:jc w:val="center"/>
              <w:rPr>
                <w:rFonts w:asciiTheme="majorBidi" w:hAnsiTheme="majorBidi" w:cstheme="majorBidi"/>
                <w:b/>
                <w:bCs/>
                <w:sz w:val="20"/>
                <w:szCs w:val="20"/>
              </w:rPr>
            </w:pPr>
          </w:p>
        </w:tc>
      </w:tr>
      <w:tr w:rsidR="00023E53" w:rsidRPr="00023E53" w14:paraId="572BB530" w14:textId="77777777" w:rsidTr="00EC58EF">
        <w:trPr>
          <w:jc w:val="center"/>
        </w:trPr>
        <w:tc>
          <w:tcPr>
            <w:tcW w:w="1417" w:type="pct"/>
            <w:tcBorders>
              <w:top w:val="single" w:sz="4" w:space="0" w:color="auto"/>
            </w:tcBorders>
          </w:tcPr>
          <w:p w14:paraId="163DC686" w14:textId="77777777" w:rsidR="00023E53" w:rsidRPr="00023E53" w:rsidRDefault="00023E53" w:rsidP="00EC58EF">
            <w:pPr>
              <w:spacing w:before="80" w:after="40"/>
              <w:rPr>
                <w:rFonts w:asciiTheme="majorBidi" w:hAnsiTheme="majorBidi" w:cstheme="majorBidi"/>
                <w:b/>
                <w:bCs/>
                <w:sz w:val="20"/>
                <w:szCs w:val="20"/>
              </w:rPr>
            </w:pPr>
            <w:r w:rsidRPr="00023E53">
              <w:rPr>
                <w:rFonts w:asciiTheme="majorBidi" w:hAnsiTheme="majorBidi" w:cstheme="majorBidi"/>
                <w:b/>
                <w:bCs/>
                <w:sz w:val="20"/>
                <w:szCs w:val="20"/>
              </w:rPr>
              <w:t>QTc (ms)</w:t>
            </w:r>
          </w:p>
        </w:tc>
        <w:tc>
          <w:tcPr>
            <w:tcW w:w="1000" w:type="pct"/>
            <w:tcBorders>
              <w:top w:val="single" w:sz="4" w:space="0" w:color="auto"/>
            </w:tcBorders>
            <w:vAlign w:val="center"/>
          </w:tcPr>
          <w:p w14:paraId="5AF5B5B2" w14:textId="77777777" w:rsidR="00023E53" w:rsidRPr="00023E53" w:rsidRDefault="00023E53" w:rsidP="00EC58EF">
            <w:pPr>
              <w:spacing w:before="80" w:after="40"/>
              <w:jc w:val="center"/>
              <w:rPr>
                <w:rFonts w:asciiTheme="majorBidi" w:hAnsiTheme="majorBidi" w:cstheme="majorBidi"/>
                <w:sz w:val="20"/>
                <w:szCs w:val="20"/>
              </w:rPr>
            </w:pPr>
          </w:p>
        </w:tc>
        <w:tc>
          <w:tcPr>
            <w:tcW w:w="1000" w:type="pct"/>
            <w:tcBorders>
              <w:top w:val="single" w:sz="4" w:space="0" w:color="auto"/>
            </w:tcBorders>
            <w:vAlign w:val="center"/>
          </w:tcPr>
          <w:p w14:paraId="1F485302" w14:textId="77777777" w:rsidR="00023E53" w:rsidRPr="00023E53" w:rsidRDefault="00023E53" w:rsidP="00EC58EF">
            <w:pPr>
              <w:spacing w:before="80" w:after="40"/>
              <w:jc w:val="center"/>
              <w:rPr>
                <w:rFonts w:asciiTheme="majorBidi" w:hAnsiTheme="majorBidi" w:cstheme="majorBidi"/>
                <w:sz w:val="20"/>
                <w:szCs w:val="20"/>
              </w:rPr>
            </w:pPr>
          </w:p>
        </w:tc>
        <w:tc>
          <w:tcPr>
            <w:tcW w:w="1000" w:type="pct"/>
            <w:tcBorders>
              <w:top w:val="single" w:sz="4" w:space="0" w:color="auto"/>
            </w:tcBorders>
            <w:vAlign w:val="center"/>
          </w:tcPr>
          <w:p w14:paraId="34A52DB9" w14:textId="77777777" w:rsidR="00023E53" w:rsidRPr="00023E53" w:rsidRDefault="00023E53" w:rsidP="00EC58EF">
            <w:pPr>
              <w:spacing w:before="80" w:after="40"/>
              <w:jc w:val="center"/>
              <w:rPr>
                <w:rFonts w:asciiTheme="majorBidi" w:hAnsiTheme="majorBidi" w:cstheme="majorBidi"/>
                <w:sz w:val="20"/>
                <w:szCs w:val="20"/>
              </w:rPr>
            </w:pPr>
          </w:p>
        </w:tc>
        <w:tc>
          <w:tcPr>
            <w:tcW w:w="583" w:type="pct"/>
            <w:tcBorders>
              <w:top w:val="single" w:sz="4" w:space="0" w:color="auto"/>
            </w:tcBorders>
            <w:vAlign w:val="center"/>
          </w:tcPr>
          <w:p w14:paraId="3FD7DC50" w14:textId="77777777" w:rsidR="00023E53" w:rsidRPr="00023E53" w:rsidRDefault="00023E53" w:rsidP="00EC58EF">
            <w:pPr>
              <w:spacing w:before="80" w:after="40"/>
              <w:jc w:val="center"/>
              <w:rPr>
                <w:rFonts w:asciiTheme="majorBidi" w:hAnsiTheme="majorBidi" w:cstheme="majorBidi"/>
                <w:sz w:val="20"/>
                <w:szCs w:val="20"/>
              </w:rPr>
            </w:pPr>
          </w:p>
        </w:tc>
      </w:tr>
      <w:tr w:rsidR="00023E53" w:rsidRPr="00023E53" w14:paraId="17A2648B" w14:textId="77777777" w:rsidTr="00EC58EF">
        <w:trPr>
          <w:trHeight w:val="822"/>
          <w:jc w:val="center"/>
        </w:trPr>
        <w:tc>
          <w:tcPr>
            <w:tcW w:w="1417" w:type="pct"/>
          </w:tcPr>
          <w:p w14:paraId="42D2E142" w14:textId="77777777" w:rsidR="00023E53" w:rsidRPr="00023E53" w:rsidRDefault="00023E53" w:rsidP="00EC58EF">
            <w:pPr>
              <w:spacing w:before="80" w:after="40"/>
              <w:ind w:left="284"/>
              <w:rPr>
                <w:rFonts w:asciiTheme="majorBidi" w:hAnsiTheme="majorBidi" w:cstheme="majorBidi"/>
                <w:sz w:val="20"/>
                <w:szCs w:val="20"/>
              </w:rPr>
            </w:pPr>
            <w:r w:rsidRPr="00023E53">
              <w:rPr>
                <w:rFonts w:asciiTheme="majorBidi" w:hAnsiTheme="majorBidi" w:cstheme="majorBidi"/>
                <w:sz w:val="20"/>
                <w:szCs w:val="20"/>
              </w:rPr>
              <w:t>Mean ± SD.</w:t>
            </w:r>
          </w:p>
        </w:tc>
        <w:tc>
          <w:tcPr>
            <w:tcW w:w="1000" w:type="pct"/>
            <w:vAlign w:val="center"/>
          </w:tcPr>
          <w:p w14:paraId="2F186D41"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353.6 ± 32.7</w:t>
            </w:r>
          </w:p>
        </w:tc>
        <w:tc>
          <w:tcPr>
            <w:tcW w:w="1000" w:type="pct"/>
            <w:vAlign w:val="center"/>
          </w:tcPr>
          <w:p w14:paraId="57242D01"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388.1 ± 37.7</w:t>
            </w:r>
          </w:p>
        </w:tc>
        <w:tc>
          <w:tcPr>
            <w:tcW w:w="1000" w:type="pct"/>
            <w:vAlign w:val="center"/>
          </w:tcPr>
          <w:p w14:paraId="21DF69C3"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460.3 ± 40.3</w:t>
            </w:r>
          </w:p>
        </w:tc>
        <w:tc>
          <w:tcPr>
            <w:tcW w:w="583" w:type="pct"/>
            <w:vAlign w:val="center"/>
          </w:tcPr>
          <w:p w14:paraId="12E934FC" w14:textId="77777777" w:rsidR="00023E53" w:rsidRPr="00023E53" w:rsidRDefault="00023E53" w:rsidP="00EC58EF">
            <w:pPr>
              <w:spacing w:before="80" w:after="40"/>
              <w:jc w:val="center"/>
              <w:rPr>
                <w:rFonts w:asciiTheme="majorBidi" w:hAnsiTheme="majorBidi" w:cstheme="majorBidi"/>
                <w:sz w:val="20"/>
                <w:szCs w:val="20"/>
                <w:vertAlign w:val="superscript"/>
              </w:rPr>
            </w:pPr>
            <w:r w:rsidRPr="00023E53">
              <w:rPr>
                <w:rFonts w:asciiTheme="majorBidi" w:hAnsiTheme="majorBidi" w:cstheme="majorBidi"/>
                <w:sz w:val="20"/>
                <w:szCs w:val="20"/>
              </w:rPr>
              <w:t>&lt;0.001</w:t>
            </w:r>
            <w:r w:rsidRPr="00023E53">
              <w:rPr>
                <w:rFonts w:asciiTheme="majorBidi" w:hAnsiTheme="majorBidi" w:cstheme="majorBidi"/>
                <w:sz w:val="20"/>
                <w:szCs w:val="20"/>
                <w:vertAlign w:val="superscript"/>
              </w:rPr>
              <w:t>*</w:t>
            </w:r>
          </w:p>
        </w:tc>
      </w:tr>
      <w:tr w:rsidR="00023E53" w:rsidRPr="00023E53" w14:paraId="14437C79" w14:textId="77777777" w:rsidTr="00EC58EF">
        <w:trPr>
          <w:trHeight w:val="168"/>
          <w:jc w:val="center"/>
        </w:trPr>
        <w:tc>
          <w:tcPr>
            <w:tcW w:w="1417" w:type="pct"/>
          </w:tcPr>
          <w:p w14:paraId="4BF7D66D" w14:textId="77777777" w:rsidR="00023E53" w:rsidRPr="00023E53" w:rsidRDefault="00023E53" w:rsidP="00EC58EF">
            <w:pPr>
              <w:spacing w:before="80" w:after="40"/>
              <w:rPr>
                <w:rFonts w:asciiTheme="majorBidi" w:hAnsiTheme="majorBidi" w:cstheme="majorBidi"/>
                <w:b/>
                <w:bCs/>
                <w:sz w:val="20"/>
                <w:szCs w:val="20"/>
              </w:rPr>
            </w:pPr>
            <w:r w:rsidRPr="00023E53">
              <w:rPr>
                <w:rFonts w:asciiTheme="majorBidi" w:hAnsiTheme="majorBidi" w:cstheme="majorBidi"/>
                <w:b/>
                <w:bCs/>
                <w:sz w:val="20"/>
                <w:szCs w:val="20"/>
              </w:rPr>
              <w:t>Cardiomyopathy</w:t>
            </w:r>
          </w:p>
        </w:tc>
        <w:tc>
          <w:tcPr>
            <w:tcW w:w="3583" w:type="pct"/>
            <w:gridSpan w:val="4"/>
            <w:vAlign w:val="center"/>
          </w:tcPr>
          <w:p w14:paraId="7DE9FAB2" w14:textId="77777777" w:rsidR="00023E53" w:rsidRPr="00023E53" w:rsidRDefault="00023E53" w:rsidP="00EC58EF">
            <w:pPr>
              <w:spacing w:before="80" w:after="40"/>
              <w:jc w:val="center"/>
              <w:rPr>
                <w:rFonts w:asciiTheme="majorBidi" w:hAnsiTheme="majorBidi" w:cstheme="majorBidi"/>
                <w:sz w:val="20"/>
                <w:szCs w:val="20"/>
              </w:rPr>
            </w:pPr>
          </w:p>
        </w:tc>
      </w:tr>
      <w:tr w:rsidR="00023E53" w:rsidRPr="00023E53" w14:paraId="3B416A09" w14:textId="77777777" w:rsidTr="00EC58EF">
        <w:trPr>
          <w:trHeight w:val="150"/>
          <w:jc w:val="center"/>
        </w:trPr>
        <w:tc>
          <w:tcPr>
            <w:tcW w:w="1417" w:type="pct"/>
          </w:tcPr>
          <w:p w14:paraId="7C0AE088" w14:textId="77777777" w:rsidR="00023E53" w:rsidRPr="00023E53" w:rsidRDefault="00023E53" w:rsidP="00EC58EF">
            <w:pPr>
              <w:spacing w:before="80" w:after="40"/>
              <w:ind w:left="284"/>
              <w:rPr>
                <w:rFonts w:asciiTheme="majorBidi" w:hAnsiTheme="majorBidi" w:cstheme="majorBidi"/>
                <w:sz w:val="20"/>
                <w:szCs w:val="20"/>
              </w:rPr>
            </w:pPr>
            <w:r w:rsidRPr="00023E53">
              <w:rPr>
                <w:rFonts w:asciiTheme="majorBidi" w:hAnsiTheme="majorBidi" w:cstheme="majorBidi"/>
                <w:sz w:val="20"/>
                <w:szCs w:val="20"/>
              </w:rPr>
              <w:t>No</w:t>
            </w:r>
          </w:p>
        </w:tc>
        <w:tc>
          <w:tcPr>
            <w:tcW w:w="1000" w:type="pct"/>
            <w:vAlign w:val="center"/>
          </w:tcPr>
          <w:p w14:paraId="4854B28C"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10(90.9%)</w:t>
            </w:r>
          </w:p>
        </w:tc>
        <w:tc>
          <w:tcPr>
            <w:tcW w:w="1000" w:type="pct"/>
            <w:vAlign w:val="center"/>
          </w:tcPr>
          <w:p w14:paraId="7452897C"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26(81.3%)</w:t>
            </w:r>
          </w:p>
        </w:tc>
        <w:tc>
          <w:tcPr>
            <w:tcW w:w="1000" w:type="pct"/>
            <w:vAlign w:val="center"/>
          </w:tcPr>
          <w:p w14:paraId="1D715814"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6(35.3%)</w:t>
            </w:r>
          </w:p>
        </w:tc>
        <w:tc>
          <w:tcPr>
            <w:tcW w:w="583" w:type="pct"/>
            <w:vMerge w:val="restart"/>
            <w:vAlign w:val="center"/>
          </w:tcPr>
          <w:p w14:paraId="204CBED3" w14:textId="77777777" w:rsidR="00023E53" w:rsidRPr="00023E53" w:rsidRDefault="00023E53" w:rsidP="00EC58EF">
            <w:pPr>
              <w:spacing w:before="80" w:after="40"/>
              <w:jc w:val="center"/>
              <w:rPr>
                <w:rFonts w:asciiTheme="majorBidi" w:hAnsiTheme="majorBidi" w:cstheme="majorBidi"/>
                <w:sz w:val="20"/>
                <w:szCs w:val="20"/>
                <w:vertAlign w:val="superscript"/>
              </w:rPr>
            </w:pPr>
            <w:r w:rsidRPr="00023E53">
              <w:rPr>
                <w:rFonts w:asciiTheme="majorBidi" w:hAnsiTheme="majorBidi" w:cstheme="majorBidi"/>
                <w:sz w:val="20"/>
                <w:szCs w:val="20"/>
              </w:rPr>
              <w:t>0.001</w:t>
            </w:r>
            <w:r w:rsidRPr="00023E53">
              <w:rPr>
                <w:rFonts w:asciiTheme="majorBidi" w:hAnsiTheme="majorBidi" w:cstheme="majorBidi"/>
                <w:sz w:val="20"/>
                <w:szCs w:val="20"/>
                <w:vertAlign w:val="superscript"/>
              </w:rPr>
              <w:t>*</w:t>
            </w:r>
          </w:p>
        </w:tc>
      </w:tr>
      <w:tr w:rsidR="00023E53" w:rsidRPr="00023E53" w14:paraId="789A4245" w14:textId="77777777" w:rsidTr="00EC58EF">
        <w:trPr>
          <w:jc w:val="center"/>
        </w:trPr>
        <w:tc>
          <w:tcPr>
            <w:tcW w:w="1417" w:type="pct"/>
            <w:tcBorders>
              <w:bottom w:val="single" w:sz="4" w:space="0" w:color="auto"/>
            </w:tcBorders>
          </w:tcPr>
          <w:p w14:paraId="578DBCC0" w14:textId="77777777" w:rsidR="00023E53" w:rsidRPr="00023E53" w:rsidRDefault="00023E53" w:rsidP="00EC58EF">
            <w:pPr>
              <w:spacing w:before="80" w:after="40"/>
              <w:ind w:left="284"/>
              <w:rPr>
                <w:rFonts w:asciiTheme="majorBidi" w:hAnsiTheme="majorBidi" w:cstheme="majorBidi"/>
                <w:sz w:val="20"/>
                <w:szCs w:val="20"/>
              </w:rPr>
            </w:pPr>
            <w:r w:rsidRPr="00023E53">
              <w:rPr>
                <w:rFonts w:asciiTheme="majorBidi" w:hAnsiTheme="majorBidi" w:cstheme="majorBidi"/>
                <w:sz w:val="20"/>
                <w:szCs w:val="20"/>
              </w:rPr>
              <w:t xml:space="preserve">Yes </w:t>
            </w:r>
          </w:p>
        </w:tc>
        <w:tc>
          <w:tcPr>
            <w:tcW w:w="1000" w:type="pct"/>
            <w:tcBorders>
              <w:bottom w:val="single" w:sz="4" w:space="0" w:color="auto"/>
            </w:tcBorders>
            <w:vAlign w:val="center"/>
          </w:tcPr>
          <w:p w14:paraId="738EF7A6"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1(9.1%)</w:t>
            </w:r>
          </w:p>
        </w:tc>
        <w:tc>
          <w:tcPr>
            <w:tcW w:w="1000" w:type="pct"/>
            <w:tcBorders>
              <w:bottom w:val="single" w:sz="4" w:space="0" w:color="auto"/>
            </w:tcBorders>
            <w:vAlign w:val="center"/>
          </w:tcPr>
          <w:p w14:paraId="4EBF9CB5"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6(18.8%)</w:t>
            </w:r>
          </w:p>
        </w:tc>
        <w:tc>
          <w:tcPr>
            <w:tcW w:w="1000" w:type="pct"/>
            <w:tcBorders>
              <w:bottom w:val="single" w:sz="4" w:space="0" w:color="auto"/>
            </w:tcBorders>
            <w:vAlign w:val="center"/>
          </w:tcPr>
          <w:p w14:paraId="27EB99E8" w14:textId="77777777" w:rsidR="00023E53" w:rsidRPr="00023E53" w:rsidRDefault="00023E53" w:rsidP="00EC58EF">
            <w:pPr>
              <w:spacing w:before="80" w:after="40"/>
              <w:jc w:val="center"/>
              <w:rPr>
                <w:rFonts w:asciiTheme="majorBidi" w:hAnsiTheme="majorBidi" w:cstheme="majorBidi"/>
                <w:sz w:val="20"/>
                <w:szCs w:val="20"/>
              </w:rPr>
            </w:pPr>
            <w:r w:rsidRPr="00023E53">
              <w:rPr>
                <w:rFonts w:asciiTheme="majorBidi" w:hAnsiTheme="majorBidi" w:cstheme="majorBidi"/>
                <w:sz w:val="20"/>
                <w:szCs w:val="20"/>
              </w:rPr>
              <w:t>11(64.7%)</w:t>
            </w:r>
          </w:p>
        </w:tc>
        <w:tc>
          <w:tcPr>
            <w:tcW w:w="583" w:type="pct"/>
            <w:vMerge/>
            <w:tcBorders>
              <w:bottom w:val="single" w:sz="4" w:space="0" w:color="auto"/>
            </w:tcBorders>
            <w:vAlign w:val="center"/>
          </w:tcPr>
          <w:p w14:paraId="147C1E12" w14:textId="77777777" w:rsidR="00023E53" w:rsidRPr="00023E53" w:rsidRDefault="00023E53" w:rsidP="00EC58EF">
            <w:pPr>
              <w:keepNext/>
              <w:spacing w:before="80" w:after="40"/>
              <w:jc w:val="center"/>
              <w:rPr>
                <w:rFonts w:asciiTheme="majorBidi" w:hAnsiTheme="majorBidi" w:cstheme="majorBidi"/>
                <w:sz w:val="20"/>
                <w:szCs w:val="20"/>
              </w:rPr>
            </w:pPr>
          </w:p>
        </w:tc>
      </w:tr>
    </w:tbl>
    <w:p w14:paraId="0F9234C6" w14:textId="77777777" w:rsidR="00023E53" w:rsidRPr="00023E53" w:rsidRDefault="00023E53" w:rsidP="00023E53">
      <w:pPr>
        <w:spacing w:line="360" w:lineRule="auto"/>
        <w:jc w:val="both"/>
        <w:rPr>
          <w:i/>
          <w:iCs/>
          <w:color w:val="0E2841" w:themeColor="text2"/>
          <w:sz w:val="18"/>
          <w:szCs w:val="18"/>
        </w:rPr>
      </w:pPr>
      <w:r w:rsidRPr="00023E53">
        <w:rPr>
          <w:i/>
          <w:iCs/>
          <w:color w:val="0E2841" w:themeColor="text2"/>
          <w:sz w:val="18"/>
          <w:szCs w:val="18"/>
        </w:rPr>
        <w:t>p: p-value for comparison between the studied categories</w:t>
      </w:r>
      <w:r>
        <w:rPr>
          <w:i/>
          <w:iCs/>
          <w:color w:val="0E2841" w:themeColor="text2"/>
          <w:sz w:val="18"/>
          <w:szCs w:val="18"/>
        </w:rPr>
        <w:t xml:space="preserve">, </w:t>
      </w:r>
      <w:r w:rsidRPr="00023E53">
        <w:rPr>
          <w:i/>
          <w:iCs/>
          <w:color w:val="0E2841" w:themeColor="text2"/>
          <w:sz w:val="18"/>
          <w:szCs w:val="18"/>
        </w:rPr>
        <w:t>*: Statistically significant at p ≤ 0.05</w:t>
      </w:r>
    </w:p>
    <w:p w14:paraId="1ED46A64" w14:textId="29AC608E" w:rsidR="00CE2A69" w:rsidRDefault="00CE2A69" w:rsidP="00CE2A69">
      <w:pPr>
        <w:pStyle w:val="Caption"/>
        <w:keepNext/>
      </w:pPr>
      <w:bookmarkStart w:id="1" w:name="_Hlk162623676"/>
      <w:r>
        <w:t xml:space="preserve">Tab 6. </w:t>
      </w:r>
      <w:r w:rsidRPr="00CE2A69">
        <w:rPr>
          <w:b/>
          <w:bCs/>
        </w:rPr>
        <w:t xml:space="preserve">Correlation between Child score and QTc (ms) in </w:t>
      </w:r>
      <w:r>
        <w:rPr>
          <w:b/>
          <w:bCs/>
        </w:rPr>
        <w:t xml:space="preserve">the </w:t>
      </w:r>
      <w:r w:rsidRPr="00CE2A69">
        <w:rPr>
          <w:b/>
          <w:bCs/>
        </w:rPr>
        <w:t>total sample</w:t>
      </w:r>
      <w:r>
        <w:rPr>
          <w:b/>
          <w:bCs/>
        </w:rPr>
        <w:t>.</w:t>
      </w:r>
    </w:p>
    <w:bookmarkEnd w:id="1"/>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6. Correlation between Child score and QTc (ms) in total sample."/>
        <w:tblDescription w:val="rs: Spearman coefficient&#10;*: Statistically significant at p ≤ 0.05  &#10;"/>
      </w:tblPr>
      <w:tblGrid>
        <w:gridCol w:w="4430"/>
        <w:gridCol w:w="2465"/>
        <w:gridCol w:w="2465"/>
      </w:tblGrid>
      <w:tr w:rsidR="00CE2A69" w:rsidRPr="00CE2A69" w14:paraId="0C0460FA" w14:textId="77777777" w:rsidTr="00CE2A69">
        <w:trPr>
          <w:trHeight w:val="373"/>
          <w:jc w:val="center"/>
        </w:trPr>
        <w:tc>
          <w:tcPr>
            <w:tcW w:w="2366" w:type="pct"/>
            <w:vMerge w:val="restart"/>
            <w:tcBorders>
              <w:top w:val="single" w:sz="4" w:space="0" w:color="auto"/>
            </w:tcBorders>
            <w:vAlign w:val="center"/>
          </w:tcPr>
          <w:p w14:paraId="04F2ADFA" w14:textId="77777777" w:rsidR="00CE2A69" w:rsidRPr="00CE2A69" w:rsidRDefault="00CE2A69" w:rsidP="00CE2A69">
            <w:pPr>
              <w:spacing w:after="160" w:line="360" w:lineRule="auto"/>
              <w:jc w:val="both"/>
              <w:rPr>
                <w:rFonts w:asciiTheme="majorBidi" w:eastAsiaTheme="minorEastAsia" w:hAnsiTheme="majorBidi" w:cstheme="majorBidi"/>
                <w:b/>
                <w:bCs/>
                <w:kern w:val="2"/>
                <w:sz w:val="24"/>
                <w:szCs w:val="24"/>
                <w14:ligatures w14:val="standardContextual"/>
              </w:rPr>
            </w:pPr>
          </w:p>
        </w:tc>
        <w:tc>
          <w:tcPr>
            <w:tcW w:w="2634" w:type="pct"/>
            <w:gridSpan w:val="2"/>
            <w:tcBorders>
              <w:top w:val="single" w:sz="4" w:space="0" w:color="auto"/>
              <w:bottom w:val="single" w:sz="4" w:space="0" w:color="auto"/>
            </w:tcBorders>
            <w:vAlign w:val="center"/>
          </w:tcPr>
          <w:p w14:paraId="6D08F74E" w14:textId="77777777" w:rsidR="00CE2A69" w:rsidRPr="00CE2A69" w:rsidRDefault="00CE2A69" w:rsidP="00CE2A69">
            <w:pPr>
              <w:spacing w:after="160" w:line="360" w:lineRule="auto"/>
              <w:jc w:val="both"/>
              <w:rPr>
                <w:rFonts w:asciiTheme="majorBidi" w:eastAsiaTheme="minorEastAsia" w:hAnsiTheme="majorBidi" w:cstheme="majorBidi"/>
                <w:b/>
                <w:bCs/>
                <w:kern w:val="2"/>
                <w:sz w:val="24"/>
                <w:szCs w:val="24"/>
                <w14:ligatures w14:val="standardContextual"/>
              </w:rPr>
            </w:pPr>
            <w:r w:rsidRPr="00CE2A69">
              <w:rPr>
                <w:rFonts w:asciiTheme="majorBidi" w:eastAsiaTheme="minorEastAsia" w:hAnsiTheme="majorBidi" w:cstheme="majorBidi"/>
                <w:b/>
                <w:bCs/>
                <w:kern w:val="2"/>
                <w:sz w:val="24"/>
                <w:szCs w:val="24"/>
                <w14:ligatures w14:val="standardContextual"/>
              </w:rPr>
              <w:t>Child score</w:t>
            </w:r>
          </w:p>
        </w:tc>
      </w:tr>
      <w:tr w:rsidR="00CE2A69" w:rsidRPr="00CE2A69" w14:paraId="3D76A1BD" w14:textId="77777777" w:rsidTr="00CE2A69">
        <w:trPr>
          <w:jc w:val="center"/>
        </w:trPr>
        <w:tc>
          <w:tcPr>
            <w:tcW w:w="2366" w:type="pct"/>
            <w:vMerge/>
            <w:vAlign w:val="center"/>
          </w:tcPr>
          <w:p w14:paraId="1F091131" w14:textId="77777777" w:rsidR="00CE2A69" w:rsidRPr="00CE2A69" w:rsidRDefault="00CE2A69" w:rsidP="00CE2A69">
            <w:pPr>
              <w:spacing w:after="160" w:line="360" w:lineRule="auto"/>
              <w:jc w:val="both"/>
              <w:rPr>
                <w:rFonts w:asciiTheme="majorBidi" w:eastAsiaTheme="minorEastAsia" w:hAnsiTheme="majorBidi" w:cstheme="majorBidi"/>
                <w:b/>
                <w:bCs/>
                <w:kern w:val="2"/>
                <w:sz w:val="24"/>
                <w:szCs w:val="24"/>
                <w14:ligatures w14:val="standardContextual"/>
              </w:rPr>
            </w:pPr>
          </w:p>
        </w:tc>
        <w:tc>
          <w:tcPr>
            <w:tcW w:w="1317" w:type="pct"/>
            <w:tcBorders>
              <w:top w:val="single" w:sz="4" w:space="0" w:color="auto"/>
            </w:tcBorders>
            <w:vAlign w:val="center"/>
          </w:tcPr>
          <w:p w14:paraId="39E54B62" w14:textId="77777777" w:rsidR="00CE2A69" w:rsidRPr="00CE2A69" w:rsidRDefault="00CE2A69" w:rsidP="00CE2A69">
            <w:pPr>
              <w:spacing w:after="160" w:line="360" w:lineRule="auto"/>
              <w:jc w:val="both"/>
              <w:rPr>
                <w:rFonts w:asciiTheme="majorBidi" w:eastAsiaTheme="minorEastAsia" w:hAnsiTheme="majorBidi" w:cstheme="majorBidi"/>
                <w:b/>
                <w:bCs/>
                <w:kern w:val="2"/>
                <w:sz w:val="24"/>
                <w:szCs w:val="24"/>
                <w14:ligatures w14:val="standardContextual"/>
              </w:rPr>
            </w:pPr>
            <w:r w:rsidRPr="00CE2A69">
              <w:rPr>
                <w:rFonts w:asciiTheme="majorBidi" w:eastAsiaTheme="minorEastAsia" w:hAnsiTheme="majorBidi" w:cstheme="majorBidi"/>
                <w:b/>
                <w:bCs/>
                <w:kern w:val="2"/>
                <w:sz w:val="24"/>
                <w:szCs w:val="24"/>
                <w14:ligatures w14:val="standardContextual"/>
              </w:rPr>
              <w:t>r</w:t>
            </w:r>
            <w:r w:rsidRPr="00CE2A69">
              <w:rPr>
                <w:rFonts w:asciiTheme="majorBidi" w:eastAsiaTheme="minorEastAsia" w:hAnsiTheme="majorBidi" w:cstheme="majorBidi"/>
                <w:b/>
                <w:bCs/>
                <w:kern w:val="2"/>
                <w:sz w:val="24"/>
                <w:szCs w:val="24"/>
                <w:vertAlign w:val="subscript"/>
                <w14:ligatures w14:val="standardContextual"/>
              </w:rPr>
              <w:t>s</w:t>
            </w:r>
          </w:p>
        </w:tc>
        <w:tc>
          <w:tcPr>
            <w:tcW w:w="1317" w:type="pct"/>
            <w:tcBorders>
              <w:top w:val="single" w:sz="4" w:space="0" w:color="auto"/>
            </w:tcBorders>
            <w:vAlign w:val="center"/>
          </w:tcPr>
          <w:p w14:paraId="2C89CC7D" w14:textId="77777777" w:rsidR="00CE2A69" w:rsidRPr="00CE2A69" w:rsidRDefault="00CE2A69" w:rsidP="00CE2A69">
            <w:pPr>
              <w:spacing w:after="160" w:line="360" w:lineRule="auto"/>
              <w:jc w:val="both"/>
              <w:rPr>
                <w:rFonts w:asciiTheme="majorBidi" w:eastAsiaTheme="minorEastAsia" w:hAnsiTheme="majorBidi" w:cstheme="majorBidi"/>
                <w:b/>
                <w:bCs/>
                <w:kern w:val="2"/>
                <w:sz w:val="24"/>
                <w:szCs w:val="24"/>
                <w14:ligatures w14:val="standardContextual"/>
              </w:rPr>
            </w:pPr>
            <w:r w:rsidRPr="00CE2A69">
              <w:rPr>
                <w:rFonts w:asciiTheme="majorBidi" w:eastAsiaTheme="minorEastAsia" w:hAnsiTheme="majorBidi" w:cstheme="majorBidi"/>
                <w:b/>
                <w:bCs/>
                <w:kern w:val="2"/>
                <w:sz w:val="24"/>
                <w:szCs w:val="24"/>
                <w14:ligatures w14:val="standardContextual"/>
              </w:rPr>
              <w:t>p</w:t>
            </w:r>
          </w:p>
        </w:tc>
      </w:tr>
      <w:tr w:rsidR="00CE2A69" w:rsidRPr="00CE2A69" w14:paraId="7B7D9E90" w14:textId="77777777" w:rsidTr="00CE2A69">
        <w:trPr>
          <w:jc w:val="center"/>
        </w:trPr>
        <w:tc>
          <w:tcPr>
            <w:tcW w:w="2366" w:type="pct"/>
            <w:tcBorders>
              <w:top w:val="single" w:sz="4" w:space="0" w:color="auto"/>
              <w:bottom w:val="single" w:sz="4" w:space="0" w:color="auto"/>
            </w:tcBorders>
          </w:tcPr>
          <w:p w14:paraId="0B27B0B2" w14:textId="77777777" w:rsidR="00CE2A69" w:rsidRPr="00CE2A69" w:rsidRDefault="00CE2A69" w:rsidP="00CE2A69">
            <w:pPr>
              <w:spacing w:after="160" w:line="360" w:lineRule="auto"/>
              <w:jc w:val="both"/>
              <w:rPr>
                <w:rFonts w:asciiTheme="majorBidi" w:eastAsiaTheme="minorEastAsia" w:hAnsiTheme="majorBidi" w:cstheme="majorBidi"/>
                <w:b/>
                <w:bCs/>
                <w:kern w:val="2"/>
                <w:sz w:val="24"/>
                <w:szCs w:val="24"/>
                <w14:ligatures w14:val="standardContextual"/>
              </w:rPr>
            </w:pPr>
            <w:r w:rsidRPr="00CE2A69">
              <w:rPr>
                <w:rFonts w:asciiTheme="majorBidi" w:eastAsiaTheme="minorEastAsia" w:hAnsiTheme="majorBidi" w:cstheme="majorBidi"/>
                <w:b/>
                <w:bCs/>
                <w:kern w:val="2"/>
                <w:sz w:val="24"/>
                <w:szCs w:val="24"/>
                <w14:ligatures w14:val="standardContextual"/>
              </w:rPr>
              <w:t>QTc (ms)</w:t>
            </w:r>
          </w:p>
        </w:tc>
        <w:tc>
          <w:tcPr>
            <w:tcW w:w="1317" w:type="pct"/>
            <w:tcBorders>
              <w:top w:val="single" w:sz="4" w:space="0" w:color="auto"/>
              <w:bottom w:val="single" w:sz="4" w:space="0" w:color="auto"/>
            </w:tcBorders>
            <w:vAlign w:val="center"/>
          </w:tcPr>
          <w:p w14:paraId="0CB258C3" w14:textId="77777777" w:rsidR="00CE2A69" w:rsidRPr="00CE2A69" w:rsidRDefault="00CE2A69" w:rsidP="00CE2A69">
            <w:pPr>
              <w:spacing w:after="160" w:line="360" w:lineRule="auto"/>
              <w:jc w:val="both"/>
              <w:rPr>
                <w:rFonts w:asciiTheme="majorBidi" w:eastAsiaTheme="minorEastAsia" w:hAnsiTheme="majorBidi" w:cstheme="majorBidi"/>
                <w:kern w:val="2"/>
                <w:sz w:val="24"/>
                <w:szCs w:val="24"/>
                <w14:ligatures w14:val="standardContextual"/>
              </w:rPr>
            </w:pPr>
            <w:r w:rsidRPr="00CE2A69">
              <w:rPr>
                <w:rFonts w:asciiTheme="majorBidi" w:eastAsiaTheme="minorEastAsia" w:hAnsiTheme="majorBidi" w:cstheme="majorBidi"/>
                <w:kern w:val="2"/>
                <w:sz w:val="24"/>
                <w:szCs w:val="24"/>
                <w14:ligatures w14:val="standardContextual"/>
              </w:rPr>
              <w:t>0.685</w:t>
            </w:r>
          </w:p>
        </w:tc>
        <w:tc>
          <w:tcPr>
            <w:tcW w:w="1317" w:type="pct"/>
            <w:tcBorders>
              <w:top w:val="single" w:sz="4" w:space="0" w:color="auto"/>
              <w:bottom w:val="single" w:sz="4" w:space="0" w:color="auto"/>
            </w:tcBorders>
            <w:vAlign w:val="center"/>
          </w:tcPr>
          <w:p w14:paraId="3103D7E1" w14:textId="77777777" w:rsidR="00CE2A69" w:rsidRPr="00CE2A69" w:rsidRDefault="00CE2A69" w:rsidP="00CE2A69">
            <w:pPr>
              <w:keepNext/>
              <w:spacing w:after="160" w:line="360" w:lineRule="auto"/>
              <w:jc w:val="both"/>
              <w:rPr>
                <w:rFonts w:asciiTheme="majorBidi" w:eastAsiaTheme="minorEastAsia" w:hAnsiTheme="majorBidi" w:cstheme="majorBidi"/>
                <w:kern w:val="2"/>
                <w:sz w:val="24"/>
                <w:szCs w:val="24"/>
                <w:vertAlign w:val="superscript"/>
                <w14:ligatures w14:val="standardContextual"/>
              </w:rPr>
            </w:pPr>
            <w:r w:rsidRPr="00CE2A69">
              <w:rPr>
                <w:rFonts w:asciiTheme="majorBidi" w:eastAsiaTheme="minorEastAsia" w:hAnsiTheme="majorBidi" w:cstheme="majorBidi"/>
                <w:kern w:val="2"/>
                <w:sz w:val="24"/>
                <w:szCs w:val="24"/>
                <w14:ligatures w14:val="standardContextual"/>
              </w:rPr>
              <w:t>&lt;0.001</w:t>
            </w:r>
            <w:r w:rsidRPr="00CE2A69">
              <w:rPr>
                <w:rFonts w:asciiTheme="majorBidi" w:eastAsiaTheme="minorEastAsia" w:hAnsiTheme="majorBidi" w:cstheme="majorBidi"/>
                <w:kern w:val="2"/>
                <w:sz w:val="24"/>
                <w:szCs w:val="24"/>
                <w:vertAlign w:val="superscript"/>
                <w14:ligatures w14:val="standardContextual"/>
              </w:rPr>
              <w:t>*</w:t>
            </w:r>
          </w:p>
        </w:tc>
      </w:tr>
    </w:tbl>
    <w:p w14:paraId="5C9D1F76" w14:textId="2CE9C3A5" w:rsidR="00CE2A69" w:rsidRPr="00CE2A69" w:rsidRDefault="00CE2A69" w:rsidP="00CE2A69">
      <w:pPr>
        <w:spacing w:line="360" w:lineRule="auto"/>
        <w:jc w:val="both"/>
        <w:rPr>
          <w:i/>
          <w:iCs/>
          <w:color w:val="0E2841" w:themeColor="text2"/>
          <w:sz w:val="18"/>
          <w:szCs w:val="18"/>
        </w:rPr>
      </w:pPr>
      <w:r w:rsidRPr="00CE2A69">
        <w:rPr>
          <w:b/>
          <w:bCs/>
          <w:i/>
          <w:iCs/>
          <w:color w:val="0E2841" w:themeColor="text2"/>
          <w:sz w:val="18"/>
          <w:szCs w:val="18"/>
        </w:rPr>
        <w:t>r</w:t>
      </w:r>
      <w:r w:rsidRPr="00CE2A69">
        <w:rPr>
          <w:b/>
          <w:bCs/>
          <w:i/>
          <w:iCs/>
          <w:color w:val="0E2841" w:themeColor="text2"/>
          <w:sz w:val="18"/>
          <w:szCs w:val="18"/>
          <w:vertAlign w:val="subscript"/>
        </w:rPr>
        <w:t>s</w:t>
      </w:r>
      <w:r w:rsidRPr="00CE2A69">
        <w:rPr>
          <w:b/>
          <w:bCs/>
          <w:i/>
          <w:iCs/>
          <w:color w:val="0E2841" w:themeColor="text2"/>
          <w:sz w:val="18"/>
          <w:szCs w:val="18"/>
        </w:rPr>
        <w:t>: Spearman coefficient</w:t>
      </w:r>
      <w:r>
        <w:rPr>
          <w:b/>
          <w:bCs/>
          <w:i/>
          <w:iCs/>
          <w:color w:val="0E2841" w:themeColor="text2"/>
          <w:sz w:val="18"/>
          <w:szCs w:val="18"/>
        </w:rPr>
        <w:t xml:space="preserve">, </w:t>
      </w:r>
      <w:r w:rsidRPr="00CE2A69">
        <w:rPr>
          <w:i/>
          <w:iCs/>
          <w:color w:val="0E2841" w:themeColor="text2"/>
          <w:sz w:val="18"/>
          <w:szCs w:val="18"/>
        </w:rPr>
        <w:t>*: Statistically significant at p ≤ 0.05</w:t>
      </w:r>
    </w:p>
    <w:p w14:paraId="6A345F01" w14:textId="7636C74E" w:rsidR="004C17F5" w:rsidRDefault="008774DD" w:rsidP="00A83FB8">
      <w:pPr>
        <w:spacing w:line="360" w:lineRule="auto"/>
        <w:jc w:val="both"/>
        <w:rPr>
          <w:rFonts w:asciiTheme="majorBidi" w:hAnsiTheme="majorBidi" w:cstheme="majorBidi"/>
          <w:sz w:val="24"/>
          <w:szCs w:val="24"/>
        </w:rPr>
      </w:pPr>
      <w:r w:rsidRPr="00303FCE">
        <w:rPr>
          <w:rFonts w:asciiTheme="majorBidi" w:hAnsiTheme="majorBidi" w:cstheme="majorBidi"/>
          <w:sz w:val="24"/>
          <w:szCs w:val="24"/>
        </w:rPr>
        <w:t>A</w:t>
      </w:r>
      <w:r w:rsidR="00E40343" w:rsidRPr="00303FCE">
        <w:rPr>
          <w:rFonts w:asciiTheme="majorBidi" w:hAnsiTheme="majorBidi" w:cstheme="majorBidi"/>
          <w:sz w:val="24"/>
          <w:szCs w:val="24"/>
        </w:rPr>
        <w:t xml:space="preserve"> highly statistically significant difference was found upon studying the relation between the degree of </w:t>
      </w:r>
      <w:r w:rsidRPr="00303FCE">
        <w:rPr>
          <w:rFonts w:asciiTheme="majorBidi" w:hAnsiTheme="majorBidi" w:cstheme="majorBidi"/>
          <w:sz w:val="24"/>
          <w:szCs w:val="24"/>
        </w:rPr>
        <w:t>esophageal</w:t>
      </w:r>
      <w:r w:rsidR="00D2583F" w:rsidRPr="00303FCE">
        <w:rPr>
          <w:rFonts w:asciiTheme="majorBidi" w:hAnsiTheme="majorBidi" w:cstheme="majorBidi"/>
          <w:sz w:val="24"/>
          <w:szCs w:val="24"/>
        </w:rPr>
        <w:t xml:space="preserve"> varices </w:t>
      </w:r>
      <w:r w:rsidR="00E40343" w:rsidRPr="00303FCE">
        <w:rPr>
          <w:rFonts w:asciiTheme="majorBidi" w:hAnsiTheme="majorBidi" w:cstheme="majorBidi"/>
          <w:sz w:val="24"/>
          <w:szCs w:val="24"/>
        </w:rPr>
        <w:t>and the corrected QT interval (p</w:t>
      </w:r>
      <w:r w:rsidR="00D2583F" w:rsidRPr="00303FCE">
        <w:rPr>
          <w:rFonts w:asciiTheme="majorBidi" w:hAnsiTheme="majorBidi" w:cstheme="majorBidi"/>
          <w:sz w:val="24"/>
          <w:szCs w:val="24"/>
        </w:rPr>
        <w:t xml:space="preserve"> =</w:t>
      </w:r>
      <w:r w:rsidR="00E40343" w:rsidRPr="00303FCE">
        <w:rPr>
          <w:rFonts w:asciiTheme="majorBidi" w:hAnsiTheme="majorBidi" w:cstheme="majorBidi"/>
          <w:sz w:val="24"/>
          <w:szCs w:val="24"/>
        </w:rPr>
        <w:t xml:space="preserve">0.001) (table </w:t>
      </w:r>
      <w:r w:rsidR="00D2583F" w:rsidRPr="00303FCE">
        <w:rPr>
          <w:rFonts w:asciiTheme="majorBidi" w:hAnsiTheme="majorBidi" w:cstheme="majorBidi"/>
          <w:sz w:val="24"/>
          <w:szCs w:val="24"/>
        </w:rPr>
        <w:t>7</w:t>
      </w:r>
      <w:r w:rsidR="00E40343" w:rsidRPr="00303FCE">
        <w:rPr>
          <w:rFonts w:asciiTheme="majorBidi" w:hAnsiTheme="majorBidi" w:cstheme="majorBidi"/>
          <w:sz w:val="24"/>
          <w:szCs w:val="24"/>
        </w:rPr>
        <w:t>)</w:t>
      </w:r>
      <w:r w:rsidR="00713996" w:rsidRPr="00303FCE">
        <w:rPr>
          <w:rFonts w:asciiTheme="majorBidi" w:hAnsiTheme="majorBidi" w:cstheme="majorBidi"/>
          <w:sz w:val="24"/>
          <w:szCs w:val="24"/>
        </w:rPr>
        <w:t xml:space="preserve"> (Fig. 1)</w:t>
      </w:r>
      <w:r w:rsidR="00E40343" w:rsidRPr="00303FCE">
        <w:rPr>
          <w:rFonts w:asciiTheme="majorBidi" w:hAnsiTheme="majorBidi" w:cstheme="majorBidi"/>
          <w:sz w:val="24"/>
          <w:szCs w:val="24"/>
        </w:rPr>
        <w:t>.</w:t>
      </w:r>
    </w:p>
    <w:p w14:paraId="05B7EE1D" w14:textId="1D9E7DF4" w:rsidR="00CE2A69" w:rsidRDefault="00CE2A69" w:rsidP="00CE2A69">
      <w:pPr>
        <w:pStyle w:val="Caption"/>
        <w:keepNext/>
      </w:pPr>
      <w:r>
        <w:t xml:space="preserve">Tab 7. </w:t>
      </w:r>
      <w:r w:rsidRPr="00CE2A69">
        <w:rPr>
          <w:b/>
          <w:bCs/>
        </w:rPr>
        <w:t>Correlation between QTC (ms) and</w:t>
      </w:r>
      <w:r w:rsidRPr="00CE2A69">
        <w:t xml:space="preserve"> </w:t>
      </w:r>
      <w:r w:rsidRPr="00CE2A69">
        <w:rPr>
          <w:b/>
          <w:bCs/>
        </w:rPr>
        <w:t xml:space="preserve">Varices in </w:t>
      </w:r>
      <w:r>
        <w:rPr>
          <w:b/>
          <w:bCs/>
        </w:rPr>
        <w:t xml:space="preserve">the </w:t>
      </w:r>
      <w:r w:rsidRPr="00CE2A69">
        <w:rPr>
          <w:b/>
          <w:bCs/>
        </w:rPr>
        <w:t>total sample</w:t>
      </w:r>
      <w:r>
        <w:rPr>
          <w:b/>
          <w:bC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7): Correlation between QTC (ms) and Varices in total sample "/>
      </w:tblPr>
      <w:tblGrid>
        <w:gridCol w:w="4430"/>
        <w:gridCol w:w="2465"/>
        <w:gridCol w:w="2465"/>
      </w:tblGrid>
      <w:tr w:rsidR="00CE2A69" w:rsidRPr="00CE2A69" w14:paraId="3D08DDE1" w14:textId="77777777" w:rsidTr="00CE2A69">
        <w:trPr>
          <w:trHeight w:val="373"/>
          <w:jc w:val="center"/>
        </w:trPr>
        <w:tc>
          <w:tcPr>
            <w:tcW w:w="2366" w:type="pct"/>
            <w:vMerge w:val="restart"/>
            <w:tcBorders>
              <w:top w:val="single" w:sz="12" w:space="0" w:color="auto"/>
            </w:tcBorders>
            <w:vAlign w:val="center"/>
          </w:tcPr>
          <w:p w14:paraId="2D3A7383" w14:textId="77777777" w:rsidR="00CE2A69" w:rsidRPr="00CE2A69" w:rsidRDefault="00CE2A69" w:rsidP="00EC58EF">
            <w:pPr>
              <w:spacing w:before="80" w:after="40"/>
              <w:jc w:val="center"/>
              <w:rPr>
                <w:rFonts w:ascii="Times New Roman" w:hAnsi="Times New Roman" w:cs="Times New Roman"/>
                <w:sz w:val="20"/>
                <w:szCs w:val="20"/>
                <w:highlight w:val="yellow"/>
              </w:rPr>
            </w:pPr>
          </w:p>
        </w:tc>
        <w:tc>
          <w:tcPr>
            <w:tcW w:w="2634" w:type="pct"/>
            <w:gridSpan w:val="2"/>
            <w:tcBorders>
              <w:top w:val="single" w:sz="12" w:space="0" w:color="auto"/>
            </w:tcBorders>
            <w:vAlign w:val="center"/>
          </w:tcPr>
          <w:p w14:paraId="366E358B" w14:textId="77777777" w:rsidR="00CE2A69" w:rsidRPr="00CE2A69" w:rsidRDefault="00CE2A69" w:rsidP="00EC58EF">
            <w:pPr>
              <w:spacing w:before="80" w:after="40"/>
              <w:jc w:val="center"/>
              <w:rPr>
                <w:rFonts w:asciiTheme="majorBidi" w:eastAsiaTheme="minorEastAsia" w:hAnsiTheme="majorBidi" w:cstheme="majorBidi"/>
                <w:kern w:val="2"/>
                <w:sz w:val="20"/>
                <w:szCs w:val="20"/>
                <w14:ligatures w14:val="standardContextual"/>
              </w:rPr>
            </w:pPr>
            <w:r w:rsidRPr="00CE2A69">
              <w:rPr>
                <w:rFonts w:asciiTheme="majorBidi" w:eastAsiaTheme="minorEastAsia" w:hAnsiTheme="majorBidi" w:cstheme="majorBidi"/>
                <w:kern w:val="2"/>
                <w:sz w:val="20"/>
                <w:szCs w:val="20"/>
                <w14:ligatures w14:val="standardContextual"/>
              </w:rPr>
              <w:t>QTC (ms)</w:t>
            </w:r>
          </w:p>
        </w:tc>
      </w:tr>
      <w:tr w:rsidR="00CE2A69" w:rsidRPr="00CE2A69" w14:paraId="2A4748EF" w14:textId="77777777" w:rsidTr="00CE2A69">
        <w:trPr>
          <w:jc w:val="center"/>
        </w:trPr>
        <w:tc>
          <w:tcPr>
            <w:tcW w:w="2366" w:type="pct"/>
            <w:vMerge/>
            <w:tcBorders>
              <w:bottom w:val="single" w:sz="4" w:space="0" w:color="auto"/>
            </w:tcBorders>
            <w:vAlign w:val="center"/>
          </w:tcPr>
          <w:p w14:paraId="1834C60D" w14:textId="77777777" w:rsidR="00CE2A69" w:rsidRPr="00CE2A69" w:rsidRDefault="00CE2A69" w:rsidP="00EC58EF">
            <w:pPr>
              <w:spacing w:before="80" w:after="40"/>
              <w:jc w:val="center"/>
              <w:rPr>
                <w:rFonts w:ascii="Times New Roman" w:hAnsi="Times New Roman" w:cs="Times New Roman"/>
                <w:sz w:val="20"/>
                <w:szCs w:val="20"/>
                <w:highlight w:val="yellow"/>
              </w:rPr>
            </w:pPr>
          </w:p>
        </w:tc>
        <w:tc>
          <w:tcPr>
            <w:tcW w:w="1317" w:type="pct"/>
            <w:tcBorders>
              <w:bottom w:val="single" w:sz="4" w:space="0" w:color="auto"/>
            </w:tcBorders>
            <w:vAlign w:val="center"/>
          </w:tcPr>
          <w:p w14:paraId="3B9E94E0" w14:textId="77777777" w:rsidR="00CE2A69" w:rsidRPr="00CE2A69" w:rsidRDefault="00CE2A69" w:rsidP="00EC58EF">
            <w:pPr>
              <w:spacing w:before="80" w:after="40"/>
              <w:jc w:val="center"/>
              <w:rPr>
                <w:rFonts w:asciiTheme="majorBidi" w:eastAsiaTheme="minorEastAsia" w:hAnsiTheme="majorBidi" w:cstheme="majorBidi"/>
                <w:kern w:val="2"/>
                <w:sz w:val="20"/>
                <w:szCs w:val="20"/>
                <w14:ligatures w14:val="standardContextual"/>
              </w:rPr>
            </w:pPr>
            <w:r w:rsidRPr="00CE2A69">
              <w:rPr>
                <w:rFonts w:asciiTheme="majorBidi" w:eastAsiaTheme="minorEastAsia" w:hAnsiTheme="majorBidi" w:cstheme="majorBidi"/>
                <w:kern w:val="2"/>
                <w:sz w:val="20"/>
                <w:szCs w:val="20"/>
                <w14:ligatures w14:val="standardContextual"/>
              </w:rPr>
              <w:t>rs</w:t>
            </w:r>
          </w:p>
        </w:tc>
        <w:tc>
          <w:tcPr>
            <w:tcW w:w="1317" w:type="pct"/>
            <w:tcBorders>
              <w:bottom w:val="single" w:sz="4" w:space="0" w:color="auto"/>
            </w:tcBorders>
            <w:vAlign w:val="center"/>
          </w:tcPr>
          <w:p w14:paraId="4DC21909" w14:textId="77777777" w:rsidR="00CE2A69" w:rsidRPr="00CE2A69" w:rsidRDefault="00CE2A69" w:rsidP="00EC58EF">
            <w:pPr>
              <w:spacing w:before="80" w:after="40"/>
              <w:jc w:val="center"/>
              <w:rPr>
                <w:rFonts w:asciiTheme="majorBidi" w:eastAsiaTheme="minorEastAsia" w:hAnsiTheme="majorBidi" w:cstheme="majorBidi"/>
                <w:kern w:val="2"/>
                <w:sz w:val="20"/>
                <w:szCs w:val="20"/>
                <w14:ligatures w14:val="standardContextual"/>
              </w:rPr>
            </w:pPr>
            <w:r w:rsidRPr="00CE2A69">
              <w:rPr>
                <w:rFonts w:asciiTheme="majorBidi" w:eastAsiaTheme="minorEastAsia" w:hAnsiTheme="majorBidi" w:cstheme="majorBidi"/>
                <w:kern w:val="2"/>
                <w:sz w:val="20"/>
                <w:szCs w:val="20"/>
                <w14:ligatures w14:val="standardContextual"/>
              </w:rPr>
              <w:t>p</w:t>
            </w:r>
          </w:p>
        </w:tc>
      </w:tr>
      <w:tr w:rsidR="00CE2A69" w:rsidRPr="00CE2A69" w14:paraId="4CF2B29E" w14:textId="77777777" w:rsidTr="00CE2A69">
        <w:trPr>
          <w:jc w:val="center"/>
        </w:trPr>
        <w:tc>
          <w:tcPr>
            <w:tcW w:w="2366" w:type="pct"/>
            <w:tcBorders>
              <w:top w:val="single" w:sz="4" w:space="0" w:color="auto"/>
              <w:bottom w:val="single" w:sz="12" w:space="0" w:color="auto"/>
            </w:tcBorders>
          </w:tcPr>
          <w:p w14:paraId="0BC5CA6D" w14:textId="77777777" w:rsidR="00CE2A69" w:rsidRPr="00CE2A69" w:rsidRDefault="00CE2A69" w:rsidP="00CE2A69">
            <w:pPr>
              <w:spacing w:before="80" w:after="40"/>
              <w:jc w:val="center"/>
              <w:rPr>
                <w:rFonts w:ascii="Times New Roman" w:hAnsi="Times New Roman" w:cs="Times New Roman"/>
                <w:sz w:val="20"/>
                <w:szCs w:val="20"/>
                <w:highlight w:val="yellow"/>
              </w:rPr>
            </w:pPr>
            <w:r w:rsidRPr="00CE2A69">
              <w:rPr>
                <w:rFonts w:asciiTheme="majorBidi" w:eastAsiaTheme="minorEastAsia" w:hAnsiTheme="majorBidi" w:cstheme="majorBidi"/>
                <w:kern w:val="2"/>
                <w:sz w:val="20"/>
                <w:szCs w:val="20"/>
                <w14:ligatures w14:val="standardContextual"/>
              </w:rPr>
              <w:t>Varices</w:t>
            </w:r>
          </w:p>
        </w:tc>
        <w:tc>
          <w:tcPr>
            <w:tcW w:w="1317" w:type="pct"/>
            <w:tcBorders>
              <w:top w:val="single" w:sz="4" w:space="0" w:color="auto"/>
              <w:bottom w:val="single" w:sz="12" w:space="0" w:color="auto"/>
            </w:tcBorders>
            <w:vAlign w:val="center"/>
          </w:tcPr>
          <w:p w14:paraId="3DF363A8" w14:textId="77777777" w:rsidR="00CE2A69" w:rsidRPr="00CE2A69" w:rsidRDefault="00CE2A69" w:rsidP="00EC58EF">
            <w:pPr>
              <w:spacing w:before="80" w:after="40"/>
              <w:jc w:val="center"/>
              <w:rPr>
                <w:rFonts w:asciiTheme="majorBidi" w:eastAsiaTheme="minorEastAsia" w:hAnsiTheme="majorBidi" w:cstheme="majorBidi"/>
                <w:kern w:val="2"/>
                <w:sz w:val="20"/>
                <w:szCs w:val="20"/>
                <w14:ligatures w14:val="standardContextual"/>
              </w:rPr>
            </w:pPr>
            <w:r w:rsidRPr="00CE2A69">
              <w:rPr>
                <w:rFonts w:asciiTheme="majorBidi" w:eastAsiaTheme="minorEastAsia" w:hAnsiTheme="majorBidi" w:cstheme="majorBidi"/>
                <w:kern w:val="2"/>
                <w:sz w:val="20"/>
                <w:szCs w:val="20"/>
                <w14:ligatures w14:val="standardContextual"/>
              </w:rPr>
              <w:t>0.429</w:t>
            </w:r>
          </w:p>
        </w:tc>
        <w:tc>
          <w:tcPr>
            <w:tcW w:w="1317" w:type="pct"/>
            <w:tcBorders>
              <w:top w:val="single" w:sz="4" w:space="0" w:color="auto"/>
              <w:bottom w:val="single" w:sz="12" w:space="0" w:color="auto"/>
            </w:tcBorders>
            <w:vAlign w:val="center"/>
          </w:tcPr>
          <w:p w14:paraId="3D42F661" w14:textId="77777777" w:rsidR="00CE2A69" w:rsidRPr="00CE2A69" w:rsidRDefault="00CE2A69" w:rsidP="00CE2A69">
            <w:pPr>
              <w:keepNext/>
              <w:spacing w:before="80" w:after="40"/>
              <w:jc w:val="center"/>
              <w:rPr>
                <w:rFonts w:asciiTheme="majorBidi" w:eastAsiaTheme="minorEastAsia" w:hAnsiTheme="majorBidi" w:cstheme="majorBidi"/>
                <w:kern w:val="2"/>
                <w:sz w:val="20"/>
                <w:szCs w:val="20"/>
                <w14:ligatures w14:val="standardContextual"/>
              </w:rPr>
            </w:pPr>
            <w:r w:rsidRPr="00CE2A69">
              <w:rPr>
                <w:rFonts w:asciiTheme="majorBidi" w:eastAsiaTheme="minorEastAsia" w:hAnsiTheme="majorBidi" w:cstheme="majorBidi"/>
                <w:kern w:val="2"/>
                <w:sz w:val="20"/>
                <w:szCs w:val="20"/>
                <w14:ligatures w14:val="standardContextual"/>
              </w:rPr>
              <w:t>0.001*</w:t>
            </w:r>
          </w:p>
        </w:tc>
      </w:tr>
    </w:tbl>
    <w:p w14:paraId="2CF7D195" w14:textId="627BEE48" w:rsidR="00CE2A69" w:rsidRDefault="00CE2A69" w:rsidP="00CE2A69">
      <w:pPr>
        <w:spacing w:before="200"/>
        <w:ind w:left="284" w:hanging="284"/>
        <w:jc w:val="both"/>
        <w:rPr>
          <w:i/>
          <w:iCs/>
          <w:color w:val="0E2841" w:themeColor="text2"/>
          <w:sz w:val="18"/>
          <w:szCs w:val="18"/>
        </w:rPr>
      </w:pPr>
      <w:r w:rsidRPr="00CE2A69">
        <w:rPr>
          <w:b/>
          <w:bCs/>
          <w:i/>
          <w:iCs/>
          <w:color w:val="0E2841" w:themeColor="text2"/>
          <w:sz w:val="18"/>
          <w:szCs w:val="18"/>
        </w:rPr>
        <w:t>r</w:t>
      </w:r>
      <w:r w:rsidRPr="00CE2A69">
        <w:rPr>
          <w:b/>
          <w:bCs/>
          <w:i/>
          <w:iCs/>
          <w:color w:val="0E2841" w:themeColor="text2"/>
          <w:sz w:val="18"/>
          <w:szCs w:val="18"/>
          <w:vertAlign w:val="subscript"/>
        </w:rPr>
        <w:t>s</w:t>
      </w:r>
      <w:r w:rsidRPr="00CE2A69">
        <w:rPr>
          <w:b/>
          <w:bCs/>
          <w:i/>
          <w:iCs/>
          <w:color w:val="0E2841" w:themeColor="text2"/>
          <w:sz w:val="18"/>
          <w:szCs w:val="18"/>
        </w:rPr>
        <w:t>: Spearman coefficient,</w:t>
      </w:r>
      <w:r w:rsidRPr="00CE2A69">
        <w:rPr>
          <w:i/>
          <w:iCs/>
          <w:color w:val="0E2841" w:themeColor="text2"/>
          <w:sz w:val="18"/>
          <w:szCs w:val="18"/>
        </w:rPr>
        <w:t xml:space="preserve"> *: Statistically significant at p ≤ 0.05 </w:t>
      </w:r>
    </w:p>
    <w:p w14:paraId="08E689E5" w14:textId="77777777" w:rsidR="00D958C3" w:rsidRDefault="00F72EB3" w:rsidP="00D958C3">
      <w:pPr>
        <w:keepNext/>
        <w:spacing w:before="200"/>
        <w:ind w:left="284" w:hanging="284"/>
        <w:jc w:val="both"/>
      </w:pPr>
      <w:r>
        <w:rPr>
          <w:rFonts w:ascii="Times New Roman" w:hAnsi="Times New Roman" w:cs="Times New Roman"/>
          <w:noProof/>
          <w:sz w:val="24"/>
          <w:szCs w:val="24"/>
        </w:rPr>
        <w:drawing>
          <wp:inline distT="0" distB="0" distL="0" distR="0" wp14:anchorId="61E056D8" wp14:editId="004DC3CC">
            <wp:extent cx="5943600" cy="3714750"/>
            <wp:effectExtent l="0" t="0" r="0" b="0"/>
            <wp:docPr id="930808699" name="Picture 930808699" descr="Figure (1): Correlation between QTC (ms) and varices in total sample (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08699" name="Picture 930808699" descr="Figure (1): Correlation between QTC (ms) and varices in total sample (n= 60)"/>
                    <pic:cNvPicPr/>
                  </pic:nvPicPr>
                  <pic:blipFill>
                    <a:blip r:embed="rId10">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2AFB4101" w14:textId="267C301B" w:rsidR="00D958C3" w:rsidRPr="00D958C3" w:rsidRDefault="00D958C3" w:rsidP="00D958C3">
      <w:pPr>
        <w:pStyle w:val="Caption"/>
        <w:rPr>
          <w:b/>
          <w:bCs/>
        </w:rPr>
      </w:pPr>
      <w:r>
        <w:t xml:space="preserve">Fig </w:t>
      </w:r>
      <w:r>
        <w:fldChar w:fldCharType="begin"/>
      </w:r>
      <w:r>
        <w:instrText xml:space="preserve"> SEQ Figure \* ARABIC </w:instrText>
      </w:r>
      <w:r>
        <w:fldChar w:fldCharType="separate"/>
      </w:r>
      <w:r>
        <w:rPr>
          <w:noProof/>
        </w:rPr>
        <w:t>1</w:t>
      </w:r>
      <w:r>
        <w:fldChar w:fldCharType="end"/>
      </w:r>
      <w:r>
        <w:t xml:space="preserve">. </w:t>
      </w:r>
      <w:r w:rsidRPr="00D958C3">
        <w:rPr>
          <w:b/>
          <w:bCs/>
        </w:rPr>
        <w:t xml:space="preserve">Correlation between QTC (ms) and varices in </w:t>
      </w:r>
      <w:r>
        <w:rPr>
          <w:b/>
          <w:bCs/>
        </w:rPr>
        <w:t xml:space="preserve">the </w:t>
      </w:r>
      <w:r w:rsidRPr="00D958C3">
        <w:rPr>
          <w:b/>
          <w:bCs/>
        </w:rPr>
        <w:t>total sample (n= 60)</w:t>
      </w:r>
    </w:p>
    <w:p w14:paraId="26D32241" w14:textId="0B3BE5C5" w:rsidR="002C40C6" w:rsidRPr="0010653A" w:rsidRDefault="002C40C6" w:rsidP="00A83FB8">
      <w:pPr>
        <w:spacing w:line="360" w:lineRule="auto"/>
        <w:jc w:val="both"/>
        <w:rPr>
          <w:rFonts w:asciiTheme="majorBidi" w:hAnsiTheme="majorBidi" w:cstheme="majorBidi"/>
          <w:b/>
          <w:bCs/>
          <w:sz w:val="28"/>
          <w:szCs w:val="28"/>
        </w:rPr>
      </w:pPr>
      <w:r w:rsidRPr="0010653A">
        <w:rPr>
          <w:rFonts w:asciiTheme="majorBidi" w:hAnsiTheme="majorBidi" w:cstheme="majorBidi"/>
          <w:b/>
          <w:bCs/>
          <w:sz w:val="28"/>
          <w:szCs w:val="28"/>
        </w:rPr>
        <w:t>DISCUSSION</w:t>
      </w:r>
    </w:p>
    <w:p w14:paraId="0CD5F102" w14:textId="4D8765CA" w:rsidR="002C40C6" w:rsidRPr="007A11BB" w:rsidRDefault="002C40C6" w:rsidP="00A83FB8">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Cirrhotic cardiomyopathy, characterized by abnormalities in electrophysiology </w:t>
      </w:r>
      <w:r w:rsidR="008774DD">
        <w:rPr>
          <w:rFonts w:ascii="Times New Roman" w:eastAsia="Times New Roman" w:hAnsi="Times New Roman" w:cs="Times New Roman"/>
          <w:color w:val="212121"/>
          <w:sz w:val="24"/>
          <w:szCs w:val="24"/>
        </w:rPr>
        <w:t>and</w:t>
      </w:r>
      <w:r w:rsidRPr="007A11BB">
        <w:rPr>
          <w:rFonts w:ascii="Times New Roman" w:eastAsia="Times New Roman" w:hAnsi="Times New Roman" w:cs="Times New Roman"/>
          <w:color w:val="212121"/>
          <w:sz w:val="24"/>
          <w:szCs w:val="24"/>
        </w:rPr>
        <w:t xml:space="preserve"> altered diastolic relaxation with diminished contractile response to stress, is a chronic disease that patients with cirrhosis may acquire </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2</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w:t>
      </w:r>
    </w:p>
    <w:p w14:paraId="068B8198" w14:textId="63C34F16" w:rsidR="002C40C6" w:rsidRPr="007A11BB" w:rsidRDefault="002C40C6" w:rsidP="006F7909">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Cirrhotic cardiomyopathy is associated with a poorer prognosis because of its associations with heart failure, ascites, hepatorenal syndrome, and lower survival after transjugular i</w:t>
      </w:r>
      <w:r w:rsidR="00FE298C">
        <w:rPr>
          <w:rFonts w:ascii="Times New Roman" w:eastAsia="Times New Roman" w:hAnsi="Times New Roman" w:cs="Times New Roman"/>
          <w:color w:val="212121"/>
          <w:sz w:val="24"/>
          <w:szCs w:val="24"/>
        </w:rPr>
        <w:t xml:space="preserve">ntrahepatic portosystemic shunt </w:t>
      </w:r>
      <w:r>
        <w:rPr>
          <w:rFonts w:ascii="Times New Roman" w:eastAsia="Times New Roman" w:hAnsi="Times New Roman" w:cs="Times New Roman"/>
          <w:color w:val="212121"/>
          <w:sz w:val="24"/>
          <w:szCs w:val="24"/>
        </w:rPr>
        <w:t>[</w:t>
      </w:r>
      <w:r w:rsidR="004A479E">
        <w:rPr>
          <w:rFonts w:ascii="Times New Roman" w:eastAsia="Times New Roman" w:hAnsi="Times New Roman" w:cs="Times New Roman"/>
          <w:color w:val="212121"/>
          <w:sz w:val="24"/>
          <w:szCs w:val="24"/>
        </w:rPr>
        <w:t>2</w:t>
      </w:r>
      <w:r w:rsidR="006F7909">
        <w:rPr>
          <w:rFonts w:ascii="Times New Roman" w:eastAsia="Times New Roman" w:hAnsi="Times New Roman" w:cs="Times New Roman"/>
          <w:color w:val="212121"/>
          <w:sz w:val="24"/>
          <w:szCs w:val="24"/>
        </w:rPr>
        <w:t>4</w:t>
      </w:r>
      <w:r>
        <w:rPr>
          <w:rFonts w:ascii="Times New Roman" w:eastAsia="Times New Roman" w:hAnsi="Times New Roman" w:cs="Times New Roman"/>
          <w:color w:val="212121"/>
          <w:sz w:val="24"/>
          <w:szCs w:val="24"/>
        </w:rPr>
        <w:t>].</w:t>
      </w:r>
      <w:r w:rsidR="008774DD">
        <w:rPr>
          <w:rFonts w:ascii="Times New Roman" w:eastAsia="Times New Roman" w:hAnsi="Times New Roman" w:cs="Times New Roman"/>
          <w:color w:val="212121"/>
          <w:sz w:val="24"/>
          <w:szCs w:val="24"/>
        </w:rPr>
        <w:t xml:space="preserve"> </w:t>
      </w:r>
      <w:r w:rsidRPr="007A11BB">
        <w:rPr>
          <w:rFonts w:ascii="Times New Roman" w:eastAsia="Times New Roman" w:hAnsi="Times New Roman" w:cs="Times New Roman"/>
          <w:color w:val="212121"/>
          <w:sz w:val="24"/>
          <w:szCs w:val="24"/>
        </w:rPr>
        <w:t>Our goal was to investigate the relationship between esophageal varices and cardiac alterations in patients with cirrhosis.</w:t>
      </w:r>
    </w:p>
    <w:p w14:paraId="30F7499C" w14:textId="77777777" w:rsidR="002C40C6" w:rsidRPr="005B72C5" w:rsidRDefault="002C40C6" w:rsidP="00A83FB8">
      <w:pPr>
        <w:spacing w:line="360" w:lineRule="auto"/>
        <w:jc w:val="both"/>
        <w:rPr>
          <w:rFonts w:ascii="Times New Roman" w:eastAsia="Times New Roman" w:hAnsi="Times New Roman" w:cs="Times New Roman"/>
          <w:color w:val="212121"/>
          <w:sz w:val="24"/>
          <w:szCs w:val="24"/>
        </w:rPr>
      </w:pPr>
      <w:r w:rsidRPr="005B72C5">
        <w:rPr>
          <w:rFonts w:ascii="Times New Roman" w:eastAsia="Times New Roman" w:hAnsi="Times New Roman" w:cs="Times New Roman"/>
          <w:color w:val="212121"/>
          <w:sz w:val="24"/>
          <w:szCs w:val="24"/>
        </w:rPr>
        <w:t>The study recruited sixty cirrhotic individuals who were matched by age and sex. The severity of the esophageal varices was used to categorize the patients: twenty patients were included in the control group as they had no varices, twenty patients had small varices, and twenty patients had large varices.</w:t>
      </w:r>
    </w:p>
    <w:p w14:paraId="19CFB1A7" w14:textId="1204D7B1" w:rsidR="002C40C6" w:rsidRDefault="002C40C6" w:rsidP="006F7909">
      <w:pPr>
        <w:spacing w:line="360" w:lineRule="auto"/>
        <w:jc w:val="both"/>
        <w:rPr>
          <w:rFonts w:ascii="Times New Roman" w:eastAsia="Times New Roman" w:hAnsi="Times New Roman" w:cs="Times New Roman"/>
          <w:color w:val="212121"/>
          <w:sz w:val="24"/>
          <w:szCs w:val="24"/>
        </w:rPr>
      </w:pPr>
      <w:r w:rsidRPr="005B72C5">
        <w:rPr>
          <w:rFonts w:ascii="Times New Roman" w:eastAsia="Times New Roman" w:hAnsi="Times New Roman" w:cs="Times New Roman"/>
          <w:color w:val="212121"/>
          <w:sz w:val="24"/>
          <w:szCs w:val="24"/>
        </w:rPr>
        <w:t xml:space="preserve">Every patient's ejection fraction fell between the usual limits. This function may be connected to afterload reduction since patients with cirrhosis have reduced systemic vascular resistance. </w:t>
      </w:r>
      <w:r w:rsidR="00935204" w:rsidRPr="00935204">
        <w:rPr>
          <w:rFonts w:ascii="Times New Roman" w:eastAsia="Times New Roman" w:hAnsi="Times New Roman" w:cs="Times New Roman"/>
          <w:b/>
          <w:bCs/>
          <w:i/>
          <w:iCs/>
          <w:color w:val="212121"/>
          <w:sz w:val="24"/>
          <w:szCs w:val="24"/>
        </w:rPr>
        <w:t>Wong F, 2001</w:t>
      </w:r>
      <w:r w:rsidR="008774DD">
        <w:rPr>
          <w:rFonts w:ascii="Times New Roman" w:eastAsia="Times New Roman" w:hAnsi="Times New Roman" w:cs="Times New Roman"/>
          <w:color w:val="212121"/>
          <w:sz w:val="24"/>
          <w:szCs w:val="24"/>
        </w:rPr>
        <w:t>,</w:t>
      </w:r>
      <w:r w:rsidRPr="005B72C5">
        <w:rPr>
          <w:rFonts w:ascii="Times New Roman" w:eastAsia="Times New Roman" w:hAnsi="Times New Roman" w:cs="Times New Roman"/>
          <w:color w:val="212121"/>
          <w:sz w:val="24"/>
          <w:szCs w:val="24"/>
        </w:rPr>
        <w:t xml:space="preserve"> indicated that during rest, both the contractile index and stroke volume are typically </w:t>
      </w:r>
      <w:r w:rsidR="008774DD">
        <w:rPr>
          <w:rFonts w:ascii="Times New Roman" w:eastAsia="Times New Roman" w:hAnsi="Times New Roman" w:cs="Times New Roman"/>
          <w:color w:val="212121"/>
          <w:sz w:val="24"/>
          <w:szCs w:val="24"/>
        </w:rPr>
        <w:t>routine</w:t>
      </w:r>
      <w:r w:rsidRPr="005B72C5">
        <w:rPr>
          <w:rFonts w:ascii="Times New Roman" w:eastAsia="Times New Roman" w:hAnsi="Times New Roman" w:cs="Times New Roman"/>
          <w:color w:val="212121"/>
          <w:sz w:val="24"/>
          <w:szCs w:val="24"/>
        </w:rPr>
        <w:t xml:space="preserve"> or slightly raised. </w:t>
      </w:r>
      <w:r w:rsidR="00935204" w:rsidRPr="005B72C5">
        <w:rPr>
          <w:rFonts w:ascii="Times New Roman" w:eastAsia="Times New Roman" w:hAnsi="Times New Roman" w:cs="Times New Roman"/>
          <w:color w:val="212121"/>
          <w:sz w:val="24"/>
          <w:szCs w:val="24"/>
        </w:rPr>
        <w:t>[</w:t>
      </w:r>
      <w:r w:rsidR="004A479E">
        <w:rPr>
          <w:rFonts w:ascii="Times New Roman" w:eastAsia="Times New Roman" w:hAnsi="Times New Roman" w:cs="Times New Roman"/>
          <w:color w:val="212121"/>
          <w:sz w:val="24"/>
          <w:szCs w:val="24"/>
        </w:rPr>
        <w:t>2</w:t>
      </w:r>
      <w:r w:rsidR="006F7909">
        <w:rPr>
          <w:rFonts w:ascii="Times New Roman" w:eastAsia="Times New Roman" w:hAnsi="Times New Roman" w:cs="Times New Roman"/>
          <w:color w:val="212121"/>
          <w:sz w:val="24"/>
          <w:szCs w:val="24"/>
        </w:rPr>
        <w:t>5</w:t>
      </w:r>
      <w:r>
        <w:rPr>
          <w:rFonts w:ascii="Times New Roman" w:eastAsia="Times New Roman" w:hAnsi="Times New Roman" w:cs="Times New Roman"/>
          <w:color w:val="212121"/>
          <w:sz w:val="24"/>
          <w:szCs w:val="24"/>
        </w:rPr>
        <w:t>]</w:t>
      </w:r>
      <w:r w:rsidRPr="005B72C5">
        <w:rPr>
          <w:rFonts w:ascii="Times New Roman" w:eastAsia="Times New Roman" w:hAnsi="Times New Roman" w:cs="Times New Roman"/>
          <w:color w:val="212121"/>
          <w:sz w:val="24"/>
          <w:szCs w:val="24"/>
        </w:rPr>
        <w:t>.</w:t>
      </w:r>
    </w:p>
    <w:p w14:paraId="2690C6EA" w14:textId="33C64702" w:rsidR="00935204" w:rsidRPr="007A11BB" w:rsidRDefault="002C40C6" w:rsidP="00044EEF">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Using the 2019 criteria, CCM was identified; out of 60 cirrhotic patients, 18 patients (30%) exhibited diastolic dysfunction identified by (≥3 of the following)1. Septal e′ velocity &lt; 7 cm/s; 2. E/e′ ratio ≥ 15. 3.TR velocity 2 &gt; 2.8 m/second; </w:t>
      </w:r>
      <w:r w:rsidR="00303FCE" w:rsidRPr="007A11BB">
        <w:rPr>
          <w:rFonts w:ascii="Times New Roman" w:eastAsia="Times New Roman" w:hAnsi="Times New Roman" w:cs="Times New Roman"/>
          <w:color w:val="212121"/>
          <w:sz w:val="24"/>
          <w:szCs w:val="24"/>
        </w:rPr>
        <w:t>4. LAVI</w:t>
      </w:r>
      <w:r w:rsidRPr="007A11BB">
        <w:rPr>
          <w:rFonts w:ascii="Times New Roman" w:eastAsia="Times New Roman" w:hAnsi="Times New Roman" w:cs="Times New Roman"/>
          <w:color w:val="212121"/>
          <w:sz w:val="24"/>
          <w:szCs w:val="24"/>
        </w:rPr>
        <w:t xml:space="preserve"> &gt; 34 mL/m2</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3</w:t>
      </w:r>
      <w:r>
        <w:rPr>
          <w:rFonts w:ascii="Times New Roman" w:eastAsia="Times New Roman" w:hAnsi="Times New Roman" w:cs="Times New Roman"/>
          <w:color w:val="212121"/>
          <w:sz w:val="24"/>
          <w:szCs w:val="24"/>
        </w:rPr>
        <w:t>]</w:t>
      </w:r>
      <w:r w:rsidR="00044EEF">
        <w:rPr>
          <w:rFonts w:ascii="Times New Roman" w:eastAsia="Times New Roman" w:hAnsi="Times New Roman" w:cs="Times New Roman"/>
          <w:color w:val="212121"/>
          <w:sz w:val="24"/>
          <w:szCs w:val="24"/>
        </w:rPr>
        <w:t>.</w:t>
      </w:r>
    </w:p>
    <w:p w14:paraId="3B301BF5" w14:textId="2895B852" w:rsidR="002C40C6" w:rsidRPr="007A11BB" w:rsidRDefault="002C40C6" w:rsidP="006F7909">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The prevalence of CCM</w:t>
      </w:r>
      <w:r w:rsidR="00E83F0E">
        <w:rPr>
          <w:rFonts w:ascii="Times New Roman" w:eastAsia="Times New Roman" w:hAnsi="Times New Roman" w:cs="Times New Roman"/>
          <w:color w:val="212121"/>
          <w:sz w:val="24"/>
          <w:szCs w:val="24"/>
        </w:rPr>
        <w:t xml:space="preserve"> in the study</w:t>
      </w:r>
      <w:r w:rsidR="006C370F">
        <w:rPr>
          <w:rFonts w:ascii="Times New Roman" w:eastAsia="Times New Roman" w:hAnsi="Times New Roman" w:cs="Times New Roman"/>
          <w:color w:val="212121"/>
          <w:sz w:val="24"/>
          <w:szCs w:val="24"/>
        </w:rPr>
        <w:t xml:space="preserve"> was</w:t>
      </w:r>
      <w:r w:rsidR="00E83F0E">
        <w:rPr>
          <w:rFonts w:ascii="Times New Roman" w:eastAsia="Times New Roman" w:hAnsi="Times New Roman" w:cs="Times New Roman"/>
          <w:color w:val="212121"/>
          <w:sz w:val="24"/>
          <w:szCs w:val="24"/>
        </w:rPr>
        <w:t xml:space="preserve"> 18/60 (30%)</w:t>
      </w:r>
      <w:r w:rsidR="008774DD">
        <w:rPr>
          <w:rFonts w:ascii="Times New Roman" w:eastAsia="Times New Roman" w:hAnsi="Times New Roman" w:cs="Times New Roman"/>
          <w:color w:val="212121"/>
          <w:sz w:val="24"/>
          <w:szCs w:val="24"/>
        </w:rPr>
        <w:t>, consistent with findings from previous studies, such as Cesari M. 2012, who reported that 29% of patients included in his study had the condition. Other studies also</w:t>
      </w:r>
      <w:r w:rsidRPr="007A11BB">
        <w:rPr>
          <w:rFonts w:ascii="Times New Roman" w:eastAsia="Times New Roman" w:hAnsi="Times New Roman" w:cs="Times New Roman"/>
          <w:color w:val="212121"/>
          <w:sz w:val="24"/>
          <w:szCs w:val="24"/>
        </w:rPr>
        <w:t xml:space="preserve"> showed the </w:t>
      </w:r>
      <w:r w:rsidR="00303FCE">
        <w:rPr>
          <w:rFonts w:ascii="Times New Roman" w:eastAsia="Times New Roman" w:hAnsi="Times New Roman" w:cs="Times New Roman"/>
          <w:color w:val="212121"/>
          <w:sz w:val="24"/>
          <w:szCs w:val="24"/>
        </w:rPr>
        <w:t>exact</w:t>
      </w:r>
      <w:r w:rsidRPr="007A11BB">
        <w:rPr>
          <w:rFonts w:ascii="Times New Roman" w:eastAsia="Times New Roman" w:hAnsi="Times New Roman" w:cs="Times New Roman"/>
          <w:color w:val="212121"/>
          <w:sz w:val="24"/>
          <w:szCs w:val="24"/>
        </w:rPr>
        <w:t xml:space="preserve"> prevalence</w:t>
      </w:r>
      <w:r>
        <w:rPr>
          <w:rFonts w:ascii="Times New Roman" w:eastAsia="Times New Roman" w:hAnsi="Times New Roman" w:cs="Times New Roman"/>
          <w:color w:val="212121"/>
          <w:sz w:val="24"/>
          <w:szCs w:val="24"/>
        </w:rPr>
        <w:t xml:space="preserve"> [</w:t>
      </w:r>
      <w:r w:rsidR="008C60EE">
        <w:rPr>
          <w:rFonts w:ascii="Times New Roman" w:eastAsia="Times New Roman" w:hAnsi="Times New Roman" w:cs="Times New Roman"/>
          <w:color w:val="212121"/>
          <w:sz w:val="24"/>
          <w:szCs w:val="24"/>
        </w:rPr>
        <w:t>2</w:t>
      </w:r>
      <w:r w:rsidR="006F7909">
        <w:rPr>
          <w:rFonts w:ascii="Times New Roman" w:eastAsia="Times New Roman" w:hAnsi="Times New Roman" w:cs="Times New Roman"/>
          <w:color w:val="212121"/>
          <w:sz w:val="24"/>
          <w:szCs w:val="24"/>
        </w:rPr>
        <w:t>6</w:t>
      </w:r>
      <w:r w:rsidRPr="007A11BB">
        <w:rPr>
          <w:rFonts w:ascii="Times New Roman" w:eastAsia="Times New Roman" w:hAnsi="Times New Roman" w:cs="Times New Roman"/>
          <w:color w:val="212121"/>
          <w:sz w:val="24"/>
          <w:szCs w:val="24"/>
        </w:rPr>
        <w:t>-2</w:t>
      </w:r>
      <w:r w:rsidR="006F7909">
        <w:rPr>
          <w:rFonts w:ascii="Times New Roman" w:eastAsia="Times New Roman" w:hAnsi="Times New Roman" w:cs="Times New Roman"/>
          <w:color w:val="212121"/>
          <w:sz w:val="24"/>
          <w:szCs w:val="24"/>
        </w:rPr>
        <w:t>8</w:t>
      </w:r>
      <w:r>
        <w:rPr>
          <w:rFonts w:ascii="Times New Roman" w:eastAsia="Times New Roman" w:hAnsi="Times New Roman" w:cs="Times New Roman"/>
          <w:color w:val="212121"/>
          <w:sz w:val="24"/>
          <w:szCs w:val="24"/>
        </w:rPr>
        <w:t>].</w:t>
      </w:r>
    </w:p>
    <w:p w14:paraId="3FAD5BA6" w14:textId="57DAECAE" w:rsidR="002C40C6" w:rsidRPr="007A11BB" w:rsidRDefault="002C40C6" w:rsidP="006F7909">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The contradictory findings in the literature about the prevalence of CCM (ranging from 46% to</w:t>
      </w:r>
      <w:r w:rsidR="002E7C80">
        <w:rPr>
          <w:rFonts w:ascii="Times New Roman" w:eastAsia="Times New Roman" w:hAnsi="Times New Roman" w:cs="Times New Roman"/>
          <w:color w:val="212121"/>
          <w:sz w:val="24"/>
          <w:szCs w:val="24"/>
        </w:rPr>
        <w:t xml:space="preserve"> </w:t>
      </w:r>
      <w:r w:rsidRPr="007A11BB">
        <w:rPr>
          <w:rFonts w:ascii="Times New Roman" w:eastAsia="Times New Roman" w:hAnsi="Times New Roman" w:cs="Times New Roman"/>
          <w:color w:val="212121"/>
          <w:sz w:val="24"/>
          <w:szCs w:val="24"/>
        </w:rPr>
        <w:t xml:space="preserve">63%) are primarily attributable to the varied diagnostic standards employed in these studies. </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2</w:t>
      </w:r>
      <w:r w:rsidR="006F7909">
        <w:rPr>
          <w:rFonts w:ascii="Times New Roman" w:eastAsia="Times New Roman" w:hAnsi="Times New Roman" w:cs="Times New Roman"/>
          <w:color w:val="212121"/>
          <w:sz w:val="24"/>
          <w:szCs w:val="24"/>
        </w:rPr>
        <w:t>9</w:t>
      </w:r>
      <w:r w:rsidRPr="007A11BB">
        <w:rPr>
          <w:rFonts w:ascii="Times New Roman" w:eastAsia="Times New Roman" w:hAnsi="Times New Roman" w:cs="Times New Roman"/>
          <w:color w:val="212121"/>
          <w:sz w:val="24"/>
          <w:szCs w:val="24"/>
        </w:rPr>
        <w:t>-</w:t>
      </w:r>
      <w:r w:rsidR="008C60EE">
        <w:rPr>
          <w:rFonts w:ascii="Times New Roman" w:eastAsia="Times New Roman" w:hAnsi="Times New Roman" w:cs="Times New Roman"/>
          <w:color w:val="212121"/>
          <w:sz w:val="24"/>
          <w:szCs w:val="24"/>
        </w:rPr>
        <w:t>3</w:t>
      </w:r>
      <w:r w:rsidR="006F7909">
        <w:rPr>
          <w:rFonts w:ascii="Times New Roman" w:eastAsia="Times New Roman" w:hAnsi="Times New Roman" w:cs="Times New Roman"/>
          <w:color w:val="212121"/>
          <w:sz w:val="24"/>
          <w:szCs w:val="24"/>
        </w:rPr>
        <w:t>2</w:t>
      </w:r>
      <w:r>
        <w:rPr>
          <w:rFonts w:ascii="Times New Roman" w:eastAsia="Times New Roman" w:hAnsi="Times New Roman" w:cs="Times New Roman"/>
          <w:color w:val="212121"/>
          <w:sz w:val="24"/>
          <w:szCs w:val="24"/>
        </w:rPr>
        <w:t>].</w:t>
      </w:r>
    </w:p>
    <w:p w14:paraId="78A1BA61" w14:textId="713147F9" w:rsidR="002C40C6" w:rsidRDefault="002C40C6" w:rsidP="00C33F55">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Regarding the </w:t>
      </w:r>
      <w:r w:rsidR="00C33F55">
        <w:rPr>
          <w:rFonts w:ascii="Times New Roman" w:eastAsia="Times New Roman" w:hAnsi="Times New Roman" w:cs="Times New Roman"/>
          <w:color w:val="212121"/>
          <w:sz w:val="24"/>
          <w:szCs w:val="24"/>
        </w:rPr>
        <w:t>association</w:t>
      </w:r>
      <w:r w:rsidRPr="007A11BB">
        <w:rPr>
          <w:rFonts w:ascii="Times New Roman" w:eastAsia="Times New Roman" w:hAnsi="Times New Roman" w:cs="Times New Roman"/>
          <w:color w:val="212121"/>
          <w:sz w:val="24"/>
          <w:szCs w:val="24"/>
        </w:rPr>
        <w:t xml:space="preserve"> between CCM and </w:t>
      </w:r>
      <w:r w:rsidR="008774DD">
        <w:rPr>
          <w:rFonts w:ascii="Times New Roman" w:eastAsia="Times New Roman" w:hAnsi="Times New Roman" w:cs="Times New Roman"/>
          <w:color w:val="212121"/>
          <w:sz w:val="24"/>
          <w:szCs w:val="24"/>
        </w:rPr>
        <w:t>the severity of liver disease, we found that CCM diagnosed in our cases by diastolic dysfunction was significantly prevalent in patients with advanced liver disease by CHILD classification.</w:t>
      </w:r>
      <w:r w:rsidRPr="00303FCE">
        <w:rPr>
          <w:rFonts w:ascii="Times New Roman" w:eastAsia="Times New Roman" w:hAnsi="Times New Roman" w:cs="Times New Roman"/>
          <w:color w:val="212121"/>
          <w:sz w:val="24"/>
          <w:szCs w:val="24"/>
        </w:rPr>
        <w:t xml:space="preserve"> These results were consistent with other studies</w:t>
      </w:r>
      <w:r w:rsidR="008774DD">
        <w:rPr>
          <w:rFonts w:ascii="Times New Roman" w:eastAsia="Times New Roman" w:hAnsi="Times New Roman" w:cs="Times New Roman"/>
          <w:color w:val="212121"/>
          <w:sz w:val="24"/>
          <w:szCs w:val="24"/>
        </w:rPr>
        <w:t>, such as Behera MK,2021 which showed that patients with cirrhosis and left ventricular diastolic dysfunction had significantly higher child Pugh scores</w:t>
      </w:r>
      <w:r w:rsidR="006F7909" w:rsidRPr="00303FCE">
        <w:rPr>
          <w:rFonts w:ascii="Times New Roman" w:eastAsia="Times New Roman" w:hAnsi="Times New Roman" w:cs="Times New Roman"/>
          <w:color w:val="212121"/>
          <w:sz w:val="24"/>
          <w:szCs w:val="24"/>
        </w:rPr>
        <w:t xml:space="preserve"> </w:t>
      </w:r>
      <w:r w:rsidRPr="00303FCE">
        <w:rPr>
          <w:rFonts w:ascii="Times New Roman" w:eastAsia="Times New Roman" w:hAnsi="Times New Roman" w:cs="Times New Roman"/>
          <w:color w:val="212121"/>
          <w:sz w:val="24"/>
          <w:szCs w:val="24"/>
        </w:rPr>
        <w:t>[</w:t>
      </w:r>
      <w:r w:rsidR="008C60EE" w:rsidRPr="00303FCE">
        <w:rPr>
          <w:rFonts w:ascii="Times New Roman" w:eastAsia="Times New Roman" w:hAnsi="Times New Roman" w:cs="Times New Roman"/>
          <w:color w:val="212121"/>
          <w:sz w:val="24"/>
          <w:szCs w:val="24"/>
        </w:rPr>
        <w:t>3</w:t>
      </w:r>
      <w:r w:rsidR="006F7909" w:rsidRPr="00303FCE">
        <w:rPr>
          <w:rFonts w:ascii="Times New Roman" w:eastAsia="Times New Roman" w:hAnsi="Times New Roman" w:cs="Times New Roman"/>
          <w:color w:val="212121"/>
          <w:sz w:val="24"/>
          <w:szCs w:val="24"/>
        </w:rPr>
        <w:t>3</w:t>
      </w:r>
      <w:r w:rsidRPr="00303FCE">
        <w:rPr>
          <w:rFonts w:ascii="Times New Roman" w:eastAsia="Times New Roman" w:hAnsi="Times New Roman" w:cs="Times New Roman"/>
          <w:color w:val="212121"/>
          <w:sz w:val="24"/>
          <w:szCs w:val="24"/>
        </w:rPr>
        <w:t xml:space="preserve">, </w:t>
      </w:r>
      <w:r w:rsidR="004E6F96" w:rsidRPr="00303FCE">
        <w:rPr>
          <w:rFonts w:ascii="Times New Roman" w:eastAsia="Times New Roman" w:hAnsi="Times New Roman" w:cs="Times New Roman"/>
          <w:color w:val="212121"/>
          <w:sz w:val="24"/>
          <w:szCs w:val="24"/>
        </w:rPr>
        <w:t>3</w:t>
      </w:r>
      <w:r w:rsidR="006F7909" w:rsidRPr="00303FCE">
        <w:rPr>
          <w:rFonts w:ascii="Times New Roman" w:eastAsia="Times New Roman" w:hAnsi="Times New Roman" w:cs="Times New Roman"/>
          <w:color w:val="212121"/>
          <w:sz w:val="24"/>
          <w:szCs w:val="24"/>
        </w:rPr>
        <w:t>4</w:t>
      </w:r>
      <w:r w:rsidRPr="00303FCE">
        <w:rPr>
          <w:rFonts w:ascii="Times New Roman" w:eastAsia="Times New Roman" w:hAnsi="Times New Roman" w:cs="Times New Roman"/>
          <w:color w:val="212121"/>
          <w:sz w:val="24"/>
          <w:szCs w:val="24"/>
        </w:rPr>
        <w:t xml:space="preserve">]. </w:t>
      </w:r>
      <w:r w:rsidR="008774DD" w:rsidRPr="00303FCE">
        <w:rPr>
          <w:rFonts w:ascii="Times New Roman" w:eastAsia="Times New Roman" w:hAnsi="Times New Roman" w:cs="Times New Roman"/>
          <w:color w:val="212121"/>
          <w:sz w:val="24"/>
          <w:szCs w:val="24"/>
        </w:rPr>
        <w:t>Meanwhile, Hammami R, 2017,</w:t>
      </w:r>
      <w:r w:rsidRPr="00303FCE">
        <w:rPr>
          <w:rFonts w:ascii="Times New Roman" w:eastAsia="Times New Roman" w:hAnsi="Times New Roman" w:cs="Times New Roman"/>
          <w:color w:val="212121"/>
          <w:sz w:val="24"/>
          <w:szCs w:val="24"/>
        </w:rPr>
        <w:t xml:space="preserve"> showed </w:t>
      </w:r>
      <w:r w:rsidR="00CA015B" w:rsidRPr="00303FCE">
        <w:rPr>
          <w:rFonts w:ascii="Times New Roman" w:eastAsia="Times New Roman" w:hAnsi="Times New Roman" w:cs="Times New Roman"/>
          <w:color w:val="212121"/>
          <w:sz w:val="24"/>
          <w:szCs w:val="24"/>
        </w:rPr>
        <w:t xml:space="preserve">no correlation between the severity of cirrhosis and the stage of cardiomyopathy </w:t>
      </w:r>
      <w:r w:rsidRPr="00303FCE">
        <w:rPr>
          <w:rFonts w:ascii="Times New Roman" w:eastAsia="Times New Roman" w:hAnsi="Times New Roman" w:cs="Times New Roman"/>
          <w:color w:val="212121"/>
          <w:sz w:val="24"/>
          <w:szCs w:val="24"/>
        </w:rPr>
        <w:t>[</w:t>
      </w:r>
      <w:r w:rsidR="004E6F96" w:rsidRPr="00303FCE">
        <w:rPr>
          <w:rFonts w:ascii="Times New Roman" w:eastAsia="Times New Roman" w:hAnsi="Times New Roman" w:cs="Times New Roman"/>
          <w:color w:val="212121"/>
          <w:sz w:val="24"/>
          <w:szCs w:val="24"/>
        </w:rPr>
        <w:t>3</w:t>
      </w:r>
      <w:r w:rsidR="006F7909" w:rsidRPr="00303FCE">
        <w:rPr>
          <w:rFonts w:ascii="Times New Roman" w:eastAsia="Times New Roman" w:hAnsi="Times New Roman" w:cs="Times New Roman"/>
          <w:color w:val="212121"/>
          <w:sz w:val="24"/>
          <w:szCs w:val="24"/>
        </w:rPr>
        <w:t>5</w:t>
      </w:r>
      <w:r w:rsidRPr="00303FCE">
        <w:rPr>
          <w:rFonts w:ascii="Times New Roman" w:eastAsia="Times New Roman" w:hAnsi="Times New Roman" w:cs="Times New Roman"/>
          <w:color w:val="212121"/>
          <w:sz w:val="24"/>
          <w:szCs w:val="24"/>
        </w:rPr>
        <w:t>].</w:t>
      </w:r>
    </w:p>
    <w:p w14:paraId="6F781B96" w14:textId="05998163" w:rsidR="002C40C6" w:rsidRPr="007A11BB" w:rsidRDefault="002C40C6" w:rsidP="006F7909">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The three groups were compared for blood biochemical and radiological parameters, which show</w:t>
      </w:r>
      <w:r w:rsidR="008774DD">
        <w:rPr>
          <w:rFonts w:ascii="Times New Roman" w:eastAsia="Times New Roman" w:hAnsi="Times New Roman" w:cs="Times New Roman"/>
          <w:color w:val="212121"/>
          <w:sz w:val="24"/>
          <w:szCs w:val="24"/>
        </w:rPr>
        <w:t xml:space="preserve"> </w:t>
      </w:r>
      <w:r w:rsidRPr="007A11BB">
        <w:rPr>
          <w:rFonts w:ascii="Times New Roman" w:eastAsia="Times New Roman" w:hAnsi="Times New Roman" w:cs="Times New Roman"/>
          <w:color w:val="212121"/>
          <w:sz w:val="24"/>
          <w:szCs w:val="24"/>
        </w:rPr>
        <w:t>statistically significant differences for platelet count, albumin, bilirubin, portal vein diameter, spleen diameter</w:t>
      </w:r>
      <w:r w:rsidR="008774DD">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 xml:space="preserve"> and grade of ascites (p&lt;0.05).</w:t>
      </w:r>
      <w:r w:rsidRPr="007A11BB">
        <w:rPr>
          <w:rFonts w:ascii="Times New Roman" w:hAnsi="Times New Roman" w:cs="Times New Roman"/>
          <w:sz w:val="24"/>
          <w:szCs w:val="24"/>
        </w:rPr>
        <w:t xml:space="preserve"> </w:t>
      </w:r>
      <w:r w:rsidRPr="007A11BB">
        <w:rPr>
          <w:rFonts w:ascii="Times New Roman" w:eastAsia="Times New Roman" w:hAnsi="Times New Roman" w:cs="Times New Roman"/>
          <w:color w:val="212121"/>
          <w:sz w:val="24"/>
          <w:szCs w:val="24"/>
        </w:rPr>
        <w:t xml:space="preserve">These results are consistent with other studies that showed that a low platelet count was associated with higher grades of esophageal </w:t>
      </w:r>
      <w:r w:rsidR="00303FCE" w:rsidRPr="007A11BB">
        <w:rPr>
          <w:rFonts w:ascii="Times New Roman" w:eastAsia="Times New Roman" w:hAnsi="Times New Roman" w:cs="Times New Roman"/>
          <w:color w:val="212121"/>
          <w:sz w:val="24"/>
          <w:szCs w:val="24"/>
        </w:rPr>
        <w:t>varices</w:t>
      </w:r>
      <w:r w:rsidR="00303FCE">
        <w:rPr>
          <w:rFonts w:ascii="Times New Roman" w:eastAsia="Times New Roman" w:hAnsi="Times New Roman" w:cs="Times New Roman"/>
          <w:color w:val="212121"/>
          <w:sz w:val="24"/>
          <w:szCs w:val="24"/>
        </w:rPr>
        <w:t xml:space="preserve"> [</w:t>
      </w:r>
      <w:r w:rsidR="006F7909">
        <w:rPr>
          <w:rFonts w:ascii="Times New Roman" w:eastAsia="Times New Roman" w:hAnsi="Times New Roman" w:cs="Times New Roman"/>
          <w:color w:val="212121"/>
          <w:sz w:val="24"/>
          <w:szCs w:val="24"/>
        </w:rPr>
        <w:t>36</w:t>
      </w:r>
      <w:r w:rsidRPr="007A11BB">
        <w:rPr>
          <w:rFonts w:ascii="Times New Roman" w:eastAsia="Times New Roman" w:hAnsi="Times New Roman" w:cs="Times New Roman"/>
          <w:color w:val="212121"/>
          <w:sz w:val="24"/>
          <w:szCs w:val="24"/>
        </w:rPr>
        <w:t>-3</w:t>
      </w:r>
      <w:r w:rsidR="006F7909">
        <w:rPr>
          <w:rFonts w:ascii="Times New Roman" w:eastAsia="Times New Roman" w:hAnsi="Times New Roman" w:cs="Times New Roman"/>
          <w:color w:val="212121"/>
          <w:sz w:val="24"/>
          <w:szCs w:val="24"/>
        </w:rPr>
        <w:t>8</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 xml:space="preserve">. </w:t>
      </w:r>
      <w:r w:rsidR="008774DD">
        <w:rPr>
          <w:rFonts w:ascii="Times New Roman" w:eastAsia="Times New Roman" w:hAnsi="Times New Roman" w:cs="Times New Roman"/>
          <w:color w:val="212121"/>
          <w:sz w:val="24"/>
          <w:szCs w:val="24"/>
        </w:rPr>
        <w:t>Gebregziabiher HT et al. (2023) also</w:t>
      </w:r>
      <w:r w:rsidRPr="007A11BB">
        <w:rPr>
          <w:rFonts w:ascii="Times New Roman" w:eastAsia="Times New Roman" w:hAnsi="Times New Roman" w:cs="Times New Roman"/>
          <w:color w:val="212121"/>
          <w:sz w:val="24"/>
          <w:szCs w:val="24"/>
        </w:rPr>
        <w:t xml:space="preserve"> showed that platelet count and spleen diameter performed well for EV diagnosis </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3</w:t>
      </w:r>
      <w:r w:rsidR="006F7909">
        <w:rPr>
          <w:rFonts w:ascii="Times New Roman" w:eastAsia="Times New Roman" w:hAnsi="Times New Roman" w:cs="Times New Roman"/>
          <w:color w:val="212121"/>
          <w:sz w:val="24"/>
          <w:szCs w:val="24"/>
        </w:rPr>
        <w:t>9</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 xml:space="preserve">. </w:t>
      </w:r>
      <w:r w:rsidRPr="007A11BB">
        <w:rPr>
          <w:rFonts w:ascii="Times New Roman" w:eastAsia="Times New Roman" w:hAnsi="Times New Roman" w:cs="Times New Roman"/>
          <w:b/>
          <w:bCs/>
          <w:i/>
          <w:iCs/>
          <w:color w:val="212121"/>
          <w:sz w:val="24"/>
          <w:szCs w:val="24"/>
        </w:rPr>
        <w:t>ZEB et al. (2022)</w:t>
      </w:r>
      <w:r w:rsidRPr="007A11BB">
        <w:rPr>
          <w:rFonts w:ascii="Times New Roman" w:eastAsia="Times New Roman" w:hAnsi="Times New Roman" w:cs="Times New Roman"/>
          <w:color w:val="212121"/>
          <w:sz w:val="24"/>
          <w:szCs w:val="24"/>
        </w:rPr>
        <w:t xml:space="preserve"> showed that a low albumin level can predict the degree of EV </w:t>
      </w:r>
      <w:r>
        <w:rPr>
          <w:rFonts w:ascii="Times New Roman" w:eastAsia="Times New Roman" w:hAnsi="Times New Roman" w:cs="Times New Roman"/>
          <w:color w:val="212121"/>
          <w:sz w:val="24"/>
          <w:szCs w:val="24"/>
        </w:rPr>
        <w:t>[</w:t>
      </w:r>
      <w:r w:rsidR="006F7909">
        <w:rPr>
          <w:rFonts w:ascii="Times New Roman" w:eastAsia="Times New Roman" w:hAnsi="Times New Roman" w:cs="Times New Roman"/>
          <w:color w:val="212121"/>
          <w:sz w:val="24"/>
          <w:szCs w:val="24"/>
        </w:rPr>
        <w:t>40</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 xml:space="preserve">. </w:t>
      </w:r>
      <w:r w:rsidRPr="007A11BB">
        <w:rPr>
          <w:rFonts w:ascii="Times New Roman" w:eastAsia="Times New Roman" w:hAnsi="Times New Roman" w:cs="Times New Roman"/>
          <w:b/>
          <w:bCs/>
          <w:i/>
          <w:iCs/>
          <w:color w:val="212121"/>
          <w:sz w:val="24"/>
          <w:szCs w:val="24"/>
        </w:rPr>
        <w:t>Mahmood K. et al.</w:t>
      </w:r>
      <w:r w:rsidRPr="007A11BB">
        <w:rPr>
          <w:rFonts w:ascii="Times New Roman" w:eastAsia="Times New Roman" w:hAnsi="Times New Roman" w:cs="Times New Roman"/>
          <w:color w:val="212121"/>
          <w:sz w:val="24"/>
          <w:szCs w:val="24"/>
        </w:rPr>
        <w:t xml:space="preserve"> </w:t>
      </w:r>
      <w:r w:rsidRPr="007A11BB">
        <w:rPr>
          <w:rFonts w:ascii="Times New Roman" w:eastAsia="Times New Roman" w:hAnsi="Times New Roman" w:cs="Times New Roman"/>
          <w:b/>
          <w:bCs/>
          <w:i/>
          <w:iCs/>
          <w:color w:val="212121"/>
          <w:sz w:val="24"/>
          <w:szCs w:val="24"/>
        </w:rPr>
        <w:t>(2019)</w:t>
      </w:r>
      <w:r w:rsidRPr="007A11BB">
        <w:rPr>
          <w:rFonts w:ascii="Times New Roman" w:eastAsia="Times New Roman" w:hAnsi="Times New Roman" w:cs="Times New Roman"/>
          <w:color w:val="212121"/>
          <w:sz w:val="24"/>
          <w:szCs w:val="24"/>
        </w:rPr>
        <w:t xml:space="preserve"> concluded that low platelet count, high bilirubin level, and ascites are non-invasive predictive factors for large esophageal varices </w:t>
      </w:r>
      <w:r>
        <w:rPr>
          <w:rFonts w:ascii="Times New Roman" w:eastAsia="Times New Roman" w:hAnsi="Times New Roman" w:cs="Times New Roman"/>
          <w:color w:val="212121"/>
          <w:sz w:val="24"/>
          <w:szCs w:val="24"/>
        </w:rPr>
        <w:t>[</w:t>
      </w:r>
      <w:r w:rsidR="00FE298C">
        <w:rPr>
          <w:rFonts w:ascii="Times New Roman" w:eastAsia="Times New Roman" w:hAnsi="Times New Roman" w:cs="Times New Roman"/>
          <w:color w:val="212121"/>
          <w:sz w:val="24"/>
          <w:szCs w:val="24"/>
        </w:rPr>
        <w:t>4</w:t>
      </w:r>
      <w:r w:rsidR="006F7909">
        <w:rPr>
          <w:rFonts w:ascii="Times New Roman" w:eastAsia="Times New Roman" w:hAnsi="Times New Roman" w:cs="Times New Roman"/>
          <w:color w:val="212121"/>
          <w:sz w:val="24"/>
          <w:szCs w:val="24"/>
        </w:rPr>
        <w:t>1</w:t>
      </w:r>
      <w:r>
        <w:rPr>
          <w:rFonts w:ascii="Times New Roman" w:eastAsia="Times New Roman" w:hAnsi="Times New Roman" w:cs="Times New Roman"/>
          <w:color w:val="212121"/>
          <w:sz w:val="24"/>
          <w:szCs w:val="24"/>
        </w:rPr>
        <w:t>]</w:t>
      </w:r>
      <w:r w:rsidRPr="007A11BB">
        <w:rPr>
          <w:rFonts w:ascii="Times New Roman" w:eastAsia="Times New Roman" w:hAnsi="Times New Roman" w:cs="Times New Roman"/>
          <w:color w:val="212121"/>
          <w:sz w:val="24"/>
          <w:szCs w:val="24"/>
        </w:rPr>
        <w:t>.</w:t>
      </w:r>
      <w:r w:rsidR="008774DD">
        <w:rPr>
          <w:rFonts w:ascii="Times New Roman" w:eastAsia="Times New Roman" w:hAnsi="Times New Roman" w:cs="Times New Roman"/>
          <w:color w:val="212121"/>
          <w:sz w:val="24"/>
          <w:szCs w:val="24"/>
        </w:rPr>
        <w:t xml:space="preserve"> </w:t>
      </w:r>
      <w:r w:rsidRPr="007A11BB">
        <w:rPr>
          <w:rFonts w:ascii="Times New Roman" w:eastAsia="Times New Roman" w:hAnsi="Times New Roman" w:cs="Times New Roman"/>
          <w:b/>
          <w:bCs/>
          <w:i/>
          <w:iCs/>
          <w:color w:val="212121"/>
          <w:sz w:val="24"/>
          <w:szCs w:val="24"/>
        </w:rPr>
        <w:t>Prihatini</w:t>
      </w:r>
      <w:r w:rsidR="008774DD">
        <w:rPr>
          <w:rFonts w:ascii="Times New Roman" w:eastAsia="Times New Roman" w:hAnsi="Times New Roman" w:cs="Times New Roman"/>
          <w:b/>
          <w:bCs/>
          <w:i/>
          <w:iCs/>
          <w:color w:val="212121"/>
          <w:sz w:val="24"/>
          <w:szCs w:val="24"/>
        </w:rPr>
        <w:t xml:space="preserve"> et al. 2005 </w:t>
      </w:r>
      <w:r w:rsidR="008774DD" w:rsidRPr="00303FCE">
        <w:rPr>
          <w:rFonts w:ascii="Times New Roman" w:eastAsia="Times New Roman" w:hAnsi="Times New Roman" w:cs="Times New Roman"/>
          <w:color w:val="212121"/>
          <w:sz w:val="24"/>
          <w:szCs w:val="24"/>
        </w:rPr>
        <w:t>showed that portal vein diameter could be a noninvasive parameter</w:t>
      </w:r>
      <w:r w:rsidRPr="007A11BB">
        <w:rPr>
          <w:rFonts w:ascii="Times New Roman" w:eastAsia="Times New Roman" w:hAnsi="Times New Roman" w:cs="Times New Roman"/>
          <w:color w:val="212121"/>
          <w:sz w:val="24"/>
          <w:szCs w:val="24"/>
        </w:rPr>
        <w:t xml:space="preserve"> to detect esophageal varices in cirrhotic patients</w:t>
      </w:r>
      <w:r>
        <w:rPr>
          <w:rFonts w:ascii="Times New Roman" w:eastAsia="Times New Roman" w:hAnsi="Times New Roman" w:cs="Times New Roman"/>
          <w:color w:val="212121"/>
          <w:sz w:val="24"/>
          <w:szCs w:val="24"/>
        </w:rPr>
        <w:t xml:space="preserve"> [</w:t>
      </w:r>
      <w:r w:rsidR="004E6F96">
        <w:rPr>
          <w:rFonts w:ascii="Times New Roman" w:eastAsia="Times New Roman" w:hAnsi="Times New Roman" w:cs="Times New Roman"/>
          <w:color w:val="212121"/>
          <w:sz w:val="24"/>
          <w:szCs w:val="24"/>
        </w:rPr>
        <w:t>4</w:t>
      </w:r>
      <w:r w:rsidR="006F7909">
        <w:rPr>
          <w:rFonts w:ascii="Times New Roman" w:eastAsia="Times New Roman" w:hAnsi="Times New Roman" w:cs="Times New Roman"/>
          <w:color w:val="212121"/>
          <w:sz w:val="24"/>
          <w:szCs w:val="24"/>
        </w:rPr>
        <w:t>2</w:t>
      </w:r>
      <w:r>
        <w:rPr>
          <w:rFonts w:ascii="Times New Roman" w:eastAsia="Times New Roman" w:hAnsi="Times New Roman" w:cs="Times New Roman"/>
          <w:color w:val="212121"/>
          <w:sz w:val="24"/>
          <w:szCs w:val="24"/>
        </w:rPr>
        <w:t>].</w:t>
      </w:r>
    </w:p>
    <w:p w14:paraId="0777E3D8" w14:textId="72FC8085" w:rsidR="00C33F55" w:rsidRPr="00303FCE" w:rsidRDefault="002C40C6" w:rsidP="003E57E7">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Echocardiography and ECG results were used to compare the heart condition of the three study groups. The corrected QT interval revealed a statistically significant difference between the control, small varices, and large varices groups but not between the control and small varices groups. (p&lt;0.001).</w:t>
      </w:r>
      <w:r w:rsidR="008774DD">
        <w:rPr>
          <w:rFonts w:ascii="Times New Roman" w:eastAsia="Times New Roman" w:hAnsi="Times New Roman" w:cs="Times New Roman"/>
          <w:color w:val="212121"/>
          <w:sz w:val="24"/>
          <w:szCs w:val="24"/>
        </w:rPr>
        <w:t xml:space="preserve"> Also, we found a positive correlation between prolonged QT interval and the </w:t>
      </w:r>
      <w:r w:rsidR="00044EEF" w:rsidRPr="00303FCE">
        <w:rPr>
          <w:rFonts w:ascii="Times New Roman" w:eastAsia="Times New Roman" w:hAnsi="Times New Roman" w:cs="Times New Roman"/>
          <w:color w:val="212121"/>
          <w:sz w:val="24"/>
          <w:szCs w:val="24"/>
        </w:rPr>
        <w:t>degree of esophageal varices.</w:t>
      </w:r>
      <w:r w:rsidRPr="007A11BB">
        <w:rPr>
          <w:rFonts w:ascii="Times New Roman" w:eastAsia="Times New Roman" w:hAnsi="Times New Roman" w:cs="Times New Roman"/>
          <w:color w:val="212121"/>
          <w:sz w:val="24"/>
          <w:szCs w:val="24"/>
        </w:rPr>
        <w:t xml:space="preserve"> </w:t>
      </w:r>
      <w:r w:rsidR="00044EEF">
        <w:rPr>
          <w:rFonts w:ascii="Times New Roman" w:eastAsia="Times New Roman" w:hAnsi="Times New Roman" w:cs="Times New Roman"/>
          <w:color w:val="212121"/>
          <w:sz w:val="24"/>
          <w:szCs w:val="24"/>
        </w:rPr>
        <w:t xml:space="preserve"> </w:t>
      </w:r>
      <w:r w:rsidR="00C33F55" w:rsidRPr="00303FCE">
        <w:rPr>
          <w:rFonts w:ascii="Times New Roman" w:eastAsia="Times New Roman" w:hAnsi="Times New Roman" w:cs="Times New Roman"/>
          <w:color w:val="212121"/>
          <w:sz w:val="24"/>
          <w:szCs w:val="24"/>
        </w:rPr>
        <w:t>Studies on the degre</w:t>
      </w:r>
      <w:r w:rsidR="003E57E7" w:rsidRPr="00303FCE">
        <w:rPr>
          <w:rFonts w:ascii="Times New Roman" w:eastAsia="Times New Roman" w:hAnsi="Times New Roman" w:cs="Times New Roman"/>
          <w:color w:val="212121"/>
          <w:sz w:val="24"/>
          <w:szCs w:val="24"/>
        </w:rPr>
        <w:t xml:space="preserve">e of esophageal varices and </w:t>
      </w:r>
      <w:r w:rsidR="00C33F55" w:rsidRPr="00303FCE">
        <w:rPr>
          <w:rFonts w:ascii="Times New Roman" w:eastAsia="Times New Roman" w:hAnsi="Times New Roman" w:cs="Times New Roman"/>
          <w:color w:val="212121"/>
          <w:sz w:val="24"/>
          <w:szCs w:val="24"/>
        </w:rPr>
        <w:t>CCM were limited; the majority focused on cases of gastrointestinal bleeding</w:t>
      </w:r>
      <w:r w:rsidR="008774DD" w:rsidRPr="00303FCE">
        <w:rPr>
          <w:rFonts w:ascii="Times New Roman" w:eastAsia="Times New Roman" w:hAnsi="Times New Roman" w:cs="Times New Roman"/>
          <w:color w:val="212121"/>
          <w:sz w:val="24"/>
          <w:szCs w:val="24"/>
        </w:rPr>
        <w:t>.</w:t>
      </w:r>
    </w:p>
    <w:p w14:paraId="6DC74F89" w14:textId="1F49F303" w:rsidR="002C40C6" w:rsidRPr="007A11BB" w:rsidRDefault="002C40C6" w:rsidP="00C33F55">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According to </w:t>
      </w:r>
      <w:r w:rsidRPr="007A11BB">
        <w:rPr>
          <w:rFonts w:ascii="Times New Roman" w:eastAsia="Times New Roman" w:hAnsi="Times New Roman" w:cs="Times New Roman"/>
          <w:b/>
          <w:bCs/>
          <w:i/>
          <w:iCs/>
          <w:color w:val="212121"/>
          <w:sz w:val="24"/>
          <w:szCs w:val="24"/>
        </w:rPr>
        <w:t>Seleem H. et al. (2022),</w:t>
      </w:r>
      <w:r w:rsidRPr="007A11BB">
        <w:rPr>
          <w:rFonts w:ascii="Times New Roman" w:eastAsia="Times New Roman" w:hAnsi="Times New Roman" w:cs="Times New Roman"/>
          <w:color w:val="212121"/>
          <w:sz w:val="24"/>
          <w:szCs w:val="24"/>
        </w:rPr>
        <w:t xml:space="preserve"> there was a tendency for the QTc interval to be higher in the group of cirrhotic patients with </w:t>
      </w:r>
      <w:r w:rsidR="00CA015B">
        <w:rPr>
          <w:rFonts w:ascii="Times New Roman" w:eastAsia="Times New Roman" w:hAnsi="Times New Roman" w:cs="Times New Roman"/>
          <w:color w:val="212121"/>
          <w:sz w:val="24"/>
          <w:szCs w:val="24"/>
        </w:rPr>
        <w:t>large</w:t>
      </w:r>
      <w:r w:rsidRPr="007A11BB">
        <w:rPr>
          <w:rFonts w:ascii="Times New Roman" w:eastAsia="Times New Roman" w:hAnsi="Times New Roman" w:cs="Times New Roman"/>
          <w:color w:val="212121"/>
          <w:sz w:val="24"/>
          <w:szCs w:val="24"/>
        </w:rPr>
        <w:t xml:space="preserve"> esophageal varices than in the group with </w:t>
      </w:r>
      <w:r w:rsidR="00CA015B">
        <w:rPr>
          <w:rFonts w:ascii="Times New Roman" w:eastAsia="Times New Roman" w:hAnsi="Times New Roman" w:cs="Times New Roman"/>
          <w:color w:val="212121"/>
          <w:sz w:val="24"/>
          <w:szCs w:val="24"/>
        </w:rPr>
        <w:t>small varices</w:t>
      </w:r>
      <w:r w:rsidRPr="007A11BB">
        <w:rPr>
          <w:rFonts w:ascii="Times New Roman" w:eastAsia="Times New Roman" w:hAnsi="Times New Roman" w:cs="Times New Roman"/>
          <w:color w:val="212121"/>
          <w:sz w:val="24"/>
          <w:szCs w:val="24"/>
        </w:rPr>
        <w:t xml:space="preserve">. However, </w:t>
      </w:r>
      <w:r w:rsidR="008774DD">
        <w:rPr>
          <w:rFonts w:ascii="Times New Roman" w:eastAsia="Times New Roman" w:hAnsi="Times New Roman" w:cs="Times New Roman"/>
          <w:color w:val="212121"/>
          <w:sz w:val="24"/>
          <w:szCs w:val="24"/>
        </w:rPr>
        <w:t>no significant difference was</w:t>
      </w:r>
      <w:r w:rsidRPr="007A11BB">
        <w:rPr>
          <w:rFonts w:ascii="Times New Roman" w:eastAsia="Times New Roman" w:hAnsi="Times New Roman" w:cs="Times New Roman"/>
          <w:color w:val="212121"/>
          <w:sz w:val="24"/>
          <w:szCs w:val="24"/>
        </w:rPr>
        <w:t xml:space="preserve"> seen between the two groups</w:t>
      </w:r>
      <w:r>
        <w:rPr>
          <w:rFonts w:ascii="Times New Roman" w:eastAsia="Times New Roman" w:hAnsi="Times New Roman" w:cs="Times New Roman"/>
          <w:color w:val="212121"/>
          <w:sz w:val="24"/>
          <w:szCs w:val="24"/>
        </w:rPr>
        <w:t xml:space="preserve"> [</w:t>
      </w:r>
      <w:r w:rsidR="00034428">
        <w:rPr>
          <w:rFonts w:ascii="Times New Roman" w:eastAsia="Times New Roman" w:hAnsi="Times New Roman" w:cs="Times New Roman"/>
          <w:color w:val="212121"/>
          <w:sz w:val="24"/>
          <w:szCs w:val="24"/>
        </w:rPr>
        <w:t>4</w:t>
      </w:r>
      <w:r w:rsidR="006F7909">
        <w:rPr>
          <w:rFonts w:ascii="Times New Roman" w:eastAsia="Times New Roman" w:hAnsi="Times New Roman" w:cs="Times New Roman"/>
          <w:color w:val="212121"/>
          <w:sz w:val="24"/>
          <w:szCs w:val="24"/>
        </w:rPr>
        <w:t>3</w:t>
      </w:r>
      <w:r>
        <w:rPr>
          <w:rFonts w:ascii="Times New Roman" w:eastAsia="Times New Roman" w:hAnsi="Times New Roman" w:cs="Times New Roman"/>
          <w:color w:val="212121"/>
          <w:sz w:val="24"/>
          <w:szCs w:val="24"/>
        </w:rPr>
        <w:t>].</w:t>
      </w:r>
    </w:p>
    <w:p w14:paraId="772F8B6F" w14:textId="21F749DB" w:rsidR="003D24E1" w:rsidRPr="003D24E1" w:rsidRDefault="003D24E1" w:rsidP="003E57E7">
      <w:pPr>
        <w:spacing w:line="360" w:lineRule="auto"/>
        <w:jc w:val="both"/>
        <w:rPr>
          <w:rFonts w:ascii="Times New Roman" w:eastAsia="Times New Roman" w:hAnsi="Times New Roman" w:cs="Times New Roman"/>
          <w:color w:val="212121"/>
          <w:sz w:val="24"/>
          <w:szCs w:val="24"/>
        </w:rPr>
      </w:pPr>
      <w:r w:rsidRPr="003D24E1">
        <w:rPr>
          <w:rFonts w:ascii="Times New Roman" w:eastAsia="Times New Roman" w:hAnsi="Times New Roman" w:cs="Times New Roman"/>
          <w:color w:val="212121"/>
          <w:sz w:val="24"/>
          <w:szCs w:val="24"/>
        </w:rPr>
        <w:t xml:space="preserve">In addition to </w:t>
      </w:r>
      <w:r w:rsidRPr="003D24E1">
        <w:rPr>
          <w:rFonts w:ascii="Times New Roman" w:eastAsia="Times New Roman" w:hAnsi="Times New Roman" w:cs="Times New Roman"/>
          <w:b/>
          <w:bCs/>
          <w:i/>
          <w:iCs/>
          <w:color w:val="212121"/>
          <w:sz w:val="24"/>
          <w:szCs w:val="24"/>
        </w:rPr>
        <w:t>Trevisani et al.'s</w:t>
      </w:r>
      <w:r w:rsidRPr="003D24E1">
        <w:rPr>
          <w:rFonts w:ascii="Times New Roman" w:eastAsia="Times New Roman" w:hAnsi="Times New Roman" w:cs="Times New Roman"/>
          <w:color w:val="212121"/>
          <w:sz w:val="24"/>
          <w:szCs w:val="24"/>
        </w:rPr>
        <w:t xml:space="preserve"> </w:t>
      </w:r>
      <w:r w:rsidRPr="003D24E1">
        <w:rPr>
          <w:rFonts w:ascii="Times New Roman" w:eastAsia="Times New Roman" w:hAnsi="Times New Roman" w:cs="Times New Roman"/>
          <w:b/>
          <w:bCs/>
          <w:i/>
          <w:iCs/>
          <w:color w:val="212121"/>
          <w:sz w:val="24"/>
          <w:szCs w:val="24"/>
        </w:rPr>
        <w:t>(2012</w:t>
      </w:r>
      <w:r w:rsidRPr="003D24E1">
        <w:rPr>
          <w:rFonts w:ascii="Times New Roman" w:eastAsia="Times New Roman" w:hAnsi="Times New Roman" w:cs="Times New Roman"/>
          <w:color w:val="212121"/>
          <w:sz w:val="24"/>
          <w:szCs w:val="24"/>
        </w:rPr>
        <w:t>) study examining QTc interval prolongation in cirrhotic and non-cirrhotic patients with acute gastrointestinal bleeding (AGIB), several studies assessed the QTC interval in individuals with a history of bleeding varices. Only after six months</w:t>
      </w:r>
      <w:r w:rsidR="008774DD">
        <w:rPr>
          <w:rFonts w:ascii="Times New Roman" w:eastAsia="Times New Roman" w:hAnsi="Times New Roman" w:cs="Times New Roman"/>
          <w:color w:val="212121"/>
          <w:sz w:val="24"/>
          <w:szCs w:val="24"/>
        </w:rPr>
        <w:t>,</w:t>
      </w:r>
      <w:r w:rsidRPr="003D24E1">
        <w:rPr>
          <w:rFonts w:ascii="Times New Roman" w:eastAsia="Times New Roman" w:hAnsi="Times New Roman" w:cs="Times New Roman"/>
          <w:color w:val="212121"/>
          <w:sz w:val="24"/>
          <w:szCs w:val="24"/>
        </w:rPr>
        <w:t xml:space="preserve"> the QTc values revert</w:t>
      </w:r>
      <w:r w:rsidR="003E57E7">
        <w:rPr>
          <w:rFonts w:ascii="Times New Roman" w:eastAsia="Times New Roman" w:hAnsi="Times New Roman" w:cs="Times New Roman"/>
          <w:color w:val="212121"/>
          <w:sz w:val="24"/>
          <w:szCs w:val="24"/>
        </w:rPr>
        <w:t>ed</w:t>
      </w:r>
      <w:r w:rsidRPr="003D24E1">
        <w:rPr>
          <w:rFonts w:ascii="Times New Roman" w:eastAsia="Times New Roman" w:hAnsi="Times New Roman" w:cs="Times New Roman"/>
          <w:color w:val="212121"/>
          <w:sz w:val="24"/>
          <w:szCs w:val="24"/>
        </w:rPr>
        <w:t xml:space="preserve"> to baseline after being observed to be extended during the bleeding period [44]. </w:t>
      </w:r>
      <w:r w:rsidRPr="00303FCE">
        <w:rPr>
          <w:rFonts w:ascii="Times New Roman" w:eastAsia="Times New Roman" w:hAnsi="Times New Roman" w:cs="Times New Roman"/>
          <w:color w:val="212121"/>
          <w:sz w:val="24"/>
          <w:szCs w:val="24"/>
        </w:rPr>
        <w:t xml:space="preserve">Similar results were obtained by Ytting H, 2005, who showed that portal hypertension and the prolonged Q-T interval may be related to liver disease. Furthermore, Ou M., 2021 found that QTc interval prolongation </w:t>
      </w:r>
      <w:r w:rsidR="008774DD" w:rsidRPr="00303FCE">
        <w:rPr>
          <w:rFonts w:ascii="Times New Roman" w:eastAsia="Times New Roman" w:hAnsi="Times New Roman" w:cs="Times New Roman"/>
          <w:color w:val="212121"/>
          <w:sz w:val="24"/>
          <w:szCs w:val="24"/>
        </w:rPr>
        <w:t>was seen</w:t>
      </w:r>
      <w:r w:rsidRPr="00303FCE">
        <w:rPr>
          <w:rFonts w:ascii="Times New Roman" w:eastAsia="Times New Roman" w:hAnsi="Times New Roman" w:cs="Times New Roman"/>
          <w:color w:val="212121"/>
          <w:sz w:val="24"/>
          <w:szCs w:val="24"/>
        </w:rPr>
        <w:t xml:space="preserve"> in UGIB in cirrhotic patients. [45, 46].</w:t>
      </w:r>
    </w:p>
    <w:p w14:paraId="37FAF70D" w14:textId="37B27150" w:rsidR="002C40C6" w:rsidRDefault="00E26FA5" w:rsidP="003E57E7">
      <w:pPr>
        <w:spacing w:line="360" w:lineRule="auto"/>
        <w:jc w:val="both"/>
        <w:rPr>
          <w:rFonts w:ascii="Times New Roman" w:eastAsia="Times New Roman" w:hAnsi="Times New Roman" w:cs="Times New Roman"/>
          <w:color w:val="212121"/>
          <w:sz w:val="24"/>
          <w:szCs w:val="24"/>
        </w:rPr>
      </w:pPr>
      <w:r w:rsidRPr="00E26FA5">
        <w:rPr>
          <w:rFonts w:ascii="Times New Roman" w:eastAsia="Times New Roman" w:hAnsi="Times New Roman" w:cs="Times New Roman"/>
          <w:color w:val="212121"/>
          <w:sz w:val="24"/>
          <w:szCs w:val="24"/>
        </w:rPr>
        <w:t xml:space="preserve">The longer Qt interval observed in the group of patients with </w:t>
      </w:r>
      <w:r w:rsidR="003E57E7">
        <w:rPr>
          <w:rFonts w:ascii="Times New Roman" w:eastAsia="Times New Roman" w:hAnsi="Times New Roman" w:cs="Times New Roman"/>
          <w:color w:val="212121"/>
          <w:sz w:val="24"/>
          <w:szCs w:val="24"/>
        </w:rPr>
        <w:t>large</w:t>
      </w:r>
      <w:r w:rsidRPr="00E26FA5">
        <w:rPr>
          <w:rFonts w:ascii="Times New Roman" w:eastAsia="Times New Roman" w:hAnsi="Times New Roman" w:cs="Times New Roman"/>
          <w:color w:val="212121"/>
          <w:sz w:val="24"/>
          <w:szCs w:val="24"/>
        </w:rPr>
        <w:t xml:space="preserve"> varices in this study may have been caused by their significantly higher history of upper gastrointestinal </w:t>
      </w:r>
      <w:r w:rsidR="008774DD">
        <w:rPr>
          <w:rFonts w:ascii="Times New Roman" w:eastAsia="Times New Roman" w:hAnsi="Times New Roman" w:cs="Times New Roman"/>
          <w:color w:val="212121"/>
          <w:sz w:val="24"/>
          <w:szCs w:val="24"/>
        </w:rPr>
        <w:t>bleeding</w:t>
      </w:r>
      <w:r w:rsidRPr="00E26FA5">
        <w:rPr>
          <w:rFonts w:ascii="Times New Roman" w:eastAsia="Times New Roman" w:hAnsi="Times New Roman" w:cs="Times New Roman"/>
          <w:color w:val="212121"/>
          <w:sz w:val="24"/>
          <w:szCs w:val="24"/>
        </w:rPr>
        <w:t xml:space="preserve">. Additionally, we discovered that the CHILD classification strongly correlated the QTc interval with the severity of liver disease. These results are consistent with those of </w:t>
      </w:r>
      <w:r w:rsidRPr="00303FCE">
        <w:rPr>
          <w:rFonts w:ascii="Times New Roman" w:eastAsia="Times New Roman" w:hAnsi="Times New Roman" w:cs="Times New Roman"/>
          <w:color w:val="212121"/>
          <w:sz w:val="24"/>
          <w:szCs w:val="24"/>
        </w:rPr>
        <w:t xml:space="preserve">Papadopoulos VP, 2023, who demonstrated that although QTc is extended in cirrhosis regardless of sex, age, or cause, it is related to severity and affected by β-blockers and acute gastrointestinal </w:t>
      </w:r>
      <w:r w:rsidR="008774DD" w:rsidRPr="00303FCE">
        <w:rPr>
          <w:rFonts w:ascii="Times New Roman" w:eastAsia="Times New Roman" w:hAnsi="Times New Roman" w:cs="Times New Roman"/>
          <w:color w:val="212121"/>
          <w:sz w:val="24"/>
          <w:szCs w:val="24"/>
        </w:rPr>
        <w:t>bleeding</w:t>
      </w:r>
      <w:r w:rsidR="000F1ECA" w:rsidRPr="00303FCE">
        <w:rPr>
          <w:rFonts w:ascii="Times New Roman" w:eastAsia="Times New Roman" w:hAnsi="Times New Roman" w:cs="Times New Roman"/>
          <w:color w:val="212121"/>
          <w:sz w:val="24"/>
          <w:szCs w:val="24"/>
        </w:rPr>
        <w:t xml:space="preserve">. </w:t>
      </w:r>
      <w:r w:rsidR="002C40C6" w:rsidRPr="00303FCE">
        <w:rPr>
          <w:rFonts w:ascii="Times New Roman" w:eastAsia="Times New Roman" w:hAnsi="Times New Roman" w:cs="Times New Roman"/>
          <w:color w:val="212121"/>
          <w:sz w:val="24"/>
          <w:szCs w:val="24"/>
        </w:rPr>
        <w:t>[</w:t>
      </w:r>
      <w:r w:rsidR="00C12D42" w:rsidRPr="00303FCE">
        <w:rPr>
          <w:rFonts w:ascii="Times New Roman" w:eastAsia="Times New Roman" w:hAnsi="Times New Roman" w:cs="Times New Roman"/>
          <w:color w:val="212121"/>
          <w:sz w:val="24"/>
          <w:szCs w:val="24"/>
        </w:rPr>
        <w:t>4</w:t>
      </w:r>
      <w:r w:rsidR="006F7909" w:rsidRPr="00303FCE">
        <w:rPr>
          <w:rFonts w:ascii="Times New Roman" w:eastAsia="Times New Roman" w:hAnsi="Times New Roman" w:cs="Times New Roman"/>
          <w:color w:val="212121"/>
          <w:sz w:val="24"/>
          <w:szCs w:val="24"/>
        </w:rPr>
        <w:t>7</w:t>
      </w:r>
      <w:r w:rsidR="000F1ECA" w:rsidRPr="00303FCE">
        <w:rPr>
          <w:rFonts w:ascii="Times New Roman" w:eastAsia="Times New Roman" w:hAnsi="Times New Roman" w:cs="Times New Roman"/>
          <w:color w:val="212121"/>
          <w:sz w:val="24"/>
          <w:szCs w:val="24"/>
        </w:rPr>
        <w:t xml:space="preserve">] </w:t>
      </w:r>
      <w:r w:rsidR="008774DD" w:rsidRPr="00303FCE">
        <w:rPr>
          <w:rFonts w:ascii="Times New Roman" w:eastAsia="Times New Roman" w:hAnsi="Times New Roman" w:cs="Times New Roman"/>
          <w:color w:val="212121"/>
          <w:sz w:val="24"/>
          <w:szCs w:val="24"/>
        </w:rPr>
        <w:t xml:space="preserve">Similar data were also </w:t>
      </w:r>
      <w:r w:rsidR="000F1ECA" w:rsidRPr="00303FCE">
        <w:rPr>
          <w:rFonts w:ascii="Times New Roman" w:eastAsia="Times New Roman" w:hAnsi="Times New Roman" w:cs="Times New Roman"/>
          <w:color w:val="212121"/>
          <w:sz w:val="24"/>
          <w:szCs w:val="24"/>
        </w:rPr>
        <w:t>found by Mozos I, 2011</w:t>
      </w:r>
      <w:r w:rsidR="008774DD" w:rsidRPr="00303FCE">
        <w:rPr>
          <w:rFonts w:ascii="Times New Roman" w:eastAsia="Times New Roman" w:hAnsi="Times New Roman" w:cs="Times New Roman"/>
          <w:color w:val="212121"/>
          <w:sz w:val="24"/>
          <w:szCs w:val="24"/>
        </w:rPr>
        <w:t>,</w:t>
      </w:r>
      <w:r w:rsidR="000F1ECA" w:rsidRPr="00303FCE">
        <w:rPr>
          <w:rFonts w:ascii="Times New Roman" w:eastAsia="Times New Roman" w:hAnsi="Times New Roman" w:cs="Times New Roman"/>
          <w:color w:val="212121"/>
          <w:sz w:val="24"/>
          <w:szCs w:val="24"/>
        </w:rPr>
        <w:t xml:space="preserve"> and Patel D, 2014[48, 49</w:t>
      </w:r>
      <w:r w:rsidR="002C40C6" w:rsidRPr="00303FCE">
        <w:rPr>
          <w:rFonts w:ascii="Times New Roman" w:eastAsia="Times New Roman" w:hAnsi="Times New Roman" w:cs="Times New Roman"/>
          <w:color w:val="212121"/>
          <w:sz w:val="24"/>
          <w:szCs w:val="24"/>
        </w:rPr>
        <w:t>].</w:t>
      </w:r>
    </w:p>
    <w:p w14:paraId="31E475A8" w14:textId="6AA0852A" w:rsidR="002C40C6" w:rsidRPr="007A11BB" w:rsidRDefault="002C40C6" w:rsidP="003E57E7">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There is still no clear explanation for the QT interval's elongation. There </w:t>
      </w:r>
      <w:r w:rsidR="008774DD">
        <w:rPr>
          <w:rFonts w:ascii="Times New Roman" w:eastAsia="Times New Roman" w:hAnsi="Times New Roman" w:cs="Times New Roman"/>
          <w:color w:val="212121"/>
          <w:sz w:val="24"/>
          <w:szCs w:val="24"/>
        </w:rPr>
        <w:t>have been suggestions for molecular-level</w:t>
      </w:r>
      <w:r w:rsidRPr="007A11BB">
        <w:rPr>
          <w:rFonts w:ascii="Times New Roman" w:eastAsia="Times New Roman" w:hAnsi="Times New Roman" w:cs="Times New Roman"/>
          <w:color w:val="212121"/>
          <w:sz w:val="24"/>
          <w:szCs w:val="24"/>
        </w:rPr>
        <w:t xml:space="preserve"> modifications. Additional factors include myocardial ischemia, changed electrolytes, and </w:t>
      </w:r>
      <w:r w:rsidR="008774DD">
        <w:rPr>
          <w:rFonts w:ascii="Times New Roman" w:eastAsia="Times New Roman" w:hAnsi="Times New Roman" w:cs="Times New Roman"/>
          <w:color w:val="212121"/>
          <w:sz w:val="24"/>
          <w:szCs w:val="24"/>
        </w:rPr>
        <w:t>alterations</w:t>
      </w:r>
      <w:r w:rsidRPr="007A11BB">
        <w:rPr>
          <w:rFonts w:ascii="Times New Roman" w:eastAsia="Times New Roman" w:hAnsi="Times New Roman" w:cs="Times New Roman"/>
          <w:color w:val="212121"/>
          <w:sz w:val="24"/>
          <w:szCs w:val="24"/>
        </w:rPr>
        <w:t xml:space="preserve"> to the autonomic nervous system, which can </w:t>
      </w:r>
      <w:r w:rsidR="008774DD">
        <w:rPr>
          <w:rFonts w:ascii="Times New Roman" w:eastAsia="Times New Roman" w:hAnsi="Times New Roman" w:cs="Times New Roman"/>
          <w:color w:val="212121"/>
          <w:sz w:val="24"/>
          <w:szCs w:val="24"/>
        </w:rPr>
        <w:t>affect</w:t>
      </w:r>
      <w:r w:rsidRPr="007A11BB">
        <w:rPr>
          <w:rFonts w:ascii="Times New Roman" w:eastAsia="Times New Roman" w:hAnsi="Times New Roman" w:cs="Times New Roman"/>
          <w:color w:val="212121"/>
          <w:sz w:val="24"/>
          <w:szCs w:val="24"/>
        </w:rPr>
        <w:t xml:space="preserve"> the heart rate and electromechanical coupling. Furthermore, it has been suggested that anomalies in gonadal hormone metabolism contribute to the development of QT prolongation in advanced cirrhosis</w:t>
      </w:r>
      <w:r>
        <w:rPr>
          <w:rFonts w:ascii="Times New Roman" w:eastAsia="Times New Roman" w:hAnsi="Times New Roman" w:cs="Times New Roman"/>
          <w:color w:val="212121"/>
          <w:sz w:val="24"/>
          <w:szCs w:val="24"/>
        </w:rPr>
        <w:t xml:space="preserve"> [</w:t>
      </w:r>
      <w:r w:rsidR="003E57E7">
        <w:rPr>
          <w:rFonts w:ascii="Times New Roman" w:eastAsia="Times New Roman" w:hAnsi="Times New Roman" w:cs="Times New Roman"/>
          <w:color w:val="212121"/>
          <w:sz w:val="24"/>
          <w:szCs w:val="24"/>
        </w:rPr>
        <w:t>50</w:t>
      </w:r>
      <w:r>
        <w:rPr>
          <w:rFonts w:ascii="Times New Roman" w:eastAsia="Times New Roman" w:hAnsi="Times New Roman" w:cs="Times New Roman"/>
          <w:color w:val="212121"/>
          <w:sz w:val="24"/>
          <w:szCs w:val="24"/>
        </w:rPr>
        <w:t>].</w:t>
      </w:r>
      <w:r w:rsidR="003E57E7" w:rsidRPr="003E57E7">
        <w:rPr>
          <w:rFonts w:asciiTheme="majorBidi" w:hAnsiTheme="majorBidi" w:cstheme="majorBidi"/>
          <w:sz w:val="24"/>
          <w:szCs w:val="24"/>
        </w:rPr>
        <w:t xml:space="preserve"> </w:t>
      </w:r>
    </w:p>
    <w:p w14:paraId="24826FE5" w14:textId="041CEABC" w:rsidR="002C40C6" w:rsidRDefault="002C40C6" w:rsidP="003E57E7">
      <w:pPr>
        <w:spacing w:line="360" w:lineRule="auto"/>
        <w:jc w:val="both"/>
        <w:rPr>
          <w:rFonts w:ascii="Times New Roman" w:eastAsia="Times New Roman" w:hAnsi="Times New Roman" w:cs="Times New Roman"/>
          <w:color w:val="212121"/>
          <w:sz w:val="24"/>
          <w:szCs w:val="24"/>
        </w:rPr>
      </w:pPr>
      <w:r w:rsidRPr="0011136E">
        <w:rPr>
          <w:rFonts w:ascii="Times New Roman" w:eastAsia="Times New Roman" w:hAnsi="Times New Roman" w:cs="Times New Roman"/>
          <w:color w:val="212121"/>
          <w:sz w:val="24"/>
          <w:szCs w:val="24"/>
        </w:rPr>
        <w:t xml:space="preserve">Regarding the remaining CCM criteria, no statistically significant variations were seen between the groups under analysis. According to a study by </w:t>
      </w:r>
      <w:r w:rsidRPr="003327C3">
        <w:rPr>
          <w:rFonts w:ascii="Times New Roman" w:eastAsia="Times New Roman" w:hAnsi="Times New Roman" w:cs="Times New Roman"/>
          <w:b/>
          <w:bCs/>
          <w:i/>
          <w:iCs/>
          <w:color w:val="212121"/>
          <w:sz w:val="24"/>
          <w:szCs w:val="24"/>
        </w:rPr>
        <w:t>Marconi et al</w:t>
      </w:r>
      <w:r w:rsidRPr="003327C3">
        <w:rPr>
          <w:rFonts w:ascii="Times New Roman" w:eastAsia="Times New Roman" w:hAnsi="Times New Roman" w:cs="Times New Roman"/>
          <w:b/>
          <w:bCs/>
          <w:color w:val="212121"/>
          <w:sz w:val="24"/>
          <w:szCs w:val="24"/>
        </w:rPr>
        <w:t>.,</w:t>
      </w:r>
      <w:r w:rsidR="00577150" w:rsidRPr="003327C3">
        <w:rPr>
          <w:rFonts w:ascii="Times New Roman" w:eastAsia="Times New Roman" w:hAnsi="Times New Roman" w:cs="Times New Roman"/>
          <w:b/>
          <w:bCs/>
          <w:color w:val="212121"/>
          <w:sz w:val="24"/>
          <w:szCs w:val="24"/>
        </w:rPr>
        <w:t>2017</w:t>
      </w:r>
      <w:r w:rsidRPr="003327C3">
        <w:rPr>
          <w:rFonts w:ascii="Times New Roman" w:eastAsia="Times New Roman" w:hAnsi="Times New Roman" w:cs="Times New Roman"/>
          <w:b/>
          <w:bCs/>
          <w:color w:val="212121"/>
          <w:sz w:val="24"/>
          <w:szCs w:val="24"/>
        </w:rPr>
        <w:t xml:space="preserve"> </w:t>
      </w:r>
      <w:r w:rsidRPr="0011136E">
        <w:rPr>
          <w:rFonts w:ascii="Times New Roman" w:eastAsia="Times New Roman" w:hAnsi="Times New Roman" w:cs="Times New Roman"/>
          <w:color w:val="212121"/>
          <w:sz w:val="24"/>
          <w:szCs w:val="24"/>
        </w:rPr>
        <w:t>esophageal varices may be predicted using echocardiographic measures</w:t>
      </w:r>
      <w:r w:rsidR="008774DD">
        <w:rPr>
          <w:rFonts w:ascii="Times New Roman" w:eastAsia="Times New Roman" w:hAnsi="Times New Roman" w:cs="Times New Roman"/>
          <w:color w:val="212121"/>
          <w:sz w:val="24"/>
          <w:szCs w:val="24"/>
        </w:rPr>
        <w:t>,</w:t>
      </w:r>
      <w:r w:rsidRPr="0011136E">
        <w:rPr>
          <w:rFonts w:ascii="Times New Roman" w:eastAsia="Times New Roman" w:hAnsi="Times New Roman" w:cs="Times New Roman"/>
          <w:color w:val="212121"/>
          <w:sz w:val="24"/>
          <w:szCs w:val="24"/>
        </w:rPr>
        <w:t xml:space="preserve"> including LA volume, LV mass index, and TDI S′-wave velocity. Furthermore, a decrease in the TDI peak S′-wave velocity, a rise in LV mass, and LA dilatation may serve as early warning signs of portal hypertension and help identify patients who are at a higher risk of developing the condition a</w:t>
      </w:r>
      <w:r>
        <w:rPr>
          <w:rFonts w:ascii="Times New Roman" w:eastAsia="Times New Roman" w:hAnsi="Times New Roman" w:cs="Times New Roman"/>
          <w:color w:val="212121"/>
          <w:sz w:val="24"/>
          <w:szCs w:val="24"/>
        </w:rPr>
        <w:t>nd</w:t>
      </w:r>
      <w:r w:rsidR="003E57E7">
        <w:rPr>
          <w:rFonts w:ascii="Times New Roman" w:eastAsia="Times New Roman" w:hAnsi="Times New Roman" w:cs="Times New Roman"/>
          <w:color w:val="212121"/>
          <w:sz w:val="24"/>
          <w:szCs w:val="24"/>
        </w:rPr>
        <w:t xml:space="preserve"> its associated complications [</w:t>
      </w:r>
      <w:r w:rsidR="006F7909">
        <w:rPr>
          <w:rFonts w:ascii="Times New Roman" w:eastAsia="Times New Roman" w:hAnsi="Times New Roman" w:cs="Times New Roman"/>
          <w:color w:val="212121"/>
          <w:sz w:val="24"/>
          <w:szCs w:val="24"/>
        </w:rPr>
        <w:t>5</w:t>
      </w:r>
      <w:r w:rsidR="003E57E7">
        <w:rPr>
          <w:rFonts w:ascii="Times New Roman" w:eastAsia="Times New Roman" w:hAnsi="Times New Roman" w:cs="Times New Roman"/>
          <w:color w:val="212121"/>
          <w:sz w:val="24"/>
          <w:szCs w:val="24"/>
        </w:rPr>
        <w:t>1</w:t>
      </w:r>
      <w:r>
        <w:rPr>
          <w:rFonts w:ascii="Times New Roman" w:eastAsia="Times New Roman" w:hAnsi="Times New Roman" w:cs="Times New Roman"/>
          <w:color w:val="212121"/>
          <w:sz w:val="24"/>
          <w:szCs w:val="24"/>
        </w:rPr>
        <w:t>].</w:t>
      </w:r>
    </w:p>
    <w:p w14:paraId="3B0B7112" w14:textId="363F5BD3" w:rsidR="002C40C6" w:rsidRPr="007A11BB" w:rsidRDefault="002C40C6" w:rsidP="006F7909">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According to </w:t>
      </w:r>
      <w:r w:rsidRPr="007A11BB">
        <w:rPr>
          <w:rFonts w:ascii="Times New Roman" w:eastAsia="Times New Roman" w:hAnsi="Times New Roman" w:cs="Times New Roman"/>
          <w:b/>
          <w:bCs/>
          <w:i/>
          <w:iCs/>
          <w:color w:val="212121"/>
          <w:sz w:val="24"/>
          <w:szCs w:val="24"/>
        </w:rPr>
        <w:t>Seleem H. et al. 2022</w:t>
      </w:r>
      <w:r w:rsidRPr="007A11BB">
        <w:rPr>
          <w:rFonts w:ascii="Times New Roman" w:eastAsia="Times New Roman" w:hAnsi="Times New Roman" w:cs="Times New Roman"/>
          <w:color w:val="212121"/>
          <w:sz w:val="24"/>
          <w:szCs w:val="24"/>
        </w:rPr>
        <w:t xml:space="preserve"> research, patients with high-grade EV had significantly lower E/E′ ratios and significantly higher LA volumes </w:t>
      </w:r>
      <w:r w:rsidR="008774DD">
        <w:rPr>
          <w:rFonts w:ascii="Times New Roman" w:eastAsia="Times New Roman" w:hAnsi="Times New Roman" w:cs="Times New Roman"/>
          <w:color w:val="212121"/>
          <w:sz w:val="24"/>
          <w:szCs w:val="24"/>
        </w:rPr>
        <w:t>than</w:t>
      </w:r>
      <w:r>
        <w:rPr>
          <w:rFonts w:ascii="Times New Roman" w:eastAsia="Times New Roman" w:hAnsi="Times New Roman" w:cs="Times New Roman"/>
          <w:color w:val="212121"/>
          <w:sz w:val="24"/>
          <w:szCs w:val="24"/>
        </w:rPr>
        <w:t xml:space="preserve"> those with low grades </w:t>
      </w:r>
      <w:r w:rsidR="000F1ECA">
        <w:rPr>
          <w:rFonts w:ascii="Times New Roman" w:eastAsia="Times New Roman" w:hAnsi="Times New Roman" w:cs="Times New Roman"/>
          <w:color w:val="212121"/>
          <w:sz w:val="24"/>
          <w:szCs w:val="24"/>
        </w:rPr>
        <w:t>[43</w:t>
      </w:r>
      <w:r>
        <w:rPr>
          <w:rFonts w:ascii="Times New Roman" w:eastAsia="Times New Roman" w:hAnsi="Times New Roman" w:cs="Times New Roman"/>
          <w:color w:val="212121"/>
          <w:sz w:val="24"/>
          <w:szCs w:val="24"/>
        </w:rPr>
        <w:t>].</w:t>
      </w:r>
    </w:p>
    <w:p w14:paraId="34DCE97E" w14:textId="1E5429A8" w:rsidR="003C09C8" w:rsidRDefault="00235ACC" w:rsidP="00A83FB8">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We concluded</w:t>
      </w:r>
      <w:r w:rsidR="002C40C6" w:rsidRPr="007A11BB">
        <w:rPr>
          <w:rFonts w:ascii="Times New Roman" w:eastAsia="Times New Roman" w:hAnsi="Times New Roman" w:cs="Times New Roman"/>
          <w:color w:val="212121"/>
          <w:sz w:val="24"/>
          <w:szCs w:val="24"/>
        </w:rPr>
        <w:t xml:space="preserve"> that only a prolonged QT interval was significantly associated with large varices </w:t>
      </w:r>
      <w:r w:rsidR="008774DD">
        <w:rPr>
          <w:rFonts w:ascii="Times New Roman" w:eastAsia="Times New Roman" w:hAnsi="Times New Roman" w:cs="Times New Roman"/>
          <w:color w:val="212121"/>
          <w:sz w:val="24"/>
          <w:szCs w:val="24"/>
        </w:rPr>
        <w:t>in</w:t>
      </w:r>
      <w:r w:rsidR="002C40C6" w:rsidRPr="007A11BB">
        <w:rPr>
          <w:rFonts w:ascii="Times New Roman" w:eastAsia="Times New Roman" w:hAnsi="Times New Roman" w:cs="Times New Roman"/>
          <w:color w:val="212121"/>
          <w:sz w:val="24"/>
          <w:szCs w:val="24"/>
        </w:rPr>
        <w:t xml:space="preserve"> cardiac alterations and their linkage with the degree of esophageal varices.</w:t>
      </w:r>
    </w:p>
    <w:p w14:paraId="74C7AAD1" w14:textId="26D075D5" w:rsidR="00C654BD" w:rsidRPr="00B76575" w:rsidRDefault="002C40C6" w:rsidP="00A83FB8">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The current study has several limitations, such as its small sample size and </w:t>
      </w:r>
      <w:r w:rsidR="008774DD">
        <w:rPr>
          <w:rFonts w:ascii="Times New Roman" w:eastAsia="Times New Roman" w:hAnsi="Times New Roman" w:cs="Times New Roman"/>
          <w:color w:val="212121"/>
          <w:sz w:val="24"/>
          <w:szCs w:val="24"/>
        </w:rPr>
        <w:t>the absence of a stress test (such as a pharmacological or physical exertion test) that would have improved its</w:t>
      </w:r>
      <w:r w:rsidRPr="007A11BB">
        <w:rPr>
          <w:rFonts w:ascii="Times New Roman" w:eastAsia="Times New Roman" w:hAnsi="Times New Roman" w:cs="Times New Roman"/>
          <w:color w:val="212121"/>
          <w:sz w:val="24"/>
          <w:szCs w:val="24"/>
        </w:rPr>
        <w:t xml:space="preserve"> understanding of subclinical systolic dysfunction.</w:t>
      </w:r>
    </w:p>
    <w:p w14:paraId="195662A8" w14:textId="15F87678" w:rsidR="002C40C6" w:rsidRPr="00C3766F" w:rsidRDefault="002C40C6" w:rsidP="00A83FB8">
      <w:pPr>
        <w:spacing w:line="360" w:lineRule="auto"/>
        <w:jc w:val="both"/>
        <w:rPr>
          <w:rFonts w:ascii="Times New Roman" w:eastAsia="Times New Roman" w:hAnsi="Times New Roman" w:cs="Times New Roman"/>
          <w:b/>
          <w:bCs/>
          <w:color w:val="212121"/>
          <w:sz w:val="24"/>
          <w:szCs w:val="24"/>
        </w:rPr>
      </w:pPr>
      <w:r w:rsidRPr="00C3766F">
        <w:rPr>
          <w:rFonts w:ascii="Times New Roman" w:eastAsia="Times New Roman" w:hAnsi="Times New Roman" w:cs="Times New Roman"/>
          <w:b/>
          <w:bCs/>
          <w:color w:val="212121"/>
          <w:sz w:val="32"/>
          <w:szCs w:val="32"/>
        </w:rPr>
        <w:t>Conclusion</w:t>
      </w:r>
    </w:p>
    <w:p w14:paraId="4EDD57DE" w14:textId="49089682" w:rsidR="008E1B4B" w:rsidRPr="00E62039" w:rsidRDefault="002C40C6" w:rsidP="00A83FB8">
      <w:pPr>
        <w:spacing w:line="360" w:lineRule="auto"/>
        <w:jc w:val="both"/>
        <w:rPr>
          <w:rFonts w:ascii="Times New Roman" w:eastAsia="Times New Roman" w:hAnsi="Times New Roman" w:cs="Times New Roman"/>
          <w:color w:val="212121"/>
          <w:sz w:val="24"/>
          <w:szCs w:val="24"/>
        </w:rPr>
      </w:pPr>
      <w:r w:rsidRPr="007A11BB">
        <w:rPr>
          <w:rFonts w:ascii="Times New Roman" w:eastAsia="Times New Roman" w:hAnsi="Times New Roman" w:cs="Times New Roman"/>
          <w:color w:val="212121"/>
          <w:sz w:val="24"/>
          <w:szCs w:val="24"/>
        </w:rPr>
        <w:t xml:space="preserve">Only a prolonged QT interval was significantly associated with large varices </w:t>
      </w:r>
      <w:r w:rsidR="008774DD">
        <w:rPr>
          <w:rFonts w:ascii="Times New Roman" w:eastAsia="Times New Roman" w:hAnsi="Times New Roman" w:cs="Times New Roman"/>
          <w:color w:val="212121"/>
          <w:sz w:val="24"/>
          <w:szCs w:val="24"/>
        </w:rPr>
        <w:t>regarding</w:t>
      </w:r>
      <w:r w:rsidRPr="007A11BB">
        <w:rPr>
          <w:rFonts w:ascii="Times New Roman" w:eastAsia="Times New Roman" w:hAnsi="Times New Roman" w:cs="Times New Roman"/>
          <w:color w:val="212121"/>
          <w:sz w:val="24"/>
          <w:szCs w:val="24"/>
        </w:rPr>
        <w:t xml:space="preserve"> cardiac alterations and their linkage with the degree of esophageal varices.</w:t>
      </w:r>
    </w:p>
    <w:p w14:paraId="767F1CCC" w14:textId="77777777" w:rsidR="008E1B4B" w:rsidRPr="00524390" w:rsidRDefault="008E1B4B" w:rsidP="00A83FB8">
      <w:pPr>
        <w:spacing w:line="360" w:lineRule="auto"/>
        <w:jc w:val="both"/>
        <w:rPr>
          <w:rFonts w:ascii="Times New Roman" w:eastAsia="Times New Roman" w:hAnsi="Times New Roman" w:cs="Times New Roman"/>
          <w:b/>
          <w:bCs/>
          <w:color w:val="212121"/>
          <w:sz w:val="28"/>
          <w:szCs w:val="28"/>
        </w:rPr>
      </w:pPr>
      <w:r w:rsidRPr="00524390">
        <w:rPr>
          <w:rFonts w:ascii="Times New Roman" w:eastAsia="Times New Roman" w:hAnsi="Times New Roman" w:cs="Times New Roman"/>
          <w:b/>
          <w:bCs/>
          <w:color w:val="212121"/>
          <w:sz w:val="28"/>
          <w:szCs w:val="28"/>
        </w:rPr>
        <w:t xml:space="preserve">Abbreviations: </w:t>
      </w:r>
    </w:p>
    <w:p w14:paraId="0580BE8A" w14:textId="1A7C7514" w:rsidR="008E1B4B" w:rsidRPr="00196642"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 xml:space="preserve">CCM: cirrhotic cardiomyopathy </w:t>
      </w:r>
    </w:p>
    <w:p w14:paraId="371A747F" w14:textId="6982E07A" w:rsidR="008E1B4B" w:rsidRPr="00196642"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 xml:space="preserve">QTc: corrected QT interval </w:t>
      </w:r>
    </w:p>
    <w:p w14:paraId="0CF4071A" w14:textId="2BFFB73B" w:rsidR="008E1B4B" w:rsidRPr="00196642"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 xml:space="preserve">EV: </w:t>
      </w:r>
      <w:r w:rsidR="008774DD">
        <w:rPr>
          <w:rFonts w:ascii="Times New Roman" w:eastAsia="Times New Roman" w:hAnsi="Times New Roman" w:cs="Times New Roman"/>
          <w:color w:val="212121"/>
          <w:sz w:val="24"/>
          <w:szCs w:val="24"/>
        </w:rPr>
        <w:t>esophageal</w:t>
      </w:r>
      <w:r w:rsidRPr="00196642">
        <w:rPr>
          <w:rFonts w:ascii="Times New Roman" w:eastAsia="Times New Roman" w:hAnsi="Times New Roman" w:cs="Times New Roman"/>
          <w:color w:val="212121"/>
          <w:sz w:val="24"/>
          <w:szCs w:val="24"/>
        </w:rPr>
        <w:t xml:space="preserve"> varices</w:t>
      </w:r>
    </w:p>
    <w:p w14:paraId="19CE7C2C" w14:textId="0C250DA1" w:rsidR="00290661" w:rsidRDefault="00290661" w:rsidP="00A83FB8">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GLS: global longitudinal strain</w:t>
      </w:r>
    </w:p>
    <w:p w14:paraId="777D0485" w14:textId="0488A000" w:rsidR="008E1B4B" w:rsidRDefault="008E1B4B" w:rsidP="00A83FB8">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TTE: transthoracic echocardiography </w:t>
      </w:r>
    </w:p>
    <w:p w14:paraId="6C32CEFD" w14:textId="77777777" w:rsidR="00075EDA" w:rsidRDefault="008E1B4B" w:rsidP="00075EDA">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EF: ejection fraction</w:t>
      </w:r>
    </w:p>
    <w:p w14:paraId="055D81E6" w14:textId="1132FD79" w:rsidR="00DB40FC" w:rsidRPr="00196642" w:rsidRDefault="00DB40FC" w:rsidP="00075EDA">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SVR:</w:t>
      </w:r>
      <w:r w:rsidR="008774DD">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systemic vascular resistance</w:t>
      </w:r>
    </w:p>
    <w:p w14:paraId="71A16468" w14:textId="77777777" w:rsidR="008E1B4B" w:rsidRPr="00196642"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ALT: Alanine aminotransferase.</w:t>
      </w:r>
    </w:p>
    <w:p w14:paraId="5795E0EB" w14:textId="40E53B7B" w:rsidR="008E1B4B" w:rsidRPr="00196642"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 xml:space="preserve">AST: Aspartate </w:t>
      </w:r>
      <w:r w:rsidR="00193FDE" w:rsidRPr="00196642">
        <w:rPr>
          <w:rFonts w:ascii="Times New Roman" w:eastAsia="Times New Roman" w:hAnsi="Times New Roman" w:cs="Times New Roman"/>
          <w:color w:val="212121"/>
          <w:sz w:val="24"/>
          <w:szCs w:val="24"/>
        </w:rPr>
        <w:t>aminotransferase.</w:t>
      </w:r>
    </w:p>
    <w:p w14:paraId="2BE26A05" w14:textId="33A43BE9" w:rsidR="008E1B4B" w:rsidRPr="00196642"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INR:</w:t>
      </w:r>
      <w:r w:rsidR="008774DD">
        <w:rPr>
          <w:rFonts w:ascii="Times New Roman" w:eastAsia="Times New Roman" w:hAnsi="Times New Roman" w:cs="Times New Roman"/>
          <w:color w:val="212121"/>
          <w:sz w:val="24"/>
          <w:szCs w:val="24"/>
        </w:rPr>
        <w:t xml:space="preserve"> </w:t>
      </w:r>
      <w:r w:rsidRPr="00196642">
        <w:rPr>
          <w:rFonts w:ascii="Times New Roman" w:eastAsia="Times New Roman" w:hAnsi="Times New Roman" w:cs="Times New Roman"/>
          <w:color w:val="212121"/>
          <w:sz w:val="24"/>
          <w:szCs w:val="24"/>
        </w:rPr>
        <w:t>International Normalized Ratio</w:t>
      </w:r>
      <w:r>
        <w:rPr>
          <w:rFonts w:ascii="Times New Roman" w:eastAsia="Times New Roman" w:hAnsi="Times New Roman" w:cs="Times New Roman"/>
          <w:color w:val="212121"/>
          <w:sz w:val="24"/>
          <w:szCs w:val="24"/>
        </w:rPr>
        <w:t>.</w:t>
      </w:r>
    </w:p>
    <w:p w14:paraId="280A02B5" w14:textId="77777777" w:rsidR="008E1B4B" w:rsidRPr="00196642"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SD: Standard deviation.</w:t>
      </w:r>
    </w:p>
    <w:p w14:paraId="56001E57" w14:textId="6CD23282" w:rsidR="002C40C6" w:rsidRPr="003C09C8" w:rsidRDefault="008E1B4B" w:rsidP="00A83FB8">
      <w:pPr>
        <w:spacing w:line="360" w:lineRule="auto"/>
        <w:jc w:val="both"/>
        <w:rPr>
          <w:rFonts w:ascii="Times New Roman" w:eastAsia="Times New Roman" w:hAnsi="Times New Roman" w:cs="Times New Roman"/>
          <w:color w:val="212121"/>
          <w:sz w:val="24"/>
          <w:szCs w:val="24"/>
        </w:rPr>
      </w:pPr>
      <w:r w:rsidRPr="00196642">
        <w:rPr>
          <w:rFonts w:ascii="Times New Roman" w:eastAsia="Times New Roman" w:hAnsi="Times New Roman" w:cs="Times New Roman"/>
          <w:color w:val="212121"/>
          <w:sz w:val="24"/>
          <w:szCs w:val="24"/>
        </w:rPr>
        <w:t>ROC Curve: Receiver operating characteristic curve</w:t>
      </w:r>
      <w:r w:rsidR="00CD03C3">
        <w:rPr>
          <w:rFonts w:ascii="Times New Roman" w:eastAsia="Times New Roman" w:hAnsi="Times New Roman" w:cs="Times New Roman"/>
          <w:color w:val="212121"/>
          <w:sz w:val="24"/>
          <w:szCs w:val="24"/>
        </w:rPr>
        <w:t>.</w:t>
      </w:r>
    </w:p>
    <w:p w14:paraId="2DF29674" w14:textId="77777777" w:rsidR="00676385" w:rsidRPr="00676385" w:rsidRDefault="00676385" w:rsidP="00676385">
      <w:pPr>
        <w:spacing w:line="240" w:lineRule="auto"/>
        <w:ind w:firstLine="180"/>
        <w:jc w:val="lowKashida"/>
        <w:rPr>
          <w:rFonts w:ascii="Times New Roman" w:eastAsia="Calibri" w:hAnsi="Times New Roman" w:cs="Times New Roman"/>
          <w:b/>
          <w:bCs/>
          <w:kern w:val="0"/>
          <w:sz w:val="24"/>
          <w:szCs w:val="24"/>
          <w14:ligatures w14:val="none"/>
        </w:rPr>
      </w:pPr>
      <w:r w:rsidRPr="00676385">
        <w:rPr>
          <w:rFonts w:ascii="Times New Roman" w:eastAsia="Calibri" w:hAnsi="Times New Roman" w:cs="Times New Roman"/>
          <w:b/>
          <w:bCs/>
          <w:kern w:val="0"/>
          <w:sz w:val="24"/>
          <w:szCs w:val="24"/>
          <w14:ligatures w14:val="none"/>
        </w:rPr>
        <w:t>Footnotes.</w:t>
      </w:r>
    </w:p>
    <w:p w14:paraId="4E82BA6E" w14:textId="75D8FB00" w:rsidR="00676385" w:rsidRPr="00676385" w:rsidRDefault="00AC3B89" w:rsidP="00AC3B89">
      <w:pPr>
        <w:spacing w:line="240" w:lineRule="auto"/>
        <w:ind w:firstLine="180"/>
        <w:jc w:val="lowKashida"/>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Peer reviewers: Ahmed Fathy (Assistant professor of Internal medicine), Ahmed Agrodey (Assistant professor of </w:t>
      </w:r>
      <w:r w:rsidRPr="00AC3B89">
        <w:rPr>
          <w:rFonts w:ascii="Times New Roman" w:eastAsia="Calibri" w:hAnsi="Times New Roman" w:cs="Times New Roman"/>
          <w:b/>
          <w:bCs/>
          <w:kern w:val="0"/>
          <w:sz w:val="24"/>
          <w:szCs w:val="24"/>
          <w14:ligatures w14:val="none"/>
        </w:rPr>
        <w:t>Internal medicine</w:t>
      </w:r>
      <w:r>
        <w:rPr>
          <w:rFonts w:ascii="Times New Roman" w:eastAsia="Calibri" w:hAnsi="Times New Roman" w:cs="Times New Roman"/>
          <w:b/>
          <w:bCs/>
          <w:kern w:val="0"/>
          <w:sz w:val="24"/>
          <w:szCs w:val="24"/>
          <w14:ligatures w14:val="none"/>
        </w:rPr>
        <w:t xml:space="preserve">), and </w:t>
      </w:r>
      <w:r>
        <w:rPr>
          <w:rFonts w:ascii="Times New Roman" w:eastAsia="Calibri" w:hAnsi="Times New Roman" w:cs="Times New Roman"/>
          <w:kern w:val="0"/>
          <w:sz w:val="24"/>
          <w:szCs w:val="24"/>
          <w14:ligatures w14:val="none"/>
        </w:rPr>
        <w:t>Emad Fawzi</w:t>
      </w:r>
      <w:r w:rsidR="00676385" w:rsidRPr="00676385">
        <w:rPr>
          <w:rFonts w:ascii="Times New Roman" w:eastAsia="Calibri" w:hAnsi="Times New Roman" w:cs="Times New Roman"/>
          <w:kern w:val="0"/>
          <w:sz w:val="24"/>
          <w:szCs w:val="24"/>
          <w14:ligatures w14:val="none"/>
        </w:rPr>
        <w:t xml:space="preserve"> (professor of </w:t>
      </w:r>
      <w:r w:rsidRPr="00AC3B89">
        <w:rPr>
          <w:rFonts w:ascii="Times New Roman" w:eastAsia="Calibri" w:hAnsi="Times New Roman" w:cs="Times New Roman"/>
          <w:b/>
          <w:bCs/>
          <w:kern w:val="0"/>
          <w:sz w:val="24"/>
          <w:szCs w:val="24"/>
          <w14:ligatures w14:val="none"/>
        </w:rPr>
        <w:t>Internal medicine</w:t>
      </w:r>
      <w:r w:rsidR="00676385" w:rsidRPr="00676385">
        <w:rPr>
          <w:rFonts w:ascii="Times New Roman" w:eastAsia="Calibri" w:hAnsi="Times New Roman" w:cs="Times New Roman"/>
          <w:kern w:val="0"/>
          <w:sz w:val="24"/>
          <w:szCs w:val="24"/>
          <w14:ligatures w14:val="none"/>
        </w:rPr>
        <w:t>).</w:t>
      </w:r>
    </w:p>
    <w:p w14:paraId="0836E315" w14:textId="77777777" w:rsidR="00676385" w:rsidRPr="00676385" w:rsidRDefault="00676385" w:rsidP="00676385">
      <w:pPr>
        <w:spacing w:line="240" w:lineRule="auto"/>
        <w:ind w:firstLine="180"/>
        <w:jc w:val="lowKashida"/>
        <w:rPr>
          <w:rFonts w:ascii="Times New Roman" w:eastAsia="Calibri" w:hAnsi="Times New Roman" w:cs="Times New Roman"/>
          <w:kern w:val="0"/>
          <w:sz w:val="24"/>
          <w:szCs w:val="24"/>
          <w14:ligatures w14:val="none"/>
        </w:rPr>
      </w:pPr>
      <w:r w:rsidRPr="00676385">
        <w:rPr>
          <w:rFonts w:ascii="Times New Roman" w:eastAsia="Calibri" w:hAnsi="Times New Roman" w:cs="Times New Roman"/>
          <w:b/>
          <w:bCs/>
          <w:kern w:val="0"/>
          <w:sz w:val="24"/>
          <w:szCs w:val="24"/>
          <w14:ligatures w14:val="none"/>
        </w:rPr>
        <w:t>E- Editor:</w:t>
      </w:r>
      <w:r w:rsidRPr="00676385">
        <w:rPr>
          <w:rFonts w:ascii="Times New Roman" w:eastAsia="Calibri" w:hAnsi="Times New Roman" w:cs="Times New Roman"/>
          <w:kern w:val="0"/>
          <w:sz w:val="24"/>
          <w:szCs w:val="24"/>
          <w14:ligatures w14:val="none"/>
        </w:rPr>
        <w:t xml:space="preserve"> Salem Youssef Mohamed, Osama Ahmed Khalil, Mohamed Hassan Ali Emara.</w:t>
      </w:r>
    </w:p>
    <w:p w14:paraId="3CB25D4B" w14:textId="77777777" w:rsidR="00676385" w:rsidRPr="00676385" w:rsidRDefault="00676385" w:rsidP="00676385">
      <w:pPr>
        <w:spacing w:line="240" w:lineRule="auto"/>
        <w:jc w:val="lowKashida"/>
        <w:rPr>
          <w:rFonts w:ascii="Times New Roman" w:eastAsia="Calibri" w:hAnsi="Times New Roman" w:cs="Times New Roman"/>
          <w:kern w:val="0"/>
          <w:sz w:val="24"/>
          <w:szCs w:val="24"/>
          <w14:ligatures w14:val="none"/>
        </w:rPr>
      </w:pPr>
      <w:r w:rsidRPr="00676385">
        <w:rPr>
          <w:rFonts w:ascii="Times New Roman" w:eastAsia="Calibri" w:hAnsi="Times New Roman" w:cs="Times New Roman"/>
          <w:b/>
          <w:bCs/>
          <w:kern w:val="0"/>
          <w:sz w:val="24"/>
          <w:szCs w:val="24"/>
          <w14:ligatures w14:val="none"/>
        </w:rPr>
        <w:t>Copyright ©.</w:t>
      </w:r>
      <w:r w:rsidRPr="00676385">
        <w:rPr>
          <w:rFonts w:ascii="Times New Roman" w:eastAsia="Calibri" w:hAnsi="Times New Roman" w:cs="Times New Roman"/>
          <w:kern w:val="0"/>
          <w:sz w:val="24"/>
          <w:szCs w:val="24"/>
          <w14:ligatures w14:val="none"/>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21B1D6B9" w14:textId="080C29F5" w:rsidR="00676385" w:rsidRPr="00676385" w:rsidRDefault="00676385" w:rsidP="00676385">
      <w:pPr>
        <w:spacing w:line="240" w:lineRule="auto"/>
        <w:jc w:val="lowKashida"/>
        <w:rPr>
          <w:rFonts w:ascii="Times New Roman" w:eastAsia="Calibri" w:hAnsi="Times New Roman" w:cs="Times New Roman"/>
          <w:kern w:val="0"/>
          <w:sz w:val="24"/>
          <w:szCs w:val="24"/>
          <w14:ligatures w14:val="none"/>
        </w:rPr>
      </w:pPr>
      <w:r w:rsidRPr="00676385">
        <w:rPr>
          <w:rFonts w:ascii="Times New Roman" w:eastAsia="Calibri" w:hAnsi="Times New Roman" w:cs="Times New Roman"/>
          <w:b/>
          <w:bCs/>
          <w:kern w:val="0"/>
          <w:sz w:val="24"/>
          <w:szCs w:val="24"/>
          <w14:ligatures w14:val="none"/>
        </w:rPr>
        <w:t>Disclaimer:</w:t>
      </w:r>
      <w:r w:rsidRPr="00676385">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authors' claims in this article are solely their own</w:t>
      </w:r>
      <w:r w:rsidRPr="00676385">
        <w:rPr>
          <w:rFonts w:ascii="Times New Roman" w:eastAsia="Calibri" w:hAnsi="Times New Roman" w:cs="Times New Roman"/>
          <w:kern w:val="0"/>
          <w:sz w:val="24"/>
          <w:szCs w:val="24"/>
          <w14:ligatures w14:val="none"/>
        </w:rPr>
        <w:t xml:space="preserve"> and do not necessarily represent their affiliated organizations or those of the publisher, the editors, and the reviewers. Any product evaluated in this article or its manufacturer's claim is not guaranteed or endorsed by the publisher.</w:t>
      </w:r>
    </w:p>
    <w:p w14:paraId="3E872DD5" w14:textId="764E2080" w:rsidR="00676385" w:rsidRPr="00676385" w:rsidRDefault="00676385" w:rsidP="00676385">
      <w:pPr>
        <w:spacing w:line="360" w:lineRule="auto"/>
        <w:jc w:val="both"/>
        <w:rPr>
          <w:rFonts w:ascii="Times New Roman" w:eastAsia="Calibri" w:hAnsi="Times New Roman" w:cs="Times New Roman"/>
          <w:kern w:val="0"/>
          <w:sz w:val="24"/>
          <w:szCs w:val="24"/>
          <w14:ligatures w14:val="none"/>
        </w:rPr>
      </w:pPr>
      <w:r w:rsidRPr="00676385">
        <w:rPr>
          <w:rFonts w:ascii="Times New Roman" w:eastAsia="Calibri" w:hAnsi="Times New Roman" w:cs="Times New Roman"/>
          <w:b/>
          <w:bCs/>
          <w:kern w:val="0"/>
          <w:sz w:val="24"/>
          <w:szCs w:val="24"/>
          <w14:ligatures w14:val="none"/>
        </w:rPr>
        <w:t>Ethics Approval and Consent to Participate</w:t>
      </w:r>
      <w:r w:rsidRPr="00676385">
        <w:rPr>
          <w:rFonts w:ascii="Times New Roman" w:eastAsia="Calibri" w:hAnsi="Times New Roman" w:cs="Times New Roman"/>
          <w:kern w:val="0"/>
          <w:sz w:val="24"/>
          <w:szCs w:val="24"/>
          <w14:ligatures w14:val="none"/>
        </w:rPr>
        <w:t xml:space="preserve">: </w:t>
      </w:r>
      <w:r w:rsidR="002E2810">
        <w:rPr>
          <w:rFonts w:ascii="Times New Roman" w:eastAsia="Calibri" w:hAnsi="Times New Roman" w:cs="Times New Roman"/>
          <w:kern w:val="0"/>
          <w:sz w:val="24"/>
          <w:szCs w:val="24"/>
          <w14:ligatures w14:val="none"/>
        </w:rPr>
        <w:t>T</w:t>
      </w:r>
      <w:r w:rsidRPr="00676385">
        <w:rPr>
          <w:rFonts w:ascii="Times New Roman" w:eastAsia="Calibri" w:hAnsi="Times New Roman" w:cs="Times New Roman"/>
          <w:kern w:val="0"/>
          <w:sz w:val="24"/>
          <w:szCs w:val="24"/>
          <w14:ligatures w14:val="none"/>
        </w:rPr>
        <w:t xml:space="preserve">he Institutional Review Board Committee, </w:t>
      </w:r>
      <w:r w:rsidR="002E2810">
        <w:rPr>
          <w:rFonts w:ascii="Times New Roman" w:eastAsia="Calibri" w:hAnsi="Times New Roman" w:cs="Times New Roman"/>
          <w:kern w:val="0"/>
          <w:sz w:val="24"/>
          <w:szCs w:val="24"/>
          <w14:ligatures w14:val="none"/>
        </w:rPr>
        <w:t>Tanta</w:t>
      </w:r>
      <w:r w:rsidRPr="00676385">
        <w:rPr>
          <w:rFonts w:ascii="Times New Roman" w:eastAsia="Calibri" w:hAnsi="Times New Roman" w:cs="Times New Roman"/>
          <w:kern w:val="0"/>
          <w:sz w:val="24"/>
          <w:szCs w:val="24"/>
          <w14:ligatures w14:val="none"/>
        </w:rPr>
        <w:t xml:space="preserve"> University approved the experimental protocol.</w:t>
      </w:r>
    </w:p>
    <w:p w14:paraId="62F607D0" w14:textId="77777777" w:rsidR="00676385" w:rsidRPr="00676385" w:rsidRDefault="00676385" w:rsidP="00676385">
      <w:pPr>
        <w:spacing w:line="240" w:lineRule="auto"/>
        <w:jc w:val="lowKashida"/>
        <w:rPr>
          <w:rFonts w:ascii="Times New Roman" w:eastAsia="Calibri" w:hAnsi="Times New Roman" w:cs="Times New Roman"/>
          <w:kern w:val="0"/>
          <w:sz w:val="24"/>
          <w:szCs w:val="24"/>
          <w14:ligatures w14:val="none"/>
        </w:rPr>
      </w:pPr>
      <w:r w:rsidRPr="00676385">
        <w:rPr>
          <w:rFonts w:ascii="Times New Roman" w:eastAsia="Calibri" w:hAnsi="Times New Roman" w:cs="Times New Roman"/>
          <w:b/>
          <w:bCs/>
          <w:kern w:val="0"/>
          <w:sz w:val="24"/>
          <w:szCs w:val="24"/>
          <w14:ligatures w14:val="none"/>
        </w:rPr>
        <w:t>Consent for publication</w:t>
      </w:r>
      <w:r w:rsidRPr="00676385">
        <w:rPr>
          <w:rFonts w:ascii="Times New Roman" w:eastAsia="Calibri" w:hAnsi="Times New Roman" w:cs="Times New Roman"/>
          <w:kern w:val="0"/>
          <w:sz w:val="24"/>
          <w:szCs w:val="24"/>
          <w14:ligatures w14:val="none"/>
        </w:rPr>
        <w:t>: All patients included in this research gave written informed permission to publish the data contained within this study.</w:t>
      </w:r>
    </w:p>
    <w:p w14:paraId="1396A2B0" w14:textId="32302F6C" w:rsidR="00676385" w:rsidRPr="00676385" w:rsidRDefault="00676385" w:rsidP="00676385">
      <w:pPr>
        <w:spacing w:line="240" w:lineRule="auto"/>
        <w:jc w:val="lowKashida"/>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Data and materials availability</w:t>
      </w:r>
      <w:r w:rsidRPr="00676385">
        <w:rPr>
          <w:rFonts w:ascii="Times New Roman" w:eastAsia="Calibri" w:hAnsi="Times New Roman" w:cs="Times New Roman"/>
          <w:b/>
          <w:bCs/>
          <w:kern w:val="0"/>
          <w:sz w:val="24"/>
          <w:szCs w:val="24"/>
          <w14:ligatures w14:val="none"/>
        </w:rPr>
        <w:t>:</w:t>
      </w:r>
      <w:r w:rsidRPr="00676385">
        <w:rPr>
          <w:rFonts w:ascii="Times New Roman" w:eastAsia="Calibri" w:hAnsi="Times New Roman" w:cs="Times New Roman"/>
          <w:kern w:val="0"/>
          <w:sz w:val="24"/>
          <w:szCs w:val="24"/>
          <w14:ligatures w14:val="none"/>
        </w:rPr>
        <w:t xml:space="preserve"> The datasets used or analyzed during the current study are available from the corresponding author upon reasonable request.</w:t>
      </w:r>
    </w:p>
    <w:p w14:paraId="14EBF18A" w14:textId="77777777" w:rsidR="00676385" w:rsidRPr="00676385" w:rsidRDefault="00676385" w:rsidP="00676385">
      <w:pPr>
        <w:spacing w:line="240" w:lineRule="auto"/>
        <w:jc w:val="lowKashida"/>
        <w:rPr>
          <w:rFonts w:ascii="Times New Roman" w:eastAsia="Calibri" w:hAnsi="Times New Roman" w:cs="Times New Roman"/>
          <w:kern w:val="0"/>
          <w:sz w:val="24"/>
          <w:szCs w:val="24"/>
          <w14:ligatures w14:val="none"/>
        </w:rPr>
      </w:pPr>
      <w:r w:rsidRPr="00676385">
        <w:rPr>
          <w:rFonts w:ascii="Times New Roman" w:eastAsia="Calibri" w:hAnsi="Times New Roman" w:cs="Times New Roman"/>
          <w:b/>
          <w:bCs/>
          <w:kern w:val="0"/>
          <w:sz w:val="24"/>
          <w:szCs w:val="24"/>
          <w14:ligatures w14:val="none"/>
        </w:rPr>
        <w:t>Competing interests</w:t>
      </w:r>
      <w:r w:rsidRPr="00676385">
        <w:rPr>
          <w:rFonts w:ascii="Times New Roman" w:eastAsia="Calibri" w:hAnsi="Times New Roman" w:cs="Times New Roman"/>
          <w:kern w:val="0"/>
          <w:sz w:val="24"/>
          <w:szCs w:val="24"/>
          <w14:ligatures w14:val="none"/>
        </w:rPr>
        <w:t>: The authors declare that they have no competing interests.</w:t>
      </w:r>
    </w:p>
    <w:p w14:paraId="3A9DE611" w14:textId="77777777" w:rsidR="00676385" w:rsidRPr="00676385" w:rsidRDefault="00676385" w:rsidP="00676385">
      <w:pPr>
        <w:spacing w:line="240" w:lineRule="auto"/>
        <w:jc w:val="lowKashida"/>
        <w:rPr>
          <w:rFonts w:ascii="Times New Roman" w:eastAsia="Calibri" w:hAnsi="Times New Roman" w:cs="Times New Roman"/>
          <w:kern w:val="0"/>
          <w:sz w:val="24"/>
          <w:szCs w:val="24"/>
          <w14:ligatures w14:val="none"/>
        </w:rPr>
      </w:pPr>
      <w:r w:rsidRPr="00676385">
        <w:rPr>
          <w:rFonts w:ascii="Times New Roman" w:eastAsia="Calibri" w:hAnsi="Times New Roman" w:cs="Times New Roman"/>
          <w:b/>
          <w:bCs/>
          <w:kern w:val="0"/>
          <w:sz w:val="24"/>
          <w:szCs w:val="24"/>
          <w14:ligatures w14:val="none"/>
        </w:rPr>
        <w:t>Funding</w:t>
      </w:r>
      <w:r w:rsidRPr="00676385">
        <w:rPr>
          <w:rFonts w:ascii="Times New Roman" w:eastAsia="Calibri" w:hAnsi="Times New Roman" w:cs="Times New Roman"/>
          <w:kern w:val="0"/>
          <w:sz w:val="24"/>
          <w:szCs w:val="24"/>
          <w14:ligatures w14:val="none"/>
        </w:rPr>
        <w:t>: This study had no funding from any resource.</w:t>
      </w:r>
    </w:p>
    <w:p w14:paraId="568FF716" w14:textId="77777777" w:rsidR="00676385" w:rsidRPr="00676385" w:rsidRDefault="00676385" w:rsidP="00676385">
      <w:pPr>
        <w:spacing w:after="0" w:line="240" w:lineRule="auto"/>
        <w:jc w:val="lowKashida"/>
        <w:rPr>
          <w:rFonts w:ascii="Times New Roman" w:eastAsia="Calibri" w:hAnsi="Times New Roman" w:cs="Times New Roman"/>
          <w:b/>
          <w:bCs/>
          <w:kern w:val="0"/>
          <w:sz w:val="24"/>
          <w:szCs w:val="24"/>
          <w14:ligatures w14:val="none"/>
        </w:rPr>
      </w:pPr>
      <w:r w:rsidRPr="00676385">
        <w:rPr>
          <w:rFonts w:ascii="Times New Roman" w:eastAsia="Calibri" w:hAnsi="Times New Roman" w:cs="Times New Roman"/>
          <w:b/>
          <w:bCs/>
          <w:kern w:val="0"/>
          <w:sz w:val="24"/>
          <w:szCs w:val="24"/>
          <w14:ligatures w14:val="none"/>
        </w:rPr>
        <w:t>Authors’ contributions</w:t>
      </w:r>
    </w:p>
    <w:p w14:paraId="6C06E9D2" w14:textId="4B71E500" w:rsidR="00676385" w:rsidRPr="00676385" w:rsidRDefault="00676385" w:rsidP="00676385">
      <w:pPr>
        <w:spacing w:line="360" w:lineRule="auto"/>
        <w:jc w:val="both"/>
        <w:rPr>
          <w:rFonts w:ascii="Times New Roman" w:eastAsia="Times New Roman" w:hAnsi="Times New Roman" w:cs="Times New Roman"/>
          <w:b/>
          <w:color w:val="000000"/>
          <w:kern w:val="0"/>
          <w:sz w:val="24"/>
          <w:szCs w:val="24"/>
          <w14:ligatures w14:val="none"/>
        </w:rPr>
      </w:pPr>
      <w:r w:rsidRPr="00676385">
        <w:rPr>
          <w:rFonts w:ascii="Times New Roman" w:eastAsia="Times New Roman" w:hAnsi="Times New Roman" w:cs="Times New Roman"/>
          <w:color w:val="000000"/>
          <w:kern w:val="0"/>
          <w:sz w:val="24"/>
          <w:szCs w:val="24"/>
          <w14:ligatures w14:val="none"/>
        </w:rPr>
        <w:t xml:space="preserve">N M. R, M O W were responsible for conception and revision, and A M S, M H. S were accountable for </w:t>
      </w:r>
      <w:r>
        <w:rPr>
          <w:rFonts w:ascii="Times New Roman" w:eastAsia="Times New Roman" w:hAnsi="Times New Roman" w:cs="Times New Roman"/>
          <w:color w:val="000000"/>
          <w:kern w:val="0"/>
          <w:sz w:val="24"/>
          <w:szCs w:val="24"/>
          <w14:ligatures w14:val="none"/>
        </w:rPr>
        <w:t>interpreting and analyzing data. M H.S. H, A S, A T H wrote the manuscript, which</w:t>
      </w:r>
      <w:r w:rsidRPr="00676385">
        <w:rPr>
          <w:rFonts w:ascii="Times New Roman" w:eastAsia="Times New Roman" w:hAnsi="Times New Roman" w:cs="Times New Roman"/>
          <w:kern w:val="0"/>
          <w:sz w:val="24"/>
          <w:szCs w:val="24"/>
          <w14:ligatures w14:val="none"/>
        </w:rPr>
        <w:t xml:space="preserve"> was revised and approved by all co-authors.</w:t>
      </w:r>
    </w:p>
    <w:p w14:paraId="627846D3" w14:textId="77777777" w:rsidR="00C654BD" w:rsidRDefault="00C654BD" w:rsidP="00A83FB8">
      <w:pPr>
        <w:spacing w:line="360" w:lineRule="auto"/>
        <w:jc w:val="both"/>
        <w:rPr>
          <w:rFonts w:ascii="Times New Roman" w:eastAsia="Times New Roman" w:hAnsi="Times New Roman" w:cs="Times New Roman"/>
          <w:b/>
          <w:bCs/>
          <w:color w:val="212121"/>
          <w:sz w:val="32"/>
          <w:szCs w:val="32"/>
        </w:rPr>
      </w:pPr>
    </w:p>
    <w:p w14:paraId="544297E3" w14:textId="77777777" w:rsidR="00DB40FC" w:rsidRDefault="00DB40FC" w:rsidP="00A83FB8">
      <w:pPr>
        <w:spacing w:line="360" w:lineRule="auto"/>
        <w:jc w:val="both"/>
        <w:rPr>
          <w:rFonts w:ascii="Times New Roman" w:eastAsia="Times New Roman" w:hAnsi="Times New Roman" w:cs="Times New Roman"/>
          <w:b/>
          <w:bCs/>
          <w:color w:val="212121"/>
          <w:sz w:val="32"/>
          <w:szCs w:val="32"/>
        </w:rPr>
      </w:pPr>
    </w:p>
    <w:p w14:paraId="4132222C" w14:textId="29AF8810" w:rsidR="006D0243" w:rsidRPr="00240B01" w:rsidRDefault="006D0243" w:rsidP="00A83FB8">
      <w:pPr>
        <w:spacing w:line="360" w:lineRule="auto"/>
        <w:jc w:val="both"/>
        <w:rPr>
          <w:rFonts w:ascii="Times New Roman" w:eastAsia="Times New Roman" w:hAnsi="Times New Roman" w:cs="Times New Roman"/>
          <w:color w:val="212121"/>
          <w:sz w:val="24"/>
          <w:szCs w:val="24"/>
        </w:rPr>
      </w:pPr>
      <w:r w:rsidRPr="000A2A1C">
        <w:rPr>
          <w:rFonts w:ascii="Times New Roman" w:eastAsia="Times New Roman" w:hAnsi="Times New Roman" w:cs="Times New Roman"/>
          <w:b/>
          <w:bCs/>
          <w:color w:val="212121"/>
          <w:sz w:val="32"/>
          <w:szCs w:val="32"/>
        </w:rPr>
        <w:t xml:space="preserve">References </w:t>
      </w:r>
    </w:p>
    <w:p w14:paraId="3B55BEA3" w14:textId="15E6D46A" w:rsidR="006D0243" w:rsidRPr="00CF0F4D" w:rsidRDefault="006D0243" w:rsidP="00BC6A7C">
      <w:pPr>
        <w:spacing w:line="360" w:lineRule="auto"/>
        <w:jc w:val="both"/>
        <w:rPr>
          <w:rFonts w:asciiTheme="majorBidi" w:hAnsiTheme="majorBidi" w:cstheme="majorBidi"/>
          <w:sz w:val="24"/>
          <w:szCs w:val="24"/>
        </w:rPr>
      </w:pPr>
      <w:r w:rsidRPr="00303FCE">
        <w:rPr>
          <w:rFonts w:asciiTheme="majorBidi" w:hAnsiTheme="majorBidi" w:cstheme="majorBidi"/>
          <w:sz w:val="24"/>
          <w:szCs w:val="24"/>
        </w:rPr>
        <w:t>1- Huang DQ, Terrault NA, Tacke F, et al.</w:t>
      </w:r>
      <w:r w:rsidRPr="00CF0F4D">
        <w:rPr>
          <w:rFonts w:asciiTheme="majorBidi" w:hAnsiTheme="majorBidi" w:cstheme="majorBidi"/>
          <w:sz w:val="24"/>
          <w:szCs w:val="24"/>
        </w:rPr>
        <w:t xml:space="preserve"> Global epidemiology of cirrhosis - </w:t>
      </w:r>
      <w:r w:rsidR="008774DD">
        <w:rPr>
          <w:rFonts w:asciiTheme="majorBidi" w:hAnsiTheme="majorBidi" w:cstheme="majorBidi"/>
          <w:sz w:val="24"/>
          <w:szCs w:val="24"/>
        </w:rPr>
        <w:t>etiology, trends,</w:t>
      </w:r>
      <w:r w:rsidRPr="00CF0F4D">
        <w:rPr>
          <w:rFonts w:asciiTheme="majorBidi" w:hAnsiTheme="majorBidi" w:cstheme="majorBidi"/>
          <w:sz w:val="24"/>
          <w:szCs w:val="24"/>
        </w:rPr>
        <w:t xml:space="preserve"> and predictions. Nat Rev Gastroenterol Hepatol 2023 ;20(6):388-398.</w:t>
      </w:r>
    </w:p>
    <w:p w14:paraId="637F4615" w14:textId="0A24E414" w:rsidR="006D0243" w:rsidRPr="00CF0F4D" w:rsidRDefault="006D0243" w:rsidP="00A83FB8">
      <w:pPr>
        <w:spacing w:line="360" w:lineRule="auto"/>
        <w:jc w:val="both"/>
        <w:rPr>
          <w:rFonts w:asciiTheme="majorBidi" w:hAnsiTheme="majorBidi" w:cstheme="majorBidi"/>
          <w:sz w:val="24"/>
          <w:szCs w:val="24"/>
        </w:rPr>
      </w:pPr>
      <w:r w:rsidRPr="00CF0F4D">
        <w:rPr>
          <w:rFonts w:asciiTheme="majorBidi" w:hAnsiTheme="majorBidi" w:cstheme="majorBidi"/>
          <w:sz w:val="24"/>
          <w:szCs w:val="24"/>
        </w:rPr>
        <w:t>2-Liu H, Jayakumar S, Traboulsi M, Lee SS. Cirrhotic cardiomyopathy: implications for liver transplantation. Liver Transpl</w:t>
      </w:r>
      <w:r w:rsidR="00153826">
        <w:rPr>
          <w:rFonts w:asciiTheme="majorBidi" w:hAnsiTheme="majorBidi" w:cstheme="majorBidi"/>
          <w:sz w:val="24"/>
          <w:szCs w:val="24"/>
        </w:rPr>
        <w:t xml:space="preserve"> </w:t>
      </w:r>
      <w:r w:rsidR="002B3394" w:rsidRPr="00CF0F4D">
        <w:rPr>
          <w:rFonts w:asciiTheme="majorBidi" w:hAnsiTheme="majorBidi" w:cstheme="majorBidi"/>
          <w:sz w:val="24"/>
          <w:szCs w:val="24"/>
        </w:rPr>
        <w:t>2017; 23:826</w:t>
      </w:r>
      <w:r w:rsidRPr="00CF0F4D">
        <w:rPr>
          <w:rFonts w:asciiTheme="majorBidi" w:hAnsiTheme="majorBidi" w:cstheme="majorBidi"/>
          <w:sz w:val="24"/>
          <w:szCs w:val="24"/>
        </w:rPr>
        <w:t>–35.</w:t>
      </w:r>
    </w:p>
    <w:p w14:paraId="24B08FC9" w14:textId="536FB209" w:rsidR="006D0243" w:rsidRDefault="006D0243" w:rsidP="00BC6A7C">
      <w:pPr>
        <w:spacing w:line="360" w:lineRule="auto"/>
        <w:jc w:val="both"/>
        <w:rPr>
          <w:rFonts w:asciiTheme="majorBidi" w:hAnsiTheme="majorBidi" w:cstheme="majorBidi"/>
          <w:sz w:val="24"/>
          <w:szCs w:val="24"/>
        </w:rPr>
      </w:pPr>
      <w:r w:rsidRPr="00303FCE">
        <w:rPr>
          <w:rFonts w:asciiTheme="majorBidi" w:hAnsiTheme="majorBidi" w:cstheme="majorBidi"/>
          <w:sz w:val="24"/>
          <w:szCs w:val="24"/>
        </w:rPr>
        <w:t>3-Izzy M, VanWagner LB, Lin G, et al</w:t>
      </w:r>
      <w:r w:rsidRPr="00CF0F4D">
        <w:rPr>
          <w:rFonts w:asciiTheme="majorBidi" w:hAnsiTheme="majorBidi" w:cstheme="majorBidi"/>
          <w:sz w:val="24"/>
          <w:szCs w:val="24"/>
        </w:rPr>
        <w:t>. Cirrhotic Cardiomyopathy Consortium. Redefining Cirrhotic Cardiomyopathy for the Modern Era. Hepatology</w:t>
      </w:r>
      <w:r w:rsidR="00964F65">
        <w:rPr>
          <w:rFonts w:asciiTheme="majorBidi" w:hAnsiTheme="majorBidi" w:cstheme="majorBidi"/>
          <w:sz w:val="24"/>
          <w:szCs w:val="24"/>
        </w:rPr>
        <w:t xml:space="preserve"> </w:t>
      </w:r>
      <w:r w:rsidRPr="00CF0F4D">
        <w:rPr>
          <w:rFonts w:asciiTheme="majorBidi" w:hAnsiTheme="majorBidi" w:cstheme="majorBidi"/>
          <w:sz w:val="24"/>
          <w:szCs w:val="24"/>
        </w:rPr>
        <w:t>2020;71(1):334-345</w:t>
      </w:r>
      <w:r>
        <w:rPr>
          <w:rFonts w:asciiTheme="majorBidi" w:hAnsiTheme="majorBidi" w:cstheme="majorBidi"/>
          <w:sz w:val="24"/>
          <w:szCs w:val="24"/>
        </w:rPr>
        <w:t>.</w:t>
      </w:r>
    </w:p>
    <w:p w14:paraId="2F59F991" w14:textId="4783410E" w:rsidR="00AF7F04" w:rsidRPr="00CF0F4D" w:rsidRDefault="00AF7F04" w:rsidP="00BC6A7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4-</w:t>
      </w:r>
      <w:r w:rsidRPr="00AF7F04">
        <w:rPr>
          <w:rFonts w:asciiTheme="majorBidi" w:hAnsiTheme="majorBidi" w:cstheme="majorBidi"/>
          <w:sz w:val="24"/>
          <w:szCs w:val="24"/>
        </w:rPr>
        <w:t xml:space="preserve">Bodys-Pełka A, Kusztal M, Raszeja-Wyszomirska J, Główczyńska R, Grabowski M. What's New in Cirrhotic </w:t>
      </w:r>
      <w:r w:rsidR="00303FCE" w:rsidRPr="00AF7F04">
        <w:rPr>
          <w:rFonts w:asciiTheme="majorBidi" w:hAnsiTheme="majorBidi" w:cstheme="majorBidi"/>
          <w:sz w:val="24"/>
          <w:szCs w:val="24"/>
        </w:rPr>
        <w:t>Cardiomyopathy? -</w:t>
      </w:r>
      <w:r w:rsidRPr="00AF7F04">
        <w:rPr>
          <w:rFonts w:asciiTheme="majorBidi" w:hAnsiTheme="majorBidi" w:cstheme="majorBidi"/>
          <w:sz w:val="24"/>
          <w:szCs w:val="24"/>
        </w:rPr>
        <w:t>Review Article. J Pers Med. 2021 Dec 3;11(12):1285.</w:t>
      </w:r>
    </w:p>
    <w:p w14:paraId="2488EB09" w14:textId="6D9B2E14"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006D0243" w:rsidRPr="00CF0F4D">
        <w:rPr>
          <w:rFonts w:asciiTheme="majorBidi" w:hAnsiTheme="majorBidi" w:cstheme="majorBidi"/>
          <w:sz w:val="24"/>
          <w:szCs w:val="24"/>
        </w:rPr>
        <w:t>-Moller S, Henriksen JH. The systemic circulation in cirrhosis. In: Gines P, Arroyo V, Rodes J, Schrier RW, editors. Ascites and renal dysfunction in liver disease. Malden: Blackwell</w:t>
      </w:r>
      <w:r w:rsidR="00964F65">
        <w:rPr>
          <w:rFonts w:asciiTheme="majorBidi" w:hAnsiTheme="majorBidi" w:cstheme="majorBidi"/>
          <w:sz w:val="24"/>
          <w:szCs w:val="24"/>
        </w:rPr>
        <w:t xml:space="preserve"> </w:t>
      </w:r>
      <w:r w:rsidR="006D0243" w:rsidRPr="00CF0F4D">
        <w:rPr>
          <w:rFonts w:asciiTheme="majorBidi" w:hAnsiTheme="majorBidi" w:cstheme="majorBidi"/>
          <w:sz w:val="24"/>
          <w:szCs w:val="24"/>
        </w:rPr>
        <w:t>2005. pp. 139–155.</w:t>
      </w:r>
    </w:p>
    <w:p w14:paraId="33AD8A04" w14:textId="0340FD3D"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6</w:t>
      </w:r>
      <w:r w:rsidR="006D0243" w:rsidRPr="00CF0F4D">
        <w:rPr>
          <w:rFonts w:asciiTheme="majorBidi" w:hAnsiTheme="majorBidi" w:cstheme="majorBidi"/>
          <w:sz w:val="24"/>
          <w:szCs w:val="24"/>
        </w:rPr>
        <w:t xml:space="preserve">-Wiese S, Hove JD, Bendtsen F, Møller S. Cirrhotic cardiomyopathy: pathogenesis and clinical relevance. Nat Rev Gastroenterol </w:t>
      </w:r>
      <w:r w:rsidR="00303FCE" w:rsidRPr="00CF0F4D">
        <w:rPr>
          <w:rFonts w:asciiTheme="majorBidi" w:hAnsiTheme="majorBidi" w:cstheme="majorBidi"/>
          <w:sz w:val="24"/>
          <w:szCs w:val="24"/>
        </w:rPr>
        <w:t>Hepatol</w:t>
      </w:r>
      <w:r w:rsidR="00303FCE">
        <w:rPr>
          <w:rFonts w:asciiTheme="majorBidi" w:hAnsiTheme="majorBidi" w:cstheme="majorBidi"/>
          <w:sz w:val="24"/>
          <w:szCs w:val="24"/>
        </w:rPr>
        <w:t xml:space="preserve"> </w:t>
      </w:r>
      <w:r w:rsidR="00303FCE" w:rsidRPr="00CF0F4D">
        <w:rPr>
          <w:rFonts w:asciiTheme="majorBidi" w:hAnsiTheme="majorBidi" w:cstheme="majorBidi"/>
          <w:sz w:val="24"/>
          <w:szCs w:val="24"/>
        </w:rPr>
        <w:t>2014; 11:177</w:t>
      </w:r>
      <w:r w:rsidR="006D0243" w:rsidRPr="00CF0F4D">
        <w:rPr>
          <w:rFonts w:asciiTheme="majorBidi" w:hAnsiTheme="majorBidi" w:cstheme="majorBidi"/>
          <w:sz w:val="24"/>
          <w:szCs w:val="24"/>
        </w:rPr>
        <w:t>–186</w:t>
      </w:r>
      <w:r w:rsidR="006D0243">
        <w:rPr>
          <w:rFonts w:asciiTheme="majorBidi" w:hAnsiTheme="majorBidi" w:cstheme="majorBidi"/>
          <w:sz w:val="24"/>
          <w:szCs w:val="24"/>
        </w:rPr>
        <w:t>.</w:t>
      </w:r>
    </w:p>
    <w:p w14:paraId="23949BD0" w14:textId="7F0DE0B4"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7</w:t>
      </w:r>
      <w:r w:rsidR="006D0243" w:rsidRPr="00CF0F4D">
        <w:rPr>
          <w:rFonts w:asciiTheme="majorBidi" w:hAnsiTheme="majorBidi" w:cstheme="majorBidi"/>
          <w:sz w:val="24"/>
          <w:szCs w:val="24"/>
        </w:rPr>
        <w:t>- Lee W, Vandenberk B, Raj SR, Lee SS. Prolonged QT Interval in Cirrhosis: Twisting Time? Gut Live</w:t>
      </w:r>
      <w:r w:rsidR="0048615B">
        <w:rPr>
          <w:rFonts w:asciiTheme="majorBidi" w:hAnsiTheme="majorBidi" w:cstheme="majorBidi"/>
          <w:sz w:val="24"/>
          <w:szCs w:val="24"/>
        </w:rPr>
        <w:t xml:space="preserve"> </w:t>
      </w:r>
      <w:r w:rsidR="006D0243" w:rsidRPr="00CF0F4D">
        <w:rPr>
          <w:rFonts w:asciiTheme="majorBidi" w:hAnsiTheme="majorBidi" w:cstheme="majorBidi"/>
          <w:sz w:val="24"/>
          <w:szCs w:val="24"/>
        </w:rPr>
        <w:t>2022;16(6):849-860.</w:t>
      </w:r>
    </w:p>
    <w:p w14:paraId="172A44AB" w14:textId="16CBB128"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8</w:t>
      </w:r>
      <w:r w:rsidR="006D0243" w:rsidRPr="00CF0F4D">
        <w:rPr>
          <w:rFonts w:asciiTheme="majorBidi" w:hAnsiTheme="majorBidi" w:cstheme="majorBidi"/>
          <w:sz w:val="24"/>
          <w:szCs w:val="24"/>
        </w:rPr>
        <w:t>-Abbas A, Khan F, Rehman S, Ahsan O, Afzal A. Comparison of QTC interval prolongation in cirrhotic and non-cirrhotic chronic hepatitis c patients. Annals of Pims 2018; 14(2):135-8.</w:t>
      </w:r>
    </w:p>
    <w:p w14:paraId="4B99203F" w14:textId="789C5298"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9</w:t>
      </w:r>
      <w:r w:rsidR="006D0243" w:rsidRPr="00CF0F4D">
        <w:rPr>
          <w:rFonts w:asciiTheme="majorBidi" w:hAnsiTheme="majorBidi" w:cstheme="majorBidi"/>
          <w:sz w:val="24"/>
          <w:szCs w:val="24"/>
        </w:rPr>
        <w:t xml:space="preserve">-Bokarvadia R, Jain M, Kedarisetty C, Varghese J, </w:t>
      </w:r>
      <w:r w:rsidR="008774DD">
        <w:rPr>
          <w:rFonts w:asciiTheme="majorBidi" w:hAnsiTheme="majorBidi" w:cstheme="majorBidi"/>
          <w:sz w:val="24"/>
          <w:szCs w:val="24"/>
        </w:rPr>
        <w:t>Venkataraman</w:t>
      </w:r>
      <w:r w:rsidR="006D0243" w:rsidRPr="00CF0F4D">
        <w:rPr>
          <w:rFonts w:asciiTheme="majorBidi" w:hAnsiTheme="majorBidi" w:cstheme="majorBidi"/>
          <w:sz w:val="24"/>
          <w:szCs w:val="24"/>
        </w:rPr>
        <w:t xml:space="preserve"> J. </w:t>
      </w:r>
      <w:r w:rsidR="008774DD">
        <w:rPr>
          <w:rFonts w:asciiTheme="majorBidi" w:hAnsiTheme="majorBidi" w:cstheme="majorBidi"/>
          <w:sz w:val="24"/>
          <w:szCs w:val="24"/>
        </w:rPr>
        <w:t>Prevalence</w:t>
      </w:r>
      <w:r w:rsidR="006D0243" w:rsidRPr="00CF0F4D">
        <w:rPr>
          <w:rFonts w:asciiTheme="majorBidi" w:hAnsiTheme="majorBidi" w:cstheme="majorBidi"/>
          <w:sz w:val="24"/>
          <w:szCs w:val="24"/>
        </w:rPr>
        <w:t xml:space="preserve"> and clinical presentation of cirrhotic cardiomyopathy: a single </w:t>
      </w:r>
      <w:r w:rsidR="008774DD">
        <w:rPr>
          <w:rFonts w:asciiTheme="majorBidi" w:hAnsiTheme="majorBidi" w:cstheme="majorBidi"/>
          <w:sz w:val="24"/>
          <w:szCs w:val="24"/>
        </w:rPr>
        <w:t>center</w:t>
      </w:r>
      <w:r w:rsidR="006D0243" w:rsidRPr="00CF0F4D">
        <w:rPr>
          <w:rFonts w:asciiTheme="majorBidi" w:hAnsiTheme="majorBidi" w:cstheme="majorBidi"/>
          <w:sz w:val="24"/>
          <w:szCs w:val="24"/>
        </w:rPr>
        <w:t xml:space="preserve"> experience from Southern India. Indian Journal </w:t>
      </w:r>
      <w:r w:rsidR="00303FCE" w:rsidRPr="00CF0F4D">
        <w:rPr>
          <w:rFonts w:asciiTheme="majorBidi" w:hAnsiTheme="majorBidi" w:cstheme="majorBidi"/>
          <w:sz w:val="24"/>
          <w:szCs w:val="24"/>
        </w:rPr>
        <w:t>of</w:t>
      </w:r>
      <w:r w:rsidR="006D0243" w:rsidRPr="00CF0F4D">
        <w:rPr>
          <w:rFonts w:asciiTheme="majorBidi" w:hAnsiTheme="majorBidi" w:cstheme="majorBidi"/>
          <w:sz w:val="24"/>
          <w:szCs w:val="24"/>
        </w:rPr>
        <w:t xml:space="preserve"> Gastroenterology 2019; 38(2):150-7</w:t>
      </w:r>
      <w:r w:rsidR="006D0243">
        <w:rPr>
          <w:rFonts w:asciiTheme="majorBidi" w:hAnsiTheme="majorBidi" w:cstheme="majorBidi"/>
          <w:sz w:val="24"/>
          <w:szCs w:val="24"/>
        </w:rPr>
        <w:t>.</w:t>
      </w:r>
    </w:p>
    <w:p w14:paraId="4C76FFB5" w14:textId="7197F8B3"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10</w:t>
      </w:r>
      <w:r w:rsidR="006D0243" w:rsidRPr="00CF0F4D">
        <w:rPr>
          <w:rFonts w:asciiTheme="majorBidi" w:hAnsiTheme="majorBidi" w:cstheme="majorBidi"/>
          <w:sz w:val="24"/>
          <w:szCs w:val="24"/>
        </w:rPr>
        <w:t xml:space="preserve">-Elming H, Brendorp B, Køber L, Sahebzadah N, TorpPetersen C. QTc interval in </w:t>
      </w:r>
      <w:r w:rsidR="00140307">
        <w:rPr>
          <w:rFonts w:asciiTheme="majorBidi" w:hAnsiTheme="majorBidi" w:cstheme="majorBidi"/>
          <w:sz w:val="24"/>
          <w:szCs w:val="24"/>
        </w:rPr>
        <w:t>assessing</w:t>
      </w:r>
      <w:r w:rsidR="006D0243" w:rsidRPr="00CF0F4D">
        <w:rPr>
          <w:rFonts w:asciiTheme="majorBidi" w:hAnsiTheme="majorBidi" w:cstheme="majorBidi"/>
          <w:sz w:val="24"/>
          <w:szCs w:val="24"/>
        </w:rPr>
        <w:t xml:space="preserve"> cardiac risk. Cardiac Electrophysiology Review </w:t>
      </w:r>
      <w:r w:rsidR="00303FCE" w:rsidRPr="00CF0F4D">
        <w:rPr>
          <w:rFonts w:asciiTheme="majorBidi" w:hAnsiTheme="majorBidi" w:cstheme="majorBidi"/>
          <w:sz w:val="24"/>
          <w:szCs w:val="24"/>
        </w:rPr>
        <w:t>2002; 6:289</w:t>
      </w:r>
      <w:r w:rsidR="006D0243" w:rsidRPr="00CF0F4D">
        <w:rPr>
          <w:rFonts w:asciiTheme="majorBidi" w:hAnsiTheme="majorBidi" w:cstheme="majorBidi"/>
          <w:sz w:val="24"/>
          <w:szCs w:val="24"/>
        </w:rPr>
        <w:t xml:space="preserve">-94. </w:t>
      </w:r>
    </w:p>
    <w:p w14:paraId="0C3C8F09" w14:textId="4BFAA9A7" w:rsidR="006D0243" w:rsidRPr="00CF0F4D" w:rsidRDefault="00AF7F04" w:rsidP="00BC6A7C">
      <w:pPr>
        <w:spacing w:line="360" w:lineRule="auto"/>
        <w:jc w:val="both"/>
        <w:rPr>
          <w:rFonts w:asciiTheme="majorBidi" w:hAnsiTheme="majorBidi" w:cstheme="majorBidi"/>
          <w:sz w:val="24"/>
          <w:szCs w:val="24"/>
        </w:rPr>
      </w:pPr>
      <w:r w:rsidRPr="00303FCE">
        <w:rPr>
          <w:rFonts w:asciiTheme="majorBidi" w:hAnsiTheme="majorBidi" w:cstheme="majorBidi"/>
          <w:sz w:val="24"/>
          <w:szCs w:val="24"/>
        </w:rPr>
        <w:t>11</w:t>
      </w:r>
      <w:r w:rsidR="006D0243" w:rsidRPr="00303FCE">
        <w:rPr>
          <w:rFonts w:asciiTheme="majorBidi" w:hAnsiTheme="majorBidi" w:cstheme="majorBidi"/>
          <w:sz w:val="24"/>
          <w:szCs w:val="24"/>
        </w:rPr>
        <w:t>-Rimbaş RC, Baldea SM, Guerra RDGA, et al</w:t>
      </w:r>
      <w:r w:rsidR="006D0243" w:rsidRPr="00CF0F4D">
        <w:rPr>
          <w:rFonts w:asciiTheme="majorBidi" w:hAnsiTheme="majorBidi" w:cstheme="majorBidi"/>
          <w:sz w:val="24"/>
          <w:szCs w:val="24"/>
        </w:rPr>
        <w:t xml:space="preserve">. New Definition Criteria of Myocardial Dysfunction in Patients with Liver Cirrhosis: A Speckle Tracking and Tissue Doppler Imaging Study. Ultrasound Med </w:t>
      </w:r>
      <w:r w:rsidR="002B3394" w:rsidRPr="00CF0F4D">
        <w:rPr>
          <w:rFonts w:asciiTheme="majorBidi" w:hAnsiTheme="majorBidi" w:cstheme="majorBidi"/>
          <w:sz w:val="24"/>
          <w:szCs w:val="24"/>
        </w:rPr>
        <w:t>Bio</w:t>
      </w:r>
      <w:r w:rsidR="002B3394">
        <w:rPr>
          <w:rFonts w:asciiTheme="majorBidi" w:hAnsiTheme="majorBidi" w:cstheme="majorBidi"/>
          <w:sz w:val="24"/>
          <w:szCs w:val="24"/>
        </w:rPr>
        <w:t>,</w:t>
      </w:r>
      <w:r w:rsidR="006D0243" w:rsidRPr="00CF0F4D">
        <w:rPr>
          <w:rFonts w:asciiTheme="majorBidi" w:hAnsiTheme="majorBidi" w:cstheme="majorBidi"/>
          <w:sz w:val="24"/>
          <w:szCs w:val="24"/>
        </w:rPr>
        <w:t xml:space="preserve"> 2018</w:t>
      </w:r>
      <w:r w:rsidR="006B5C4B">
        <w:rPr>
          <w:rFonts w:asciiTheme="majorBidi" w:hAnsiTheme="majorBidi" w:cstheme="majorBidi"/>
          <w:sz w:val="24"/>
          <w:szCs w:val="24"/>
        </w:rPr>
        <w:t>.</w:t>
      </w:r>
    </w:p>
    <w:p w14:paraId="0A47FC4D" w14:textId="6E2CE65B"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12</w:t>
      </w:r>
      <w:r w:rsidR="006D0243" w:rsidRPr="00CF0F4D">
        <w:rPr>
          <w:rFonts w:asciiTheme="majorBidi" w:hAnsiTheme="majorBidi" w:cstheme="majorBidi"/>
          <w:sz w:val="24"/>
          <w:szCs w:val="24"/>
        </w:rPr>
        <w:t>-Fallah MA, Prakash C, Edmundowicz S.</w:t>
      </w:r>
      <w:r w:rsidR="00140307">
        <w:rPr>
          <w:rFonts w:asciiTheme="majorBidi" w:hAnsiTheme="majorBidi" w:cstheme="majorBidi"/>
          <w:sz w:val="24"/>
          <w:szCs w:val="24"/>
        </w:rPr>
        <w:t xml:space="preserve"> </w:t>
      </w:r>
      <w:r w:rsidR="006D0243" w:rsidRPr="00CF0F4D">
        <w:rPr>
          <w:rFonts w:asciiTheme="majorBidi" w:hAnsiTheme="majorBidi" w:cstheme="majorBidi"/>
          <w:sz w:val="24"/>
          <w:szCs w:val="24"/>
        </w:rPr>
        <w:t xml:space="preserve">Acute gastrointestinal bleeding. Med Clin North Am. </w:t>
      </w:r>
      <w:r w:rsidR="00303FCE" w:rsidRPr="00CF0F4D">
        <w:rPr>
          <w:rFonts w:asciiTheme="majorBidi" w:hAnsiTheme="majorBidi" w:cstheme="majorBidi"/>
          <w:sz w:val="24"/>
          <w:szCs w:val="24"/>
        </w:rPr>
        <w:t>2000; 84:1183</w:t>
      </w:r>
      <w:r w:rsidR="006D0243" w:rsidRPr="00CF0F4D">
        <w:rPr>
          <w:rFonts w:asciiTheme="majorBidi" w:hAnsiTheme="majorBidi" w:cstheme="majorBidi"/>
          <w:sz w:val="24"/>
          <w:szCs w:val="24"/>
        </w:rPr>
        <w:t>–208.</w:t>
      </w:r>
    </w:p>
    <w:p w14:paraId="06A6DA03" w14:textId="0BC0EB45" w:rsidR="006D0243" w:rsidRPr="00CF0F4D" w:rsidRDefault="00AF7F04" w:rsidP="00BC6A7C">
      <w:pPr>
        <w:spacing w:line="360" w:lineRule="auto"/>
        <w:jc w:val="both"/>
        <w:rPr>
          <w:rFonts w:asciiTheme="majorBidi" w:hAnsiTheme="majorBidi" w:cstheme="majorBidi"/>
          <w:sz w:val="24"/>
          <w:szCs w:val="24"/>
        </w:rPr>
      </w:pPr>
      <w:r>
        <w:rPr>
          <w:rFonts w:asciiTheme="majorBidi" w:hAnsiTheme="majorBidi" w:cstheme="majorBidi"/>
          <w:sz w:val="24"/>
          <w:szCs w:val="24"/>
        </w:rPr>
        <w:t>13</w:t>
      </w:r>
      <w:r w:rsidR="006D0243" w:rsidRPr="00303FCE">
        <w:rPr>
          <w:rFonts w:asciiTheme="majorBidi" w:hAnsiTheme="majorBidi" w:cstheme="majorBidi"/>
          <w:sz w:val="24"/>
          <w:szCs w:val="24"/>
        </w:rPr>
        <w:t>-Trevisani F, Di Micoli A, Zambruni A, et</w:t>
      </w:r>
      <w:r w:rsidR="006D0243" w:rsidRPr="00CF0F4D">
        <w:rPr>
          <w:rFonts w:asciiTheme="majorBidi" w:hAnsiTheme="majorBidi" w:cstheme="majorBidi"/>
          <w:sz w:val="24"/>
          <w:szCs w:val="24"/>
        </w:rPr>
        <w:t xml:space="preserve"> al. QT interval prolongation by acute gastrointestinal bleeding in patients with cirrhosis. Liver Int 2012;32(10):1510- 5.</w:t>
      </w:r>
    </w:p>
    <w:p w14:paraId="70190900" w14:textId="4D5A9988" w:rsidR="006D0243" w:rsidRPr="00303FCE" w:rsidRDefault="006D0243" w:rsidP="00A83FB8">
      <w:pPr>
        <w:spacing w:line="360" w:lineRule="auto"/>
        <w:jc w:val="both"/>
        <w:rPr>
          <w:rFonts w:asciiTheme="majorBidi" w:hAnsiTheme="majorBidi" w:cstheme="majorBidi"/>
          <w:sz w:val="24"/>
          <w:szCs w:val="24"/>
        </w:rPr>
      </w:pPr>
      <w:r w:rsidRPr="00303FCE">
        <w:rPr>
          <w:rFonts w:asciiTheme="majorBidi" w:hAnsiTheme="majorBidi" w:cstheme="majorBidi"/>
          <w:sz w:val="24"/>
          <w:szCs w:val="24"/>
        </w:rPr>
        <w:t>1</w:t>
      </w:r>
      <w:r w:rsidR="00AF7F04" w:rsidRPr="00303FCE">
        <w:rPr>
          <w:rFonts w:asciiTheme="majorBidi" w:hAnsiTheme="majorBidi" w:cstheme="majorBidi"/>
          <w:sz w:val="24"/>
          <w:szCs w:val="24"/>
        </w:rPr>
        <w:t>4</w:t>
      </w:r>
      <w:r w:rsidRPr="00303FCE">
        <w:rPr>
          <w:rFonts w:asciiTheme="majorBidi" w:hAnsiTheme="majorBidi" w:cstheme="majorBidi"/>
          <w:sz w:val="24"/>
          <w:szCs w:val="24"/>
        </w:rPr>
        <w:t xml:space="preserve">-De Franchis, R. Evolving consensus in portal hypertension. </w:t>
      </w:r>
      <w:r w:rsidR="00303FCE" w:rsidRPr="00303FCE">
        <w:rPr>
          <w:rFonts w:asciiTheme="majorBidi" w:hAnsiTheme="majorBidi" w:cstheme="majorBidi"/>
          <w:sz w:val="24"/>
          <w:szCs w:val="24"/>
        </w:rPr>
        <w:t>Report of</w:t>
      </w:r>
      <w:r w:rsidRPr="00303FCE">
        <w:rPr>
          <w:rFonts w:asciiTheme="majorBidi" w:hAnsiTheme="majorBidi" w:cstheme="majorBidi"/>
          <w:sz w:val="24"/>
          <w:szCs w:val="24"/>
        </w:rPr>
        <w:t xml:space="preserve"> the Baveno IV consensus workshop on methodology of diagnosis and therapy in portal hypertension. J Hepatol</w:t>
      </w:r>
      <w:r w:rsidR="00F54671" w:rsidRPr="00303FCE">
        <w:rPr>
          <w:rFonts w:asciiTheme="majorBidi" w:hAnsiTheme="majorBidi" w:cstheme="majorBidi"/>
          <w:sz w:val="24"/>
          <w:szCs w:val="24"/>
        </w:rPr>
        <w:t xml:space="preserve"> </w:t>
      </w:r>
      <w:r w:rsidR="00303FCE" w:rsidRPr="00303FCE">
        <w:rPr>
          <w:rFonts w:asciiTheme="majorBidi" w:hAnsiTheme="majorBidi" w:cstheme="majorBidi"/>
          <w:sz w:val="24"/>
          <w:szCs w:val="24"/>
        </w:rPr>
        <w:t>2005; 43:167</w:t>
      </w:r>
      <w:r w:rsidRPr="00303FCE">
        <w:rPr>
          <w:rFonts w:asciiTheme="majorBidi" w:hAnsiTheme="majorBidi" w:cstheme="majorBidi"/>
          <w:sz w:val="24"/>
          <w:szCs w:val="24"/>
        </w:rPr>
        <w:t>-176.</w:t>
      </w:r>
    </w:p>
    <w:p w14:paraId="34694F6C" w14:textId="461B2C2A" w:rsidR="006E0CD2" w:rsidRPr="00303FCE" w:rsidRDefault="00AF7F04" w:rsidP="00A83FB8">
      <w:pPr>
        <w:spacing w:line="360" w:lineRule="auto"/>
        <w:jc w:val="both"/>
        <w:rPr>
          <w:rFonts w:asciiTheme="majorBidi" w:hAnsiTheme="majorBidi" w:cstheme="majorBidi"/>
          <w:sz w:val="24"/>
          <w:szCs w:val="24"/>
        </w:rPr>
      </w:pPr>
      <w:r w:rsidRPr="00303FCE">
        <w:rPr>
          <w:rFonts w:asciiTheme="majorBidi" w:hAnsiTheme="majorBidi" w:cstheme="majorBidi"/>
          <w:sz w:val="24"/>
          <w:szCs w:val="24"/>
        </w:rPr>
        <w:t>15</w:t>
      </w:r>
      <w:r w:rsidR="006E0CD2" w:rsidRPr="00303FCE">
        <w:rPr>
          <w:rFonts w:asciiTheme="majorBidi" w:hAnsiTheme="majorBidi" w:cstheme="majorBidi"/>
          <w:sz w:val="24"/>
          <w:szCs w:val="24"/>
        </w:rPr>
        <w:t xml:space="preserve">-Pugh </w:t>
      </w:r>
      <w:r w:rsidR="00303FCE" w:rsidRPr="00303FCE">
        <w:rPr>
          <w:rFonts w:asciiTheme="majorBidi" w:hAnsiTheme="majorBidi" w:cstheme="majorBidi"/>
          <w:sz w:val="24"/>
          <w:szCs w:val="24"/>
        </w:rPr>
        <w:t>R,</w:t>
      </w:r>
      <w:r w:rsidR="006E0CD2" w:rsidRPr="00303FCE">
        <w:rPr>
          <w:rFonts w:asciiTheme="majorBidi" w:hAnsiTheme="majorBidi" w:cstheme="majorBidi"/>
          <w:sz w:val="24"/>
          <w:szCs w:val="24"/>
        </w:rPr>
        <w:t xml:space="preserve"> Murraylyon I and Dawson </w:t>
      </w:r>
      <w:r w:rsidR="00303FCE" w:rsidRPr="00303FCE">
        <w:rPr>
          <w:rFonts w:asciiTheme="majorBidi" w:hAnsiTheme="majorBidi" w:cstheme="majorBidi"/>
          <w:sz w:val="24"/>
          <w:szCs w:val="24"/>
        </w:rPr>
        <w:t>J.</w:t>
      </w:r>
      <w:r w:rsidR="006E0CD2" w:rsidRPr="00303FCE">
        <w:rPr>
          <w:rFonts w:asciiTheme="majorBidi" w:hAnsiTheme="majorBidi" w:cstheme="majorBidi"/>
          <w:sz w:val="24"/>
          <w:szCs w:val="24"/>
        </w:rPr>
        <w:t xml:space="preserve"> Transection of the oesophagus for bleeding oesophageal </w:t>
      </w:r>
      <w:r w:rsidR="00303FCE" w:rsidRPr="00303FCE">
        <w:rPr>
          <w:rFonts w:asciiTheme="majorBidi" w:hAnsiTheme="majorBidi" w:cstheme="majorBidi"/>
          <w:sz w:val="24"/>
          <w:szCs w:val="24"/>
        </w:rPr>
        <w:t>varices.</w:t>
      </w:r>
      <w:r w:rsidR="006E0CD2" w:rsidRPr="00303FCE">
        <w:rPr>
          <w:rFonts w:asciiTheme="majorBidi" w:hAnsiTheme="majorBidi" w:cstheme="majorBidi"/>
          <w:sz w:val="24"/>
          <w:szCs w:val="24"/>
        </w:rPr>
        <w:t xml:space="preserve"> Br J Surg </w:t>
      </w:r>
      <w:r w:rsidR="00303FCE" w:rsidRPr="00303FCE">
        <w:rPr>
          <w:rFonts w:asciiTheme="majorBidi" w:hAnsiTheme="majorBidi" w:cstheme="majorBidi"/>
          <w:sz w:val="24"/>
          <w:szCs w:val="24"/>
        </w:rPr>
        <w:t>1973; 60:646</w:t>
      </w:r>
      <w:r w:rsidR="006E0CD2" w:rsidRPr="00303FCE">
        <w:rPr>
          <w:rFonts w:asciiTheme="majorBidi" w:hAnsiTheme="majorBidi" w:cstheme="majorBidi"/>
          <w:sz w:val="24"/>
          <w:szCs w:val="24"/>
        </w:rPr>
        <w:t>–9.</w:t>
      </w:r>
    </w:p>
    <w:p w14:paraId="1C828F71" w14:textId="373AAEEB" w:rsidR="00FE298C" w:rsidRPr="00303FCE" w:rsidRDefault="00AF7F04" w:rsidP="00FE298C">
      <w:pPr>
        <w:spacing w:line="360" w:lineRule="auto"/>
        <w:jc w:val="both"/>
        <w:rPr>
          <w:rFonts w:asciiTheme="majorBidi" w:hAnsiTheme="majorBidi" w:cstheme="majorBidi"/>
          <w:sz w:val="24"/>
          <w:szCs w:val="24"/>
        </w:rPr>
      </w:pPr>
      <w:r w:rsidRPr="00303FCE">
        <w:rPr>
          <w:rFonts w:asciiTheme="majorBidi" w:hAnsiTheme="majorBidi" w:cstheme="majorBidi"/>
          <w:sz w:val="24"/>
          <w:szCs w:val="24"/>
        </w:rPr>
        <w:t>16</w:t>
      </w:r>
      <w:r w:rsidR="00FE298C" w:rsidRPr="00303FCE">
        <w:rPr>
          <w:rFonts w:asciiTheme="majorBidi" w:hAnsiTheme="majorBidi" w:cstheme="majorBidi"/>
          <w:sz w:val="24"/>
          <w:szCs w:val="24"/>
        </w:rPr>
        <w:t xml:space="preserve">-Arora </w:t>
      </w:r>
      <w:r w:rsidR="00303FCE" w:rsidRPr="00303FCE">
        <w:rPr>
          <w:rFonts w:asciiTheme="majorBidi" w:hAnsiTheme="majorBidi" w:cstheme="majorBidi"/>
          <w:sz w:val="24"/>
          <w:szCs w:val="24"/>
        </w:rPr>
        <w:t>G,</w:t>
      </w:r>
      <w:r w:rsidR="00FE298C" w:rsidRPr="00303FCE">
        <w:rPr>
          <w:rFonts w:asciiTheme="majorBidi" w:hAnsiTheme="majorBidi" w:cstheme="majorBidi"/>
          <w:sz w:val="24"/>
          <w:szCs w:val="24"/>
        </w:rPr>
        <w:t xml:space="preserve"> Morss </w:t>
      </w:r>
      <w:r w:rsidR="00303FCE" w:rsidRPr="00303FCE">
        <w:rPr>
          <w:rFonts w:asciiTheme="majorBidi" w:hAnsiTheme="majorBidi" w:cstheme="majorBidi"/>
          <w:sz w:val="24"/>
          <w:szCs w:val="24"/>
        </w:rPr>
        <w:t>A.M,</w:t>
      </w:r>
      <w:r w:rsidR="00FE298C" w:rsidRPr="00303FCE">
        <w:rPr>
          <w:rFonts w:asciiTheme="majorBidi" w:hAnsiTheme="majorBidi" w:cstheme="majorBidi"/>
          <w:sz w:val="24"/>
          <w:szCs w:val="24"/>
        </w:rPr>
        <w:t xml:space="preserve"> Piazza G. et al. Differences in left ventricular ejection fraction using </w:t>
      </w:r>
      <w:r w:rsidR="00303FCE" w:rsidRPr="00303FCE">
        <w:rPr>
          <w:rFonts w:asciiTheme="majorBidi" w:hAnsiTheme="majorBidi" w:cstheme="majorBidi"/>
          <w:sz w:val="24"/>
          <w:szCs w:val="24"/>
        </w:rPr>
        <w:t>the Teichholz formula and volumetric methods by CMR: implications for patient stratification and therapy selection. J Cardiovasc Magn Reson 2010; 12:202</w:t>
      </w:r>
      <w:r w:rsidR="00FE298C" w:rsidRPr="00303FCE">
        <w:rPr>
          <w:rFonts w:asciiTheme="majorBidi" w:hAnsiTheme="majorBidi" w:cstheme="majorBidi"/>
          <w:sz w:val="24"/>
          <w:szCs w:val="24"/>
        </w:rPr>
        <w:t>.</w:t>
      </w:r>
    </w:p>
    <w:p w14:paraId="0F2BB21E" w14:textId="02132F4D" w:rsidR="00516043" w:rsidRDefault="00B2655A" w:rsidP="00FE298C">
      <w:pPr>
        <w:spacing w:line="360" w:lineRule="auto"/>
        <w:jc w:val="both"/>
        <w:rPr>
          <w:rFonts w:asciiTheme="majorBidi" w:hAnsiTheme="majorBidi" w:cstheme="majorBidi"/>
          <w:color w:val="000000"/>
          <w:sz w:val="24"/>
          <w:szCs w:val="24"/>
        </w:rPr>
      </w:pPr>
      <w:r w:rsidRPr="00303FCE">
        <w:rPr>
          <w:rFonts w:asciiTheme="majorBidi" w:hAnsiTheme="majorBidi" w:cstheme="majorBidi"/>
          <w:sz w:val="24"/>
          <w:szCs w:val="24"/>
        </w:rPr>
        <w:t>1</w:t>
      </w:r>
      <w:r w:rsidR="00AF7F04" w:rsidRPr="00303FCE">
        <w:rPr>
          <w:rFonts w:asciiTheme="majorBidi" w:hAnsiTheme="majorBidi" w:cstheme="majorBidi"/>
          <w:sz w:val="24"/>
          <w:szCs w:val="24"/>
        </w:rPr>
        <w:t>7</w:t>
      </w:r>
      <w:r w:rsidR="00303FCE" w:rsidRPr="00303FCE">
        <w:rPr>
          <w:rFonts w:asciiTheme="majorBidi" w:hAnsiTheme="majorBidi" w:cstheme="majorBidi"/>
          <w:sz w:val="24"/>
          <w:szCs w:val="24"/>
        </w:rPr>
        <w:t>-. Maeder</w:t>
      </w:r>
      <w:r w:rsidRPr="00303FCE">
        <w:rPr>
          <w:rFonts w:asciiTheme="majorBidi" w:hAnsiTheme="majorBidi" w:cstheme="majorBidi"/>
          <w:sz w:val="24"/>
          <w:szCs w:val="24"/>
        </w:rPr>
        <w:t xml:space="preserve"> MT, Ammann P</w:t>
      </w:r>
      <w:r w:rsidR="005B10BA" w:rsidRPr="00303FCE">
        <w:rPr>
          <w:rFonts w:asciiTheme="majorBidi" w:hAnsiTheme="majorBidi" w:cstheme="majorBidi"/>
          <w:sz w:val="24"/>
          <w:szCs w:val="24"/>
        </w:rPr>
        <w:t xml:space="preserve"> and</w:t>
      </w:r>
      <w:r w:rsidRPr="00303FCE">
        <w:rPr>
          <w:rFonts w:asciiTheme="majorBidi" w:hAnsiTheme="majorBidi" w:cstheme="majorBidi"/>
          <w:sz w:val="24"/>
          <w:szCs w:val="24"/>
        </w:rPr>
        <w:t xml:space="preserve"> Rickli H. The diagnosis of heart failu</w:t>
      </w:r>
      <w:r>
        <w:rPr>
          <w:rFonts w:asciiTheme="majorBidi" w:hAnsiTheme="majorBidi" w:cstheme="majorBidi"/>
          <w:color w:val="000000"/>
          <w:sz w:val="24"/>
          <w:szCs w:val="24"/>
        </w:rPr>
        <w:t xml:space="preserve">re with normal ejection fraction: a demanding task! Swiss Med </w:t>
      </w:r>
      <w:r w:rsidR="00303FCE">
        <w:rPr>
          <w:rFonts w:asciiTheme="majorBidi" w:hAnsiTheme="majorBidi" w:cstheme="majorBidi"/>
          <w:color w:val="000000"/>
          <w:sz w:val="24"/>
          <w:szCs w:val="24"/>
        </w:rPr>
        <w:t>Wkly 2010; 140:323</w:t>
      </w:r>
      <w:r>
        <w:rPr>
          <w:rFonts w:asciiTheme="majorBidi" w:hAnsiTheme="majorBidi" w:cstheme="majorBidi"/>
          <w:color w:val="000000"/>
          <w:sz w:val="24"/>
          <w:szCs w:val="24"/>
        </w:rPr>
        <w:t>.</w:t>
      </w:r>
    </w:p>
    <w:p w14:paraId="67FD0FA4" w14:textId="0B575EC9" w:rsidR="003F5ED0" w:rsidRPr="00C15040" w:rsidRDefault="00761A23" w:rsidP="00FE298C">
      <w:pPr>
        <w:spacing w:line="360" w:lineRule="auto"/>
        <w:jc w:val="both"/>
        <w:rPr>
          <w:rFonts w:ascii="Times New Roman" w:hAnsi="Times New Roman" w:cs="Times New Roman"/>
          <w:color w:val="000000"/>
          <w:sz w:val="24"/>
          <w:szCs w:val="24"/>
        </w:rPr>
      </w:pPr>
      <w:r>
        <w:rPr>
          <w:rFonts w:asciiTheme="majorBidi" w:hAnsiTheme="majorBidi" w:cstheme="majorBidi"/>
          <w:color w:val="000000"/>
          <w:sz w:val="24"/>
          <w:szCs w:val="24"/>
        </w:rPr>
        <w:t>1</w:t>
      </w:r>
      <w:r w:rsidR="00AF7F04">
        <w:rPr>
          <w:rFonts w:asciiTheme="majorBidi" w:hAnsiTheme="majorBidi" w:cstheme="majorBidi"/>
          <w:color w:val="000000"/>
          <w:sz w:val="24"/>
          <w:szCs w:val="24"/>
        </w:rPr>
        <w:t>8</w:t>
      </w:r>
      <w:r>
        <w:rPr>
          <w:rFonts w:asciiTheme="majorBidi" w:hAnsiTheme="majorBidi" w:cstheme="majorBidi"/>
          <w:color w:val="000000"/>
          <w:sz w:val="24"/>
          <w:szCs w:val="24"/>
        </w:rPr>
        <w:t xml:space="preserve">-Kaul S, Tei C, Hopkins JM, Shah </w:t>
      </w:r>
      <w:r w:rsidR="00303FCE">
        <w:rPr>
          <w:rFonts w:asciiTheme="majorBidi" w:hAnsiTheme="majorBidi" w:cstheme="majorBidi"/>
          <w:color w:val="000000"/>
          <w:sz w:val="24"/>
          <w:szCs w:val="24"/>
        </w:rPr>
        <w:t>PM. Assessment</w:t>
      </w:r>
      <w:r w:rsidRPr="00CE2A26">
        <w:rPr>
          <w:rFonts w:asciiTheme="majorBidi" w:hAnsiTheme="majorBidi" w:cstheme="majorBidi"/>
          <w:color w:val="000000"/>
          <w:sz w:val="24"/>
          <w:szCs w:val="24"/>
        </w:rPr>
        <w:t xml:space="preserve"> of right ventricular function using two-</w:t>
      </w:r>
      <w:r w:rsidRPr="00C15040">
        <w:rPr>
          <w:rFonts w:ascii="Times New Roman" w:hAnsi="Times New Roman" w:cs="Times New Roman"/>
          <w:color w:val="000000"/>
          <w:sz w:val="24"/>
          <w:szCs w:val="24"/>
        </w:rPr>
        <w:t xml:space="preserve">dimensional echocardiography. Am Heart J </w:t>
      </w:r>
      <w:r w:rsidR="00237E9B">
        <w:rPr>
          <w:rFonts w:ascii="Times New Roman" w:hAnsi="Times New Roman" w:cs="Times New Roman"/>
          <w:color w:val="000000"/>
          <w:sz w:val="24"/>
          <w:szCs w:val="24"/>
        </w:rPr>
        <w:t>1984</w:t>
      </w:r>
      <w:r w:rsidR="00E06C3E">
        <w:rPr>
          <w:rFonts w:ascii="Times New Roman" w:hAnsi="Times New Roman" w:cs="Times New Roman"/>
          <w:color w:val="000000"/>
          <w:sz w:val="24"/>
          <w:szCs w:val="24"/>
        </w:rPr>
        <w:t>;</w:t>
      </w:r>
      <w:r w:rsidRPr="00C15040">
        <w:rPr>
          <w:rFonts w:ascii="Times New Roman" w:hAnsi="Times New Roman" w:cs="Times New Roman"/>
          <w:color w:val="000000"/>
          <w:sz w:val="24"/>
          <w:szCs w:val="24"/>
        </w:rPr>
        <w:t>107(3):526–531.</w:t>
      </w:r>
    </w:p>
    <w:p w14:paraId="28A6B226" w14:textId="4B8E30A9" w:rsidR="00E822F7" w:rsidRPr="00BC6A7C" w:rsidRDefault="00E822F7" w:rsidP="00FE298C">
      <w:pPr>
        <w:spacing w:line="360" w:lineRule="auto"/>
        <w:jc w:val="both"/>
        <w:rPr>
          <w:rFonts w:ascii="Times New Roman" w:eastAsia="Times New Roman" w:hAnsi="Times New Roman" w:cs="Times New Roman"/>
          <w:color w:val="212121"/>
          <w:sz w:val="24"/>
          <w:szCs w:val="24"/>
          <w:shd w:val="clear" w:color="auto" w:fill="FFFFFF"/>
        </w:rPr>
      </w:pPr>
      <w:r w:rsidRPr="00BC6A7C">
        <w:rPr>
          <w:rFonts w:ascii="Times New Roman" w:eastAsia="Times New Roman" w:hAnsi="Times New Roman" w:cs="Times New Roman"/>
          <w:color w:val="212121"/>
          <w:sz w:val="24"/>
          <w:szCs w:val="24"/>
          <w:shd w:val="clear" w:color="auto" w:fill="FFFFFF"/>
        </w:rPr>
        <w:t>1</w:t>
      </w:r>
      <w:r w:rsidR="00AF7F04">
        <w:rPr>
          <w:rFonts w:ascii="Times New Roman" w:eastAsia="Times New Roman" w:hAnsi="Times New Roman" w:cs="Times New Roman"/>
          <w:color w:val="212121"/>
          <w:sz w:val="24"/>
          <w:szCs w:val="24"/>
          <w:shd w:val="clear" w:color="auto" w:fill="FFFFFF"/>
        </w:rPr>
        <w:t>9</w:t>
      </w:r>
      <w:r w:rsidRPr="00BC6A7C">
        <w:rPr>
          <w:rFonts w:ascii="Times New Roman" w:eastAsia="Times New Roman" w:hAnsi="Times New Roman" w:cs="Times New Roman"/>
          <w:color w:val="212121"/>
          <w:sz w:val="24"/>
          <w:szCs w:val="24"/>
          <w:shd w:val="clear" w:color="auto" w:fill="FFFFFF"/>
        </w:rPr>
        <w:t xml:space="preserve">- </w:t>
      </w:r>
      <w:r w:rsidR="00365619" w:rsidRPr="00BC6A7C">
        <w:rPr>
          <w:rFonts w:ascii="Times New Roman" w:eastAsia="Times New Roman" w:hAnsi="Times New Roman" w:cs="Times New Roman"/>
          <w:color w:val="212121"/>
          <w:sz w:val="24"/>
          <w:szCs w:val="24"/>
          <w:shd w:val="clear" w:color="auto" w:fill="FFFFFF"/>
        </w:rPr>
        <w:t>Merlos P, Núñez J, Sanchis J, Miñana G, Palau P, Bodí V, Husser O, Santas E, Bondanza L, Chorro FJ. Echocardiographic estimation of pulmonary arterial systolic pressure in acute heart failure. Prognostic implications. Eur J Intern Med 2013;24(6):562-7</w:t>
      </w:r>
      <w:r w:rsidR="006B52B6" w:rsidRPr="00BC6A7C">
        <w:rPr>
          <w:rFonts w:ascii="Times New Roman" w:eastAsia="Times New Roman" w:hAnsi="Times New Roman" w:cs="Times New Roman"/>
          <w:color w:val="212121"/>
          <w:sz w:val="24"/>
          <w:szCs w:val="24"/>
          <w:shd w:val="clear" w:color="auto" w:fill="FFFFFF"/>
        </w:rPr>
        <w:t>.</w:t>
      </w:r>
    </w:p>
    <w:p w14:paraId="7C06BDA0" w14:textId="29C3D3D7" w:rsidR="00CF6BE6" w:rsidRPr="00C15040" w:rsidRDefault="00AF7F04" w:rsidP="00FE298C">
      <w:pPr>
        <w:shd w:val="clear" w:color="auto" w:fill="EFF3F7"/>
        <w:spacing w:before="100" w:beforeAutospacing="1" w:after="100" w:afterAutospacing="1" w:line="240" w:lineRule="auto"/>
        <w:jc w:val="both"/>
        <w:rPr>
          <w:rFonts w:ascii="Times New Roman" w:hAnsi="Times New Roman" w:cs="Times New Roman"/>
          <w:color w:val="212121"/>
          <w:sz w:val="26"/>
          <w:szCs w:val="26"/>
          <w:shd w:val="clear" w:color="auto" w:fill="FFFFFF"/>
        </w:rPr>
      </w:pPr>
      <w:r>
        <w:rPr>
          <w:rFonts w:ascii="Times New Roman" w:eastAsia="Times New Roman" w:hAnsi="Times New Roman" w:cs="Times New Roman"/>
          <w:color w:val="212121"/>
          <w:shd w:val="clear" w:color="auto" w:fill="FFFFFF"/>
        </w:rPr>
        <w:t>20</w:t>
      </w:r>
      <w:r w:rsidR="009B6B1B" w:rsidRPr="00C15040">
        <w:rPr>
          <w:rFonts w:ascii="Times New Roman" w:eastAsia="Times New Roman" w:hAnsi="Times New Roman" w:cs="Times New Roman"/>
          <w:color w:val="212121"/>
          <w:shd w:val="clear" w:color="auto" w:fill="FFFFFF"/>
        </w:rPr>
        <w:t>-</w:t>
      </w:r>
      <w:r w:rsidR="009B6B1B" w:rsidRPr="00C15040">
        <w:rPr>
          <w:rFonts w:ascii="Times New Roman" w:hAnsi="Times New Roman" w:cs="Times New Roman"/>
          <w:color w:val="212121"/>
          <w:sz w:val="26"/>
          <w:szCs w:val="26"/>
          <w:shd w:val="clear" w:color="auto" w:fill="FFFFFF"/>
        </w:rPr>
        <w:t>Sanderson JE. Heart failure with a normal ejection</w:t>
      </w:r>
      <w:r w:rsidR="00C15040" w:rsidRPr="00C15040">
        <w:rPr>
          <w:rFonts w:ascii="Times New Roman" w:hAnsi="Times New Roman" w:cs="Times New Roman"/>
          <w:color w:val="212121"/>
          <w:sz w:val="26"/>
          <w:szCs w:val="26"/>
          <w:shd w:val="clear" w:color="auto" w:fill="FFFFFF"/>
        </w:rPr>
        <w:t xml:space="preserve"> </w:t>
      </w:r>
      <w:r w:rsidR="009B6B1B" w:rsidRPr="00C15040">
        <w:rPr>
          <w:rFonts w:ascii="Times New Roman" w:hAnsi="Times New Roman" w:cs="Times New Roman"/>
          <w:color w:val="212121"/>
          <w:sz w:val="26"/>
          <w:szCs w:val="26"/>
          <w:shd w:val="clear" w:color="auto" w:fill="FFFFFF"/>
        </w:rPr>
        <w:t>fraction. Heart</w:t>
      </w:r>
      <w:r w:rsidR="00F30D66">
        <w:rPr>
          <w:rFonts w:ascii="Times New Roman" w:hAnsi="Times New Roman" w:cs="Times New Roman"/>
          <w:color w:val="212121"/>
          <w:sz w:val="26"/>
          <w:szCs w:val="26"/>
          <w:shd w:val="clear" w:color="auto" w:fill="FFFFFF"/>
        </w:rPr>
        <w:t xml:space="preserve"> 2007;</w:t>
      </w:r>
      <w:r w:rsidR="009B6B1B" w:rsidRPr="00C15040">
        <w:rPr>
          <w:rFonts w:ascii="Times New Roman" w:hAnsi="Times New Roman" w:cs="Times New Roman"/>
          <w:color w:val="212121"/>
          <w:sz w:val="26"/>
          <w:szCs w:val="26"/>
          <w:shd w:val="clear" w:color="auto" w:fill="FFFFFF"/>
        </w:rPr>
        <w:t> 13: 343–352.</w:t>
      </w:r>
    </w:p>
    <w:p w14:paraId="38B16A3A" w14:textId="28EDAA1F" w:rsidR="00CF6BE6" w:rsidRPr="00CE2A26" w:rsidRDefault="00AF7F04" w:rsidP="00BC6A7C">
      <w:pPr>
        <w:spacing w:line="360" w:lineRule="auto"/>
        <w:jc w:val="both"/>
        <w:rPr>
          <w:rFonts w:asciiTheme="majorBidi" w:hAnsiTheme="majorBidi" w:cstheme="majorBidi"/>
          <w:color w:val="000000"/>
          <w:sz w:val="24"/>
          <w:szCs w:val="24"/>
        </w:rPr>
      </w:pPr>
      <w:r w:rsidRPr="00303FCE">
        <w:rPr>
          <w:rFonts w:asciiTheme="majorBidi" w:hAnsiTheme="majorBidi" w:cstheme="majorBidi"/>
          <w:color w:val="000000"/>
          <w:sz w:val="24"/>
          <w:szCs w:val="24"/>
        </w:rPr>
        <w:t>21</w:t>
      </w:r>
      <w:r w:rsidR="00A815BE" w:rsidRPr="00303FCE">
        <w:rPr>
          <w:rFonts w:asciiTheme="majorBidi" w:hAnsiTheme="majorBidi" w:cstheme="majorBidi"/>
          <w:color w:val="000000"/>
          <w:sz w:val="24"/>
          <w:szCs w:val="24"/>
        </w:rPr>
        <w:t>-Kim MK, Kim B, Lee JY, et al.</w:t>
      </w:r>
      <w:r w:rsidR="00A815BE" w:rsidRPr="00C15040">
        <w:rPr>
          <w:rFonts w:ascii="Times New Roman" w:hAnsi="Times New Roman" w:cs="Times New Roman"/>
          <w:color w:val="000000"/>
          <w:sz w:val="24"/>
          <w:szCs w:val="24"/>
        </w:rPr>
        <w:t xml:space="preserve"> Tissue Do</w:t>
      </w:r>
      <w:r w:rsidR="00A815BE" w:rsidRPr="00CE2A26">
        <w:rPr>
          <w:rFonts w:asciiTheme="majorBidi" w:hAnsiTheme="majorBidi" w:cstheme="majorBidi"/>
          <w:color w:val="000000"/>
          <w:sz w:val="24"/>
          <w:szCs w:val="24"/>
        </w:rPr>
        <w:t>ppler-derived E/e’ ratio as a parameter for assessing diastolic heart failure and as a predictor of mortality in patients with chronic kidney disease. Korean J Intern Med. 2013;28(1):35-44.</w:t>
      </w:r>
    </w:p>
    <w:p w14:paraId="5F027DB5" w14:textId="373EB343" w:rsidR="001E414A" w:rsidRPr="00CE2A26" w:rsidRDefault="001E414A" w:rsidP="00BC6A7C">
      <w:pPr>
        <w:spacing w:line="360" w:lineRule="auto"/>
        <w:jc w:val="both"/>
        <w:rPr>
          <w:rFonts w:asciiTheme="majorBidi" w:hAnsiTheme="majorBidi" w:cstheme="majorBidi"/>
          <w:color w:val="000000"/>
          <w:sz w:val="24"/>
          <w:szCs w:val="24"/>
        </w:rPr>
      </w:pPr>
      <w:r w:rsidRPr="00CE2A26">
        <w:rPr>
          <w:rFonts w:asciiTheme="majorBidi" w:hAnsiTheme="majorBidi" w:cstheme="majorBidi"/>
          <w:color w:val="000000"/>
          <w:sz w:val="24"/>
          <w:szCs w:val="24"/>
        </w:rPr>
        <w:t>2</w:t>
      </w:r>
      <w:r w:rsidR="00AF7F04">
        <w:rPr>
          <w:rFonts w:asciiTheme="majorBidi" w:hAnsiTheme="majorBidi" w:cstheme="majorBidi"/>
          <w:color w:val="000000"/>
          <w:sz w:val="24"/>
          <w:szCs w:val="24"/>
        </w:rPr>
        <w:t>2</w:t>
      </w:r>
      <w:r w:rsidRPr="00CE2A26">
        <w:rPr>
          <w:rFonts w:asciiTheme="majorBidi" w:hAnsiTheme="majorBidi" w:cstheme="majorBidi"/>
          <w:color w:val="000000"/>
          <w:sz w:val="24"/>
          <w:szCs w:val="24"/>
        </w:rPr>
        <w:t>-</w:t>
      </w:r>
      <w:r w:rsidRPr="00303FCE">
        <w:rPr>
          <w:rFonts w:asciiTheme="majorBidi" w:hAnsiTheme="majorBidi" w:cstheme="majorBidi"/>
          <w:color w:val="000000"/>
          <w:sz w:val="24"/>
          <w:szCs w:val="24"/>
        </w:rPr>
        <w:t>Izzy M, VanWagner LB, Lin G,</w:t>
      </w:r>
      <w:r w:rsidR="00BC6A7C">
        <w:rPr>
          <w:rFonts w:asciiTheme="majorBidi" w:hAnsiTheme="majorBidi" w:cstheme="majorBidi"/>
          <w:color w:val="000000"/>
          <w:sz w:val="24"/>
          <w:szCs w:val="24"/>
        </w:rPr>
        <w:t xml:space="preserve"> </w:t>
      </w:r>
      <w:r w:rsidRPr="00CE2A26">
        <w:rPr>
          <w:rFonts w:asciiTheme="majorBidi" w:hAnsiTheme="majorBidi" w:cstheme="majorBidi"/>
          <w:color w:val="000000"/>
          <w:sz w:val="24"/>
          <w:szCs w:val="24"/>
        </w:rPr>
        <w:t>et al. Redefining Cirrhotic Cardiomyopathy for the Modern Era. Hepatology</w:t>
      </w:r>
      <w:r w:rsidR="0027699E">
        <w:rPr>
          <w:rFonts w:asciiTheme="majorBidi" w:hAnsiTheme="majorBidi" w:cstheme="majorBidi"/>
          <w:color w:val="000000"/>
          <w:sz w:val="24"/>
          <w:szCs w:val="24"/>
        </w:rPr>
        <w:t xml:space="preserve"> </w:t>
      </w:r>
      <w:r w:rsidRPr="00CE2A26">
        <w:rPr>
          <w:rFonts w:asciiTheme="majorBidi" w:hAnsiTheme="majorBidi" w:cstheme="majorBidi"/>
          <w:color w:val="000000"/>
          <w:sz w:val="24"/>
          <w:szCs w:val="24"/>
        </w:rPr>
        <w:t>2020;71(1):334–345.</w:t>
      </w:r>
    </w:p>
    <w:p w14:paraId="0E790552" w14:textId="0D08FE98" w:rsidR="000E37A0" w:rsidRDefault="000E37A0" w:rsidP="00BC6A7C">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2</w:t>
      </w:r>
      <w:r w:rsidR="00AF7F04">
        <w:rPr>
          <w:rFonts w:asciiTheme="majorBidi" w:hAnsiTheme="majorBidi" w:cstheme="majorBidi"/>
          <w:color w:val="000000"/>
          <w:sz w:val="24"/>
          <w:szCs w:val="24"/>
        </w:rPr>
        <w:t>3</w:t>
      </w:r>
      <w:r>
        <w:rPr>
          <w:rFonts w:asciiTheme="majorBidi" w:hAnsiTheme="majorBidi" w:cstheme="majorBidi"/>
          <w:color w:val="000000"/>
          <w:sz w:val="24"/>
          <w:szCs w:val="24"/>
        </w:rPr>
        <w:t>-</w:t>
      </w:r>
      <w:r w:rsidRPr="00303FCE">
        <w:rPr>
          <w:rFonts w:asciiTheme="majorBidi" w:hAnsiTheme="majorBidi" w:cstheme="majorBidi"/>
          <w:color w:val="000000"/>
          <w:sz w:val="24"/>
          <w:szCs w:val="24"/>
        </w:rPr>
        <w:t xml:space="preserve">Neumann B, Vink AS, Hermans BJM, </w:t>
      </w:r>
      <w:r w:rsidR="00BC6A7C" w:rsidRPr="00303FCE">
        <w:rPr>
          <w:rFonts w:asciiTheme="majorBidi" w:hAnsiTheme="majorBidi" w:cstheme="majorBidi"/>
          <w:color w:val="000000"/>
          <w:sz w:val="24"/>
          <w:szCs w:val="24"/>
        </w:rPr>
        <w:t>et al</w:t>
      </w:r>
      <w:r>
        <w:rPr>
          <w:rFonts w:asciiTheme="majorBidi" w:hAnsiTheme="majorBidi" w:cstheme="majorBidi"/>
          <w:color w:val="000000"/>
          <w:sz w:val="24"/>
          <w:szCs w:val="24"/>
        </w:rPr>
        <w:t>. Manual vs. automatic assessment of the QT-interval and corrected QT. Europace</w:t>
      </w:r>
      <w:r w:rsidR="006B52B6">
        <w:rPr>
          <w:rFonts w:asciiTheme="majorBidi" w:hAnsiTheme="majorBidi" w:cstheme="majorBidi"/>
          <w:color w:val="000000"/>
          <w:sz w:val="24"/>
          <w:szCs w:val="24"/>
        </w:rPr>
        <w:t xml:space="preserve"> </w:t>
      </w:r>
      <w:r>
        <w:rPr>
          <w:rFonts w:asciiTheme="majorBidi" w:hAnsiTheme="majorBidi" w:cstheme="majorBidi"/>
          <w:color w:val="000000"/>
          <w:sz w:val="24"/>
          <w:szCs w:val="24"/>
        </w:rPr>
        <w:t>2023 ;25(9):213</w:t>
      </w:r>
      <w:r w:rsidR="006B52B6">
        <w:rPr>
          <w:rFonts w:asciiTheme="majorBidi" w:hAnsiTheme="majorBidi" w:cstheme="majorBidi"/>
          <w:color w:val="000000"/>
          <w:sz w:val="24"/>
          <w:szCs w:val="24"/>
        </w:rPr>
        <w:t>.</w:t>
      </w:r>
    </w:p>
    <w:p w14:paraId="738751E2" w14:textId="1F8ADE02" w:rsidR="00365619" w:rsidRDefault="00544BCF"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00AF7F04">
        <w:rPr>
          <w:rFonts w:asciiTheme="majorBidi" w:hAnsiTheme="majorBidi" w:cstheme="majorBidi"/>
          <w:sz w:val="24"/>
          <w:szCs w:val="24"/>
        </w:rPr>
        <w:t>4</w:t>
      </w:r>
      <w:r w:rsidR="006D0243" w:rsidRPr="00CF0F4D">
        <w:rPr>
          <w:rFonts w:asciiTheme="majorBidi" w:hAnsiTheme="majorBidi" w:cstheme="majorBidi"/>
          <w:sz w:val="24"/>
          <w:szCs w:val="24"/>
        </w:rPr>
        <w:t>-Ruiz-del-Árbol L, Serradilla R. Cirrhotic cardiomyopathy. World J Gastroenterol. 2015 Nov 7;21(41):11502-21.</w:t>
      </w:r>
    </w:p>
    <w:p w14:paraId="21298AAA" w14:textId="1E77AFE4" w:rsidR="006D0243" w:rsidRDefault="00544BCF"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00AF7F04">
        <w:rPr>
          <w:rFonts w:asciiTheme="majorBidi" w:hAnsiTheme="majorBidi" w:cstheme="majorBidi"/>
          <w:sz w:val="24"/>
          <w:szCs w:val="24"/>
        </w:rPr>
        <w:t>5</w:t>
      </w:r>
      <w:r w:rsidR="006D0243" w:rsidRPr="00CF0F4D">
        <w:rPr>
          <w:rFonts w:asciiTheme="majorBidi" w:hAnsiTheme="majorBidi" w:cstheme="majorBidi"/>
          <w:sz w:val="24"/>
          <w:szCs w:val="24"/>
        </w:rPr>
        <w:t xml:space="preserve">-Wong F, Girgrah N, Graba J, Allidina Y, Liu P, Blendis </w:t>
      </w:r>
      <w:r w:rsidR="00303FCE" w:rsidRPr="00CF0F4D">
        <w:rPr>
          <w:rFonts w:asciiTheme="majorBidi" w:hAnsiTheme="majorBidi" w:cstheme="majorBidi"/>
          <w:sz w:val="24"/>
          <w:szCs w:val="24"/>
        </w:rPr>
        <w:t>L. The</w:t>
      </w:r>
      <w:r w:rsidR="006D0243" w:rsidRPr="00CF0F4D">
        <w:rPr>
          <w:rFonts w:asciiTheme="majorBidi" w:hAnsiTheme="majorBidi" w:cstheme="majorBidi"/>
          <w:sz w:val="24"/>
          <w:szCs w:val="24"/>
        </w:rPr>
        <w:t xml:space="preserve"> cardiac response to exercise in cirrhosis. Gut </w:t>
      </w:r>
      <w:r w:rsidR="00303FCE" w:rsidRPr="00CF0F4D">
        <w:rPr>
          <w:rFonts w:asciiTheme="majorBidi" w:hAnsiTheme="majorBidi" w:cstheme="majorBidi"/>
          <w:sz w:val="24"/>
          <w:szCs w:val="24"/>
        </w:rPr>
        <w:t>2001; 49:268</w:t>
      </w:r>
      <w:r w:rsidR="006D0243" w:rsidRPr="00CF0F4D">
        <w:rPr>
          <w:rFonts w:asciiTheme="majorBidi" w:hAnsiTheme="majorBidi" w:cstheme="majorBidi"/>
          <w:sz w:val="24"/>
          <w:szCs w:val="24"/>
        </w:rPr>
        <w:t>–275</w:t>
      </w:r>
      <w:r w:rsidR="006D0243">
        <w:rPr>
          <w:rFonts w:asciiTheme="majorBidi" w:hAnsiTheme="majorBidi" w:cstheme="majorBidi"/>
          <w:sz w:val="24"/>
          <w:szCs w:val="24"/>
        </w:rPr>
        <w:t>.</w:t>
      </w:r>
    </w:p>
    <w:p w14:paraId="51B97080" w14:textId="60696867" w:rsidR="006D0243" w:rsidRDefault="00544BCF"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00AF7F04">
        <w:rPr>
          <w:rFonts w:asciiTheme="majorBidi" w:hAnsiTheme="majorBidi" w:cstheme="majorBidi"/>
          <w:sz w:val="24"/>
          <w:szCs w:val="24"/>
        </w:rPr>
        <w:t>6</w:t>
      </w:r>
      <w:r w:rsidR="006D0243" w:rsidRPr="00CF0F4D">
        <w:rPr>
          <w:rFonts w:asciiTheme="majorBidi" w:hAnsiTheme="majorBidi" w:cstheme="majorBidi"/>
          <w:sz w:val="24"/>
          <w:szCs w:val="24"/>
        </w:rPr>
        <w:t>-Cesari M, Frigo AC, Piano S, Angeli P. Prevalence and prognostic value of cirrhotic cardiomyopathy as defined according to the proposed new classification. Clin Exp Hepatol. 2021 ;7(3):270-277.</w:t>
      </w:r>
    </w:p>
    <w:p w14:paraId="134B2F2C" w14:textId="45FCC8C8" w:rsidR="00984632" w:rsidRPr="003E5606" w:rsidRDefault="00544BCF" w:rsidP="00BC6A7C">
      <w:pPr>
        <w:spacing w:line="360" w:lineRule="auto"/>
        <w:jc w:val="both"/>
        <w:rPr>
          <w:rFonts w:asciiTheme="majorBidi" w:hAnsiTheme="majorBidi" w:cstheme="majorBidi"/>
          <w:sz w:val="24"/>
          <w:szCs w:val="24"/>
        </w:rPr>
      </w:pPr>
      <w:r w:rsidRPr="00075EDA">
        <w:rPr>
          <w:rFonts w:asciiTheme="majorBidi" w:hAnsiTheme="majorBidi" w:cstheme="majorBidi"/>
          <w:sz w:val="24"/>
          <w:szCs w:val="24"/>
        </w:rPr>
        <w:t>2</w:t>
      </w:r>
      <w:r w:rsidR="00AF7F04" w:rsidRPr="00075EDA">
        <w:rPr>
          <w:rFonts w:asciiTheme="majorBidi" w:hAnsiTheme="majorBidi" w:cstheme="majorBidi"/>
          <w:sz w:val="24"/>
          <w:szCs w:val="24"/>
        </w:rPr>
        <w:t>7</w:t>
      </w:r>
      <w:r w:rsidR="00984632" w:rsidRPr="00075EDA">
        <w:rPr>
          <w:rFonts w:asciiTheme="majorBidi" w:hAnsiTheme="majorBidi" w:cstheme="majorBidi"/>
          <w:sz w:val="24"/>
          <w:szCs w:val="24"/>
        </w:rPr>
        <w:t>-Spann A.</w:t>
      </w:r>
      <w:r w:rsidR="00BC6A7C" w:rsidRPr="00075EDA">
        <w:rPr>
          <w:rFonts w:asciiTheme="majorBidi" w:hAnsiTheme="majorBidi" w:cstheme="majorBidi"/>
          <w:sz w:val="24"/>
          <w:szCs w:val="24"/>
        </w:rPr>
        <w:t xml:space="preserve"> </w:t>
      </w:r>
      <w:r w:rsidR="00984632" w:rsidRPr="00075EDA">
        <w:rPr>
          <w:rFonts w:asciiTheme="majorBidi" w:hAnsiTheme="majorBidi" w:cstheme="majorBidi"/>
          <w:sz w:val="24"/>
          <w:szCs w:val="24"/>
        </w:rPr>
        <w:t>Coe C.</w:t>
      </w:r>
      <w:r w:rsidR="00BC6A7C" w:rsidRPr="00075EDA">
        <w:rPr>
          <w:rFonts w:asciiTheme="majorBidi" w:hAnsiTheme="majorBidi" w:cstheme="majorBidi"/>
          <w:sz w:val="24"/>
          <w:szCs w:val="24"/>
        </w:rPr>
        <w:t xml:space="preserve"> </w:t>
      </w:r>
      <w:r w:rsidR="00984632" w:rsidRPr="00075EDA">
        <w:rPr>
          <w:rFonts w:asciiTheme="majorBidi" w:hAnsiTheme="majorBidi" w:cstheme="majorBidi"/>
          <w:sz w:val="24"/>
          <w:szCs w:val="24"/>
        </w:rPr>
        <w:t>Ajayi T, et al.</w:t>
      </w:r>
      <w:r w:rsidR="00BC6A7C">
        <w:rPr>
          <w:rFonts w:asciiTheme="majorBidi" w:hAnsiTheme="majorBidi" w:cstheme="majorBidi"/>
          <w:sz w:val="24"/>
          <w:szCs w:val="24"/>
        </w:rPr>
        <w:t xml:space="preserve"> </w:t>
      </w:r>
      <w:r w:rsidR="00984632" w:rsidRPr="00CF0F4D">
        <w:rPr>
          <w:rFonts w:asciiTheme="majorBidi" w:hAnsiTheme="majorBidi" w:cstheme="majorBidi"/>
          <w:sz w:val="24"/>
          <w:szCs w:val="24"/>
        </w:rPr>
        <w:t>Cirrhotic cardiomyopathy: appraisal of the original and revised criteria in predicting posttransplant cardiac outcomes. Liver Transpl 2022; 28: 1321-1331.</w:t>
      </w:r>
    </w:p>
    <w:p w14:paraId="5BB6B670" w14:textId="6EA4AC26" w:rsidR="006D0243" w:rsidRPr="00CF0F4D" w:rsidRDefault="006D0243" w:rsidP="00FE298C">
      <w:pPr>
        <w:spacing w:line="360" w:lineRule="auto"/>
        <w:jc w:val="both"/>
        <w:rPr>
          <w:rFonts w:asciiTheme="majorBidi" w:hAnsiTheme="majorBidi" w:cstheme="majorBidi"/>
          <w:sz w:val="24"/>
          <w:szCs w:val="24"/>
        </w:rPr>
      </w:pPr>
      <w:r w:rsidRPr="00CF0F4D">
        <w:rPr>
          <w:rFonts w:asciiTheme="majorBidi" w:hAnsiTheme="majorBidi" w:cstheme="majorBidi"/>
          <w:sz w:val="24"/>
          <w:szCs w:val="24"/>
        </w:rPr>
        <w:t>2</w:t>
      </w:r>
      <w:r w:rsidR="00AF7F04">
        <w:rPr>
          <w:rFonts w:asciiTheme="majorBidi" w:hAnsiTheme="majorBidi" w:cstheme="majorBidi"/>
          <w:sz w:val="24"/>
          <w:szCs w:val="24"/>
        </w:rPr>
        <w:t>8</w:t>
      </w:r>
      <w:r w:rsidRPr="00CF0F4D">
        <w:rPr>
          <w:rFonts w:asciiTheme="majorBidi" w:hAnsiTheme="majorBidi" w:cstheme="majorBidi"/>
          <w:sz w:val="24"/>
          <w:szCs w:val="24"/>
        </w:rPr>
        <w:t>-Arman</w:t>
      </w:r>
      <w:r w:rsidRPr="00CF0F4D">
        <w:rPr>
          <w:sz w:val="24"/>
          <w:szCs w:val="24"/>
        </w:rPr>
        <w:t xml:space="preserve"> </w:t>
      </w:r>
      <w:r w:rsidRPr="00CF0F4D">
        <w:rPr>
          <w:rFonts w:asciiTheme="majorBidi" w:hAnsiTheme="majorBidi" w:cstheme="majorBidi"/>
          <w:sz w:val="24"/>
          <w:szCs w:val="24"/>
        </w:rPr>
        <w:t>H, Ali</w:t>
      </w:r>
      <w:r w:rsidRPr="00CF0F4D">
        <w:rPr>
          <w:sz w:val="24"/>
          <w:szCs w:val="24"/>
        </w:rPr>
        <w:t xml:space="preserve"> </w:t>
      </w:r>
      <w:r w:rsidRPr="00CF0F4D">
        <w:rPr>
          <w:rFonts w:asciiTheme="majorBidi" w:hAnsiTheme="majorBidi" w:cstheme="majorBidi"/>
          <w:sz w:val="24"/>
          <w:szCs w:val="24"/>
        </w:rPr>
        <w:t xml:space="preserve">SA, Shamseddeen </w:t>
      </w:r>
      <w:r w:rsidR="00303FCE" w:rsidRPr="00CF0F4D">
        <w:rPr>
          <w:rFonts w:asciiTheme="majorBidi" w:hAnsiTheme="majorBidi" w:cstheme="majorBidi"/>
          <w:sz w:val="24"/>
          <w:szCs w:val="24"/>
        </w:rPr>
        <w:t>H, Elsner</w:t>
      </w:r>
      <w:r w:rsidRPr="00CF0F4D">
        <w:rPr>
          <w:rFonts w:asciiTheme="majorBidi" w:hAnsiTheme="majorBidi" w:cstheme="majorBidi"/>
          <w:sz w:val="24"/>
          <w:szCs w:val="24"/>
        </w:rPr>
        <w:t xml:space="preserve"> N, Elsemesmani HI, Christopher </w:t>
      </w:r>
      <w:r w:rsidR="00303FCE" w:rsidRPr="00CF0F4D">
        <w:rPr>
          <w:rFonts w:asciiTheme="majorBidi" w:hAnsiTheme="majorBidi" w:cstheme="majorBidi"/>
          <w:sz w:val="24"/>
          <w:szCs w:val="24"/>
        </w:rPr>
        <w:t>S,</w:t>
      </w:r>
      <w:r w:rsidR="00303FCE">
        <w:rPr>
          <w:rFonts w:asciiTheme="majorBidi" w:hAnsiTheme="majorBidi" w:cstheme="majorBidi"/>
          <w:sz w:val="24"/>
          <w:szCs w:val="24"/>
        </w:rPr>
        <w:t xml:space="preserve"> et al.</w:t>
      </w:r>
      <w:r w:rsidRPr="00CF0F4D">
        <w:rPr>
          <w:rFonts w:asciiTheme="majorBidi" w:hAnsiTheme="majorBidi" w:cstheme="majorBidi"/>
          <w:sz w:val="24"/>
          <w:szCs w:val="24"/>
        </w:rPr>
        <w:t xml:space="preserve"> (2022, October). Cirrhotic cardiomyopathy per 2005 criteria is more common and less reversible than cirrhotic cardiomyopathy per 2019 criteria. In HEPATOLOGY (Vol. 76, pp. S514-S514). </w:t>
      </w:r>
    </w:p>
    <w:p w14:paraId="0B81C1CE" w14:textId="6FE3AC64" w:rsidR="006D0243" w:rsidRPr="00CF0F4D" w:rsidRDefault="006D0243" w:rsidP="00BC6A7C">
      <w:pPr>
        <w:spacing w:line="360" w:lineRule="auto"/>
        <w:jc w:val="both"/>
        <w:rPr>
          <w:rFonts w:asciiTheme="majorBidi" w:hAnsiTheme="majorBidi" w:cstheme="majorBidi"/>
          <w:sz w:val="24"/>
          <w:szCs w:val="24"/>
        </w:rPr>
      </w:pPr>
      <w:r w:rsidRPr="00075EDA">
        <w:rPr>
          <w:rFonts w:asciiTheme="majorBidi" w:hAnsiTheme="majorBidi" w:cstheme="majorBidi"/>
          <w:sz w:val="24"/>
          <w:szCs w:val="24"/>
        </w:rPr>
        <w:t>2</w:t>
      </w:r>
      <w:r w:rsidR="00AF7F04" w:rsidRPr="00075EDA">
        <w:rPr>
          <w:rFonts w:asciiTheme="majorBidi" w:hAnsiTheme="majorBidi" w:cstheme="majorBidi"/>
          <w:sz w:val="24"/>
          <w:szCs w:val="24"/>
        </w:rPr>
        <w:t>9</w:t>
      </w:r>
      <w:r w:rsidRPr="00075EDA">
        <w:rPr>
          <w:rFonts w:asciiTheme="majorBidi" w:hAnsiTheme="majorBidi" w:cstheme="majorBidi"/>
          <w:sz w:val="24"/>
          <w:szCs w:val="24"/>
        </w:rPr>
        <w:t>-Shukla A, Bhatt P, Gupta DK, et al.</w:t>
      </w:r>
      <w:r w:rsidRPr="00CF0F4D">
        <w:rPr>
          <w:rFonts w:asciiTheme="majorBidi" w:hAnsiTheme="majorBidi" w:cstheme="majorBidi"/>
          <w:sz w:val="24"/>
          <w:szCs w:val="24"/>
        </w:rPr>
        <w:t xml:space="preserve"> Cirrhotic cardiomyopathy is less prevalent in patients with Budd-Chiari syndrome than cirrhosis of liver. Indian J Gastroenterol. 2017; 36: 474-480.</w:t>
      </w:r>
    </w:p>
    <w:p w14:paraId="0BF4AA85" w14:textId="656210A5" w:rsidR="006D0243" w:rsidRPr="00CF0F4D" w:rsidRDefault="00AF7F04"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30</w:t>
      </w:r>
      <w:r w:rsidR="006D0243" w:rsidRPr="00CF0F4D">
        <w:rPr>
          <w:rFonts w:asciiTheme="majorBidi" w:hAnsiTheme="majorBidi" w:cstheme="majorBidi"/>
          <w:sz w:val="24"/>
          <w:szCs w:val="24"/>
        </w:rPr>
        <w:t xml:space="preserve">-Bokarvadia R, Jain M, Kedarisetty C, </w:t>
      </w:r>
      <w:r w:rsidR="006D0243" w:rsidRPr="003B394C">
        <w:rPr>
          <w:rFonts w:asciiTheme="majorBidi" w:hAnsiTheme="majorBidi" w:cstheme="majorBidi"/>
          <w:sz w:val="24"/>
          <w:szCs w:val="24"/>
        </w:rPr>
        <w:t>Varghese J, Venkataraman J.</w:t>
      </w:r>
      <w:r w:rsidR="00140307">
        <w:rPr>
          <w:rFonts w:asciiTheme="majorBidi" w:hAnsiTheme="majorBidi" w:cstheme="majorBidi"/>
          <w:sz w:val="24"/>
          <w:szCs w:val="24"/>
        </w:rPr>
        <w:t xml:space="preserve"> </w:t>
      </w:r>
      <w:r w:rsidR="006D0243" w:rsidRPr="00CF0F4D">
        <w:rPr>
          <w:rFonts w:asciiTheme="majorBidi" w:hAnsiTheme="majorBidi" w:cstheme="majorBidi"/>
          <w:sz w:val="24"/>
          <w:szCs w:val="24"/>
        </w:rPr>
        <w:t>Prevalence and clinical presentation of cirrhotic cardiomyopathy: a single centre experience from southern India.</w:t>
      </w:r>
      <w:r w:rsidR="00140307">
        <w:rPr>
          <w:rFonts w:asciiTheme="majorBidi" w:hAnsiTheme="majorBidi" w:cstheme="majorBidi"/>
          <w:sz w:val="24"/>
          <w:szCs w:val="24"/>
        </w:rPr>
        <w:t xml:space="preserve"> </w:t>
      </w:r>
      <w:r w:rsidR="006D0243" w:rsidRPr="00CF0F4D">
        <w:rPr>
          <w:rFonts w:asciiTheme="majorBidi" w:hAnsiTheme="majorBidi" w:cstheme="majorBidi"/>
          <w:sz w:val="24"/>
          <w:szCs w:val="24"/>
        </w:rPr>
        <w:t>Indian J Gastroenterol. 2019; 38: 150-157.</w:t>
      </w:r>
    </w:p>
    <w:p w14:paraId="443E6A03" w14:textId="47BDB2C2"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31</w:t>
      </w:r>
      <w:r w:rsidR="006D0243" w:rsidRPr="00CF0F4D">
        <w:rPr>
          <w:rFonts w:asciiTheme="majorBidi" w:hAnsiTheme="majorBidi" w:cstheme="majorBidi"/>
          <w:sz w:val="24"/>
          <w:szCs w:val="24"/>
        </w:rPr>
        <w:t xml:space="preserve">-Wiese S, Hove JD, Bendtsen </w:t>
      </w:r>
      <w:r w:rsidR="00303FCE" w:rsidRPr="00CF0F4D">
        <w:rPr>
          <w:rFonts w:asciiTheme="majorBidi" w:hAnsiTheme="majorBidi" w:cstheme="majorBidi"/>
          <w:sz w:val="24"/>
          <w:szCs w:val="24"/>
        </w:rPr>
        <w:t>F</w:t>
      </w:r>
      <w:r w:rsidR="00303FCE" w:rsidRPr="003B394C">
        <w:rPr>
          <w:rFonts w:ascii="Segoe UI" w:hAnsi="Segoe UI" w:cs="Segoe UI"/>
          <w:color w:val="212121"/>
          <w:shd w:val="clear" w:color="auto" w:fill="FFFFFF"/>
        </w:rPr>
        <w:t>, Møller</w:t>
      </w:r>
      <w:r w:rsidR="006D0243">
        <w:rPr>
          <w:rFonts w:asciiTheme="majorBidi" w:hAnsiTheme="majorBidi" w:cstheme="majorBidi"/>
          <w:sz w:val="24"/>
          <w:szCs w:val="24"/>
        </w:rPr>
        <w:t xml:space="preserve"> S</w:t>
      </w:r>
      <w:r w:rsidR="006D0243" w:rsidRPr="00CF0F4D">
        <w:rPr>
          <w:rFonts w:asciiTheme="majorBidi" w:hAnsiTheme="majorBidi" w:cstheme="majorBidi"/>
          <w:sz w:val="24"/>
          <w:szCs w:val="24"/>
        </w:rPr>
        <w:t>. Cirrhotic cardiomyopathy: pathogenesis and clinical relevance. Nat Rev Gastroenterol Hepatol. 2014; 11: 177-186.</w:t>
      </w:r>
    </w:p>
    <w:p w14:paraId="2975C9B0" w14:textId="4B8E5DE5" w:rsidR="006D0243" w:rsidRPr="00CF0F4D" w:rsidRDefault="005224D3"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00AF7F04">
        <w:rPr>
          <w:rFonts w:asciiTheme="majorBidi" w:hAnsiTheme="majorBidi" w:cstheme="majorBidi"/>
          <w:sz w:val="24"/>
          <w:szCs w:val="24"/>
        </w:rPr>
        <w:t>2</w:t>
      </w:r>
      <w:r w:rsidR="006D0243" w:rsidRPr="00CF0F4D">
        <w:rPr>
          <w:rFonts w:asciiTheme="majorBidi" w:hAnsiTheme="majorBidi" w:cstheme="majorBidi"/>
          <w:sz w:val="24"/>
          <w:szCs w:val="24"/>
        </w:rPr>
        <w:t>-Kapoor N, Mehta V, Singh B, Karna R, Kumar S, Kar P. Prevalence of cirrhotic cardiomyopathy and its relationship with serum pro-brain natriuretic peptide, hepatorenal syndrome, spontaneous bacterial peritonitis, and mortality. Indian J Gastroenterol. 2020 ;39(5):481-486.</w:t>
      </w:r>
    </w:p>
    <w:p w14:paraId="3132D447" w14:textId="01FA14EE" w:rsidR="00CA015B" w:rsidRDefault="008260E5" w:rsidP="00CA015B">
      <w:pPr>
        <w:spacing w:line="360" w:lineRule="auto"/>
        <w:jc w:val="both"/>
        <w:rPr>
          <w:rFonts w:asciiTheme="majorBidi" w:hAnsiTheme="majorBidi" w:cstheme="majorBidi"/>
          <w:sz w:val="24"/>
          <w:szCs w:val="24"/>
        </w:rPr>
      </w:pPr>
      <w:r w:rsidRPr="00075EDA">
        <w:rPr>
          <w:rFonts w:asciiTheme="majorBidi" w:hAnsiTheme="majorBidi" w:cstheme="majorBidi"/>
          <w:sz w:val="24"/>
          <w:szCs w:val="24"/>
        </w:rPr>
        <w:t>3</w:t>
      </w:r>
      <w:r w:rsidR="00AF7F04" w:rsidRPr="00075EDA">
        <w:rPr>
          <w:rFonts w:asciiTheme="majorBidi" w:hAnsiTheme="majorBidi" w:cstheme="majorBidi"/>
          <w:sz w:val="24"/>
          <w:szCs w:val="24"/>
        </w:rPr>
        <w:t>3</w:t>
      </w:r>
      <w:r w:rsidR="006D0243" w:rsidRPr="00075EDA">
        <w:rPr>
          <w:rFonts w:asciiTheme="majorBidi" w:hAnsiTheme="majorBidi" w:cstheme="majorBidi"/>
          <w:sz w:val="24"/>
          <w:szCs w:val="24"/>
        </w:rPr>
        <w:t xml:space="preserve">- </w:t>
      </w:r>
      <w:r w:rsidR="00CA015B" w:rsidRPr="00075EDA">
        <w:rPr>
          <w:rFonts w:asciiTheme="majorBidi" w:hAnsiTheme="majorBidi" w:cstheme="majorBidi"/>
          <w:sz w:val="24"/>
          <w:szCs w:val="24"/>
        </w:rPr>
        <w:t>Behera MK, Narayan J, Sahu MK, et al. Factors Predicting Cardiac Dysfunction in Patients with Liver Cirrhosis. Middle East J Dig Dis. 2021 Jul;13(3):216-222</w:t>
      </w:r>
      <w:r w:rsidR="00CA015B" w:rsidRPr="00CA015B">
        <w:rPr>
          <w:rFonts w:asciiTheme="majorBidi" w:hAnsiTheme="majorBidi" w:cstheme="majorBidi"/>
          <w:sz w:val="24"/>
          <w:szCs w:val="24"/>
        </w:rPr>
        <w:t xml:space="preserve">. </w:t>
      </w:r>
    </w:p>
    <w:p w14:paraId="3F6AC765" w14:textId="06068382" w:rsidR="006D0243" w:rsidRPr="00CF0F4D" w:rsidRDefault="008260E5" w:rsidP="00CA015B">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00AF7F04">
        <w:rPr>
          <w:rFonts w:asciiTheme="majorBidi" w:hAnsiTheme="majorBidi" w:cstheme="majorBidi"/>
          <w:sz w:val="24"/>
          <w:szCs w:val="24"/>
        </w:rPr>
        <w:t>4</w:t>
      </w:r>
      <w:r w:rsidR="006D0243" w:rsidRPr="00CF0F4D">
        <w:rPr>
          <w:rFonts w:asciiTheme="majorBidi" w:hAnsiTheme="majorBidi" w:cstheme="majorBidi"/>
          <w:sz w:val="24"/>
          <w:szCs w:val="24"/>
        </w:rPr>
        <w:t>-Naqvi IH, Mahmood K, Naeem M, Vashwani AS, Ziaullah S. The heart matters when the liver shatters! Cirrhotic cardiomyopathy: frequency, comparison, and correlation with severity of disease. Przeglad gastroenterologiczny</w:t>
      </w:r>
      <w:r w:rsidR="00031853">
        <w:rPr>
          <w:rFonts w:asciiTheme="majorBidi" w:hAnsiTheme="majorBidi" w:cstheme="majorBidi"/>
          <w:sz w:val="24"/>
          <w:szCs w:val="24"/>
        </w:rPr>
        <w:t xml:space="preserve"> </w:t>
      </w:r>
      <w:r w:rsidR="006D0243" w:rsidRPr="00CF0F4D">
        <w:rPr>
          <w:rFonts w:asciiTheme="majorBidi" w:hAnsiTheme="majorBidi" w:cstheme="majorBidi"/>
          <w:sz w:val="24"/>
          <w:szCs w:val="24"/>
        </w:rPr>
        <w:t>2016;11(4):247.</w:t>
      </w:r>
    </w:p>
    <w:p w14:paraId="7E70480D" w14:textId="3A4D7048" w:rsidR="006D0243" w:rsidRPr="00CF0F4D" w:rsidRDefault="008260E5" w:rsidP="00CA015B">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00AF7F04">
        <w:rPr>
          <w:rFonts w:asciiTheme="majorBidi" w:hAnsiTheme="majorBidi" w:cstheme="majorBidi"/>
          <w:sz w:val="24"/>
          <w:szCs w:val="24"/>
        </w:rPr>
        <w:t>5</w:t>
      </w:r>
      <w:r w:rsidR="006D0243" w:rsidRPr="00CF0F4D">
        <w:rPr>
          <w:rFonts w:asciiTheme="majorBidi" w:hAnsiTheme="majorBidi" w:cstheme="majorBidi"/>
          <w:sz w:val="24"/>
          <w:szCs w:val="24"/>
        </w:rPr>
        <w:t>-</w:t>
      </w:r>
      <w:r w:rsidR="00CA015B" w:rsidRPr="00075EDA">
        <w:rPr>
          <w:rFonts w:asciiTheme="majorBidi" w:hAnsiTheme="majorBidi" w:cstheme="majorBidi"/>
          <w:sz w:val="24"/>
          <w:szCs w:val="24"/>
        </w:rPr>
        <w:t xml:space="preserve"> Hammami R, Boudabbous M, Jdidi J, et al. Cirrhotic cardiomyopathy: is there any correlation between the stage of cardiac impairment and the severity of liver disease? Libyan J Med. 2017 Dec;12(1):1283162.</w:t>
      </w:r>
      <w:r w:rsidR="006D0243" w:rsidRPr="00075EDA">
        <w:rPr>
          <w:rFonts w:asciiTheme="majorBidi" w:hAnsiTheme="majorBidi" w:cstheme="majorBidi"/>
          <w:sz w:val="24"/>
          <w:szCs w:val="24"/>
        </w:rPr>
        <w:t>–249.</w:t>
      </w:r>
    </w:p>
    <w:p w14:paraId="34891D2D" w14:textId="2CABFBBC" w:rsidR="006D0243" w:rsidRPr="00CF0F4D" w:rsidRDefault="008260E5"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00AF7F04">
        <w:rPr>
          <w:rFonts w:asciiTheme="majorBidi" w:hAnsiTheme="majorBidi" w:cstheme="majorBidi"/>
          <w:sz w:val="24"/>
          <w:szCs w:val="24"/>
        </w:rPr>
        <w:t>6</w:t>
      </w:r>
      <w:r w:rsidR="006D0243" w:rsidRPr="00CF0F4D">
        <w:rPr>
          <w:rFonts w:asciiTheme="majorBidi" w:hAnsiTheme="majorBidi" w:cstheme="majorBidi"/>
          <w:sz w:val="24"/>
          <w:szCs w:val="24"/>
        </w:rPr>
        <w:t>-Afsar A, Nadeem M, Shah SAA, Hussain H, Rani A, Ghaffar S. Platelet count can predict the grade of esophageal varices in cirrhotic patients: a cross-sectional study 2021;10:101.</w:t>
      </w:r>
    </w:p>
    <w:p w14:paraId="0B3103F8" w14:textId="5F70DA2E" w:rsidR="006D0243" w:rsidRPr="00CF0F4D" w:rsidRDefault="008260E5"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00AF7F04">
        <w:rPr>
          <w:rFonts w:asciiTheme="majorBidi" w:hAnsiTheme="majorBidi" w:cstheme="majorBidi"/>
          <w:sz w:val="24"/>
          <w:szCs w:val="24"/>
        </w:rPr>
        <w:t>7</w:t>
      </w:r>
      <w:r w:rsidR="006D0243" w:rsidRPr="00CF0F4D">
        <w:rPr>
          <w:rFonts w:asciiTheme="majorBidi" w:hAnsiTheme="majorBidi" w:cstheme="majorBidi"/>
          <w:sz w:val="24"/>
          <w:szCs w:val="24"/>
        </w:rPr>
        <w:t>-Kothari HG, Gupta SJ, Gaikwad NR, Sankalecha TH, Samarth AR: Role of non-invasive markers in prediction of esophageal varices and variceal bleeding in patients of alcoholic liver cirrhosis from central India. Turk J Gastroenterol. 2019;30(12):1036–43.</w:t>
      </w:r>
    </w:p>
    <w:p w14:paraId="7271F28B" w14:textId="6AF17AAF" w:rsidR="006D0243" w:rsidRPr="00CF0F4D" w:rsidRDefault="006D0243" w:rsidP="00746E93">
      <w:pPr>
        <w:spacing w:line="360" w:lineRule="auto"/>
        <w:jc w:val="both"/>
        <w:rPr>
          <w:rFonts w:asciiTheme="majorBidi" w:hAnsiTheme="majorBidi" w:cstheme="majorBidi"/>
          <w:sz w:val="24"/>
          <w:szCs w:val="24"/>
        </w:rPr>
      </w:pPr>
      <w:r w:rsidRPr="00CF0F4D">
        <w:rPr>
          <w:rFonts w:asciiTheme="majorBidi" w:hAnsiTheme="majorBidi" w:cstheme="majorBidi"/>
          <w:sz w:val="24"/>
          <w:szCs w:val="24"/>
        </w:rPr>
        <w:t>3</w:t>
      </w:r>
      <w:r w:rsidR="00AF7F04">
        <w:rPr>
          <w:rFonts w:asciiTheme="majorBidi" w:hAnsiTheme="majorBidi" w:cstheme="majorBidi"/>
          <w:sz w:val="24"/>
          <w:szCs w:val="24"/>
        </w:rPr>
        <w:t>8</w:t>
      </w:r>
      <w:r w:rsidRPr="00CF0F4D">
        <w:rPr>
          <w:rFonts w:asciiTheme="majorBidi" w:hAnsiTheme="majorBidi" w:cstheme="majorBidi"/>
          <w:sz w:val="24"/>
          <w:szCs w:val="24"/>
        </w:rPr>
        <w:t>-</w:t>
      </w:r>
      <w:r w:rsidRPr="00075EDA">
        <w:rPr>
          <w:rFonts w:asciiTheme="majorBidi" w:hAnsiTheme="majorBidi" w:cstheme="majorBidi"/>
          <w:sz w:val="24"/>
          <w:szCs w:val="24"/>
        </w:rPr>
        <w:t>González-Ojeda A, Cervantes-Guevara G, Chávez-Sánchez M, et al:</w:t>
      </w:r>
      <w:r w:rsidRPr="00CF0F4D">
        <w:rPr>
          <w:rFonts w:asciiTheme="majorBidi" w:hAnsiTheme="majorBidi" w:cstheme="majorBidi"/>
          <w:sz w:val="24"/>
          <w:szCs w:val="24"/>
        </w:rPr>
        <w:t xml:space="preserve"> Platelet count/spleen diameter ratio to predict esophageal varices in Mexican patients with hepatic cirrhosis. World J Gastroenterol. 2014;20(8):2079–84.</w:t>
      </w:r>
    </w:p>
    <w:p w14:paraId="1872BA35" w14:textId="519A7C95" w:rsidR="006D0243" w:rsidRPr="00CF0F4D" w:rsidRDefault="006D0243" w:rsidP="00FE298C">
      <w:pPr>
        <w:spacing w:line="360" w:lineRule="auto"/>
        <w:jc w:val="both"/>
        <w:rPr>
          <w:rFonts w:asciiTheme="majorBidi" w:hAnsiTheme="majorBidi" w:cstheme="majorBidi"/>
          <w:sz w:val="24"/>
          <w:szCs w:val="24"/>
        </w:rPr>
      </w:pPr>
      <w:r w:rsidRPr="00CF0F4D">
        <w:rPr>
          <w:rFonts w:asciiTheme="majorBidi" w:hAnsiTheme="majorBidi" w:cstheme="majorBidi"/>
          <w:sz w:val="24"/>
          <w:szCs w:val="24"/>
        </w:rPr>
        <w:t>3</w:t>
      </w:r>
      <w:r w:rsidR="00AF7F04">
        <w:rPr>
          <w:rFonts w:asciiTheme="majorBidi" w:hAnsiTheme="majorBidi" w:cstheme="majorBidi"/>
          <w:sz w:val="24"/>
          <w:szCs w:val="24"/>
        </w:rPr>
        <w:t>9</w:t>
      </w:r>
      <w:r w:rsidRPr="00CF0F4D">
        <w:rPr>
          <w:rFonts w:asciiTheme="majorBidi" w:hAnsiTheme="majorBidi" w:cstheme="majorBidi"/>
          <w:sz w:val="24"/>
          <w:szCs w:val="24"/>
        </w:rPr>
        <w:t>-Gebregziabiher HT, Hailu W, Abay Z, Bizuneh S, Meshesha MD. Accuracy of non-invasive diagnosis of esophageal varices among cirrhotic patients in a low-income setting. Heliyon. 2023 Dec 3;9(12</w:t>
      </w:r>
      <w:r w:rsidR="00303FCE" w:rsidRPr="00CF0F4D">
        <w:rPr>
          <w:rFonts w:asciiTheme="majorBidi" w:hAnsiTheme="majorBidi" w:cstheme="majorBidi"/>
          <w:sz w:val="24"/>
          <w:szCs w:val="24"/>
        </w:rPr>
        <w:t>): e</w:t>
      </w:r>
      <w:r w:rsidRPr="00CF0F4D">
        <w:rPr>
          <w:rFonts w:asciiTheme="majorBidi" w:hAnsiTheme="majorBidi" w:cstheme="majorBidi"/>
          <w:sz w:val="24"/>
          <w:szCs w:val="24"/>
        </w:rPr>
        <w:t>23229.</w:t>
      </w:r>
    </w:p>
    <w:p w14:paraId="045E328A" w14:textId="7DD3C8E1" w:rsidR="006D0243" w:rsidRPr="00CF0F4D" w:rsidRDefault="00AF7F04"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40</w:t>
      </w:r>
      <w:r w:rsidR="008260E5">
        <w:rPr>
          <w:rFonts w:asciiTheme="majorBidi" w:hAnsiTheme="majorBidi" w:cstheme="majorBidi"/>
          <w:sz w:val="24"/>
          <w:szCs w:val="24"/>
        </w:rPr>
        <w:t>-</w:t>
      </w:r>
      <w:r w:rsidR="006D0243" w:rsidRPr="00CF0F4D">
        <w:rPr>
          <w:rFonts w:asciiTheme="majorBidi" w:hAnsiTheme="majorBidi" w:cstheme="majorBidi"/>
          <w:sz w:val="24"/>
          <w:szCs w:val="24"/>
        </w:rPr>
        <w:t>Zeb S, Haider W, Rajput M, Arshad I, Memon G, Keerio S: Diagnostic Accuracy of Serum Albumin for Diagnosis of Esophageal Varices among Patients of Chronic Liver Disease taking Endoscopy as Gold Standard. P J M H S 2022;</w:t>
      </w:r>
      <w:r w:rsidR="00B00BC8">
        <w:rPr>
          <w:rFonts w:asciiTheme="majorBidi" w:hAnsiTheme="majorBidi" w:cstheme="majorBidi"/>
          <w:sz w:val="24"/>
          <w:szCs w:val="24"/>
        </w:rPr>
        <w:t xml:space="preserve"> 16</w:t>
      </w:r>
      <w:r w:rsidR="00D45517">
        <w:rPr>
          <w:rFonts w:asciiTheme="majorBidi" w:hAnsiTheme="majorBidi" w:cstheme="majorBidi"/>
          <w:sz w:val="24"/>
          <w:szCs w:val="24"/>
        </w:rPr>
        <w:t>(4)</w:t>
      </w:r>
      <w:r w:rsidR="00B00BC8">
        <w:rPr>
          <w:rFonts w:asciiTheme="majorBidi" w:hAnsiTheme="majorBidi" w:cstheme="majorBidi"/>
          <w:sz w:val="24"/>
          <w:szCs w:val="24"/>
        </w:rPr>
        <w:t>:</w:t>
      </w:r>
      <w:r w:rsidR="006D0243" w:rsidRPr="00CF0F4D">
        <w:rPr>
          <w:rFonts w:asciiTheme="majorBidi" w:hAnsiTheme="majorBidi" w:cstheme="majorBidi"/>
          <w:sz w:val="24"/>
          <w:szCs w:val="24"/>
        </w:rPr>
        <w:t>707-709.</w:t>
      </w:r>
    </w:p>
    <w:p w14:paraId="2CC57CD9" w14:textId="5E2CD053" w:rsidR="006D0243" w:rsidRPr="00CF0F4D" w:rsidRDefault="00AF7F04" w:rsidP="00A83FB8">
      <w:pPr>
        <w:spacing w:line="360" w:lineRule="auto"/>
        <w:jc w:val="both"/>
        <w:rPr>
          <w:rFonts w:asciiTheme="majorBidi" w:hAnsiTheme="majorBidi" w:cstheme="majorBidi"/>
          <w:sz w:val="24"/>
          <w:szCs w:val="24"/>
        </w:rPr>
      </w:pPr>
      <w:r>
        <w:rPr>
          <w:rFonts w:asciiTheme="majorBidi" w:hAnsiTheme="majorBidi" w:cstheme="majorBidi"/>
          <w:sz w:val="24"/>
          <w:szCs w:val="24"/>
        </w:rPr>
        <w:t>41</w:t>
      </w:r>
      <w:r w:rsidR="006D0243" w:rsidRPr="00CF0F4D">
        <w:rPr>
          <w:rFonts w:asciiTheme="majorBidi" w:hAnsiTheme="majorBidi" w:cstheme="majorBidi"/>
          <w:sz w:val="24"/>
          <w:szCs w:val="24"/>
        </w:rPr>
        <w:t xml:space="preserve">-Mahmood K, Haider I, Adil SO, Ubaid M, Talib A. Non-invasive assessment of large esophageal varices with liver </w:t>
      </w:r>
      <w:r w:rsidR="00303FCE" w:rsidRPr="00CF0F4D">
        <w:rPr>
          <w:rFonts w:asciiTheme="majorBidi" w:hAnsiTheme="majorBidi" w:cstheme="majorBidi"/>
          <w:sz w:val="24"/>
          <w:szCs w:val="24"/>
        </w:rPr>
        <w:t>cirrhosis;</w:t>
      </w:r>
      <w:r w:rsidR="006D0243" w:rsidRPr="00CF0F4D">
        <w:rPr>
          <w:rFonts w:asciiTheme="majorBidi" w:hAnsiTheme="majorBidi" w:cstheme="majorBidi"/>
          <w:sz w:val="24"/>
          <w:szCs w:val="24"/>
        </w:rPr>
        <w:t xml:space="preserve"> a study conducted in Pakistan. J Med Invest 2019;66(3.4):248-251.</w:t>
      </w:r>
    </w:p>
    <w:p w14:paraId="2F536AD2" w14:textId="706E11B8" w:rsidR="006D0243" w:rsidRDefault="008260E5"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AF7F04">
        <w:rPr>
          <w:rFonts w:asciiTheme="majorBidi" w:hAnsiTheme="majorBidi" w:cstheme="majorBidi"/>
          <w:sz w:val="24"/>
          <w:szCs w:val="24"/>
        </w:rPr>
        <w:t>2</w:t>
      </w:r>
      <w:r w:rsidR="006D0243" w:rsidRPr="00CF0F4D">
        <w:rPr>
          <w:rFonts w:asciiTheme="majorBidi" w:hAnsiTheme="majorBidi" w:cstheme="majorBidi"/>
          <w:sz w:val="24"/>
          <w:szCs w:val="24"/>
        </w:rPr>
        <w:t xml:space="preserve">-Prihatini J, Lesmana LA, Manan C, Gani RA. Detection of esophageal varices in liver cirrhosis using non-invasive parameters. Acta Med Indones. 2005 ;37(3):126-31. </w:t>
      </w:r>
    </w:p>
    <w:p w14:paraId="2E35D9E6" w14:textId="323B1049" w:rsidR="006D0243" w:rsidRPr="00CF0F4D" w:rsidRDefault="00D225C0"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AF7F04">
        <w:rPr>
          <w:rFonts w:asciiTheme="majorBidi" w:hAnsiTheme="majorBidi" w:cstheme="majorBidi"/>
          <w:sz w:val="24"/>
          <w:szCs w:val="24"/>
        </w:rPr>
        <w:t>3</w:t>
      </w:r>
      <w:r w:rsidR="006D0243" w:rsidRPr="00CF0F4D">
        <w:rPr>
          <w:rFonts w:asciiTheme="majorBidi" w:hAnsiTheme="majorBidi" w:cstheme="majorBidi"/>
          <w:sz w:val="24"/>
          <w:szCs w:val="24"/>
        </w:rPr>
        <w:t>- Seleem H,</w:t>
      </w:r>
      <w:r w:rsidR="006D0243" w:rsidRPr="00CF0F4D">
        <w:rPr>
          <w:sz w:val="24"/>
          <w:szCs w:val="24"/>
        </w:rPr>
        <w:t xml:space="preserve"> </w:t>
      </w:r>
      <w:r w:rsidR="006D0243" w:rsidRPr="00CF0F4D">
        <w:rPr>
          <w:rFonts w:asciiTheme="majorBidi" w:hAnsiTheme="majorBidi" w:cstheme="majorBidi"/>
          <w:sz w:val="24"/>
          <w:szCs w:val="24"/>
        </w:rPr>
        <w:t>El Deeb H,</w:t>
      </w:r>
      <w:r w:rsidR="006D0243" w:rsidRPr="00CF0F4D">
        <w:rPr>
          <w:sz w:val="24"/>
          <w:szCs w:val="24"/>
        </w:rPr>
        <w:t xml:space="preserve"> </w:t>
      </w:r>
      <w:r w:rsidR="006D0243" w:rsidRPr="00CF0F4D">
        <w:rPr>
          <w:rFonts w:asciiTheme="majorBidi" w:hAnsiTheme="majorBidi" w:cstheme="majorBidi"/>
          <w:sz w:val="24"/>
          <w:szCs w:val="24"/>
        </w:rPr>
        <w:t>Elabd N,</w:t>
      </w:r>
      <w:r w:rsidR="006D0243" w:rsidRPr="00CF0F4D">
        <w:rPr>
          <w:sz w:val="24"/>
          <w:szCs w:val="24"/>
        </w:rPr>
        <w:t xml:space="preserve"> </w:t>
      </w:r>
      <w:r w:rsidR="006D0243" w:rsidRPr="00CF0F4D">
        <w:rPr>
          <w:rFonts w:asciiTheme="majorBidi" w:hAnsiTheme="majorBidi" w:cstheme="majorBidi"/>
          <w:sz w:val="24"/>
          <w:szCs w:val="24"/>
        </w:rPr>
        <w:t>Zein El-dien Y,</w:t>
      </w:r>
      <w:r w:rsidR="006D0243" w:rsidRPr="00CF0F4D">
        <w:rPr>
          <w:sz w:val="24"/>
          <w:szCs w:val="24"/>
        </w:rPr>
        <w:t xml:space="preserve"> </w:t>
      </w:r>
      <w:r w:rsidR="006D0243" w:rsidRPr="00CF0F4D">
        <w:rPr>
          <w:rFonts w:asciiTheme="majorBidi" w:hAnsiTheme="majorBidi" w:cstheme="majorBidi"/>
          <w:sz w:val="24"/>
          <w:szCs w:val="24"/>
        </w:rPr>
        <w:t>El-Gazzarah A.Study Cardiac Dysfunction as an Early Predictor of Esophageal Varices in Patients with Liver Cirrhosis.</w:t>
      </w:r>
      <w:r w:rsidR="006D0243" w:rsidRPr="00CF0F4D">
        <w:rPr>
          <w:sz w:val="24"/>
          <w:szCs w:val="24"/>
        </w:rPr>
        <w:t xml:space="preserve"> </w:t>
      </w:r>
      <w:r w:rsidR="006D0243" w:rsidRPr="00CF0F4D">
        <w:rPr>
          <w:rFonts w:asciiTheme="majorBidi" w:hAnsiTheme="majorBidi" w:cstheme="majorBidi"/>
          <w:i/>
          <w:iCs/>
          <w:sz w:val="24"/>
          <w:szCs w:val="24"/>
        </w:rPr>
        <w:t>Afro-Egypt J Infect Endem Dis 2022</w:t>
      </w:r>
      <w:r w:rsidR="006D0243" w:rsidRPr="00CF0F4D">
        <w:rPr>
          <w:rFonts w:asciiTheme="majorBidi" w:hAnsiTheme="majorBidi" w:cstheme="majorBidi"/>
          <w:sz w:val="24"/>
          <w:szCs w:val="24"/>
        </w:rPr>
        <w:t>;12(4):335-347</w:t>
      </w:r>
      <w:r w:rsidR="00A5060A">
        <w:rPr>
          <w:rFonts w:asciiTheme="majorBidi" w:hAnsiTheme="majorBidi" w:cstheme="majorBidi"/>
          <w:sz w:val="24"/>
          <w:szCs w:val="24"/>
        </w:rPr>
        <w:t>.</w:t>
      </w:r>
    </w:p>
    <w:p w14:paraId="7081515D" w14:textId="6552E2B9" w:rsidR="006D0243" w:rsidRPr="00CF0F4D" w:rsidRDefault="00D225C0"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AF7F04">
        <w:rPr>
          <w:rFonts w:asciiTheme="majorBidi" w:hAnsiTheme="majorBidi" w:cstheme="majorBidi"/>
          <w:sz w:val="24"/>
          <w:szCs w:val="24"/>
        </w:rPr>
        <w:t>4</w:t>
      </w:r>
      <w:r w:rsidR="006D0243" w:rsidRPr="00CF0F4D">
        <w:rPr>
          <w:rFonts w:asciiTheme="majorBidi" w:hAnsiTheme="majorBidi" w:cstheme="majorBidi"/>
          <w:sz w:val="24"/>
          <w:szCs w:val="24"/>
        </w:rPr>
        <w:t>-</w:t>
      </w:r>
      <w:r w:rsidR="00303FCE" w:rsidRPr="00CF0F4D">
        <w:rPr>
          <w:rFonts w:asciiTheme="majorBidi" w:hAnsiTheme="majorBidi" w:cstheme="majorBidi"/>
          <w:sz w:val="24"/>
          <w:szCs w:val="24"/>
        </w:rPr>
        <w:t>Trevisani, A.</w:t>
      </w:r>
      <w:r w:rsidR="006D0243" w:rsidRPr="00CF0F4D">
        <w:rPr>
          <w:rFonts w:asciiTheme="majorBidi" w:hAnsiTheme="majorBidi" w:cstheme="majorBidi"/>
          <w:sz w:val="24"/>
          <w:szCs w:val="24"/>
        </w:rPr>
        <w:t xml:space="preserve"> Di Micoli, A. Zambruni, M. Biselli, V. Santi, V. Erroi, et al</w:t>
      </w:r>
      <w:r w:rsidR="00A5060A">
        <w:rPr>
          <w:rFonts w:asciiTheme="majorBidi" w:hAnsiTheme="majorBidi" w:cstheme="majorBidi"/>
          <w:sz w:val="24"/>
          <w:szCs w:val="24"/>
        </w:rPr>
        <w:t xml:space="preserve"> </w:t>
      </w:r>
      <w:r w:rsidR="006D0243" w:rsidRPr="00CF0F4D">
        <w:rPr>
          <w:rFonts w:asciiTheme="majorBidi" w:hAnsiTheme="majorBidi" w:cstheme="majorBidi"/>
          <w:sz w:val="24"/>
          <w:szCs w:val="24"/>
        </w:rPr>
        <w:t>QT interval prolongation by acute gastrointestinal bleeding in patients with cirrhosis.Liver Int, 2012</w:t>
      </w:r>
      <w:r w:rsidR="000B78EA">
        <w:rPr>
          <w:rFonts w:asciiTheme="majorBidi" w:hAnsiTheme="majorBidi" w:cstheme="majorBidi"/>
          <w:sz w:val="24"/>
          <w:szCs w:val="24"/>
        </w:rPr>
        <w:t>;32:</w:t>
      </w:r>
      <w:r w:rsidR="006D0243" w:rsidRPr="00CF0F4D">
        <w:rPr>
          <w:rFonts w:asciiTheme="majorBidi" w:hAnsiTheme="majorBidi" w:cstheme="majorBidi"/>
          <w:sz w:val="24"/>
          <w:szCs w:val="24"/>
        </w:rPr>
        <w:t xml:space="preserve"> 1510-1515</w:t>
      </w:r>
    </w:p>
    <w:p w14:paraId="36F4E82F" w14:textId="314A28EC" w:rsidR="00B135C6" w:rsidRDefault="00D225C0" w:rsidP="00320788">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AF7F04">
        <w:rPr>
          <w:rFonts w:asciiTheme="majorBidi" w:hAnsiTheme="majorBidi" w:cstheme="majorBidi"/>
          <w:sz w:val="24"/>
          <w:szCs w:val="24"/>
        </w:rPr>
        <w:t>5</w:t>
      </w:r>
      <w:r w:rsidR="006D0243" w:rsidRPr="00CF0F4D">
        <w:rPr>
          <w:rFonts w:asciiTheme="majorBidi" w:hAnsiTheme="majorBidi" w:cstheme="majorBidi"/>
          <w:sz w:val="24"/>
          <w:szCs w:val="24"/>
        </w:rPr>
        <w:t>-</w:t>
      </w:r>
      <w:r w:rsidR="006D0243">
        <w:rPr>
          <w:rFonts w:asciiTheme="majorBidi" w:hAnsiTheme="majorBidi" w:cstheme="majorBidi"/>
          <w:sz w:val="24"/>
          <w:szCs w:val="24"/>
        </w:rPr>
        <w:t xml:space="preserve"> </w:t>
      </w:r>
      <w:r w:rsidR="00320788" w:rsidRPr="00303FCE">
        <w:rPr>
          <w:rFonts w:asciiTheme="majorBidi" w:hAnsiTheme="majorBidi" w:cstheme="majorBidi"/>
          <w:sz w:val="24"/>
          <w:szCs w:val="24"/>
        </w:rPr>
        <w:t>Ytting H, Henriksen JH, Fuglsang S, Bendtsen F, Møller S. Prolonged Q-T(c) interval in mild portal hypertensive cirrhosis. J Hepatol. 2005 Oct;43(4):637-44. </w:t>
      </w:r>
    </w:p>
    <w:p w14:paraId="2C1B47DC" w14:textId="74E8000E" w:rsidR="006D0243" w:rsidRPr="00CF0F4D" w:rsidRDefault="00B135C6"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46-</w:t>
      </w:r>
      <w:r w:rsidR="006D0243" w:rsidRPr="00303FCE">
        <w:rPr>
          <w:rFonts w:asciiTheme="majorBidi" w:hAnsiTheme="majorBidi" w:cstheme="majorBidi"/>
          <w:sz w:val="24"/>
          <w:szCs w:val="24"/>
        </w:rPr>
        <w:t>Ou M, Tian Y, Zhuang G, Peng Y. QTc interval prolongation in liver cirrhosis with upper gastrointestinal bleeding. Med Clin (Barc)</w:t>
      </w:r>
      <w:r w:rsidR="00C73805" w:rsidRPr="00303FCE">
        <w:rPr>
          <w:rFonts w:asciiTheme="majorBidi" w:hAnsiTheme="majorBidi" w:cstheme="majorBidi"/>
          <w:sz w:val="24"/>
          <w:szCs w:val="24"/>
        </w:rPr>
        <w:t>,</w:t>
      </w:r>
      <w:r w:rsidR="006D0243" w:rsidRPr="00303FCE">
        <w:rPr>
          <w:rFonts w:asciiTheme="majorBidi" w:hAnsiTheme="majorBidi" w:cstheme="majorBidi"/>
          <w:sz w:val="24"/>
          <w:szCs w:val="24"/>
        </w:rPr>
        <w:t>2021</w:t>
      </w:r>
      <w:r w:rsidR="00C73805" w:rsidRPr="00303FCE">
        <w:rPr>
          <w:rFonts w:asciiTheme="majorBidi" w:hAnsiTheme="majorBidi" w:cstheme="majorBidi"/>
          <w:sz w:val="24"/>
          <w:szCs w:val="24"/>
        </w:rPr>
        <w:t>.</w:t>
      </w:r>
    </w:p>
    <w:p w14:paraId="032C933A" w14:textId="7654C6A9" w:rsidR="006D0243" w:rsidRPr="001033DC" w:rsidRDefault="00D225C0"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AF7F04">
        <w:rPr>
          <w:rFonts w:asciiTheme="majorBidi" w:hAnsiTheme="majorBidi" w:cstheme="majorBidi"/>
          <w:sz w:val="24"/>
          <w:szCs w:val="24"/>
        </w:rPr>
        <w:t>7</w:t>
      </w:r>
      <w:r>
        <w:rPr>
          <w:rFonts w:asciiTheme="majorBidi" w:hAnsiTheme="majorBidi" w:cstheme="majorBidi"/>
          <w:sz w:val="24"/>
          <w:szCs w:val="24"/>
        </w:rPr>
        <w:t>-</w:t>
      </w:r>
      <w:r w:rsidR="006D0243" w:rsidRPr="00360486">
        <w:rPr>
          <w:rFonts w:asciiTheme="majorBidi" w:hAnsiTheme="majorBidi" w:cstheme="majorBidi"/>
          <w:sz w:val="24"/>
          <w:szCs w:val="24"/>
        </w:rPr>
        <w:t>Papadopoulos VP, Mimidis K. Corrected QT interval in cirrhosis: A systematic review and meta-analysis. </w:t>
      </w:r>
      <w:r w:rsidR="006D0243" w:rsidRPr="000C75F2">
        <w:rPr>
          <w:rFonts w:asciiTheme="majorBidi" w:hAnsiTheme="majorBidi" w:cstheme="majorBidi"/>
          <w:sz w:val="24"/>
          <w:szCs w:val="24"/>
        </w:rPr>
        <w:t>World J Hepatol</w:t>
      </w:r>
      <w:r w:rsidR="006D0243" w:rsidRPr="00360486">
        <w:rPr>
          <w:rFonts w:asciiTheme="majorBidi" w:hAnsiTheme="majorBidi" w:cstheme="majorBidi"/>
          <w:sz w:val="24"/>
          <w:szCs w:val="24"/>
        </w:rPr>
        <w:t>. 2023;15(9):1060-</w:t>
      </w:r>
      <w:r w:rsidR="005B5D81" w:rsidRPr="00360486">
        <w:rPr>
          <w:rFonts w:asciiTheme="majorBidi" w:hAnsiTheme="majorBidi" w:cstheme="majorBidi"/>
          <w:sz w:val="24"/>
          <w:szCs w:val="24"/>
        </w:rPr>
        <w:t>1083.</w:t>
      </w:r>
    </w:p>
    <w:p w14:paraId="6018C540" w14:textId="5F4E0863" w:rsidR="006D0243" w:rsidRPr="001033DC" w:rsidRDefault="006D0243"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AF7F04">
        <w:rPr>
          <w:rFonts w:asciiTheme="majorBidi" w:hAnsiTheme="majorBidi" w:cstheme="majorBidi"/>
          <w:sz w:val="24"/>
          <w:szCs w:val="24"/>
        </w:rPr>
        <w:t>8</w:t>
      </w:r>
      <w:r w:rsidR="005B5D81">
        <w:rPr>
          <w:rFonts w:asciiTheme="majorBidi" w:hAnsiTheme="majorBidi" w:cstheme="majorBidi"/>
          <w:sz w:val="24"/>
          <w:szCs w:val="24"/>
        </w:rPr>
        <w:t>-</w:t>
      </w:r>
      <w:r w:rsidR="005B5D81" w:rsidRPr="001033DC">
        <w:rPr>
          <w:rFonts w:asciiTheme="majorBidi" w:hAnsiTheme="majorBidi" w:cstheme="majorBidi"/>
          <w:sz w:val="24"/>
          <w:szCs w:val="24"/>
        </w:rPr>
        <w:t>. Mozos</w:t>
      </w:r>
      <w:r w:rsidRPr="001033DC">
        <w:rPr>
          <w:rFonts w:asciiTheme="majorBidi" w:hAnsiTheme="majorBidi" w:cstheme="majorBidi"/>
          <w:sz w:val="24"/>
          <w:szCs w:val="24"/>
        </w:rPr>
        <w:t xml:space="preserve"> I, Costea C, Serban C, Susan L. Factors associated with a prolonged QT interval in liver cirrhosis patients. J </w:t>
      </w:r>
      <w:r w:rsidR="005B5D81" w:rsidRPr="001033DC">
        <w:rPr>
          <w:rFonts w:asciiTheme="majorBidi" w:hAnsiTheme="majorBidi" w:cstheme="majorBidi"/>
          <w:sz w:val="24"/>
          <w:szCs w:val="24"/>
        </w:rPr>
        <w:t>Electrocardio</w:t>
      </w:r>
      <w:r w:rsidR="005B5D81">
        <w:rPr>
          <w:rFonts w:asciiTheme="majorBidi" w:hAnsiTheme="majorBidi" w:cstheme="majorBidi"/>
          <w:sz w:val="24"/>
          <w:szCs w:val="24"/>
        </w:rPr>
        <w:t xml:space="preserve"> </w:t>
      </w:r>
      <w:r w:rsidR="005B5D81" w:rsidRPr="001033DC">
        <w:rPr>
          <w:rFonts w:asciiTheme="majorBidi" w:hAnsiTheme="majorBidi" w:cstheme="majorBidi"/>
          <w:sz w:val="24"/>
          <w:szCs w:val="24"/>
        </w:rPr>
        <w:t>2011; 44:105</w:t>
      </w:r>
      <w:r w:rsidRPr="001033DC">
        <w:rPr>
          <w:rFonts w:asciiTheme="majorBidi" w:hAnsiTheme="majorBidi" w:cstheme="majorBidi"/>
          <w:sz w:val="24"/>
          <w:szCs w:val="24"/>
        </w:rPr>
        <w:t>–8.</w:t>
      </w:r>
    </w:p>
    <w:p w14:paraId="31541666" w14:textId="1E33493F" w:rsidR="006D0243" w:rsidRDefault="006D0243" w:rsidP="00FE298C">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00AF7F04">
        <w:rPr>
          <w:rFonts w:asciiTheme="majorBidi" w:hAnsiTheme="majorBidi" w:cstheme="majorBidi"/>
          <w:sz w:val="24"/>
          <w:szCs w:val="24"/>
        </w:rPr>
        <w:t>9</w:t>
      </w:r>
      <w:r w:rsidR="00FE298C">
        <w:rPr>
          <w:rFonts w:asciiTheme="majorBidi" w:hAnsiTheme="majorBidi" w:cstheme="majorBidi"/>
          <w:sz w:val="24"/>
          <w:szCs w:val="24"/>
        </w:rPr>
        <w:t>-</w:t>
      </w:r>
      <w:r w:rsidRPr="001033DC">
        <w:rPr>
          <w:rFonts w:asciiTheme="majorBidi" w:hAnsiTheme="majorBidi" w:cstheme="majorBidi"/>
          <w:sz w:val="24"/>
          <w:szCs w:val="24"/>
        </w:rPr>
        <w:t xml:space="preserve">Patel D, Singh p, Katz W, </w:t>
      </w:r>
      <w:r w:rsidRPr="00360486">
        <w:rPr>
          <w:rFonts w:asciiTheme="majorBidi" w:hAnsiTheme="majorBidi" w:cstheme="majorBidi"/>
          <w:sz w:val="24"/>
          <w:szCs w:val="24"/>
        </w:rPr>
        <w:t>Hughes C, Chopra K, Němec J.</w:t>
      </w:r>
      <w:r w:rsidRPr="001033DC">
        <w:rPr>
          <w:rFonts w:asciiTheme="majorBidi" w:hAnsiTheme="majorBidi" w:cstheme="majorBidi"/>
          <w:sz w:val="24"/>
          <w:szCs w:val="24"/>
        </w:rPr>
        <w:t>QT interval prolongation in end-stage liver disease cannot be explained by nonhepathic factors. Ann Noninvasive Electrocardio</w:t>
      </w:r>
      <w:r w:rsidR="002277F0">
        <w:rPr>
          <w:rFonts w:asciiTheme="majorBidi" w:hAnsiTheme="majorBidi" w:cstheme="majorBidi"/>
          <w:sz w:val="24"/>
          <w:szCs w:val="24"/>
        </w:rPr>
        <w:t>l</w:t>
      </w:r>
      <w:r w:rsidRPr="001033DC">
        <w:rPr>
          <w:rFonts w:asciiTheme="majorBidi" w:hAnsiTheme="majorBidi" w:cstheme="majorBidi"/>
          <w:sz w:val="24"/>
          <w:szCs w:val="24"/>
        </w:rPr>
        <w:t xml:space="preserve"> </w:t>
      </w:r>
      <w:r w:rsidR="005B5D81" w:rsidRPr="001033DC">
        <w:rPr>
          <w:rFonts w:asciiTheme="majorBidi" w:hAnsiTheme="majorBidi" w:cstheme="majorBidi"/>
          <w:sz w:val="24"/>
          <w:szCs w:val="24"/>
        </w:rPr>
        <w:t>2014; 19:574</w:t>
      </w:r>
      <w:r w:rsidRPr="001033DC">
        <w:rPr>
          <w:rFonts w:asciiTheme="majorBidi" w:hAnsiTheme="majorBidi" w:cstheme="majorBidi"/>
          <w:sz w:val="24"/>
          <w:szCs w:val="24"/>
        </w:rPr>
        <w:t>–81.</w:t>
      </w:r>
    </w:p>
    <w:p w14:paraId="6F5E4083" w14:textId="0B9BA6FC" w:rsidR="003E57E7" w:rsidRPr="00CF0F4D" w:rsidRDefault="003E57E7" w:rsidP="003E57E7">
      <w:pPr>
        <w:spacing w:line="360" w:lineRule="auto"/>
        <w:jc w:val="both"/>
        <w:rPr>
          <w:rFonts w:asciiTheme="majorBidi" w:hAnsiTheme="majorBidi" w:cstheme="majorBidi"/>
          <w:sz w:val="24"/>
          <w:szCs w:val="24"/>
        </w:rPr>
      </w:pPr>
      <w:r w:rsidRPr="005B5D81">
        <w:rPr>
          <w:rFonts w:asciiTheme="majorBidi" w:hAnsiTheme="majorBidi" w:cstheme="majorBidi"/>
          <w:sz w:val="24"/>
          <w:szCs w:val="24"/>
        </w:rPr>
        <w:t>50-Zhao J, Qi X, Hou F, et al.Prevalence, risk factors and in-hospital outcomes of qtcinterval prolongation in liver cirrhosis. Am J Med Sci2016;352(3):285-95 2;156(2):68-</w:t>
      </w:r>
      <w:r w:rsidR="005B5D81" w:rsidRPr="005B5D81">
        <w:rPr>
          <w:rFonts w:asciiTheme="majorBidi" w:hAnsiTheme="majorBidi" w:cstheme="majorBidi"/>
          <w:sz w:val="24"/>
          <w:szCs w:val="24"/>
        </w:rPr>
        <w:t>75?</w:t>
      </w:r>
    </w:p>
    <w:p w14:paraId="01EC11FD" w14:textId="72492C81" w:rsidR="006D0243" w:rsidRPr="00CF0F4D" w:rsidRDefault="00AF7F04" w:rsidP="003E57E7">
      <w:pPr>
        <w:spacing w:line="360" w:lineRule="auto"/>
        <w:jc w:val="both"/>
        <w:rPr>
          <w:rFonts w:ascii="Times New Roman" w:hAnsi="Times New Roman" w:cs="Times New Roman"/>
          <w:sz w:val="24"/>
          <w:szCs w:val="24"/>
        </w:rPr>
      </w:pPr>
      <w:r w:rsidRPr="005B5D81">
        <w:rPr>
          <w:rFonts w:asciiTheme="majorBidi" w:hAnsiTheme="majorBidi" w:cstheme="majorBidi"/>
          <w:sz w:val="24"/>
          <w:szCs w:val="24"/>
        </w:rPr>
        <w:t>5</w:t>
      </w:r>
      <w:r w:rsidR="003E57E7" w:rsidRPr="005B5D81">
        <w:rPr>
          <w:rFonts w:asciiTheme="majorBidi" w:hAnsiTheme="majorBidi" w:cstheme="majorBidi"/>
          <w:sz w:val="24"/>
          <w:szCs w:val="24"/>
        </w:rPr>
        <w:t>1</w:t>
      </w:r>
      <w:r w:rsidR="005B5D81" w:rsidRPr="005B5D81">
        <w:rPr>
          <w:rFonts w:asciiTheme="majorBidi" w:hAnsiTheme="majorBidi" w:cstheme="majorBidi"/>
          <w:sz w:val="24"/>
          <w:szCs w:val="24"/>
        </w:rPr>
        <w:t>-. Marconi</w:t>
      </w:r>
      <w:r w:rsidR="006D0243" w:rsidRPr="005B5D81">
        <w:rPr>
          <w:rFonts w:asciiTheme="majorBidi" w:hAnsiTheme="majorBidi" w:cstheme="majorBidi"/>
          <w:sz w:val="24"/>
          <w:szCs w:val="24"/>
        </w:rPr>
        <w:t xml:space="preserve"> C, Bellan M, Giarda P, et al. Cardiac dysfunction as an early predictor of portal hypertension in chronic hepatitis C. Ann Gastroenterol</w:t>
      </w:r>
      <w:r w:rsidR="006D0243" w:rsidRPr="005678C1">
        <w:rPr>
          <w:rFonts w:ascii="Times New Roman" w:hAnsi="Times New Roman" w:cs="Times New Roman"/>
          <w:sz w:val="24"/>
          <w:szCs w:val="24"/>
        </w:rPr>
        <w:t xml:space="preserve">. 2017; 30(6):675-681. </w:t>
      </w:r>
    </w:p>
    <w:sectPr w:rsidR="006D0243" w:rsidRPr="00CF0F4D" w:rsidSect="00A12C70">
      <w:headerReference w:type="default" r:id="rId11"/>
      <w:footerReference w:type="default" r:id="rId12"/>
      <w:pgSz w:w="12240" w:h="15840"/>
      <w:pgMar w:top="1440" w:right="1440" w:bottom="1440" w:left="1440" w:header="720" w:footer="720" w:gutter="0"/>
      <w:pgNumType w:start="1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B2638" w14:textId="77777777" w:rsidR="007821C9" w:rsidRDefault="007821C9" w:rsidP="00771B18">
      <w:pPr>
        <w:spacing w:after="0" w:line="240" w:lineRule="auto"/>
      </w:pPr>
      <w:r>
        <w:separator/>
      </w:r>
    </w:p>
  </w:endnote>
  <w:endnote w:type="continuationSeparator" w:id="0">
    <w:p w14:paraId="7AAEDA7B" w14:textId="77777777" w:rsidR="007821C9" w:rsidRDefault="007821C9" w:rsidP="0077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435886"/>
      <w:docPartObj>
        <w:docPartGallery w:val="Page Numbers (Bottom of Page)"/>
        <w:docPartUnique/>
      </w:docPartObj>
    </w:sdtPr>
    <w:sdtContent>
      <w:sdt>
        <w:sdtPr>
          <w:rPr>
            <w:rFonts w:ascii="Calibri" w:eastAsia="Calibri" w:hAnsi="Calibri" w:cs="Arial"/>
          </w:rPr>
          <w:id w:val="-918563828"/>
          <w:docPartObj>
            <w:docPartGallery w:val="Page Numbers (Bottom of Page)"/>
            <w:docPartUnique/>
          </w:docPartObj>
        </w:sdtPr>
        <w:sdtEndPr>
          <w:rPr>
            <w:noProof/>
          </w:rPr>
        </w:sdtEndPr>
        <w:sdtContent>
          <w:sdt>
            <w:sdtPr>
              <w:rPr>
                <w:rFonts w:ascii="Calibri" w:eastAsia="Times New Roman" w:hAnsi="Calibri" w:cs="Times New Roman"/>
                <w:kern w:val="0"/>
                <w:sz w:val="28"/>
                <w:szCs w:val="28"/>
                <w14:ligatures w14:val="none"/>
              </w:rPr>
              <w:id w:val="-1146124694"/>
              <w:docPartObj>
                <w:docPartGallery w:val="Page Numbers (Bottom of Page)"/>
                <w:docPartUnique/>
              </w:docPartObj>
            </w:sdtPr>
            <w:sdtContent>
              <w:p w14:paraId="2E4462DC" w14:textId="664A2A1F" w:rsidR="002B3394" w:rsidRPr="002B3394" w:rsidRDefault="00A80264" w:rsidP="002B3394">
                <w:pPr>
                  <w:pBdr>
                    <w:top w:val="thinThickSmallGap" w:sz="24" w:space="1" w:color="823B0B"/>
                  </w:pBdr>
                  <w:tabs>
                    <w:tab w:val="center" w:pos="4320"/>
                    <w:tab w:val="right" w:pos="8640"/>
                  </w:tabs>
                  <w:spacing w:after="240" w:line="252" w:lineRule="auto"/>
                  <w:ind w:firstLine="357"/>
                  <w:rPr>
                    <w:rFonts w:ascii="Calibri" w:eastAsia="Times New Roman" w:hAnsi="Calibri" w:cs="Times New Roman"/>
                    <w:kern w:val="0"/>
                    <w:sz w:val="28"/>
                    <w:szCs w:val="28"/>
                    <w14:ligatures w14:val="none"/>
                  </w:rPr>
                </w:pPr>
                <w:r w:rsidRPr="00A80264">
                  <w:rPr>
                    <w:rFonts w:ascii="Times New Roman" w:eastAsia="Calibri" w:hAnsi="Times New Roman" w:cs="Times New Roman"/>
                    <w:kern w:val="0"/>
                    <w:sz w:val="28"/>
                    <w:szCs w:val="28"/>
                    <w14:ligatures w14:val="none"/>
                  </w:rPr>
                  <w:t>E</w:t>
                </w:r>
                <w:r w:rsidRPr="007216FE">
                  <w:rPr>
                    <w:rFonts w:ascii="Times New Roman" w:eastAsia="Calibri" w:hAnsi="Times New Roman" w:cs="Times New Roman"/>
                    <w:kern w:val="0"/>
                    <w:sz w:val="28"/>
                    <w:szCs w:val="28"/>
                    <w14:ligatures w14:val="none"/>
                  </w:rPr>
                  <w:t>lkasrawy</w:t>
                </w:r>
                <w:r w:rsidRPr="002B3394">
                  <w:rPr>
                    <w:rFonts w:ascii="Calibri" w:eastAsia="Calibri" w:hAnsi="Calibri" w:cs="Arial"/>
                    <w:bCs/>
                    <w:color w:val="000000"/>
                    <w:kern w:val="0"/>
                    <w14:ligatures w14:val="none"/>
                  </w:rPr>
                  <w:t xml:space="preserve"> </w:t>
                </w:r>
                <w:r>
                  <w:rPr>
                    <w:rFonts w:ascii="Calibri" w:eastAsia="Calibri" w:hAnsi="Calibri" w:cs="Arial"/>
                    <w:bCs/>
                    <w:color w:val="000000"/>
                    <w:kern w:val="0"/>
                    <w14:ligatures w14:val="none"/>
                  </w:rPr>
                  <w:t xml:space="preserve">KH </w:t>
                </w:r>
                <w:r w:rsidR="002B3394" w:rsidRPr="002B3394">
                  <w:rPr>
                    <w:rFonts w:ascii="Calibri" w:eastAsia="Calibri" w:hAnsi="Calibri" w:cs="Arial"/>
                    <w:bCs/>
                    <w:color w:val="000000"/>
                    <w:kern w:val="0"/>
                    <w14:ligatures w14:val="none"/>
                  </w:rPr>
                  <w:t>NM</w:t>
                </w:r>
                <w:r w:rsidR="002B3394" w:rsidRPr="002B3394">
                  <w:rPr>
                    <w:rFonts w:ascii="Calibri" w:eastAsia="Times New Roman" w:hAnsi="Calibri" w:cs="Times New Roman"/>
                    <w:kern w:val="0"/>
                    <w:sz w:val="28"/>
                    <w:szCs w:val="28"/>
                    <w14:ligatures w14:val="none"/>
                  </w:rPr>
                  <w:t xml:space="preserve"> </w:t>
                </w:r>
                <w:r w:rsidR="002B3394" w:rsidRPr="002B3394">
                  <w:rPr>
                    <w:rFonts w:ascii="Calibri" w:eastAsia="Calibri" w:hAnsi="Calibri" w:cs="Arial"/>
                    <w:kern w:val="0"/>
                    <w14:ligatures w14:val="none"/>
                  </w:rPr>
                  <w:t>et al.2024</w:t>
                </w:r>
                <w:r w:rsidR="002B3394" w:rsidRPr="002B3394">
                  <w:rPr>
                    <w:rFonts w:ascii="Calibri Light" w:eastAsia="Times New Roman" w:hAnsi="Calibri Light" w:cs="Times New Roman"/>
                    <w:kern w:val="0"/>
                    <w14:ligatures w14:val="none"/>
                  </w:rPr>
                  <w:ptab w:relativeTo="margin" w:alignment="right" w:leader="none"/>
                </w:r>
                <w:r w:rsidR="002B3394" w:rsidRPr="002B3394">
                  <w:rPr>
                    <w:rFonts w:ascii="Calibri" w:eastAsia="Times New Roman" w:hAnsi="Calibri" w:cs="Arial"/>
                    <w:kern w:val="0"/>
                    <w14:ligatures w14:val="none"/>
                  </w:rPr>
                  <w:fldChar w:fldCharType="begin"/>
                </w:r>
                <w:r w:rsidR="002B3394" w:rsidRPr="002B3394">
                  <w:rPr>
                    <w:rFonts w:ascii="Calibri" w:eastAsia="Calibri" w:hAnsi="Calibri" w:cs="Arial"/>
                    <w:kern w:val="0"/>
                    <w14:ligatures w14:val="none"/>
                  </w:rPr>
                  <w:instrText xml:space="preserve"> PAGE   \* MERGEFORMAT </w:instrText>
                </w:r>
                <w:r w:rsidR="002B3394" w:rsidRPr="002B3394">
                  <w:rPr>
                    <w:rFonts w:ascii="Calibri" w:eastAsia="Times New Roman" w:hAnsi="Calibri" w:cs="Arial"/>
                    <w:kern w:val="0"/>
                    <w14:ligatures w14:val="none"/>
                  </w:rPr>
                  <w:fldChar w:fldCharType="separate"/>
                </w:r>
                <w:r w:rsidR="002B3394" w:rsidRPr="002B3394">
                  <w:rPr>
                    <w:rFonts w:ascii="Calibri" w:eastAsia="Times New Roman" w:hAnsi="Calibri" w:cs="Arial"/>
                    <w:kern w:val="0"/>
                    <w14:ligatures w14:val="none"/>
                  </w:rPr>
                  <w:t>110</w:t>
                </w:r>
                <w:r w:rsidR="002B3394" w:rsidRPr="002B3394">
                  <w:rPr>
                    <w:rFonts w:ascii="Calibri Light" w:eastAsia="Times New Roman" w:hAnsi="Calibri Light" w:cs="Times New Roman"/>
                    <w:noProof/>
                    <w:kern w:val="0"/>
                    <w14:ligatures w14:val="none"/>
                  </w:rPr>
                  <w:fldChar w:fldCharType="end"/>
                </w:r>
              </w:p>
            </w:sdtContent>
          </w:sdt>
          <w:p w14:paraId="10916D43" w14:textId="77777777" w:rsidR="002B3394" w:rsidRPr="002B3394" w:rsidRDefault="00000000" w:rsidP="002B3394">
            <w:pPr>
              <w:tabs>
                <w:tab w:val="center" w:pos="4320"/>
                <w:tab w:val="right" w:pos="8640"/>
              </w:tabs>
              <w:spacing w:after="0" w:line="240" w:lineRule="auto"/>
              <w:jc w:val="center"/>
              <w:rPr>
                <w:rFonts w:ascii="Calibri" w:eastAsia="Calibri" w:hAnsi="Calibri" w:cs="Arial"/>
                <w:noProof/>
              </w:rPr>
            </w:pPr>
          </w:p>
        </w:sdtContent>
      </w:sdt>
      <w:p w14:paraId="38512EBA" w14:textId="361966ED" w:rsidR="00713996" w:rsidRDefault="00000000" w:rsidP="002B3394">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8C66" w14:textId="77777777" w:rsidR="007821C9" w:rsidRDefault="007821C9" w:rsidP="00771B18">
      <w:pPr>
        <w:spacing w:after="0" w:line="240" w:lineRule="auto"/>
      </w:pPr>
      <w:r>
        <w:separator/>
      </w:r>
    </w:p>
  </w:footnote>
  <w:footnote w:type="continuationSeparator" w:id="0">
    <w:p w14:paraId="10A18F43" w14:textId="77777777" w:rsidR="007821C9" w:rsidRDefault="007821C9" w:rsidP="0077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F1728" w14:textId="77777777" w:rsidR="002B3394" w:rsidRPr="002B3394" w:rsidRDefault="002B3394" w:rsidP="002B3394">
    <w:pPr>
      <w:pBdr>
        <w:bottom w:val="thickThinSmallGap" w:sz="24" w:space="21" w:color="622423"/>
      </w:pBdr>
      <w:tabs>
        <w:tab w:val="right" w:pos="8640"/>
      </w:tabs>
      <w:spacing w:after="0" w:line="240" w:lineRule="auto"/>
      <w:rPr>
        <w:rFonts w:ascii="Cambria" w:eastAsia="Times New Roman" w:hAnsi="Cambria" w:cs="Times New Roman"/>
        <w:kern w:val="0"/>
        <w:sz w:val="18"/>
        <w:szCs w:val="18"/>
        <w14:ligatures w14:val="none"/>
      </w:rPr>
    </w:pPr>
    <w:r w:rsidRPr="002B3394">
      <w:rPr>
        <w:rFonts w:ascii="Cambria" w:eastAsia="Times New Roman" w:hAnsi="Cambria" w:cs="Times New Roman"/>
        <w:kern w:val="0"/>
        <w:sz w:val="18"/>
        <w:szCs w:val="18"/>
        <w14:ligatures w14:val="none"/>
      </w:rPr>
      <w:t>African journal of gastroenterology and hepatology</w:t>
    </w:r>
    <w:r w:rsidRPr="002B3394">
      <w:rPr>
        <w:rFonts w:ascii="Cambria" w:eastAsia="Times New Roman" w:hAnsi="Cambria" w:cs="Times New Roman"/>
        <w:kern w:val="0"/>
        <w:sz w:val="18"/>
        <w:szCs w:val="18"/>
        <w14:ligatures w14:val="none"/>
      </w:rPr>
      <w:tab/>
    </w:r>
    <w:r w:rsidRPr="002B3394">
      <w:rPr>
        <w:rFonts w:ascii="Calibri Light" w:eastAsia="Times New Roman" w:hAnsi="Calibri Light" w:cs="Times New Roman"/>
        <w:noProof/>
        <w:kern w:val="0"/>
        <w:sz w:val="32"/>
        <w:szCs w:val="32"/>
        <w14:ligatures w14:val="none"/>
      </w:rPr>
      <w:drawing>
        <wp:inline distT="0" distB="0" distL="0" distR="0" wp14:anchorId="470EC5D0" wp14:editId="1CC79594">
          <wp:extent cx="1447800" cy="2095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32281733" w14:textId="77777777" w:rsidR="002B3394" w:rsidRPr="002B3394" w:rsidRDefault="002B3394" w:rsidP="002B3394">
    <w:pPr>
      <w:tabs>
        <w:tab w:val="center" w:pos="4680"/>
        <w:tab w:val="right" w:pos="9360"/>
      </w:tabs>
      <w:spacing w:after="0" w:line="240" w:lineRule="auto"/>
      <w:rPr>
        <w:rFonts w:ascii="Calibri" w:eastAsia="Calibri" w:hAnsi="Calibri" w:cs="Arial"/>
        <w:kern w:val="0"/>
        <w14:ligatures w14:val="none"/>
      </w:rPr>
    </w:pPr>
    <w:r w:rsidRPr="002B3394">
      <w:rPr>
        <w:rFonts w:ascii="Calibri" w:eastAsia="Calibri" w:hAnsi="Calibri" w:cs="Arial"/>
        <w:noProof/>
        <w:kern w:val="0"/>
        <w14:ligatures w14:val="none"/>
      </w:rPr>
      <mc:AlternateContent>
        <mc:Choice Requires="wps">
          <w:drawing>
            <wp:anchor distT="0" distB="0" distL="114300" distR="114300" simplePos="0" relativeHeight="251659264" behindDoc="0" locked="0" layoutInCell="1" allowOverlap="1" wp14:anchorId="2FC22084" wp14:editId="34E440D4">
              <wp:simplePos x="0" y="0"/>
              <wp:positionH relativeFrom="margin">
                <wp:posOffset>28575</wp:posOffset>
              </wp:positionH>
              <wp:positionV relativeFrom="page">
                <wp:posOffset>1038225</wp:posOffset>
              </wp:positionV>
              <wp:extent cx="1333500" cy="300355"/>
              <wp:effectExtent l="0" t="0" r="19050" b="2349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00355"/>
                      </a:xfrm>
                      <a:prstGeom prst="rect">
                        <a:avLst/>
                      </a:prstGeom>
                      <a:solidFill>
                        <a:srgbClr val="00B0F0"/>
                      </a:solidFill>
                      <a:ln w="6350">
                        <a:solidFill>
                          <a:prstClr val="black"/>
                        </a:solidFill>
                      </a:ln>
                    </wps:spPr>
                    <wps:txbx>
                      <w:txbxContent>
                        <w:p w14:paraId="1F365246" w14:textId="77777777" w:rsidR="002B3394" w:rsidRDefault="002B3394" w:rsidP="002B3394">
                          <w:pPr>
                            <w:jc w:val="both"/>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22084" id="_x0000_t202" coordsize="21600,21600" o:spt="202" path="m,l,21600r21600,l21600,xe">
              <v:stroke joinstyle="miter"/>
              <v:path gradientshapeok="t" o:connecttype="rect"/>
            </v:shapetype>
            <v:shape id="Text Box 6" o:spid="_x0000_s1026" type="#_x0000_t202" style="position:absolute;margin-left:2.25pt;margin-top:81.75pt;width:105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" fillcolor="#00b0f0" strokeweight=".5pt">
              <v:path arrowok="t"/>
              <v:textbox>
                <w:txbxContent>
                  <w:p w14:paraId="1F365246" w14:textId="77777777" w:rsidR="002B3394" w:rsidRDefault="002B3394" w:rsidP="002B3394">
                    <w:pPr>
                      <w:jc w:val="both"/>
                      <w:rPr>
                        <w:sz w:val="24"/>
                        <w:szCs w:val="24"/>
                      </w:rPr>
                    </w:pPr>
                    <w:r>
                      <w:rPr>
                        <w:sz w:val="24"/>
                        <w:szCs w:val="24"/>
                      </w:rPr>
                      <w:t>Original research</w:t>
                    </w:r>
                  </w:p>
                </w:txbxContent>
              </v:textbox>
              <w10:wrap anchorx="margin" anchory="page"/>
            </v:shape>
          </w:pict>
        </mc:Fallback>
      </mc:AlternateContent>
    </w:r>
  </w:p>
  <w:p w14:paraId="36D139F1" w14:textId="77777777" w:rsidR="006A6B2C" w:rsidRPr="002B3394" w:rsidRDefault="006A6B2C" w:rsidP="002B3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AE32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25A26"/>
    <w:multiLevelType w:val="multilevel"/>
    <w:tmpl w:val="47D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95489"/>
    <w:multiLevelType w:val="multilevel"/>
    <w:tmpl w:val="6B2E35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12876"/>
    <w:multiLevelType w:val="multilevel"/>
    <w:tmpl w:val="6B2E35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12215"/>
    <w:multiLevelType w:val="hybridMultilevel"/>
    <w:tmpl w:val="62E69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DC34B0"/>
    <w:multiLevelType w:val="multilevel"/>
    <w:tmpl w:val="638C887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98622C"/>
    <w:multiLevelType w:val="hybridMultilevel"/>
    <w:tmpl w:val="42FE5AD8"/>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B0DD0"/>
    <w:multiLevelType w:val="multilevel"/>
    <w:tmpl w:val="F1528E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9659195">
    <w:abstractNumId w:val="7"/>
  </w:num>
  <w:num w:numId="2" w16cid:durableId="357196823">
    <w:abstractNumId w:val="3"/>
  </w:num>
  <w:num w:numId="3" w16cid:durableId="607586948">
    <w:abstractNumId w:val="2"/>
  </w:num>
  <w:num w:numId="4" w16cid:durableId="1402485316">
    <w:abstractNumId w:val="4"/>
  </w:num>
  <w:num w:numId="5" w16cid:durableId="1905407087">
    <w:abstractNumId w:val="1"/>
  </w:num>
  <w:num w:numId="6" w16cid:durableId="1611814026">
    <w:abstractNumId w:val="5"/>
  </w:num>
  <w:num w:numId="7" w16cid:durableId="1381133668">
    <w:abstractNumId w:val="0"/>
  </w:num>
  <w:num w:numId="8" w16cid:durableId="726344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90"/>
    <w:rsid w:val="00002994"/>
    <w:rsid w:val="00016D27"/>
    <w:rsid w:val="00017A29"/>
    <w:rsid w:val="00020D3E"/>
    <w:rsid w:val="00023E53"/>
    <w:rsid w:val="000275AE"/>
    <w:rsid w:val="00031853"/>
    <w:rsid w:val="00031F61"/>
    <w:rsid w:val="00034428"/>
    <w:rsid w:val="00034634"/>
    <w:rsid w:val="00035C9D"/>
    <w:rsid w:val="00044EEF"/>
    <w:rsid w:val="00046FCC"/>
    <w:rsid w:val="000509BC"/>
    <w:rsid w:val="00061709"/>
    <w:rsid w:val="00064EF7"/>
    <w:rsid w:val="000717F5"/>
    <w:rsid w:val="0007245B"/>
    <w:rsid w:val="0007351A"/>
    <w:rsid w:val="00075EDA"/>
    <w:rsid w:val="0008797B"/>
    <w:rsid w:val="000A05AE"/>
    <w:rsid w:val="000A2A1C"/>
    <w:rsid w:val="000A2B27"/>
    <w:rsid w:val="000A339E"/>
    <w:rsid w:val="000A7DB5"/>
    <w:rsid w:val="000B6382"/>
    <w:rsid w:val="000B700F"/>
    <w:rsid w:val="000B78EA"/>
    <w:rsid w:val="000C75F2"/>
    <w:rsid w:val="000C779A"/>
    <w:rsid w:val="000D01F1"/>
    <w:rsid w:val="000D21EF"/>
    <w:rsid w:val="000D3E1E"/>
    <w:rsid w:val="000D4FF4"/>
    <w:rsid w:val="000D6C5B"/>
    <w:rsid w:val="000E2F86"/>
    <w:rsid w:val="000E37A0"/>
    <w:rsid w:val="000F1ECA"/>
    <w:rsid w:val="000F2DC0"/>
    <w:rsid w:val="000F4A15"/>
    <w:rsid w:val="0010066A"/>
    <w:rsid w:val="001033DC"/>
    <w:rsid w:val="00103FB1"/>
    <w:rsid w:val="001054D5"/>
    <w:rsid w:val="0011136E"/>
    <w:rsid w:val="00116B3E"/>
    <w:rsid w:val="00124A32"/>
    <w:rsid w:val="0013339D"/>
    <w:rsid w:val="00140307"/>
    <w:rsid w:val="00144D45"/>
    <w:rsid w:val="00146E1A"/>
    <w:rsid w:val="0015381E"/>
    <w:rsid w:val="00153826"/>
    <w:rsid w:val="001563C0"/>
    <w:rsid w:val="00156AAC"/>
    <w:rsid w:val="00166B35"/>
    <w:rsid w:val="00167471"/>
    <w:rsid w:val="00177EBB"/>
    <w:rsid w:val="00181493"/>
    <w:rsid w:val="00193FDE"/>
    <w:rsid w:val="00196642"/>
    <w:rsid w:val="001B4506"/>
    <w:rsid w:val="001B5C3E"/>
    <w:rsid w:val="001C436F"/>
    <w:rsid w:val="001C6576"/>
    <w:rsid w:val="001D0E65"/>
    <w:rsid w:val="001D40E3"/>
    <w:rsid w:val="001D5254"/>
    <w:rsid w:val="001E26C9"/>
    <w:rsid w:val="001E3A3C"/>
    <w:rsid w:val="001E414A"/>
    <w:rsid w:val="001F5746"/>
    <w:rsid w:val="001F5EFB"/>
    <w:rsid w:val="001F6D84"/>
    <w:rsid w:val="001F7617"/>
    <w:rsid w:val="00200120"/>
    <w:rsid w:val="00211642"/>
    <w:rsid w:val="002165EE"/>
    <w:rsid w:val="00217644"/>
    <w:rsid w:val="002223AD"/>
    <w:rsid w:val="00222804"/>
    <w:rsid w:val="002259C2"/>
    <w:rsid w:val="002277F0"/>
    <w:rsid w:val="00232D7A"/>
    <w:rsid w:val="00234295"/>
    <w:rsid w:val="00235ACC"/>
    <w:rsid w:val="00237158"/>
    <w:rsid w:val="00237E9B"/>
    <w:rsid w:val="00240B01"/>
    <w:rsid w:val="00241948"/>
    <w:rsid w:val="0024662F"/>
    <w:rsid w:val="00252E11"/>
    <w:rsid w:val="00255E16"/>
    <w:rsid w:val="00264536"/>
    <w:rsid w:val="00266B7F"/>
    <w:rsid w:val="002714A8"/>
    <w:rsid w:val="00272D4B"/>
    <w:rsid w:val="002763C9"/>
    <w:rsid w:val="0027699E"/>
    <w:rsid w:val="00277508"/>
    <w:rsid w:val="00277A14"/>
    <w:rsid w:val="00282E67"/>
    <w:rsid w:val="00283BFF"/>
    <w:rsid w:val="00290661"/>
    <w:rsid w:val="002A392E"/>
    <w:rsid w:val="002A556E"/>
    <w:rsid w:val="002B115E"/>
    <w:rsid w:val="002B3394"/>
    <w:rsid w:val="002C0DF7"/>
    <w:rsid w:val="002C40C6"/>
    <w:rsid w:val="002C4D7F"/>
    <w:rsid w:val="002D264D"/>
    <w:rsid w:val="002E230B"/>
    <w:rsid w:val="002E2810"/>
    <w:rsid w:val="002E2BBB"/>
    <w:rsid w:val="002E41D8"/>
    <w:rsid w:val="002E5C28"/>
    <w:rsid w:val="002E5C4D"/>
    <w:rsid w:val="002E5EAC"/>
    <w:rsid w:val="002E7C80"/>
    <w:rsid w:val="002F0EB5"/>
    <w:rsid w:val="002F2407"/>
    <w:rsid w:val="00303FCE"/>
    <w:rsid w:val="00320788"/>
    <w:rsid w:val="00324863"/>
    <w:rsid w:val="003269FA"/>
    <w:rsid w:val="003309EC"/>
    <w:rsid w:val="003327C3"/>
    <w:rsid w:val="00336972"/>
    <w:rsid w:val="0033771C"/>
    <w:rsid w:val="00337B9D"/>
    <w:rsid w:val="00340A7A"/>
    <w:rsid w:val="00342CEB"/>
    <w:rsid w:val="00351E81"/>
    <w:rsid w:val="00360486"/>
    <w:rsid w:val="00365619"/>
    <w:rsid w:val="00372A65"/>
    <w:rsid w:val="003917D6"/>
    <w:rsid w:val="00393AA9"/>
    <w:rsid w:val="003A4A83"/>
    <w:rsid w:val="003A69BA"/>
    <w:rsid w:val="003B394C"/>
    <w:rsid w:val="003C09C8"/>
    <w:rsid w:val="003C16D8"/>
    <w:rsid w:val="003C38D0"/>
    <w:rsid w:val="003C3CA3"/>
    <w:rsid w:val="003C478E"/>
    <w:rsid w:val="003D24E1"/>
    <w:rsid w:val="003D6A03"/>
    <w:rsid w:val="003E5606"/>
    <w:rsid w:val="003E57E7"/>
    <w:rsid w:val="003F03B5"/>
    <w:rsid w:val="003F25CB"/>
    <w:rsid w:val="003F4F96"/>
    <w:rsid w:val="003F5ED0"/>
    <w:rsid w:val="00400E11"/>
    <w:rsid w:val="004021EF"/>
    <w:rsid w:val="0040313E"/>
    <w:rsid w:val="0042039E"/>
    <w:rsid w:val="00420913"/>
    <w:rsid w:val="00421AAE"/>
    <w:rsid w:val="00422FB4"/>
    <w:rsid w:val="004341E2"/>
    <w:rsid w:val="004373B7"/>
    <w:rsid w:val="00444141"/>
    <w:rsid w:val="0045423E"/>
    <w:rsid w:val="0046159E"/>
    <w:rsid w:val="00465596"/>
    <w:rsid w:val="00475102"/>
    <w:rsid w:val="00476D8F"/>
    <w:rsid w:val="0048020A"/>
    <w:rsid w:val="0048615B"/>
    <w:rsid w:val="0048705E"/>
    <w:rsid w:val="004877AF"/>
    <w:rsid w:val="00492C18"/>
    <w:rsid w:val="004A479E"/>
    <w:rsid w:val="004A4A94"/>
    <w:rsid w:val="004A7E42"/>
    <w:rsid w:val="004B2A96"/>
    <w:rsid w:val="004B38C3"/>
    <w:rsid w:val="004C076D"/>
    <w:rsid w:val="004C1578"/>
    <w:rsid w:val="004C17F5"/>
    <w:rsid w:val="004C3970"/>
    <w:rsid w:val="004D34A8"/>
    <w:rsid w:val="004D4F17"/>
    <w:rsid w:val="004E0318"/>
    <w:rsid w:val="004E2475"/>
    <w:rsid w:val="004E5ED6"/>
    <w:rsid w:val="004E6F96"/>
    <w:rsid w:val="004E791C"/>
    <w:rsid w:val="00506947"/>
    <w:rsid w:val="00516043"/>
    <w:rsid w:val="005166F9"/>
    <w:rsid w:val="005224D3"/>
    <w:rsid w:val="00522CF2"/>
    <w:rsid w:val="00524390"/>
    <w:rsid w:val="005266E5"/>
    <w:rsid w:val="00536C27"/>
    <w:rsid w:val="00544BCF"/>
    <w:rsid w:val="00546A0B"/>
    <w:rsid w:val="00547293"/>
    <w:rsid w:val="00561078"/>
    <w:rsid w:val="00564A8F"/>
    <w:rsid w:val="00565367"/>
    <w:rsid w:val="005670A9"/>
    <w:rsid w:val="005678C1"/>
    <w:rsid w:val="005756DF"/>
    <w:rsid w:val="00577150"/>
    <w:rsid w:val="005806A5"/>
    <w:rsid w:val="0059161B"/>
    <w:rsid w:val="005A7B18"/>
    <w:rsid w:val="005B10BA"/>
    <w:rsid w:val="005B3608"/>
    <w:rsid w:val="005B5D81"/>
    <w:rsid w:val="005B72C5"/>
    <w:rsid w:val="005D1215"/>
    <w:rsid w:val="005D1AC9"/>
    <w:rsid w:val="005D26B8"/>
    <w:rsid w:val="005E68BA"/>
    <w:rsid w:val="005F77AD"/>
    <w:rsid w:val="00614B0A"/>
    <w:rsid w:val="0061613E"/>
    <w:rsid w:val="00617856"/>
    <w:rsid w:val="006220DF"/>
    <w:rsid w:val="006333A2"/>
    <w:rsid w:val="006341E3"/>
    <w:rsid w:val="00634C76"/>
    <w:rsid w:val="006462FD"/>
    <w:rsid w:val="00654C40"/>
    <w:rsid w:val="00657C42"/>
    <w:rsid w:val="0066703D"/>
    <w:rsid w:val="006732B7"/>
    <w:rsid w:val="00676385"/>
    <w:rsid w:val="00677D88"/>
    <w:rsid w:val="006803F5"/>
    <w:rsid w:val="006844B5"/>
    <w:rsid w:val="00685037"/>
    <w:rsid w:val="0068768C"/>
    <w:rsid w:val="00693856"/>
    <w:rsid w:val="006A06F4"/>
    <w:rsid w:val="006A6B2C"/>
    <w:rsid w:val="006B0F68"/>
    <w:rsid w:val="006B2F76"/>
    <w:rsid w:val="006B52B6"/>
    <w:rsid w:val="006B5C4B"/>
    <w:rsid w:val="006B6DA9"/>
    <w:rsid w:val="006C370F"/>
    <w:rsid w:val="006D0243"/>
    <w:rsid w:val="006E0CD2"/>
    <w:rsid w:val="006E0FB6"/>
    <w:rsid w:val="006E37F7"/>
    <w:rsid w:val="006F03E0"/>
    <w:rsid w:val="006F2544"/>
    <w:rsid w:val="006F7909"/>
    <w:rsid w:val="007021A5"/>
    <w:rsid w:val="007063C9"/>
    <w:rsid w:val="00710AD8"/>
    <w:rsid w:val="00713996"/>
    <w:rsid w:val="007202D7"/>
    <w:rsid w:val="00721699"/>
    <w:rsid w:val="007216FE"/>
    <w:rsid w:val="007321EB"/>
    <w:rsid w:val="007338E5"/>
    <w:rsid w:val="00740453"/>
    <w:rsid w:val="0074093C"/>
    <w:rsid w:val="00741286"/>
    <w:rsid w:val="00745DB0"/>
    <w:rsid w:val="00746E93"/>
    <w:rsid w:val="0074711A"/>
    <w:rsid w:val="00752133"/>
    <w:rsid w:val="00754108"/>
    <w:rsid w:val="00761A23"/>
    <w:rsid w:val="00761F48"/>
    <w:rsid w:val="00771B18"/>
    <w:rsid w:val="0077344D"/>
    <w:rsid w:val="0078003E"/>
    <w:rsid w:val="007821C9"/>
    <w:rsid w:val="007971B4"/>
    <w:rsid w:val="007A0039"/>
    <w:rsid w:val="007A11BB"/>
    <w:rsid w:val="007A2109"/>
    <w:rsid w:val="007A60BE"/>
    <w:rsid w:val="007B2444"/>
    <w:rsid w:val="007B3275"/>
    <w:rsid w:val="007B791E"/>
    <w:rsid w:val="007B7F0F"/>
    <w:rsid w:val="007C4FD8"/>
    <w:rsid w:val="007D1312"/>
    <w:rsid w:val="007D349B"/>
    <w:rsid w:val="007E388E"/>
    <w:rsid w:val="007E56F7"/>
    <w:rsid w:val="00815EDE"/>
    <w:rsid w:val="0082055D"/>
    <w:rsid w:val="00824704"/>
    <w:rsid w:val="0082534A"/>
    <w:rsid w:val="008260E5"/>
    <w:rsid w:val="008534F9"/>
    <w:rsid w:val="0086653A"/>
    <w:rsid w:val="00870E9B"/>
    <w:rsid w:val="00874D0F"/>
    <w:rsid w:val="00875C95"/>
    <w:rsid w:val="008774DD"/>
    <w:rsid w:val="00880805"/>
    <w:rsid w:val="00881009"/>
    <w:rsid w:val="00882094"/>
    <w:rsid w:val="008823F5"/>
    <w:rsid w:val="008826EA"/>
    <w:rsid w:val="00890DC4"/>
    <w:rsid w:val="00894E8B"/>
    <w:rsid w:val="008A210D"/>
    <w:rsid w:val="008A2284"/>
    <w:rsid w:val="008A2735"/>
    <w:rsid w:val="008C08A9"/>
    <w:rsid w:val="008C5A67"/>
    <w:rsid w:val="008C60EE"/>
    <w:rsid w:val="008D726B"/>
    <w:rsid w:val="008E1074"/>
    <w:rsid w:val="008E18BC"/>
    <w:rsid w:val="008E1B4B"/>
    <w:rsid w:val="008E4D1A"/>
    <w:rsid w:val="008F76DB"/>
    <w:rsid w:val="009028B5"/>
    <w:rsid w:val="0091008A"/>
    <w:rsid w:val="00915753"/>
    <w:rsid w:val="009316CD"/>
    <w:rsid w:val="00933027"/>
    <w:rsid w:val="00935204"/>
    <w:rsid w:val="00960CCE"/>
    <w:rsid w:val="00962585"/>
    <w:rsid w:val="00964F65"/>
    <w:rsid w:val="0097261D"/>
    <w:rsid w:val="00972E0A"/>
    <w:rsid w:val="00972EED"/>
    <w:rsid w:val="00974385"/>
    <w:rsid w:val="00977440"/>
    <w:rsid w:val="0097788B"/>
    <w:rsid w:val="00982CEF"/>
    <w:rsid w:val="00984632"/>
    <w:rsid w:val="00994AB6"/>
    <w:rsid w:val="009A691D"/>
    <w:rsid w:val="009B522D"/>
    <w:rsid w:val="009B5D9A"/>
    <w:rsid w:val="009B6726"/>
    <w:rsid w:val="009B6B1B"/>
    <w:rsid w:val="009C5A0A"/>
    <w:rsid w:val="009D197B"/>
    <w:rsid w:val="009D648C"/>
    <w:rsid w:val="009E2C5B"/>
    <w:rsid w:val="009E342D"/>
    <w:rsid w:val="00A12C70"/>
    <w:rsid w:val="00A172D4"/>
    <w:rsid w:val="00A230EF"/>
    <w:rsid w:val="00A23DD1"/>
    <w:rsid w:val="00A43827"/>
    <w:rsid w:val="00A45D19"/>
    <w:rsid w:val="00A5060A"/>
    <w:rsid w:val="00A52957"/>
    <w:rsid w:val="00A62A52"/>
    <w:rsid w:val="00A63408"/>
    <w:rsid w:val="00A6615E"/>
    <w:rsid w:val="00A772DD"/>
    <w:rsid w:val="00A80264"/>
    <w:rsid w:val="00A815BE"/>
    <w:rsid w:val="00A83875"/>
    <w:rsid w:val="00A83FB8"/>
    <w:rsid w:val="00AB431E"/>
    <w:rsid w:val="00AB60AE"/>
    <w:rsid w:val="00AC2147"/>
    <w:rsid w:val="00AC3B89"/>
    <w:rsid w:val="00AC4CA7"/>
    <w:rsid w:val="00AD2A08"/>
    <w:rsid w:val="00AD5805"/>
    <w:rsid w:val="00AF7F04"/>
    <w:rsid w:val="00B00BC8"/>
    <w:rsid w:val="00B04FD9"/>
    <w:rsid w:val="00B11252"/>
    <w:rsid w:val="00B135C6"/>
    <w:rsid w:val="00B13E8A"/>
    <w:rsid w:val="00B140FF"/>
    <w:rsid w:val="00B25793"/>
    <w:rsid w:val="00B260DF"/>
    <w:rsid w:val="00B2655A"/>
    <w:rsid w:val="00B34E9D"/>
    <w:rsid w:val="00B40D74"/>
    <w:rsid w:val="00B41878"/>
    <w:rsid w:val="00B5404D"/>
    <w:rsid w:val="00B61F81"/>
    <w:rsid w:val="00B64C6C"/>
    <w:rsid w:val="00B720F0"/>
    <w:rsid w:val="00B76575"/>
    <w:rsid w:val="00B82848"/>
    <w:rsid w:val="00B83C6D"/>
    <w:rsid w:val="00BA2976"/>
    <w:rsid w:val="00BA329E"/>
    <w:rsid w:val="00BA36EC"/>
    <w:rsid w:val="00BA5EA3"/>
    <w:rsid w:val="00BB09AB"/>
    <w:rsid w:val="00BC32A7"/>
    <w:rsid w:val="00BC3AD5"/>
    <w:rsid w:val="00BC5419"/>
    <w:rsid w:val="00BC6A7C"/>
    <w:rsid w:val="00BC7631"/>
    <w:rsid w:val="00BD2060"/>
    <w:rsid w:val="00BE2BAB"/>
    <w:rsid w:val="00BF18B7"/>
    <w:rsid w:val="00BF337B"/>
    <w:rsid w:val="00C0133B"/>
    <w:rsid w:val="00C02C2D"/>
    <w:rsid w:val="00C114B8"/>
    <w:rsid w:val="00C12D42"/>
    <w:rsid w:val="00C15040"/>
    <w:rsid w:val="00C17D35"/>
    <w:rsid w:val="00C33F55"/>
    <w:rsid w:val="00C3766F"/>
    <w:rsid w:val="00C52476"/>
    <w:rsid w:val="00C654BD"/>
    <w:rsid w:val="00C66EE6"/>
    <w:rsid w:val="00C73805"/>
    <w:rsid w:val="00C779F9"/>
    <w:rsid w:val="00C77F39"/>
    <w:rsid w:val="00C8164B"/>
    <w:rsid w:val="00C91BC0"/>
    <w:rsid w:val="00C92074"/>
    <w:rsid w:val="00C958A9"/>
    <w:rsid w:val="00CA015B"/>
    <w:rsid w:val="00CA5544"/>
    <w:rsid w:val="00CB0C90"/>
    <w:rsid w:val="00CB2190"/>
    <w:rsid w:val="00CB6FD1"/>
    <w:rsid w:val="00CC2033"/>
    <w:rsid w:val="00CC2F90"/>
    <w:rsid w:val="00CC7CC0"/>
    <w:rsid w:val="00CD010D"/>
    <w:rsid w:val="00CD03C3"/>
    <w:rsid w:val="00CD6A3B"/>
    <w:rsid w:val="00CE2A26"/>
    <w:rsid w:val="00CE2A69"/>
    <w:rsid w:val="00CE4631"/>
    <w:rsid w:val="00CF0F4D"/>
    <w:rsid w:val="00CF6BE6"/>
    <w:rsid w:val="00D17A52"/>
    <w:rsid w:val="00D2154D"/>
    <w:rsid w:val="00D225C0"/>
    <w:rsid w:val="00D25063"/>
    <w:rsid w:val="00D2583F"/>
    <w:rsid w:val="00D26481"/>
    <w:rsid w:val="00D31C78"/>
    <w:rsid w:val="00D42FC6"/>
    <w:rsid w:val="00D45517"/>
    <w:rsid w:val="00D62DC4"/>
    <w:rsid w:val="00D6410D"/>
    <w:rsid w:val="00D64CA7"/>
    <w:rsid w:val="00D66650"/>
    <w:rsid w:val="00D71B02"/>
    <w:rsid w:val="00D760A7"/>
    <w:rsid w:val="00D856E3"/>
    <w:rsid w:val="00D934C7"/>
    <w:rsid w:val="00D94C25"/>
    <w:rsid w:val="00D958C3"/>
    <w:rsid w:val="00DA4C44"/>
    <w:rsid w:val="00DB0D01"/>
    <w:rsid w:val="00DB40FC"/>
    <w:rsid w:val="00DB63F2"/>
    <w:rsid w:val="00DD460B"/>
    <w:rsid w:val="00DD7E4F"/>
    <w:rsid w:val="00DE79F7"/>
    <w:rsid w:val="00DF4FD7"/>
    <w:rsid w:val="00E05AD7"/>
    <w:rsid w:val="00E06537"/>
    <w:rsid w:val="00E06C3E"/>
    <w:rsid w:val="00E070BA"/>
    <w:rsid w:val="00E07503"/>
    <w:rsid w:val="00E079C1"/>
    <w:rsid w:val="00E13F34"/>
    <w:rsid w:val="00E1616E"/>
    <w:rsid w:val="00E21564"/>
    <w:rsid w:val="00E25EE6"/>
    <w:rsid w:val="00E269EF"/>
    <w:rsid w:val="00E26FA5"/>
    <w:rsid w:val="00E30483"/>
    <w:rsid w:val="00E31991"/>
    <w:rsid w:val="00E34100"/>
    <w:rsid w:val="00E40343"/>
    <w:rsid w:val="00E40906"/>
    <w:rsid w:val="00E40C51"/>
    <w:rsid w:val="00E56582"/>
    <w:rsid w:val="00E608C4"/>
    <w:rsid w:val="00E61CAD"/>
    <w:rsid w:val="00E62039"/>
    <w:rsid w:val="00E62B7E"/>
    <w:rsid w:val="00E63FF4"/>
    <w:rsid w:val="00E6409D"/>
    <w:rsid w:val="00E75062"/>
    <w:rsid w:val="00E76EDF"/>
    <w:rsid w:val="00E822F7"/>
    <w:rsid w:val="00E82906"/>
    <w:rsid w:val="00E83F0E"/>
    <w:rsid w:val="00E87515"/>
    <w:rsid w:val="00E9246A"/>
    <w:rsid w:val="00E9677A"/>
    <w:rsid w:val="00EA1671"/>
    <w:rsid w:val="00EB49B7"/>
    <w:rsid w:val="00EC01B9"/>
    <w:rsid w:val="00ED2853"/>
    <w:rsid w:val="00ED3E21"/>
    <w:rsid w:val="00ED755D"/>
    <w:rsid w:val="00EE64FE"/>
    <w:rsid w:val="00EF11DB"/>
    <w:rsid w:val="00EF5F59"/>
    <w:rsid w:val="00F060CB"/>
    <w:rsid w:val="00F133C4"/>
    <w:rsid w:val="00F14A94"/>
    <w:rsid w:val="00F15253"/>
    <w:rsid w:val="00F207C9"/>
    <w:rsid w:val="00F22022"/>
    <w:rsid w:val="00F30D66"/>
    <w:rsid w:val="00F31605"/>
    <w:rsid w:val="00F33DBE"/>
    <w:rsid w:val="00F40A89"/>
    <w:rsid w:val="00F5005C"/>
    <w:rsid w:val="00F54671"/>
    <w:rsid w:val="00F57EA1"/>
    <w:rsid w:val="00F615C1"/>
    <w:rsid w:val="00F65BED"/>
    <w:rsid w:val="00F71641"/>
    <w:rsid w:val="00F72EB3"/>
    <w:rsid w:val="00F738BF"/>
    <w:rsid w:val="00F77031"/>
    <w:rsid w:val="00F81A03"/>
    <w:rsid w:val="00F821E6"/>
    <w:rsid w:val="00F85535"/>
    <w:rsid w:val="00F92E70"/>
    <w:rsid w:val="00F93C7F"/>
    <w:rsid w:val="00F9444D"/>
    <w:rsid w:val="00F94B00"/>
    <w:rsid w:val="00FA06C0"/>
    <w:rsid w:val="00FA0893"/>
    <w:rsid w:val="00FA1443"/>
    <w:rsid w:val="00FC7957"/>
    <w:rsid w:val="00FD5646"/>
    <w:rsid w:val="00FD68DA"/>
    <w:rsid w:val="00FD6EE6"/>
    <w:rsid w:val="00FD7CF6"/>
    <w:rsid w:val="00FE298C"/>
    <w:rsid w:val="00FE6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B60E2"/>
  <w15:docId w15:val="{97A0C631-3D91-4F49-9D20-7E21E98A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994"/>
    <w:pPr>
      <w:spacing w:after="200" w:line="276" w:lineRule="auto"/>
      <w:ind w:left="720"/>
      <w:contextualSpacing/>
    </w:pPr>
    <w:rPr>
      <w:rFonts w:eastAsiaTheme="minorHAnsi"/>
      <w:kern w:val="0"/>
      <w14:ligatures w14:val="none"/>
    </w:rPr>
  </w:style>
  <w:style w:type="table" w:styleId="TableGrid">
    <w:name w:val="Table Grid"/>
    <w:basedOn w:val="TableNormal"/>
    <w:uiPriority w:val="59"/>
    <w:rsid w:val="00002994"/>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994"/>
    <w:rPr>
      <w:color w:val="0000FF"/>
      <w:u w:val="single"/>
    </w:rPr>
  </w:style>
  <w:style w:type="paragraph" w:styleId="Header">
    <w:name w:val="header"/>
    <w:basedOn w:val="Normal"/>
    <w:link w:val="HeaderChar"/>
    <w:uiPriority w:val="99"/>
    <w:unhideWhenUsed/>
    <w:rsid w:val="00771B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1B18"/>
  </w:style>
  <w:style w:type="paragraph" w:styleId="Footer">
    <w:name w:val="footer"/>
    <w:basedOn w:val="Normal"/>
    <w:link w:val="FooterChar"/>
    <w:uiPriority w:val="99"/>
    <w:unhideWhenUsed/>
    <w:rsid w:val="00771B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1B18"/>
  </w:style>
  <w:style w:type="character" w:customStyle="1" w:styleId="UnresolvedMention1">
    <w:name w:val="Unresolved Mention1"/>
    <w:basedOn w:val="DefaultParagraphFont"/>
    <w:uiPriority w:val="99"/>
    <w:semiHidden/>
    <w:unhideWhenUsed/>
    <w:rsid w:val="00754108"/>
    <w:rPr>
      <w:color w:val="605E5C"/>
      <w:shd w:val="clear" w:color="auto" w:fill="E1DFDD"/>
    </w:rPr>
  </w:style>
  <w:style w:type="paragraph" w:styleId="BalloonText">
    <w:name w:val="Balloon Text"/>
    <w:basedOn w:val="Normal"/>
    <w:link w:val="BalloonTextChar"/>
    <w:uiPriority w:val="99"/>
    <w:semiHidden/>
    <w:unhideWhenUsed/>
    <w:rsid w:val="006F7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909"/>
    <w:rPr>
      <w:rFonts w:ascii="Tahoma" w:hAnsi="Tahoma" w:cs="Tahoma"/>
      <w:sz w:val="16"/>
      <w:szCs w:val="16"/>
    </w:rPr>
  </w:style>
  <w:style w:type="paragraph" w:styleId="Caption">
    <w:name w:val="caption"/>
    <w:basedOn w:val="Normal"/>
    <w:next w:val="Normal"/>
    <w:uiPriority w:val="35"/>
    <w:unhideWhenUsed/>
    <w:qFormat/>
    <w:rsid w:val="008A210D"/>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721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2613">
      <w:bodyDiv w:val="1"/>
      <w:marLeft w:val="0"/>
      <w:marRight w:val="0"/>
      <w:marTop w:val="0"/>
      <w:marBottom w:val="0"/>
      <w:divBdr>
        <w:top w:val="none" w:sz="0" w:space="0" w:color="auto"/>
        <w:left w:val="none" w:sz="0" w:space="0" w:color="auto"/>
        <w:bottom w:val="none" w:sz="0" w:space="0" w:color="auto"/>
        <w:right w:val="none" w:sz="0" w:space="0" w:color="auto"/>
      </w:divBdr>
    </w:div>
    <w:div w:id="979458206">
      <w:bodyDiv w:val="1"/>
      <w:marLeft w:val="0"/>
      <w:marRight w:val="0"/>
      <w:marTop w:val="0"/>
      <w:marBottom w:val="0"/>
      <w:divBdr>
        <w:top w:val="none" w:sz="0" w:space="0" w:color="auto"/>
        <w:left w:val="none" w:sz="0" w:space="0" w:color="auto"/>
        <w:bottom w:val="none" w:sz="0" w:space="0" w:color="auto"/>
        <w:right w:val="none" w:sz="0" w:space="0" w:color="auto"/>
      </w:divBdr>
    </w:div>
    <w:div w:id="1099060273">
      <w:bodyDiv w:val="1"/>
      <w:marLeft w:val="0"/>
      <w:marRight w:val="0"/>
      <w:marTop w:val="0"/>
      <w:marBottom w:val="0"/>
      <w:divBdr>
        <w:top w:val="none" w:sz="0" w:space="0" w:color="auto"/>
        <w:left w:val="none" w:sz="0" w:space="0" w:color="auto"/>
        <w:bottom w:val="none" w:sz="0" w:space="0" w:color="auto"/>
        <w:right w:val="none" w:sz="0" w:space="0" w:color="auto"/>
      </w:divBdr>
    </w:div>
    <w:div w:id="1594322241">
      <w:bodyDiv w:val="1"/>
      <w:marLeft w:val="0"/>
      <w:marRight w:val="0"/>
      <w:marTop w:val="0"/>
      <w:marBottom w:val="0"/>
      <w:divBdr>
        <w:top w:val="none" w:sz="0" w:space="0" w:color="auto"/>
        <w:left w:val="none" w:sz="0" w:space="0" w:color="auto"/>
        <w:bottom w:val="none" w:sz="0" w:space="0" w:color="auto"/>
        <w:right w:val="none" w:sz="0" w:space="0" w:color="auto"/>
      </w:divBdr>
    </w:div>
    <w:div w:id="1603369221">
      <w:bodyDiv w:val="1"/>
      <w:marLeft w:val="0"/>
      <w:marRight w:val="0"/>
      <w:marTop w:val="0"/>
      <w:marBottom w:val="0"/>
      <w:divBdr>
        <w:top w:val="none" w:sz="0" w:space="0" w:color="auto"/>
        <w:left w:val="none" w:sz="0" w:space="0" w:color="auto"/>
        <w:bottom w:val="none" w:sz="0" w:space="0" w:color="auto"/>
        <w:right w:val="none" w:sz="0" w:space="0" w:color="auto"/>
      </w:divBdr>
    </w:div>
    <w:div w:id="18029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RCID:%200000-0003-1324-58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iman.elkasrawy@med.tanta.edu.e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file:///C:\Users\MICROSOFT\Downloads\10.21608\AJGH.2024.268866.10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6288</Words>
  <Characters>36032</Characters>
  <Application>Microsoft Office Word</Application>
  <DocSecurity>0</DocSecurity>
  <Lines>837</Lines>
  <Paragraphs>542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Cardiac Dysfunction and Its Relation to Degree of Esophageal Varices in Cirrhoti</vt:lpstr>
    </vt:vector>
  </TitlesOfParts>
  <Company>home</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kariman.kasrawy@gmail.com</dc:creator>
  <cp:lastModifiedBy>SYSalem</cp:lastModifiedBy>
  <cp:revision>2</cp:revision>
  <dcterms:created xsi:type="dcterms:W3CDTF">2024-05-16T09:49:00Z</dcterms:created>
  <dcterms:modified xsi:type="dcterms:W3CDTF">2024-05-16T09:49:00Z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900e76a729402e7e374c38f799293eceb8834683dc1f81a267c5110a037e5d0d</vt:lpwstr>
  </property>
</Properties>
</file>