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50" w:rsidRPr="001F7550" w:rsidRDefault="001F7550" w:rsidP="001F7550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1F7550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Response to editor/reviewer comments regarding manuscript NO. </w:t>
      </w:r>
      <w:r w:rsidRPr="001F7550">
        <w:rPr>
          <w:rFonts w:asciiTheme="majorBidi" w:hAnsiTheme="majorBidi" w:cstheme="majorBidi"/>
          <w:b/>
          <w:bCs/>
          <w:sz w:val="24"/>
          <w:szCs w:val="24"/>
          <w:lang w:bidi="ar-EG"/>
        </w:rPr>
        <w:t>AJGH-2407-1057</w:t>
      </w:r>
    </w:p>
    <w:p w:rsidR="00E8110D" w:rsidRDefault="00A72618" w:rsidP="001F7550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Dear editor-in-chief, </w:t>
      </w:r>
    </w:p>
    <w:p w:rsidR="00A72618" w:rsidRDefault="00A72618" w:rsidP="00A72618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Thanks a lot for considering my manuscript for publication in your valuable journal. </w:t>
      </w:r>
      <w:r w:rsidR="00E05B8F">
        <w:rPr>
          <w:rFonts w:asciiTheme="majorBidi" w:hAnsiTheme="majorBidi" w:cstheme="majorBidi"/>
          <w:sz w:val="24"/>
          <w:szCs w:val="24"/>
          <w:lang w:bidi="ar-EG"/>
        </w:rPr>
        <w:t>Response to editor/reviewer comments were included. Modification in response to your comments was highlighted in text.</w:t>
      </w:r>
    </w:p>
    <w:p w:rsidR="00E05B8F" w:rsidRDefault="00E05B8F" w:rsidP="00E05B8F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Thanks in advance</w:t>
      </w:r>
    </w:p>
    <w:p w:rsidR="00E05B8F" w:rsidRDefault="00E05B8F" w:rsidP="00E05B8F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Corresponding author</w:t>
      </w:r>
    </w:p>
    <w:p w:rsidR="00E05B8F" w:rsidRDefault="00E05B8F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br w:type="page"/>
      </w:r>
    </w:p>
    <w:p w:rsidR="00A72618" w:rsidRPr="00B11974" w:rsidRDefault="00A72618" w:rsidP="00A72618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  <w:bookmarkStart w:id="0" w:name="_GoBack"/>
      <w:bookmarkEnd w:id="0"/>
      <w:r w:rsidRPr="00B11974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lastRenderedPageBreak/>
        <w:t>Response to reviewer 1:</w:t>
      </w:r>
    </w:p>
    <w:p w:rsidR="00A72618" w:rsidRDefault="00A72618" w:rsidP="00A72618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A72618">
        <w:rPr>
          <w:rFonts w:asciiTheme="majorBidi" w:hAnsiTheme="majorBidi" w:cstheme="majorBidi"/>
          <w:b/>
          <w:bCs/>
          <w:sz w:val="24"/>
          <w:szCs w:val="24"/>
          <w:lang w:bidi="ar-EG"/>
        </w:rPr>
        <w:t>I wonder why you don't use the noninvasive laboratory parameters to diagnose and assess NAFLD</w:t>
      </w:r>
      <w:r w:rsidRPr="00A72618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.</w:t>
      </w:r>
      <w:r w:rsidRPr="00A72618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A72618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It's worth noting that relying solely on ultrasound findings may not be sufficient. The inclusion of </w:t>
      </w:r>
      <w:proofErr w:type="spellStart"/>
      <w:r w:rsidRPr="00A72618">
        <w:rPr>
          <w:rFonts w:asciiTheme="majorBidi" w:hAnsiTheme="majorBidi" w:cstheme="majorBidi"/>
          <w:b/>
          <w:bCs/>
          <w:sz w:val="24"/>
          <w:szCs w:val="24"/>
          <w:lang w:bidi="ar-EG"/>
        </w:rPr>
        <w:t>elastography</w:t>
      </w:r>
      <w:proofErr w:type="spellEnd"/>
      <w:r w:rsidRPr="00A72618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could provide a more comprehensive assessment of NAFLD.</w:t>
      </w:r>
    </w:p>
    <w:p w:rsidR="00B11974" w:rsidRDefault="00A72618" w:rsidP="00A72618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A72618">
        <w:rPr>
          <w:rFonts w:asciiTheme="majorBidi" w:hAnsiTheme="majorBidi" w:cstheme="majorBidi"/>
          <w:sz w:val="24"/>
          <w:szCs w:val="24"/>
          <w:lang w:bidi="ar-EG"/>
        </w:rPr>
        <w:t>This is a good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 point to be considered. We used ultrasound because it is widely available in routine clinical practice, non-invasive and easily applicable</w:t>
      </w:r>
      <w:r w:rsidR="00B11974">
        <w:rPr>
          <w:rFonts w:asciiTheme="majorBidi" w:hAnsiTheme="majorBidi" w:cstheme="majorBidi"/>
          <w:sz w:val="24"/>
          <w:szCs w:val="24"/>
          <w:lang w:bidi="ar-EG"/>
        </w:rPr>
        <w:t xml:space="preserve">. Not all physicians have the skill and/or competence of transient </w:t>
      </w:r>
      <w:proofErr w:type="spellStart"/>
      <w:r w:rsidR="00B11974">
        <w:rPr>
          <w:rFonts w:asciiTheme="majorBidi" w:hAnsiTheme="majorBidi" w:cstheme="majorBidi"/>
          <w:sz w:val="24"/>
          <w:szCs w:val="24"/>
          <w:lang w:bidi="ar-EG"/>
        </w:rPr>
        <w:t>elastography</w:t>
      </w:r>
      <w:proofErr w:type="spellEnd"/>
      <w:r w:rsidR="00B11974">
        <w:rPr>
          <w:rFonts w:asciiTheme="majorBidi" w:hAnsiTheme="majorBidi" w:cstheme="majorBidi"/>
          <w:sz w:val="24"/>
          <w:szCs w:val="24"/>
          <w:lang w:bidi="ar-EG"/>
        </w:rPr>
        <w:t xml:space="preserve"> and </w:t>
      </w:r>
      <w:r w:rsidR="00B11974" w:rsidRPr="00B11974">
        <w:rPr>
          <w:rFonts w:asciiTheme="majorBidi" w:hAnsiTheme="majorBidi" w:cstheme="majorBidi"/>
          <w:sz w:val="24"/>
          <w:szCs w:val="24"/>
          <w:lang w:bidi="ar-EG"/>
        </w:rPr>
        <w:t xml:space="preserve">magnetic resonance </w:t>
      </w:r>
      <w:proofErr w:type="spellStart"/>
      <w:r w:rsidR="00B11974" w:rsidRPr="00B11974">
        <w:rPr>
          <w:rFonts w:asciiTheme="majorBidi" w:hAnsiTheme="majorBidi" w:cstheme="majorBidi"/>
          <w:sz w:val="24"/>
          <w:szCs w:val="24"/>
          <w:lang w:bidi="ar-EG"/>
        </w:rPr>
        <w:t>elastography</w:t>
      </w:r>
      <w:proofErr w:type="spellEnd"/>
      <w:r w:rsidR="00B11974">
        <w:rPr>
          <w:rFonts w:asciiTheme="majorBidi" w:hAnsiTheme="majorBidi" w:cstheme="majorBidi"/>
          <w:sz w:val="24"/>
          <w:szCs w:val="24"/>
          <w:lang w:bidi="ar-EG"/>
        </w:rPr>
        <w:t xml:space="preserve"> is not widely available.</w:t>
      </w:r>
    </w:p>
    <w:p w:rsidR="00A72618" w:rsidRDefault="00B11974" w:rsidP="00B11974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B11974">
        <w:rPr>
          <w:rFonts w:asciiTheme="majorBidi" w:hAnsiTheme="majorBidi" w:cstheme="majorBidi"/>
          <w:b/>
          <w:bCs/>
          <w:sz w:val="24"/>
          <w:szCs w:val="24"/>
          <w:lang w:bidi="ar-EG"/>
        </w:rPr>
        <w:t>The relationship between NAFLD and H. Pylori, for which you rely on serology for diagnosis, needs further assessment regarding the benefit of this finding and its clinical implications.</w:t>
      </w:r>
      <w:r w:rsidR="00A72618" w:rsidRPr="00B1197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</w:p>
    <w:p w:rsidR="00B11974" w:rsidRDefault="00B11974" w:rsidP="00B11974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B11974">
        <w:rPr>
          <w:rFonts w:asciiTheme="majorBidi" w:hAnsiTheme="majorBidi" w:cstheme="majorBidi"/>
          <w:sz w:val="24"/>
          <w:szCs w:val="24"/>
          <w:lang w:bidi="ar-EG"/>
        </w:rPr>
        <w:t>Our finding shows the association between H. pylori infection and NAFLD</w:t>
      </w:r>
      <w:r>
        <w:rPr>
          <w:rFonts w:asciiTheme="majorBidi" w:hAnsiTheme="majorBidi" w:cstheme="majorBidi"/>
          <w:sz w:val="24"/>
          <w:szCs w:val="24"/>
          <w:lang w:bidi="ar-EG"/>
        </w:rPr>
        <w:t>. This may have clinical significance, f</w:t>
      </w:r>
      <w:r w:rsidRPr="00B11974">
        <w:rPr>
          <w:rFonts w:asciiTheme="majorBidi" w:hAnsiTheme="majorBidi" w:cstheme="majorBidi"/>
          <w:sz w:val="24"/>
          <w:szCs w:val="24"/>
          <w:lang w:bidi="ar-EG"/>
        </w:rPr>
        <w:t xml:space="preserve">urther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prospective </w:t>
      </w:r>
      <w:r w:rsidRPr="00B11974">
        <w:rPr>
          <w:rFonts w:asciiTheme="majorBidi" w:hAnsiTheme="majorBidi" w:cstheme="majorBidi"/>
          <w:sz w:val="24"/>
          <w:szCs w:val="24"/>
          <w:lang w:bidi="ar-EG"/>
        </w:rPr>
        <w:t>studies are needed to show whether screening patients with NAFLD for H. pylori infection is clinically useful at diagnosis and whether early eradication of infection may retard NAFLD progression.</w:t>
      </w:r>
    </w:p>
    <w:p w:rsidR="00B11974" w:rsidRDefault="00B11974" w:rsidP="00B11974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  <w:r w:rsidRPr="00B11974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Response to reviewer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2</w:t>
      </w:r>
      <w:r w:rsidRPr="00B11974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:</w:t>
      </w:r>
    </w:p>
    <w:p w:rsidR="00B11974" w:rsidRDefault="00B11974" w:rsidP="00B11974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B11974">
        <w:rPr>
          <w:rFonts w:asciiTheme="majorBidi" w:hAnsiTheme="majorBidi" w:cstheme="majorBidi"/>
          <w:b/>
          <w:bCs/>
          <w:sz w:val="24"/>
          <w:szCs w:val="24"/>
          <w:lang w:bidi="ar-EG"/>
        </w:rPr>
        <w:t>26,27 a significantly higher number of patients with positive H It is better to say (a considerably higher value of h pylori infection)</w:t>
      </w:r>
    </w:p>
    <w:p w:rsidR="00B11974" w:rsidRDefault="00B11974" w:rsidP="00B11974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B11974">
        <w:rPr>
          <w:rFonts w:asciiTheme="majorBidi" w:hAnsiTheme="majorBidi" w:cstheme="majorBidi"/>
          <w:sz w:val="24"/>
          <w:szCs w:val="24"/>
          <w:lang w:bidi="ar-EG"/>
        </w:rPr>
        <w:t>This was corrected and highlighted in the associated manuscript file.</w:t>
      </w:r>
    </w:p>
    <w:p w:rsidR="00B11974" w:rsidRDefault="00B11974" w:rsidP="00B11974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B11974">
        <w:rPr>
          <w:rFonts w:asciiTheme="majorBidi" w:hAnsiTheme="majorBidi" w:cstheme="majorBidi"/>
          <w:b/>
          <w:bCs/>
          <w:sz w:val="24"/>
          <w:szCs w:val="24"/>
          <w:lang w:bidi="ar-EG"/>
        </w:rPr>
        <w:t>62,63 were further subdivided into three subgroups based on the severity of NAFLD by ultrasound (US) What are the three subgroups?</w:t>
      </w:r>
    </w:p>
    <w:p w:rsidR="00B11974" w:rsidRDefault="00B11974" w:rsidP="00B11974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B11974">
        <w:rPr>
          <w:rFonts w:asciiTheme="majorBidi" w:hAnsiTheme="majorBidi" w:cstheme="majorBidi"/>
          <w:sz w:val="24"/>
          <w:szCs w:val="24"/>
          <w:lang w:bidi="ar-EG"/>
        </w:rPr>
        <w:t>Grade 1, grade 2 and grade 3. These were added and highlighted in text and details are mentioned in page 3 (last section)</w:t>
      </w:r>
    </w:p>
    <w:p w:rsidR="00B11974" w:rsidRDefault="00B11974" w:rsidP="00B11974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B11974">
        <w:rPr>
          <w:rFonts w:asciiTheme="majorBidi" w:hAnsiTheme="majorBidi" w:cstheme="majorBidi"/>
          <w:b/>
          <w:bCs/>
          <w:sz w:val="24"/>
          <w:szCs w:val="24"/>
          <w:lang w:bidi="ar-EG"/>
        </w:rPr>
        <w:t>106 IR was assessed using the homeostatic model assessment for insulin resistance (HOMA-IR) What is the equation?</w:t>
      </w:r>
    </w:p>
    <w:p w:rsidR="00B11974" w:rsidRDefault="00B11974" w:rsidP="00B11974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B11974">
        <w:rPr>
          <w:rFonts w:asciiTheme="majorBidi" w:hAnsiTheme="majorBidi" w:cstheme="majorBidi"/>
          <w:sz w:val="24"/>
          <w:szCs w:val="24"/>
          <w:lang w:bidi="ar-EG"/>
        </w:rPr>
        <w:t>HOMA-IR is calculated as [Fasting Insulin (</w:t>
      </w:r>
      <w:proofErr w:type="spellStart"/>
      <w:r w:rsidRPr="00B11974">
        <w:rPr>
          <w:rFonts w:asciiTheme="majorBidi" w:hAnsiTheme="majorBidi" w:cstheme="majorBidi"/>
          <w:sz w:val="24"/>
          <w:szCs w:val="24"/>
          <w:lang w:bidi="ar-EG"/>
        </w:rPr>
        <w:t>μg</w:t>
      </w:r>
      <w:proofErr w:type="spellEnd"/>
      <w:r w:rsidRPr="00B11974">
        <w:rPr>
          <w:rFonts w:asciiTheme="majorBidi" w:hAnsiTheme="majorBidi" w:cstheme="majorBidi"/>
          <w:sz w:val="24"/>
          <w:szCs w:val="24"/>
          <w:lang w:bidi="ar-EG"/>
        </w:rPr>
        <w:t>/ml)]*[Fasting Glucose (</w:t>
      </w:r>
      <w:proofErr w:type="spellStart"/>
      <w:r w:rsidRPr="00B11974">
        <w:rPr>
          <w:rFonts w:asciiTheme="majorBidi" w:hAnsiTheme="majorBidi" w:cstheme="majorBidi"/>
          <w:sz w:val="24"/>
          <w:szCs w:val="24"/>
          <w:lang w:bidi="ar-EG"/>
        </w:rPr>
        <w:t>mmol</w:t>
      </w:r>
      <w:proofErr w:type="spellEnd"/>
      <w:r w:rsidRPr="00B11974">
        <w:rPr>
          <w:rFonts w:asciiTheme="majorBidi" w:hAnsiTheme="majorBidi" w:cstheme="majorBidi"/>
          <w:sz w:val="24"/>
          <w:szCs w:val="24"/>
          <w:lang w:bidi="ar-EG"/>
        </w:rPr>
        <w:t>/l)]/22.5</w:t>
      </w:r>
      <w:r w:rsidRPr="00B11974">
        <w:rPr>
          <w:rFonts w:asciiTheme="majorBidi" w:hAnsiTheme="majorBidi" w:cstheme="majorBidi"/>
          <w:sz w:val="24"/>
          <w:szCs w:val="24"/>
          <w:lang w:bidi="ar-EG"/>
        </w:rPr>
        <w:t xml:space="preserve">.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To convert to non-SI units: </w:t>
      </w:r>
      <w:r w:rsidRPr="00B11974">
        <w:rPr>
          <w:rFonts w:asciiTheme="majorBidi" w:hAnsiTheme="majorBidi" w:cstheme="majorBidi"/>
          <w:sz w:val="24"/>
          <w:szCs w:val="24"/>
          <w:lang w:bidi="ar-EG"/>
        </w:rPr>
        <w:t xml:space="preserve">Insulin: </w:t>
      </w:r>
      <w:proofErr w:type="spellStart"/>
      <w:r w:rsidRPr="00B11974">
        <w:rPr>
          <w:rFonts w:asciiTheme="majorBidi" w:hAnsiTheme="majorBidi" w:cstheme="majorBidi"/>
          <w:sz w:val="24"/>
          <w:szCs w:val="24"/>
          <w:lang w:bidi="ar-EG"/>
        </w:rPr>
        <w:t>pmol</w:t>
      </w:r>
      <w:proofErr w:type="spellEnd"/>
      <w:r w:rsidRPr="00B11974">
        <w:rPr>
          <w:rFonts w:asciiTheme="majorBidi" w:hAnsiTheme="majorBidi" w:cstheme="majorBidi"/>
          <w:sz w:val="24"/>
          <w:szCs w:val="24"/>
          <w:lang w:bidi="ar-EG"/>
        </w:rPr>
        <w:t xml:space="preserve">/L to </w:t>
      </w:r>
      <w:proofErr w:type="spellStart"/>
      <w:r w:rsidRPr="00B11974">
        <w:rPr>
          <w:rFonts w:asciiTheme="majorBidi" w:hAnsiTheme="majorBidi" w:cstheme="majorBidi"/>
          <w:sz w:val="24"/>
          <w:szCs w:val="24"/>
          <w:lang w:bidi="ar-EG"/>
        </w:rPr>
        <w:t>uIU</w:t>
      </w:r>
      <w:proofErr w:type="spellEnd"/>
      <w:r w:rsidRPr="00B11974">
        <w:rPr>
          <w:rFonts w:asciiTheme="majorBidi" w:hAnsiTheme="majorBidi" w:cstheme="majorBidi"/>
          <w:sz w:val="24"/>
          <w:szCs w:val="24"/>
          <w:lang w:bidi="ar-EG"/>
        </w:rPr>
        <w:t>/mL, divide by 6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Pr="00B11974">
        <w:rPr>
          <w:rFonts w:asciiTheme="majorBidi" w:hAnsiTheme="majorBidi" w:cstheme="majorBidi"/>
          <w:sz w:val="24"/>
          <w:szCs w:val="24"/>
          <w:lang w:bidi="ar-EG"/>
        </w:rPr>
        <w:t xml:space="preserve">Glucose: </w:t>
      </w:r>
      <w:proofErr w:type="spellStart"/>
      <w:r w:rsidRPr="00B11974">
        <w:rPr>
          <w:rFonts w:asciiTheme="majorBidi" w:hAnsiTheme="majorBidi" w:cstheme="majorBidi"/>
          <w:sz w:val="24"/>
          <w:szCs w:val="24"/>
          <w:lang w:bidi="ar-EG"/>
        </w:rPr>
        <w:t>mmol</w:t>
      </w:r>
      <w:proofErr w:type="spellEnd"/>
      <w:r w:rsidRPr="00B11974">
        <w:rPr>
          <w:rFonts w:asciiTheme="majorBidi" w:hAnsiTheme="majorBidi" w:cstheme="majorBidi"/>
          <w:sz w:val="24"/>
          <w:szCs w:val="24"/>
          <w:lang w:bidi="ar-EG"/>
        </w:rPr>
        <w:t>/L to mg/</w:t>
      </w:r>
      <w:proofErr w:type="spellStart"/>
      <w:r w:rsidRPr="00B11974">
        <w:rPr>
          <w:rFonts w:asciiTheme="majorBidi" w:hAnsiTheme="majorBidi" w:cstheme="majorBidi"/>
          <w:sz w:val="24"/>
          <w:szCs w:val="24"/>
          <w:lang w:bidi="ar-EG"/>
        </w:rPr>
        <w:t>dL</w:t>
      </w:r>
      <w:proofErr w:type="spellEnd"/>
      <w:r w:rsidRPr="00B11974">
        <w:rPr>
          <w:rFonts w:asciiTheme="majorBidi" w:hAnsiTheme="majorBidi" w:cstheme="majorBidi"/>
          <w:sz w:val="24"/>
          <w:szCs w:val="24"/>
          <w:lang w:bidi="ar-EG"/>
        </w:rPr>
        <w:t>, multiply by 18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(reference 19). This was added and highlighted in text.</w:t>
      </w:r>
    </w:p>
    <w:p w:rsidR="00B11974" w:rsidRDefault="00B11974" w:rsidP="00B11974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B11974">
        <w:rPr>
          <w:rFonts w:asciiTheme="majorBidi" w:hAnsiTheme="majorBidi" w:cstheme="majorBidi"/>
          <w:b/>
          <w:bCs/>
          <w:sz w:val="24"/>
          <w:szCs w:val="24"/>
          <w:lang w:bidi="ar-EG"/>
        </w:rPr>
        <w:t>136 WHR What is meant by?</w:t>
      </w:r>
    </w:p>
    <w:p w:rsidR="00F9768D" w:rsidRDefault="00B11974" w:rsidP="00B11974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5B78F7">
        <w:rPr>
          <w:rFonts w:asciiTheme="majorBidi" w:hAnsiTheme="majorBidi" w:cstheme="majorBidi"/>
          <w:sz w:val="24"/>
          <w:szCs w:val="24"/>
          <w:lang w:bidi="ar-EG"/>
        </w:rPr>
        <w:t>The waist–hip ratio or waist-to-hip ratio (WHR) is the </w:t>
      </w:r>
      <w:hyperlink r:id="rId8" w:tooltip="Dimensionless" w:history="1">
        <w:r w:rsidRPr="005B78F7">
          <w:rPr>
            <w:rFonts w:asciiTheme="majorBidi" w:hAnsiTheme="majorBidi" w:cstheme="majorBidi"/>
            <w:sz w:val="24"/>
            <w:szCs w:val="24"/>
            <w:lang w:bidi="ar-EG"/>
          </w:rPr>
          <w:t>dimensionless</w:t>
        </w:r>
      </w:hyperlink>
      <w:r w:rsidRPr="005B78F7">
        <w:rPr>
          <w:rFonts w:asciiTheme="majorBidi" w:hAnsiTheme="majorBidi" w:cstheme="majorBidi"/>
          <w:sz w:val="24"/>
          <w:szCs w:val="24"/>
          <w:lang w:bidi="ar-EG"/>
        </w:rPr>
        <w:t> </w:t>
      </w:r>
      <w:hyperlink r:id="rId9" w:tooltip="Ratio" w:history="1">
        <w:r w:rsidRPr="005B78F7">
          <w:rPr>
            <w:rFonts w:asciiTheme="majorBidi" w:hAnsiTheme="majorBidi" w:cstheme="majorBidi"/>
            <w:sz w:val="24"/>
            <w:szCs w:val="24"/>
            <w:lang w:bidi="ar-EG"/>
          </w:rPr>
          <w:t>ratio</w:t>
        </w:r>
      </w:hyperlink>
      <w:r w:rsidRPr="005B78F7">
        <w:rPr>
          <w:rFonts w:asciiTheme="majorBidi" w:hAnsiTheme="majorBidi" w:cstheme="majorBidi"/>
          <w:sz w:val="24"/>
          <w:szCs w:val="24"/>
          <w:lang w:bidi="ar-EG"/>
        </w:rPr>
        <w:t> of the circumference of the </w:t>
      </w:r>
      <w:hyperlink r:id="rId10" w:tooltip="Waist" w:history="1">
        <w:r w:rsidRPr="005B78F7">
          <w:rPr>
            <w:rFonts w:asciiTheme="majorBidi" w:hAnsiTheme="majorBidi" w:cstheme="majorBidi"/>
            <w:sz w:val="24"/>
            <w:szCs w:val="24"/>
            <w:lang w:bidi="ar-EG"/>
          </w:rPr>
          <w:t>waist</w:t>
        </w:r>
      </w:hyperlink>
      <w:r w:rsidRPr="005B78F7">
        <w:rPr>
          <w:rFonts w:asciiTheme="majorBidi" w:hAnsiTheme="majorBidi" w:cstheme="majorBidi"/>
          <w:sz w:val="24"/>
          <w:szCs w:val="24"/>
          <w:lang w:bidi="ar-EG"/>
        </w:rPr>
        <w:t> to that of the </w:t>
      </w:r>
      <w:hyperlink r:id="rId11" w:tooltip="Hip" w:history="1">
        <w:r w:rsidRPr="005B78F7">
          <w:rPr>
            <w:rFonts w:asciiTheme="majorBidi" w:hAnsiTheme="majorBidi" w:cstheme="majorBidi"/>
            <w:sz w:val="24"/>
            <w:szCs w:val="24"/>
            <w:lang w:bidi="ar-EG"/>
          </w:rPr>
          <w:t>hips</w:t>
        </w:r>
      </w:hyperlink>
      <w:r w:rsidRPr="005B78F7">
        <w:rPr>
          <w:rFonts w:asciiTheme="majorBidi" w:hAnsiTheme="majorBidi" w:cstheme="majorBidi"/>
          <w:sz w:val="24"/>
          <w:szCs w:val="24"/>
          <w:lang w:bidi="ar-EG"/>
        </w:rPr>
        <w:t>.</w:t>
      </w:r>
      <w:r w:rsidR="005B78F7" w:rsidRPr="005B78F7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5B78F7" w:rsidRPr="005B78F7">
        <w:rPr>
          <w:rFonts w:asciiTheme="majorBidi" w:hAnsiTheme="majorBidi" w:cstheme="majorBidi"/>
          <w:sz w:val="24"/>
          <w:szCs w:val="24"/>
          <w:lang w:bidi="ar-EG"/>
        </w:rPr>
        <w:t>the waist circumference should be measured at the midpoint between the lower margin of the last palpable ribs and the top of the </w:t>
      </w:r>
      <w:hyperlink r:id="rId12" w:tooltip="Iliac crest" w:history="1">
        <w:r w:rsidR="005B78F7" w:rsidRPr="005B78F7">
          <w:rPr>
            <w:rFonts w:asciiTheme="majorBidi" w:hAnsiTheme="majorBidi" w:cstheme="majorBidi"/>
            <w:sz w:val="24"/>
            <w:szCs w:val="24"/>
            <w:lang w:bidi="ar-EG"/>
          </w:rPr>
          <w:t>iliac crest</w:t>
        </w:r>
      </w:hyperlink>
      <w:r w:rsidR="005B78F7" w:rsidRPr="005B78F7">
        <w:rPr>
          <w:rFonts w:asciiTheme="majorBidi" w:hAnsiTheme="majorBidi" w:cstheme="majorBidi"/>
          <w:sz w:val="24"/>
          <w:szCs w:val="24"/>
          <w:lang w:bidi="ar-EG"/>
        </w:rPr>
        <w:t>, using a stretch-resistant tape that provides constant 100 g (3.53 </w:t>
      </w:r>
      <w:proofErr w:type="spellStart"/>
      <w:r w:rsidR="005B78F7" w:rsidRPr="005B78F7">
        <w:rPr>
          <w:rFonts w:asciiTheme="majorBidi" w:hAnsiTheme="majorBidi" w:cstheme="majorBidi"/>
          <w:sz w:val="24"/>
          <w:szCs w:val="24"/>
          <w:lang w:bidi="ar-EG"/>
        </w:rPr>
        <w:t>oz</w:t>
      </w:r>
      <w:proofErr w:type="spellEnd"/>
      <w:r w:rsidR="005B78F7" w:rsidRPr="005B78F7">
        <w:rPr>
          <w:rFonts w:asciiTheme="majorBidi" w:hAnsiTheme="majorBidi" w:cstheme="majorBidi"/>
          <w:sz w:val="24"/>
          <w:szCs w:val="24"/>
          <w:lang w:bidi="ar-EG"/>
        </w:rPr>
        <w:t>) </w:t>
      </w:r>
      <w:hyperlink r:id="rId13" w:tooltip="Tension (physics)" w:history="1">
        <w:r w:rsidR="005B78F7" w:rsidRPr="005B78F7">
          <w:rPr>
            <w:rFonts w:asciiTheme="majorBidi" w:hAnsiTheme="majorBidi" w:cstheme="majorBidi"/>
            <w:sz w:val="24"/>
            <w:szCs w:val="24"/>
            <w:lang w:bidi="ar-EG"/>
          </w:rPr>
          <w:t>tension</w:t>
        </w:r>
      </w:hyperlink>
      <w:r w:rsidR="005B78F7" w:rsidRPr="005B78F7">
        <w:rPr>
          <w:rFonts w:asciiTheme="majorBidi" w:hAnsiTheme="majorBidi" w:cstheme="majorBidi"/>
          <w:sz w:val="24"/>
          <w:szCs w:val="24"/>
          <w:lang w:bidi="ar-EG"/>
        </w:rPr>
        <w:t xml:space="preserve">. Hip circumference should be measured around the widest portion of </w:t>
      </w:r>
      <w:r w:rsidR="005B78F7" w:rsidRPr="005B78F7">
        <w:rPr>
          <w:rFonts w:asciiTheme="majorBidi" w:hAnsiTheme="majorBidi" w:cstheme="majorBidi"/>
          <w:sz w:val="24"/>
          <w:szCs w:val="24"/>
          <w:lang w:bidi="ar-EG"/>
        </w:rPr>
        <w:lastRenderedPageBreak/>
        <w:t>the buttocks, with the tape parallel to the floor.</w:t>
      </w:r>
      <w:r w:rsidR="00F9768D">
        <w:rPr>
          <w:rFonts w:asciiTheme="majorBidi" w:hAnsiTheme="majorBidi" w:cstheme="majorBidi"/>
          <w:sz w:val="24"/>
          <w:szCs w:val="24"/>
          <w:lang w:bidi="ar-EG"/>
        </w:rPr>
        <w:t xml:space="preserve"> The reference was included and highlighted in text. </w:t>
      </w:r>
    </w:p>
    <w:p w:rsidR="00F9768D" w:rsidRDefault="00F9768D" w:rsidP="00F9768D">
      <w:pPr>
        <w:autoSpaceDE w:val="0"/>
        <w:autoSpaceDN w:val="0"/>
        <w:bidi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World Health Organization. Waist circumference and waist-hip ratio: report of a WHO expert consultation, Geneva, 8-11 December 2008.</w:t>
      </w:r>
    </w:p>
    <w:p w:rsidR="00F9768D" w:rsidRDefault="00F9768D" w:rsidP="00F9768D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  <w:r w:rsidRPr="00F9768D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Editor Comments to Author:</w:t>
      </w:r>
    </w:p>
    <w:p w:rsidR="00F9768D" w:rsidRPr="00F9768D" w:rsidRDefault="00F9768D" w:rsidP="00F9768D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F9768D">
        <w:rPr>
          <w:rFonts w:asciiTheme="majorBidi" w:hAnsiTheme="majorBidi" w:cstheme="majorBidi"/>
          <w:b/>
          <w:bCs/>
          <w:sz w:val="24"/>
          <w:szCs w:val="24"/>
          <w:lang w:bidi="ar-EG"/>
        </w:rPr>
        <w:t>Please check the author names and affiliations included on your Title Page, mainly that the spelling of all authors' names is correct.</w:t>
      </w:r>
    </w:p>
    <w:p w:rsidR="00F9768D" w:rsidRDefault="00F9768D" w:rsidP="00F9768D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F9768D">
        <w:rPr>
          <w:rFonts w:asciiTheme="majorBidi" w:hAnsiTheme="majorBidi" w:cstheme="majorBidi"/>
          <w:sz w:val="24"/>
          <w:szCs w:val="24"/>
          <w:lang w:bidi="ar-EG"/>
        </w:rPr>
        <w:t>These were rechecked and are found to be correct.</w:t>
      </w:r>
    </w:p>
    <w:p w:rsidR="00F9768D" w:rsidRDefault="00F9768D" w:rsidP="00F9768D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F9768D">
        <w:rPr>
          <w:rFonts w:asciiTheme="majorBidi" w:hAnsiTheme="majorBidi" w:cstheme="majorBidi"/>
          <w:b/>
          <w:bCs/>
          <w:sz w:val="24"/>
          <w:szCs w:val="24"/>
          <w:lang w:bidi="ar-EG"/>
        </w:rPr>
        <w:t>P</w:t>
      </w:r>
      <w:r w:rsidRPr="00F9768D">
        <w:rPr>
          <w:rFonts w:asciiTheme="majorBidi" w:hAnsiTheme="majorBidi" w:cstheme="majorBidi"/>
          <w:b/>
          <w:bCs/>
          <w:sz w:val="24"/>
          <w:szCs w:val="24"/>
          <w:lang w:bidi="ar-EG"/>
        </w:rPr>
        <w:t>lease include a 'Structured Abstract': not more than 250 words, broken down into, i.e., Aims, Patients &amp; Methods/Materials &amp; Methods, Results, and Conclusions.</w:t>
      </w:r>
    </w:p>
    <w:p w:rsidR="00F9768D" w:rsidRDefault="00F9768D" w:rsidP="00F9768D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F9768D">
        <w:rPr>
          <w:rFonts w:asciiTheme="majorBidi" w:hAnsiTheme="majorBidi" w:cstheme="majorBidi"/>
          <w:sz w:val="24"/>
          <w:szCs w:val="24"/>
          <w:lang w:bidi="ar-EG"/>
        </w:rPr>
        <w:t>Introduction was replaced by (aim) and highlighted.</w:t>
      </w:r>
    </w:p>
    <w:p w:rsidR="00F9768D" w:rsidRDefault="00F9768D" w:rsidP="00F9768D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F9768D">
        <w:rPr>
          <w:rFonts w:asciiTheme="majorBidi" w:hAnsiTheme="majorBidi" w:cstheme="majorBidi"/>
          <w:b/>
          <w:bCs/>
          <w:sz w:val="24"/>
          <w:szCs w:val="24"/>
          <w:lang w:bidi="ar-EG"/>
        </w:rPr>
        <w:t>Please include up to 10 keywords in your revised manuscript (including the four keywords you selected as part of the submission process).</w:t>
      </w:r>
    </w:p>
    <w:p w:rsidR="00F9768D" w:rsidRDefault="001F7550" w:rsidP="00F9768D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Extra keywords were added and highlighted.</w:t>
      </w:r>
    </w:p>
    <w:p w:rsidR="001F7550" w:rsidRDefault="001F7550" w:rsidP="00F9768D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1F7550">
        <w:rPr>
          <w:rFonts w:asciiTheme="majorBidi" w:hAnsiTheme="majorBidi" w:cstheme="majorBidi"/>
          <w:b/>
          <w:bCs/>
          <w:sz w:val="24"/>
          <w:szCs w:val="24"/>
          <w:lang w:bidi="ar-EG"/>
        </w:rPr>
        <w:t>Please amend the references as per the author's guidelines</w:t>
      </w:r>
    </w:p>
    <w:p w:rsidR="001F7550" w:rsidRDefault="001F7550" w:rsidP="001F7550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References were updated as per instructions.</w:t>
      </w:r>
    </w:p>
    <w:p w:rsidR="001F7550" w:rsidRDefault="001F7550" w:rsidP="001F7550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1F7550">
        <w:rPr>
          <w:rFonts w:asciiTheme="majorBidi" w:hAnsiTheme="majorBidi" w:cstheme="majorBidi"/>
          <w:b/>
          <w:bCs/>
          <w:sz w:val="24"/>
          <w:szCs w:val="24"/>
          <w:lang w:bidi="ar-EG"/>
        </w:rPr>
        <w:t>Please ensure all tables and boxes are titled and cited in the text.</w:t>
      </w:r>
      <w:r>
        <w:rPr>
          <w:rFonts w:ascii="ltr-font" w:hAnsi="ltr-font"/>
          <w:color w:val="333333"/>
          <w:shd w:val="clear" w:color="auto" w:fill="F5F5F5"/>
        </w:rPr>
        <w:t> </w:t>
      </w:r>
    </w:p>
    <w:p w:rsidR="001F7550" w:rsidRDefault="001F7550" w:rsidP="001F7550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Tables were revised as per instructions.</w:t>
      </w:r>
    </w:p>
    <w:p w:rsidR="001F7550" w:rsidRDefault="001F7550" w:rsidP="001F7550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1F7550">
        <w:rPr>
          <w:rFonts w:asciiTheme="majorBidi" w:hAnsiTheme="majorBidi" w:cstheme="majorBidi"/>
          <w:b/>
          <w:bCs/>
          <w:sz w:val="24"/>
          <w:szCs w:val="24"/>
          <w:lang w:bidi="ar-EG"/>
        </w:rPr>
        <w:t>Please check the PDF file of your manuscript regarding plagiarism checking.</w:t>
      </w:r>
    </w:p>
    <w:p w:rsidR="001F7550" w:rsidRDefault="001F7550" w:rsidP="001F7550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1F7550">
        <w:rPr>
          <w:rFonts w:asciiTheme="majorBidi" w:hAnsiTheme="majorBidi" w:cstheme="majorBidi"/>
          <w:sz w:val="24"/>
          <w:szCs w:val="24"/>
          <w:lang w:bidi="ar-EG"/>
        </w:rPr>
        <w:t xml:space="preserve">It was checked and was found to be 30%. </w:t>
      </w:r>
      <w:r>
        <w:rPr>
          <w:rFonts w:asciiTheme="majorBidi" w:hAnsiTheme="majorBidi" w:cstheme="majorBidi"/>
          <w:sz w:val="24"/>
          <w:szCs w:val="24"/>
          <w:lang w:bidi="ar-EG"/>
        </w:rPr>
        <w:t>If further modification is required, we are ready to do.</w:t>
      </w:r>
    </w:p>
    <w:p w:rsidR="00B11974" w:rsidRPr="001F7550" w:rsidRDefault="00B11974" w:rsidP="001F7550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1F7550">
        <w:rPr>
          <w:rFonts w:asciiTheme="majorBidi" w:hAnsiTheme="majorBidi" w:cstheme="majorBidi"/>
          <w:sz w:val="24"/>
          <w:szCs w:val="24"/>
          <w:lang w:bidi="ar-EG"/>
        </w:rPr>
        <w:t> </w:t>
      </w:r>
    </w:p>
    <w:p w:rsidR="00B11974" w:rsidRPr="00B11974" w:rsidRDefault="00B11974" w:rsidP="00B11974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:rsidR="00B11974" w:rsidRPr="00B11974" w:rsidRDefault="00B11974" w:rsidP="00B11974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:rsidR="00A72618" w:rsidRPr="00A72618" w:rsidRDefault="00A72618" w:rsidP="00A72618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sectPr w:rsidR="00A72618" w:rsidRPr="00A72618" w:rsidSect="00490599">
      <w:foot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EC" w:rsidRDefault="00D13FEC" w:rsidP="001F7550">
      <w:pPr>
        <w:spacing w:after="0" w:line="240" w:lineRule="auto"/>
      </w:pPr>
      <w:r>
        <w:separator/>
      </w:r>
    </w:p>
  </w:endnote>
  <w:endnote w:type="continuationSeparator" w:id="0">
    <w:p w:rsidR="00D13FEC" w:rsidRDefault="00D13FEC" w:rsidP="001F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tr-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977591370"/>
      <w:docPartObj>
        <w:docPartGallery w:val="Page Numbers (Bottom of Page)"/>
        <w:docPartUnique/>
      </w:docPartObj>
    </w:sdtPr>
    <w:sdtContent>
      <w:p w:rsidR="001F7550" w:rsidRDefault="001F75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B8F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1F7550" w:rsidRDefault="001F75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EC" w:rsidRDefault="00D13FEC" w:rsidP="001F7550">
      <w:pPr>
        <w:spacing w:after="0" w:line="240" w:lineRule="auto"/>
      </w:pPr>
      <w:r>
        <w:separator/>
      </w:r>
    </w:p>
  </w:footnote>
  <w:footnote w:type="continuationSeparator" w:id="0">
    <w:p w:rsidR="00D13FEC" w:rsidRDefault="00D13FEC" w:rsidP="001F7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D5237"/>
    <w:multiLevelType w:val="hybridMultilevel"/>
    <w:tmpl w:val="B1220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C65CA"/>
    <w:multiLevelType w:val="multilevel"/>
    <w:tmpl w:val="8A5C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29"/>
    <w:rsid w:val="001F7550"/>
    <w:rsid w:val="00490599"/>
    <w:rsid w:val="005B78F7"/>
    <w:rsid w:val="00A72618"/>
    <w:rsid w:val="00B11974"/>
    <w:rsid w:val="00D13FEC"/>
    <w:rsid w:val="00E05B8F"/>
    <w:rsid w:val="00E8110D"/>
    <w:rsid w:val="00EC7329"/>
    <w:rsid w:val="00F9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19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7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550"/>
  </w:style>
  <w:style w:type="paragraph" w:styleId="Footer">
    <w:name w:val="footer"/>
    <w:basedOn w:val="Normal"/>
    <w:link w:val="FooterChar"/>
    <w:uiPriority w:val="99"/>
    <w:unhideWhenUsed/>
    <w:rsid w:val="001F7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19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7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550"/>
  </w:style>
  <w:style w:type="paragraph" w:styleId="Footer">
    <w:name w:val="footer"/>
    <w:basedOn w:val="Normal"/>
    <w:link w:val="FooterChar"/>
    <w:uiPriority w:val="99"/>
    <w:unhideWhenUsed/>
    <w:rsid w:val="001F7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imensionless" TargetMode="External"/><Relationship Id="rId13" Type="http://schemas.openxmlformats.org/officeDocument/2006/relationships/hyperlink" Target="https://en.wikipedia.org/wiki/Tension_(physics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Iliac_cres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Hi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Wa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Rati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Sabry</dc:creator>
  <cp:keywords/>
  <dc:description/>
  <cp:lastModifiedBy>Mohamed Sabry</cp:lastModifiedBy>
  <cp:revision>2</cp:revision>
  <dcterms:created xsi:type="dcterms:W3CDTF">2024-08-10T08:02:00Z</dcterms:created>
  <dcterms:modified xsi:type="dcterms:W3CDTF">2024-08-10T09:09:00Z</dcterms:modified>
</cp:coreProperties>
</file>