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E7F41" w14:textId="77777777" w:rsidR="00BB6428" w:rsidRDefault="00BB6428" w:rsidP="00096612">
      <w:pPr>
        <w:pStyle w:val="Heading1"/>
      </w:pPr>
      <w:r w:rsidRPr="00280684">
        <w:t xml:space="preserve">Helicobacter </w:t>
      </w:r>
      <w:r w:rsidR="009C6E03" w:rsidRPr="00280684">
        <w:t>Pylori Infection, Lipid Profile, and Insulin</w:t>
      </w:r>
      <w:r w:rsidR="00E5578C" w:rsidRPr="00280684">
        <w:t xml:space="preserve"> </w:t>
      </w:r>
      <w:r w:rsidR="009C6E03" w:rsidRPr="00280684">
        <w:t xml:space="preserve">Resistance in Obese Patients with Non-Alcoholic Fatty Liver Disease </w:t>
      </w:r>
    </w:p>
    <w:p w14:paraId="717FA0EF" w14:textId="77777777" w:rsidR="007866E5" w:rsidRPr="005D470E" w:rsidRDefault="007866E5" w:rsidP="007866E5">
      <w:pPr>
        <w:widowControl w:val="0"/>
        <w:tabs>
          <w:tab w:val="right" w:pos="6804"/>
        </w:tabs>
        <w:autoSpaceDE w:val="0"/>
        <w:autoSpaceDN w:val="0"/>
        <w:adjustRightInd w:val="0"/>
        <w:spacing w:line="360" w:lineRule="auto"/>
        <w:ind w:firstLine="0"/>
        <w:jc w:val="center"/>
        <w:rPr>
          <w:rFonts w:ascii="Times New Roman" w:eastAsia="Calibri" w:hAnsi="Times New Roman" w:cs="Times New Roman"/>
          <w:vertAlign w:val="superscript"/>
        </w:rPr>
      </w:pPr>
      <w:r w:rsidRPr="005D470E">
        <w:rPr>
          <w:rFonts w:ascii="Times New Roman" w:eastAsia="Times New Roman" w:hAnsi="Times New Roman" w:cs="Times New Roman"/>
          <w:iCs/>
          <w:color w:val="000000"/>
          <w:lang w:bidi="ar-SA"/>
        </w:rPr>
        <w:t xml:space="preserve">Ahmed Waheed </w:t>
      </w:r>
      <w:bookmarkStart w:id="0" w:name="_Hlk174795844"/>
      <w:r w:rsidRPr="005D470E">
        <w:rPr>
          <w:rFonts w:ascii="Times New Roman" w:eastAsia="Times New Roman" w:hAnsi="Times New Roman" w:cs="Times New Roman"/>
          <w:iCs/>
          <w:color w:val="000000"/>
          <w:lang w:bidi="ar-SA"/>
        </w:rPr>
        <w:t>Samir</w:t>
      </w:r>
      <w:bookmarkEnd w:id="0"/>
      <w:r w:rsidRPr="005D470E">
        <w:rPr>
          <w:rFonts w:ascii="Times New Roman" w:eastAsia="Times New Roman" w:hAnsi="Times New Roman" w:cs="Times New Roman"/>
          <w:iCs/>
          <w:color w:val="000000"/>
          <w:lang w:bidi="ar-SA"/>
        </w:rPr>
        <w:t xml:space="preserve"> </w:t>
      </w:r>
      <w:r w:rsidRPr="005D470E">
        <w:rPr>
          <w:rFonts w:ascii="Times New Roman" w:eastAsia="Calibri" w:hAnsi="Times New Roman" w:cs="Times New Roman"/>
          <w:vertAlign w:val="superscript"/>
        </w:rPr>
        <w:t>1</w:t>
      </w:r>
      <w:r w:rsidRPr="005D470E">
        <w:rPr>
          <w:rFonts w:ascii="Times New Roman" w:eastAsia="Calibri" w:hAnsi="Times New Roman" w:cs="Times New Roman"/>
        </w:rPr>
        <w:t xml:space="preserve">, </w:t>
      </w:r>
      <w:r w:rsidRPr="005D470E">
        <w:rPr>
          <w:rFonts w:ascii="Times New Roman" w:eastAsia="Times New Roman" w:hAnsi="Times New Roman" w:cs="Times New Roman"/>
        </w:rPr>
        <w:t>Mohamed Sabry Aboelnasr</w:t>
      </w:r>
      <w:r w:rsidRPr="005D470E">
        <w:rPr>
          <w:rFonts w:ascii="Times New Roman" w:eastAsia="Calibri" w:hAnsi="Times New Roman" w:cs="Times New Roman"/>
          <w:vertAlign w:val="superscript"/>
        </w:rPr>
        <w:t>2</w:t>
      </w:r>
      <w:r w:rsidRPr="005D470E">
        <w:rPr>
          <w:rFonts w:ascii="Times New Roman" w:eastAsia="Calibri" w:hAnsi="Times New Roman" w:cs="Times New Roman"/>
        </w:rPr>
        <w:t>,</w:t>
      </w:r>
      <w:r w:rsidRPr="005D470E">
        <w:rPr>
          <w:rFonts w:ascii="Times New Roman" w:eastAsia="Times New Roman" w:hAnsi="Times New Roman" w:cs="Times New Roman"/>
          <w:iCs/>
          <w:color w:val="000000"/>
          <w:lang w:bidi="ar-SA"/>
        </w:rPr>
        <w:t xml:space="preserve"> Heba Ahmed Mohammed Mourad</w:t>
      </w:r>
      <w:r w:rsidRPr="005D470E">
        <w:rPr>
          <w:rFonts w:ascii="Times New Roman" w:eastAsia="Calibri" w:hAnsi="Times New Roman" w:cs="Times New Roman"/>
          <w:vertAlign w:val="superscript"/>
        </w:rPr>
        <w:t xml:space="preserve"> 3</w:t>
      </w:r>
      <w:r w:rsidRPr="005D470E">
        <w:rPr>
          <w:rFonts w:ascii="Times New Roman" w:eastAsia="Calibri" w:hAnsi="Times New Roman" w:cs="Times New Roman"/>
        </w:rPr>
        <w:t xml:space="preserve">, </w:t>
      </w:r>
      <w:r w:rsidRPr="005D470E">
        <w:rPr>
          <w:rFonts w:ascii="Times New Roman" w:eastAsia="Times New Roman" w:hAnsi="Times New Roman" w:cs="Times New Roman"/>
        </w:rPr>
        <w:t xml:space="preserve">Waleed S. Mohamed </w:t>
      </w:r>
      <w:r w:rsidRPr="005D470E">
        <w:rPr>
          <w:rFonts w:ascii="Times New Roman" w:eastAsia="Calibri" w:hAnsi="Times New Roman" w:cs="Times New Roman"/>
          <w:vertAlign w:val="superscript"/>
        </w:rPr>
        <w:t>2</w:t>
      </w:r>
    </w:p>
    <w:p w14:paraId="484DDBF9" w14:textId="77777777" w:rsidR="007866E5" w:rsidRPr="007866E5" w:rsidRDefault="007866E5" w:rsidP="007866E5">
      <w:pPr>
        <w:spacing w:line="360" w:lineRule="auto"/>
        <w:ind w:firstLine="0"/>
        <w:jc w:val="center"/>
        <w:rPr>
          <w:rFonts w:ascii="Times New Roman" w:eastAsia="SimSun" w:hAnsi="Times New Roman" w:cs="Times New Roman"/>
          <w:b/>
          <w:bCs/>
          <w:iCs/>
          <w:color w:val="000000"/>
          <w:vertAlign w:val="superscript"/>
          <w:lang w:bidi="ar-SA"/>
        </w:rPr>
      </w:pPr>
    </w:p>
    <w:p w14:paraId="11ED7AD7" w14:textId="325E75BC" w:rsidR="007866E5" w:rsidRPr="007866E5" w:rsidRDefault="007866E5" w:rsidP="007866E5">
      <w:pPr>
        <w:widowControl w:val="0"/>
        <w:tabs>
          <w:tab w:val="right" w:pos="6804"/>
        </w:tabs>
        <w:autoSpaceDE w:val="0"/>
        <w:autoSpaceDN w:val="0"/>
        <w:adjustRightInd w:val="0"/>
        <w:spacing w:line="360" w:lineRule="auto"/>
        <w:ind w:left="270" w:hanging="270"/>
        <w:rPr>
          <w:rFonts w:ascii="Times New Roman" w:eastAsia="Calibri" w:hAnsi="Times New Roman" w:cs="Times New Roman"/>
          <w:sz w:val="28"/>
          <w:szCs w:val="28"/>
        </w:rPr>
      </w:pPr>
      <w:r w:rsidRPr="007866E5">
        <w:rPr>
          <w:rFonts w:ascii="Times New Roman" w:eastAsia="Calibri" w:hAnsi="Times New Roman" w:cs="Times New Roman"/>
          <w:b/>
          <w:bCs/>
          <w:color w:val="000000"/>
          <w:sz w:val="28"/>
          <w:szCs w:val="28"/>
          <w:vertAlign w:val="superscript"/>
          <w:lang w:val="en-GB" w:eastAsia="zh-CN"/>
        </w:rPr>
        <w:t>1</w:t>
      </w:r>
      <w:r w:rsidRPr="007866E5">
        <w:rPr>
          <w:rFonts w:ascii="Times New Roman" w:eastAsia="Calibri" w:hAnsi="Times New Roman" w:cs="Times New Roman"/>
          <w:sz w:val="28"/>
          <w:szCs w:val="28"/>
          <w:vertAlign w:val="superscript"/>
          <w:lang w:val="en-GB"/>
        </w:rPr>
        <w:t xml:space="preserve"> </w:t>
      </w:r>
      <w:r w:rsidRPr="007866E5">
        <w:rPr>
          <w:rFonts w:ascii="Times New Roman" w:eastAsia="Calibri" w:hAnsi="Times New Roman" w:cs="Times New Roman"/>
          <w:sz w:val="28"/>
          <w:szCs w:val="28"/>
        </w:rPr>
        <w:t xml:space="preserve">Internal Medicine Resident, Internal Medicine Department, </w:t>
      </w:r>
      <w:proofErr w:type="spellStart"/>
      <w:r w:rsidRPr="007866E5">
        <w:rPr>
          <w:rFonts w:ascii="Times New Roman" w:eastAsia="Calibri" w:hAnsi="Times New Roman" w:cs="Times New Roman"/>
          <w:sz w:val="28"/>
          <w:szCs w:val="28"/>
        </w:rPr>
        <w:t>Zefta</w:t>
      </w:r>
      <w:proofErr w:type="spellEnd"/>
      <w:r w:rsidRPr="007866E5">
        <w:rPr>
          <w:rFonts w:ascii="Times New Roman" w:eastAsia="Calibri" w:hAnsi="Times New Roman" w:cs="Times New Roman"/>
          <w:sz w:val="28"/>
          <w:szCs w:val="28"/>
        </w:rPr>
        <w:t xml:space="preserve"> General Hospital, Egypt.</w:t>
      </w:r>
    </w:p>
    <w:p w14:paraId="5E8E33B0" w14:textId="6CD787E2" w:rsidR="007866E5" w:rsidRPr="007866E5" w:rsidRDefault="007866E5" w:rsidP="007866E5">
      <w:pPr>
        <w:widowControl w:val="0"/>
        <w:tabs>
          <w:tab w:val="left" w:pos="2295"/>
          <w:tab w:val="left" w:pos="2843"/>
          <w:tab w:val="center" w:pos="4156"/>
        </w:tabs>
        <w:spacing w:line="360" w:lineRule="auto"/>
        <w:ind w:left="270" w:hanging="270"/>
        <w:rPr>
          <w:rFonts w:ascii="Times New Roman" w:eastAsia="Calibri" w:hAnsi="Times New Roman" w:cs="Times New Roman"/>
          <w:sz w:val="28"/>
          <w:szCs w:val="28"/>
        </w:rPr>
      </w:pPr>
      <w:r w:rsidRPr="007866E5">
        <w:rPr>
          <w:rFonts w:ascii="Times New Roman" w:eastAsia="Calibri" w:hAnsi="Times New Roman" w:cs="Times New Roman"/>
          <w:b/>
          <w:bCs/>
          <w:color w:val="000000"/>
          <w:sz w:val="28"/>
          <w:szCs w:val="28"/>
          <w:vertAlign w:val="superscript"/>
          <w:lang w:val="en-GB" w:eastAsia="zh-CN"/>
        </w:rPr>
        <w:t xml:space="preserve">2 </w:t>
      </w:r>
      <w:r w:rsidRPr="007866E5">
        <w:rPr>
          <w:rFonts w:ascii="Times New Roman" w:eastAsia="Calibri" w:hAnsi="Times New Roman" w:cs="Times New Roman"/>
          <w:sz w:val="28"/>
          <w:szCs w:val="28"/>
        </w:rPr>
        <w:t xml:space="preserve">Lecturer of Internal Medicine, Internal Medicine Department, Faculty of Medicine, Tanta University, Egypt, </w:t>
      </w:r>
      <w:hyperlink r:id="rId8" w:history="1">
        <w:r w:rsidRPr="007866E5">
          <w:rPr>
            <w:rFonts w:ascii="Times New Roman" w:eastAsia="Calibri" w:hAnsi="Times New Roman" w:cs="Times New Roman"/>
            <w:color w:val="0000FF" w:themeColor="hyperlink"/>
            <w:sz w:val="28"/>
            <w:szCs w:val="28"/>
            <w:u w:val="single"/>
          </w:rPr>
          <w:t>mohamed.aboelnasr@med.tanta.edu.eg</w:t>
        </w:r>
      </w:hyperlink>
      <w:r w:rsidRPr="007866E5">
        <w:rPr>
          <w:rFonts w:ascii="Times New Roman" w:eastAsia="Calibri" w:hAnsi="Times New Roman" w:cs="Times New Roman"/>
          <w:sz w:val="28"/>
          <w:szCs w:val="28"/>
        </w:rPr>
        <w:t>, ORCID: 0000-0002-2409-8773.</w:t>
      </w:r>
    </w:p>
    <w:p w14:paraId="1061DFE0" w14:textId="2384DA18" w:rsidR="007866E5" w:rsidRPr="007866E5" w:rsidRDefault="007866E5" w:rsidP="007866E5">
      <w:pPr>
        <w:spacing w:line="360" w:lineRule="auto"/>
        <w:ind w:left="270" w:hanging="270"/>
        <w:rPr>
          <w:rFonts w:ascii="Times New Roman" w:eastAsia="Calibri" w:hAnsi="Times New Roman" w:cs="Times New Roman"/>
          <w:sz w:val="28"/>
          <w:szCs w:val="28"/>
        </w:rPr>
      </w:pPr>
      <w:r w:rsidRPr="007866E5">
        <w:rPr>
          <w:rFonts w:ascii="Times New Roman" w:eastAsia="Calibri" w:hAnsi="Times New Roman" w:cs="Times New Roman"/>
          <w:b/>
          <w:bCs/>
          <w:color w:val="000000"/>
          <w:sz w:val="28"/>
          <w:szCs w:val="28"/>
          <w:vertAlign w:val="superscript"/>
          <w:lang w:val="en-GB" w:eastAsia="zh-CN"/>
        </w:rPr>
        <w:t>2</w:t>
      </w:r>
      <w:r w:rsidRPr="007866E5">
        <w:rPr>
          <w:rFonts w:ascii="Times New Roman" w:eastAsia="Calibri" w:hAnsi="Times New Roman" w:cs="Times New Roman"/>
          <w:sz w:val="28"/>
          <w:szCs w:val="28"/>
          <w:vertAlign w:val="superscript"/>
          <w:lang w:val="en-GB"/>
        </w:rPr>
        <w:t xml:space="preserve"> </w:t>
      </w:r>
      <w:r w:rsidRPr="007866E5">
        <w:rPr>
          <w:rFonts w:ascii="Times New Roman" w:eastAsia="Calibri" w:hAnsi="Times New Roman" w:cs="Times New Roman"/>
          <w:sz w:val="28"/>
          <w:szCs w:val="28"/>
        </w:rPr>
        <w:t>Professor of Internal Medicine,</w:t>
      </w:r>
      <w:r w:rsidRPr="007866E5">
        <w:rPr>
          <w:rFonts w:ascii="Times New Roman" w:eastAsia="Calibri" w:hAnsi="Times New Roman" w:cs="Times New Roman"/>
          <w:b/>
          <w:bCs/>
          <w:sz w:val="28"/>
          <w:szCs w:val="28"/>
        </w:rPr>
        <w:t xml:space="preserve"> </w:t>
      </w:r>
      <w:r w:rsidRPr="007866E5">
        <w:rPr>
          <w:rFonts w:ascii="Times New Roman" w:eastAsia="Calibri" w:hAnsi="Times New Roman" w:cs="Times New Roman"/>
          <w:sz w:val="28"/>
          <w:szCs w:val="28"/>
        </w:rPr>
        <w:t xml:space="preserve">Internal Medicine Department, Faculty of Medicine, Tanta University, Egypt, </w:t>
      </w:r>
      <w:hyperlink r:id="rId9" w:history="1">
        <w:r w:rsidRPr="007866E5">
          <w:rPr>
            <w:rFonts w:ascii="Times New Roman" w:eastAsia="Calibri" w:hAnsi="Times New Roman" w:cs="Times New Roman"/>
            <w:color w:val="0000FF" w:themeColor="hyperlink"/>
            <w:sz w:val="28"/>
            <w:szCs w:val="28"/>
            <w:u w:val="single"/>
          </w:rPr>
          <w:t>waleed.samy@med.tanta.edu.eg</w:t>
        </w:r>
      </w:hyperlink>
      <w:r w:rsidRPr="007866E5">
        <w:rPr>
          <w:rFonts w:ascii="Times New Roman" w:eastAsia="Calibri" w:hAnsi="Times New Roman" w:cs="Times New Roman"/>
          <w:sz w:val="28"/>
          <w:szCs w:val="28"/>
        </w:rPr>
        <w:t>.</w:t>
      </w:r>
    </w:p>
    <w:p w14:paraId="15D64E4C" w14:textId="3AAFA143" w:rsidR="007866E5" w:rsidRPr="007866E5" w:rsidRDefault="007866E5" w:rsidP="007866E5">
      <w:pPr>
        <w:widowControl w:val="0"/>
        <w:tabs>
          <w:tab w:val="left" w:pos="2295"/>
          <w:tab w:val="left" w:pos="2843"/>
          <w:tab w:val="center" w:pos="4156"/>
        </w:tabs>
        <w:spacing w:line="360" w:lineRule="auto"/>
        <w:ind w:left="270" w:hanging="270"/>
        <w:rPr>
          <w:rFonts w:ascii="Times New Roman" w:eastAsia="Calibri" w:hAnsi="Times New Roman" w:cs="Times New Roman"/>
          <w:sz w:val="28"/>
          <w:szCs w:val="28"/>
        </w:rPr>
      </w:pPr>
      <w:r w:rsidRPr="007866E5">
        <w:rPr>
          <w:rFonts w:ascii="Times New Roman" w:eastAsia="Calibri" w:hAnsi="Times New Roman" w:cs="Times New Roman"/>
          <w:b/>
          <w:bCs/>
          <w:color w:val="000000"/>
          <w:sz w:val="28"/>
          <w:szCs w:val="28"/>
          <w:vertAlign w:val="superscript"/>
          <w:lang w:val="en-GB" w:eastAsia="zh-CN"/>
        </w:rPr>
        <w:t>3</w:t>
      </w:r>
      <w:r w:rsidRPr="007866E5">
        <w:rPr>
          <w:rFonts w:ascii="Times New Roman" w:eastAsia="Calibri" w:hAnsi="Times New Roman" w:cs="Times New Roman"/>
          <w:sz w:val="28"/>
          <w:szCs w:val="28"/>
          <w:vertAlign w:val="superscript"/>
          <w:lang w:val="en-GB"/>
        </w:rPr>
        <w:t xml:space="preserve"> </w:t>
      </w:r>
      <w:r w:rsidRPr="007866E5">
        <w:rPr>
          <w:rFonts w:ascii="Times New Roman" w:eastAsia="Calibri" w:hAnsi="Times New Roman" w:cs="Times New Roman"/>
          <w:sz w:val="28"/>
          <w:szCs w:val="28"/>
        </w:rPr>
        <w:t xml:space="preserve">Professor of Clinical Pathology, Clinical Pathology Department, Faculty of Medicine, Tanta University, Egypt, </w:t>
      </w:r>
      <w:hyperlink r:id="rId10" w:history="1">
        <w:r w:rsidRPr="007866E5">
          <w:rPr>
            <w:rFonts w:ascii="Times New Roman" w:eastAsia="Calibri" w:hAnsi="Times New Roman" w:cs="Times New Roman"/>
            <w:color w:val="0000FF" w:themeColor="hyperlink"/>
            <w:sz w:val="28"/>
            <w:szCs w:val="28"/>
            <w:u w:val="single"/>
          </w:rPr>
          <w:t>hebamourad@hotmail.com</w:t>
        </w:r>
      </w:hyperlink>
      <w:r w:rsidRPr="007866E5">
        <w:rPr>
          <w:rFonts w:ascii="Times New Roman" w:eastAsia="Calibri" w:hAnsi="Times New Roman" w:cs="Times New Roman"/>
          <w:sz w:val="28"/>
          <w:szCs w:val="28"/>
        </w:rPr>
        <w:t>.</w:t>
      </w:r>
    </w:p>
    <w:p w14:paraId="59867CBE" w14:textId="77777777" w:rsidR="007866E5" w:rsidRPr="007866E5" w:rsidRDefault="007866E5" w:rsidP="007866E5">
      <w:pPr>
        <w:spacing w:line="360" w:lineRule="auto"/>
        <w:ind w:left="270" w:hanging="270"/>
        <w:rPr>
          <w:rFonts w:ascii="Times New Roman" w:eastAsia="Calibri" w:hAnsi="Times New Roman" w:cs="Times New Roman"/>
          <w:sz w:val="28"/>
          <w:szCs w:val="28"/>
        </w:rPr>
      </w:pPr>
    </w:p>
    <w:p w14:paraId="176C7BA3" w14:textId="77777777" w:rsidR="007866E5" w:rsidRPr="007866E5" w:rsidRDefault="007866E5" w:rsidP="007866E5">
      <w:pPr>
        <w:spacing w:line="360" w:lineRule="auto"/>
        <w:ind w:firstLine="0"/>
        <w:rPr>
          <w:rFonts w:ascii="Times New Roman" w:eastAsia="Calibri" w:hAnsi="Times New Roman" w:cs="Times New Roman"/>
          <w:b/>
          <w:bCs/>
          <w:sz w:val="28"/>
          <w:szCs w:val="28"/>
        </w:rPr>
      </w:pPr>
      <w:r w:rsidRPr="007866E5">
        <w:rPr>
          <w:rFonts w:ascii="Times New Roman" w:eastAsia="Calibri" w:hAnsi="Times New Roman" w:cs="Times New Roman"/>
          <w:b/>
          <w:bCs/>
          <w:sz w:val="28"/>
          <w:szCs w:val="28"/>
        </w:rPr>
        <w:t>Corresponding Author</w:t>
      </w:r>
    </w:p>
    <w:p w14:paraId="37CFE44C" w14:textId="5AE8E7B4" w:rsidR="007866E5" w:rsidRPr="007866E5" w:rsidRDefault="007866E5" w:rsidP="007866E5">
      <w:pPr>
        <w:widowControl w:val="0"/>
        <w:tabs>
          <w:tab w:val="left" w:pos="2295"/>
          <w:tab w:val="left" w:pos="2843"/>
          <w:tab w:val="center" w:pos="4156"/>
        </w:tabs>
        <w:spacing w:line="360" w:lineRule="auto"/>
        <w:ind w:firstLine="0"/>
        <w:rPr>
          <w:rFonts w:ascii="Times New Roman" w:eastAsia="Calibri" w:hAnsi="Times New Roman" w:cs="Times New Roman"/>
        </w:rPr>
      </w:pPr>
      <w:r w:rsidRPr="007866E5">
        <w:rPr>
          <w:rFonts w:ascii="Times New Roman" w:eastAsia="SimSun" w:hAnsi="Times New Roman" w:cs="Times New Roman"/>
        </w:rPr>
        <w:t>Ahmed Waheed Samir</w:t>
      </w:r>
      <w:r w:rsidRPr="007866E5">
        <w:rPr>
          <w:rFonts w:ascii="Times New Roman" w:eastAsia="Calibri" w:hAnsi="Times New Roman" w:cs="Times New Roman"/>
        </w:rPr>
        <w:t>, Resident of Internal Medicine, Internal Medicine Department, Faculty of Medicine, Tanta University, Egypt.</w:t>
      </w:r>
    </w:p>
    <w:p w14:paraId="3D760769" w14:textId="77777777" w:rsidR="007866E5" w:rsidRPr="007866E5" w:rsidRDefault="007866E5" w:rsidP="007866E5">
      <w:pPr>
        <w:spacing w:line="360" w:lineRule="auto"/>
        <w:ind w:firstLine="0"/>
        <w:rPr>
          <w:rFonts w:ascii="Times New Roman" w:eastAsia="Calibri" w:hAnsi="Times New Roman" w:cs="Times New Roman"/>
          <w:lang w:val="it-IT"/>
        </w:rPr>
      </w:pPr>
      <w:r w:rsidRPr="007866E5">
        <w:rPr>
          <w:rFonts w:ascii="Times New Roman" w:eastAsia="Calibri" w:hAnsi="Times New Roman" w:cs="Times New Roman"/>
          <w:b/>
          <w:bCs/>
          <w:lang w:val="it-IT"/>
        </w:rPr>
        <w:t>Mobile:</w:t>
      </w:r>
      <w:r w:rsidRPr="007866E5">
        <w:rPr>
          <w:rFonts w:ascii="Times New Roman" w:eastAsia="Calibri" w:hAnsi="Times New Roman" w:cs="Times New Roman"/>
          <w:lang w:val="it-IT"/>
        </w:rPr>
        <w:t xml:space="preserve"> +20 1010878400</w:t>
      </w:r>
    </w:p>
    <w:p w14:paraId="74070BC7" w14:textId="77777777" w:rsidR="007866E5" w:rsidRPr="007866E5" w:rsidRDefault="007866E5" w:rsidP="007866E5">
      <w:pPr>
        <w:spacing w:line="360" w:lineRule="auto"/>
        <w:ind w:firstLine="0"/>
        <w:rPr>
          <w:rFonts w:ascii="Times New Roman" w:eastAsia="Calibri" w:hAnsi="Times New Roman" w:cs="Times New Roman"/>
          <w:bCs/>
          <w:lang w:val="it-IT"/>
        </w:rPr>
      </w:pPr>
      <w:r w:rsidRPr="007866E5">
        <w:rPr>
          <w:rFonts w:ascii="Times New Roman" w:eastAsia="Calibri" w:hAnsi="Times New Roman" w:cs="Times New Roman"/>
          <w:b/>
          <w:lang w:val="it-IT"/>
        </w:rPr>
        <w:t xml:space="preserve">E-mail: </w:t>
      </w:r>
      <w:r w:rsidRPr="007866E5">
        <w:rPr>
          <w:rFonts w:ascii="Times New Roman" w:eastAsia="Calibri" w:hAnsi="Times New Roman" w:cs="Times New Roman"/>
          <w:lang w:val="it-IT"/>
        </w:rPr>
        <w:t>ahmed_w105@yahoo.com</w:t>
      </w:r>
      <w:r w:rsidRPr="007866E5">
        <w:rPr>
          <w:rFonts w:ascii="Times New Roman" w:eastAsia="Calibri" w:hAnsi="Times New Roman" w:cs="Times New Roman"/>
          <w:bCs/>
          <w:lang w:val="it-IT"/>
        </w:rPr>
        <w:t xml:space="preserve">  </w:t>
      </w:r>
    </w:p>
    <w:p w14:paraId="5701DD56" w14:textId="5ACEA636" w:rsidR="00121922" w:rsidRPr="00121922" w:rsidRDefault="00121922" w:rsidP="00590E4B">
      <w:pPr>
        <w:spacing w:line="360" w:lineRule="auto"/>
        <w:ind w:firstLine="0"/>
        <w:rPr>
          <w:rFonts w:ascii="Times New Roman" w:eastAsia="Calibri" w:hAnsi="Times New Roman" w:cs="Times New Roman"/>
          <w:b/>
          <w:bCs/>
        </w:rPr>
      </w:pPr>
      <w:r w:rsidRPr="00121922">
        <w:rPr>
          <w:rFonts w:ascii="Times New Roman" w:eastAsia="Calibri" w:hAnsi="Times New Roman" w:cs="Times New Roman"/>
          <w:b/>
          <w:bCs/>
        </w:rPr>
        <w:t xml:space="preserve">DOI: </w:t>
      </w:r>
      <w:hyperlink r:id="rId11" w:history="1">
        <w:r w:rsidR="008329CC" w:rsidRPr="008329CC">
          <w:rPr>
            <w:rStyle w:val="Hyperlink"/>
            <w:rFonts w:ascii="Times New Roman" w:eastAsia="Calibri" w:hAnsi="Times New Roman" w:cs="Times New Roman"/>
            <w:b/>
            <w:bCs/>
          </w:rPr>
          <w:t>10.21608/ajgh.2024.306471.1057</w:t>
        </w:r>
      </w:hyperlink>
      <w:r w:rsidRPr="00121922">
        <w:rPr>
          <w:rFonts w:ascii="Times New Roman" w:eastAsia="Calibri" w:hAnsi="Times New Roman" w:cs="Times New Roman"/>
          <w:b/>
          <w:bCs/>
        </w:rPr>
        <w:t>.</w:t>
      </w:r>
    </w:p>
    <w:p w14:paraId="7D950F38" w14:textId="502BCA2B" w:rsidR="00121922" w:rsidRPr="00121922" w:rsidRDefault="00121922" w:rsidP="00590E4B">
      <w:pPr>
        <w:spacing w:line="360" w:lineRule="auto"/>
        <w:ind w:firstLine="0"/>
        <w:rPr>
          <w:rFonts w:ascii="Times New Roman" w:eastAsia="Calibri" w:hAnsi="Times New Roman" w:cs="Times New Roman"/>
        </w:rPr>
      </w:pPr>
      <w:r w:rsidRPr="00121922">
        <w:rPr>
          <w:rFonts w:ascii="Times New Roman" w:eastAsia="Calibri" w:hAnsi="Times New Roman" w:cs="Times New Roman"/>
        </w:rPr>
        <w:t>Submission date:</w:t>
      </w:r>
      <w:bookmarkStart w:id="1" w:name="_Hlk125994740"/>
      <w:r w:rsidRPr="00121922">
        <w:rPr>
          <w:rFonts w:ascii="Times New Roman" w:eastAsia="Calibri" w:hAnsi="Times New Roman" w:cs="Times New Roman"/>
        </w:rPr>
        <w:t>2</w:t>
      </w:r>
      <w:r w:rsidR="008329CC" w:rsidRPr="008329CC">
        <w:rPr>
          <w:rFonts w:ascii="Times New Roman" w:eastAsia="Calibri" w:hAnsi="Times New Roman" w:cs="Times New Roman"/>
        </w:rPr>
        <w:t>2</w:t>
      </w:r>
      <w:r w:rsidRPr="00121922">
        <w:rPr>
          <w:rFonts w:ascii="Times New Roman" w:eastAsia="Calibri" w:hAnsi="Times New Roman" w:cs="Times New Roman"/>
        </w:rPr>
        <w:t xml:space="preserve"> </w:t>
      </w:r>
      <w:r w:rsidR="008329CC" w:rsidRPr="008329CC">
        <w:rPr>
          <w:rFonts w:ascii="Times New Roman" w:eastAsia="Calibri" w:hAnsi="Times New Roman" w:cs="Times New Roman"/>
        </w:rPr>
        <w:t>July</w:t>
      </w:r>
      <w:r w:rsidRPr="00121922">
        <w:rPr>
          <w:rFonts w:ascii="Times New Roman" w:eastAsia="Calibri" w:hAnsi="Times New Roman" w:cs="Times New Roman"/>
        </w:rPr>
        <w:t xml:space="preserve"> 2024.</w:t>
      </w:r>
    </w:p>
    <w:bookmarkEnd w:id="1"/>
    <w:p w14:paraId="5A75D586" w14:textId="52992635" w:rsidR="00121922" w:rsidRPr="00121922" w:rsidRDefault="00121922" w:rsidP="00590E4B">
      <w:pPr>
        <w:spacing w:line="360" w:lineRule="auto"/>
        <w:ind w:firstLine="0"/>
        <w:rPr>
          <w:rFonts w:ascii="Times New Roman" w:eastAsia="Calibri" w:hAnsi="Times New Roman" w:cs="Times New Roman"/>
        </w:rPr>
      </w:pPr>
      <w:r w:rsidRPr="00121922">
        <w:rPr>
          <w:rFonts w:ascii="Times New Roman" w:eastAsia="Calibri" w:hAnsi="Times New Roman" w:cs="Times New Roman"/>
        </w:rPr>
        <w:t xml:space="preserve">Revision date: </w:t>
      </w:r>
      <w:r w:rsidR="008329CC" w:rsidRPr="008329CC">
        <w:rPr>
          <w:rFonts w:ascii="Times New Roman" w:eastAsia="Calibri" w:hAnsi="Times New Roman" w:cs="Times New Roman"/>
        </w:rPr>
        <w:t>10</w:t>
      </w:r>
      <w:r w:rsidRPr="00121922">
        <w:rPr>
          <w:rFonts w:ascii="Times New Roman" w:eastAsia="Calibri" w:hAnsi="Times New Roman" w:cs="Times New Roman"/>
        </w:rPr>
        <w:t xml:space="preserve"> August 2024.</w:t>
      </w:r>
    </w:p>
    <w:p w14:paraId="758D4B05" w14:textId="2E4CC463" w:rsidR="00121922" w:rsidRPr="00121922" w:rsidRDefault="00121922" w:rsidP="00590E4B">
      <w:pPr>
        <w:spacing w:line="360" w:lineRule="auto"/>
        <w:ind w:firstLine="0"/>
        <w:rPr>
          <w:rFonts w:ascii="Times New Roman" w:eastAsia="Calibri" w:hAnsi="Times New Roman" w:cs="Times New Roman"/>
        </w:rPr>
      </w:pPr>
      <w:r w:rsidRPr="00121922">
        <w:rPr>
          <w:rFonts w:ascii="Times New Roman" w:eastAsia="Calibri" w:hAnsi="Times New Roman" w:cs="Times New Roman"/>
        </w:rPr>
        <w:t xml:space="preserve">Acceptance date: </w:t>
      </w:r>
      <w:r w:rsidR="008329CC" w:rsidRPr="008329CC">
        <w:rPr>
          <w:rFonts w:ascii="Times New Roman" w:eastAsia="Calibri" w:hAnsi="Times New Roman" w:cs="Times New Roman"/>
        </w:rPr>
        <w:t>12</w:t>
      </w:r>
      <w:r w:rsidRPr="00121922">
        <w:rPr>
          <w:rFonts w:ascii="Times New Roman" w:eastAsia="Calibri" w:hAnsi="Times New Roman" w:cs="Times New Roman"/>
        </w:rPr>
        <w:t xml:space="preserve"> August 2024.</w:t>
      </w:r>
    </w:p>
    <w:p w14:paraId="01F9DA0B" w14:textId="06961F08" w:rsidR="005D470E" w:rsidRDefault="00121922" w:rsidP="00590E4B">
      <w:pPr>
        <w:spacing w:line="360" w:lineRule="auto"/>
        <w:ind w:firstLine="0"/>
        <w:rPr>
          <w:rFonts w:ascii="Times New Roman" w:eastAsia="Calibri" w:hAnsi="Times New Roman" w:cs="Times New Roman"/>
        </w:rPr>
        <w:sectPr w:rsidR="005D470E" w:rsidSect="002060F1">
          <w:headerReference w:type="default" r:id="rId12"/>
          <w:footerReference w:type="default" r:id="rId13"/>
          <w:pgSz w:w="11906" w:h="16838"/>
          <w:pgMar w:top="1440" w:right="1440" w:bottom="1440" w:left="1440" w:header="708" w:footer="708" w:gutter="0"/>
          <w:pgNumType w:start="211"/>
          <w:cols w:space="708"/>
          <w:bidi/>
          <w:rtlGutter/>
          <w:docGrid w:linePitch="360"/>
        </w:sectPr>
      </w:pPr>
      <w:r w:rsidRPr="008329CC">
        <w:rPr>
          <w:rFonts w:ascii="Times New Roman" w:eastAsia="Calibri" w:hAnsi="Times New Roman" w:cs="Times New Roman"/>
        </w:rPr>
        <w:t>First</w:t>
      </w:r>
      <w:r w:rsidR="00590E4B">
        <w:rPr>
          <w:rFonts w:ascii="Times New Roman" w:eastAsia="Calibri" w:hAnsi="Times New Roman" w:cs="Times New Roman"/>
        </w:rPr>
        <w:t xml:space="preserve"> </w:t>
      </w:r>
      <w:r w:rsidRPr="008329CC">
        <w:rPr>
          <w:rFonts w:ascii="Times New Roman" w:eastAsia="Calibri" w:hAnsi="Times New Roman" w:cs="Times New Roman"/>
        </w:rPr>
        <w:t>online:</w:t>
      </w:r>
      <w:r w:rsidR="00590E4B">
        <w:rPr>
          <w:rFonts w:ascii="Times New Roman" w:eastAsia="Calibri" w:hAnsi="Times New Roman" w:cs="Times New Roman"/>
        </w:rPr>
        <w:t xml:space="preserve"> </w:t>
      </w:r>
      <w:r w:rsidRPr="008329CC">
        <w:rPr>
          <w:rFonts w:ascii="Times New Roman" w:eastAsia="Calibri" w:hAnsi="Times New Roman" w:cs="Times New Roman"/>
        </w:rPr>
        <w:t>1</w:t>
      </w:r>
      <w:r w:rsidR="008329CC" w:rsidRPr="008329CC">
        <w:rPr>
          <w:rFonts w:ascii="Times New Roman" w:eastAsia="Calibri" w:hAnsi="Times New Roman" w:cs="Times New Roman"/>
        </w:rPr>
        <w:t>7</w:t>
      </w:r>
      <w:r w:rsidRPr="008329CC">
        <w:rPr>
          <w:rFonts w:ascii="Times New Roman" w:eastAsia="Calibri" w:hAnsi="Times New Roman" w:cs="Times New Roman"/>
        </w:rPr>
        <w:t xml:space="preserve"> August 2024</w:t>
      </w:r>
      <w:r w:rsidR="008329CC" w:rsidRPr="008329CC">
        <w:rPr>
          <w:rFonts w:ascii="Times New Roman" w:eastAsia="Calibri" w:hAnsi="Times New Roman" w:cs="Times New Roman"/>
        </w:rPr>
        <w:t>.</w:t>
      </w:r>
    </w:p>
    <w:p w14:paraId="7C4CA38E" w14:textId="77777777" w:rsidR="00FA2AA8" w:rsidRPr="00280684" w:rsidRDefault="00FA2AA8" w:rsidP="009C6E03">
      <w:pPr>
        <w:pStyle w:val="Heading2"/>
        <w:spacing w:line="276" w:lineRule="auto"/>
        <w:ind w:firstLine="0"/>
      </w:pPr>
      <w:r w:rsidRPr="00280684">
        <w:lastRenderedPageBreak/>
        <w:t>Abstract</w:t>
      </w:r>
    </w:p>
    <w:p w14:paraId="232B731A" w14:textId="77777777" w:rsidR="008D3E91" w:rsidRPr="00280684" w:rsidRDefault="000E2234" w:rsidP="008D3E91">
      <w:pPr>
        <w:spacing w:line="276" w:lineRule="auto"/>
        <w:ind w:firstLine="0"/>
        <w:rPr>
          <w:color w:val="000000" w:themeColor="text1"/>
        </w:rPr>
      </w:pPr>
      <w:r w:rsidRPr="00D17EC6">
        <w:rPr>
          <w:b/>
          <w:bCs/>
        </w:rPr>
        <w:t>Aim</w:t>
      </w:r>
      <w:r w:rsidR="0080128B" w:rsidRPr="00D17EC6">
        <w:rPr>
          <w:b/>
          <w:bCs/>
        </w:rPr>
        <w:t>:</w:t>
      </w:r>
      <w:r w:rsidR="009C6E03" w:rsidRPr="00280684">
        <w:rPr>
          <w:b/>
          <w:bCs/>
        </w:rPr>
        <w:t xml:space="preserve"> </w:t>
      </w:r>
      <w:r w:rsidR="008D3E91" w:rsidRPr="00280684">
        <w:rPr>
          <w:color w:val="000000" w:themeColor="text1"/>
        </w:rPr>
        <w:t>Nonalcoholic fatty liver disease (NAFLD) is characterized by the presence of hepatic steatosis without any secondary causes contributing to the accumulation of fat in the liver. The influence of gut microbiota, including Helicobacter pylori (H. pylori), on liver injury has not been thoroughly investigated.</w:t>
      </w:r>
    </w:p>
    <w:p w14:paraId="54EB714E" w14:textId="795D0502" w:rsidR="0080128B" w:rsidRPr="00280684" w:rsidRDefault="009C6E03" w:rsidP="004133B6">
      <w:pPr>
        <w:spacing w:line="276" w:lineRule="auto"/>
        <w:ind w:firstLine="0"/>
        <w:rPr>
          <w:color w:val="000000" w:themeColor="text1"/>
        </w:rPr>
      </w:pPr>
      <w:r w:rsidRPr="00280684">
        <w:rPr>
          <w:b/>
          <w:bCs/>
          <w:color w:val="000000" w:themeColor="text1"/>
        </w:rPr>
        <w:t>Methods:</w:t>
      </w:r>
      <w:r w:rsidRPr="00280684">
        <w:rPr>
          <w:color w:val="000000" w:themeColor="text1"/>
        </w:rPr>
        <w:t xml:space="preserve"> </w:t>
      </w:r>
      <w:r w:rsidR="008D3E91" w:rsidRPr="00280684">
        <w:rPr>
          <w:color w:val="000000" w:themeColor="text1"/>
        </w:rPr>
        <w:t xml:space="preserve">This cross-sectional case-control study involved sixty patients with NAFLD (group 1) and sixty healthy individuals of matched age and sex as the control group (group 2). </w:t>
      </w:r>
      <w:r w:rsidR="00F57D48" w:rsidRPr="00280684">
        <w:rPr>
          <w:color w:val="000000" w:themeColor="text1"/>
        </w:rPr>
        <w:t>NAFLD p</w:t>
      </w:r>
      <w:r w:rsidR="0080128B" w:rsidRPr="00280684">
        <w:rPr>
          <w:color w:val="000000" w:themeColor="text1"/>
        </w:rPr>
        <w:t xml:space="preserve">atients were diagnosed by ultrasound, </w:t>
      </w:r>
      <w:r w:rsidR="00D17EC6">
        <w:rPr>
          <w:color w:val="000000" w:themeColor="text1"/>
        </w:rPr>
        <w:t>aged</w:t>
      </w:r>
      <w:r w:rsidR="0080128B" w:rsidRPr="00280684">
        <w:rPr>
          <w:color w:val="000000" w:themeColor="text1"/>
        </w:rPr>
        <w:t>≥ 18 years</w:t>
      </w:r>
      <w:r w:rsidR="0091779E" w:rsidRPr="00280684">
        <w:rPr>
          <w:color w:val="000000" w:themeColor="text1"/>
        </w:rPr>
        <w:t xml:space="preserve"> old</w:t>
      </w:r>
      <w:r w:rsidR="00D17EC6">
        <w:rPr>
          <w:color w:val="000000" w:themeColor="text1"/>
        </w:rPr>
        <w:t>,</w:t>
      </w:r>
      <w:r w:rsidR="0080128B" w:rsidRPr="00280684">
        <w:rPr>
          <w:color w:val="000000" w:themeColor="text1"/>
        </w:rPr>
        <w:t xml:space="preserve"> and body mass index (BMI) ≥ 30 kg/m</w:t>
      </w:r>
      <w:r w:rsidR="0080128B" w:rsidRPr="00280684">
        <w:rPr>
          <w:color w:val="000000" w:themeColor="text1"/>
          <w:vertAlign w:val="superscript"/>
        </w:rPr>
        <w:t>2</w:t>
      </w:r>
      <w:r w:rsidR="0080128B" w:rsidRPr="00280684">
        <w:rPr>
          <w:color w:val="000000" w:themeColor="text1"/>
        </w:rPr>
        <w:t xml:space="preserve">. </w:t>
      </w:r>
      <w:r w:rsidR="00CC7FEE" w:rsidRPr="00280684">
        <w:rPr>
          <w:color w:val="000000" w:themeColor="text1"/>
        </w:rPr>
        <w:t xml:space="preserve">Investigations included fasting insulin level, fasting blood glucose (FBG), cholesterol, triglyceride (TG), </w:t>
      </w:r>
      <w:r w:rsidR="00D17EC6">
        <w:rPr>
          <w:color w:val="000000" w:themeColor="text1"/>
        </w:rPr>
        <w:t>low-density</w:t>
      </w:r>
      <w:r w:rsidR="00CC7FEE" w:rsidRPr="00280684">
        <w:rPr>
          <w:color w:val="000000" w:themeColor="text1"/>
        </w:rPr>
        <w:t xml:space="preserve"> lipoprotein cholesterol (LDL-C), </w:t>
      </w:r>
      <w:r w:rsidR="00D17EC6">
        <w:rPr>
          <w:color w:val="000000" w:themeColor="text1"/>
        </w:rPr>
        <w:t>high-density</w:t>
      </w:r>
      <w:r w:rsidR="00CC7FEE" w:rsidRPr="00280684">
        <w:rPr>
          <w:color w:val="000000" w:themeColor="text1"/>
        </w:rPr>
        <w:t xml:space="preserve"> lipoprotein cholesterol (HDL-C), </w:t>
      </w:r>
      <w:r w:rsidR="00F57D48" w:rsidRPr="00280684">
        <w:rPr>
          <w:color w:val="000000" w:themeColor="text1"/>
        </w:rPr>
        <w:t xml:space="preserve">liver </w:t>
      </w:r>
      <w:r w:rsidR="001E7362" w:rsidRPr="00280684">
        <w:rPr>
          <w:color w:val="000000" w:themeColor="text1"/>
        </w:rPr>
        <w:t>profile</w:t>
      </w:r>
      <w:r w:rsidR="007F4614" w:rsidRPr="00280684">
        <w:rPr>
          <w:color w:val="000000" w:themeColor="text1"/>
        </w:rPr>
        <w:t>, H</w:t>
      </w:r>
      <w:r w:rsidR="005C107F" w:rsidRPr="00280684">
        <w:rPr>
          <w:color w:val="000000" w:themeColor="text1"/>
        </w:rPr>
        <w:t xml:space="preserve">. pylori </w:t>
      </w:r>
      <w:r w:rsidR="001E7362" w:rsidRPr="00280684">
        <w:rPr>
          <w:color w:val="000000" w:themeColor="text1"/>
        </w:rPr>
        <w:t>antigen</w:t>
      </w:r>
      <w:r w:rsidR="005C107F" w:rsidRPr="00280684">
        <w:rPr>
          <w:color w:val="000000" w:themeColor="text1"/>
        </w:rPr>
        <w:t xml:space="preserve"> in stools</w:t>
      </w:r>
      <w:r w:rsidR="004133B6" w:rsidRPr="00280684">
        <w:rPr>
          <w:color w:val="000000" w:themeColor="text1"/>
        </w:rPr>
        <w:t xml:space="preserve">, </w:t>
      </w:r>
      <w:r w:rsidR="00CC7FEE" w:rsidRPr="00280684">
        <w:rPr>
          <w:color w:val="000000" w:themeColor="text1"/>
        </w:rPr>
        <w:t>H. pylori IgG antibodies (IgG Abs)</w:t>
      </w:r>
      <w:r w:rsidR="004133B6" w:rsidRPr="00280684">
        <w:rPr>
          <w:color w:val="000000" w:themeColor="text1"/>
        </w:rPr>
        <w:t xml:space="preserve"> and homeostatic model assessment for insulin resistance (HOMA-IR). </w:t>
      </w:r>
    </w:p>
    <w:p w14:paraId="67669467" w14:textId="6190146E" w:rsidR="008D3E91" w:rsidRPr="00280684" w:rsidRDefault="0080128B" w:rsidP="004133B6">
      <w:pPr>
        <w:spacing w:line="276" w:lineRule="auto"/>
        <w:ind w:firstLine="0"/>
      </w:pPr>
      <w:r w:rsidRPr="00280684">
        <w:rPr>
          <w:b/>
          <w:bCs/>
        </w:rPr>
        <w:t>Results:</w:t>
      </w:r>
      <w:r w:rsidR="009C6E03" w:rsidRPr="00280684">
        <w:rPr>
          <w:b/>
          <w:bCs/>
        </w:rPr>
        <w:t xml:space="preserve"> </w:t>
      </w:r>
      <w:r w:rsidR="004133B6" w:rsidRPr="00280684">
        <w:t>Group 1</w:t>
      </w:r>
      <w:r w:rsidR="008D3E91" w:rsidRPr="00280684">
        <w:t xml:space="preserve"> had significantly higher systolic and diastolic blood pressures (p &lt; 0.001 and 0.015, respectively). Additionally, the NAFLD group exhibited significantly elevated levels of FBG (p = 0.004), HbA</w:t>
      </w:r>
      <w:r w:rsidR="008D3E91" w:rsidRPr="00280684">
        <w:rPr>
          <w:vertAlign w:val="subscript"/>
        </w:rPr>
        <w:t xml:space="preserve">1c </w:t>
      </w:r>
      <w:r w:rsidR="008D3E91" w:rsidRPr="00280684">
        <w:t xml:space="preserve">(p &lt; 0.001), cholesterol (p = 0.007), </w:t>
      </w:r>
      <w:r w:rsidR="001E7362" w:rsidRPr="00280684">
        <w:rPr>
          <w:color w:val="000000" w:themeColor="text1"/>
        </w:rPr>
        <w:t>LDL-C</w:t>
      </w:r>
      <w:r w:rsidR="001E7362" w:rsidRPr="00280684">
        <w:t xml:space="preserve"> </w:t>
      </w:r>
      <w:r w:rsidR="008D3E91" w:rsidRPr="00280684">
        <w:t xml:space="preserve">(p = 0.001), </w:t>
      </w:r>
      <w:r w:rsidR="001E7362" w:rsidRPr="00280684">
        <w:t>alanine transferase (</w:t>
      </w:r>
      <w:r w:rsidR="008D3E91" w:rsidRPr="00280684">
        <w:t>ALT</w:t>
      </w:r>
      <w:r w:rsidR="001E7362" w:rsidRPr="00280684">
        <w:t>)</w:t>
      </w:r>
      <w:r w:rsidR="008D3E91" w:rsidRPr="00280684">
        <w:t xml:space="preserve"> (p &lt; 0.001), and </w:t>
      </w:r>
      <w:r w:rsidR="001E7362" w:rsidRPr="00280684">
        <w:t>aspartate transferase (</w:t>
      </w:r>
      <w:r w:rsidR="008D3E91" w:rsidRPr="00280684">
        <w:t>AST</w:t>
      </w:r>
      <w:r w:rsidR="001E7362" w:rsidRPr="00280684">
        <w:t>)</w:t>
      </w:r>
      <w:r w:rsidR="008D3E91" w:rsidRPr="00280684">
        <w:t xml:space="preserve"> (p</w:t>
      </w:r>
      <w:r w:rsidR="00A858EE" w:rsidRPr="00280684">
        <w:t xml:space="preserve">: </w:t>
      </w:r>
      <w:r w:rsidR="008D3E91" w:rsidRPr="00280684">
        <w:t xml:space="preserve">0.025). Furthermore, </w:t>
      </w:r>
      <w:r w:rsidR="00D17EC6">
        <w:t xml:space="preserve">the </w:t>
      </w:r>
      <w:r w:rsidR="008D3E91" w:rsidRPr="00280684">
        <w:t>NAFLD group had a significantly higher number of patients with positive H. pylori antibodies (p &lt; 0.001), although the antibody titers were not statistically different between the two groups (p</w:t>
      </w:r>
      <w:r w:rsidR="00A858EE" w:rsidRPr="00280684">
        <w:t xml:space="preserve">: </w:t>
      </w:r>
      <w:r w:rsidR="008D3E91" w:rsidRPr="00280684">
        <w:t xml:space="preserve"> 0.516).</w:t>
      </w:r>
    </w:p>
    <w:p w14:paraId="65580FCD" w14:textId="44831412" w:rsidR="009C6E03" w:rsidRPr="00280684" w:rsidRDefault="0080128B" w:rsidP="00A858EE">
      <w:pPr>
        <w:spacing w:line="276" w:lineRule="auto"/>
        <w:ind w:firstLine="0"/>
      </w:pPr>
      <w:r w:rsidRPr="00280684">
        <w:rPr>
          <w:b/>
          <w:bCs/>
        </w:rPr>
        <w:t>Conclusion:</w:t>
      </w:r>
      <w:r w:rsidRPr="00280684">
        <w:t xml:space="preserve"> </w:t>
      </w:r>
      <w:r w:rsidR="008D3E91" w:rsidRPr="00280684">
        <w:t>Obese patients with NAFLD had a significantly higher number</w:t>
      </w:r>
      <w:r w:rsidR="00A858EE" w:rsidRPr="00280684">
        <w:t xml:space="preserve"> </w:t>
      </w:r>
      <w:r w:rsidR="00D17EC6">
        <w:t xml:space="preserve">of </w:t>
      </w:r>
      <w:r w:rsidR="00A858EE" w:rsidRPr="00280684">
        <w:t xml:space="preserve">patients with </w:t>
      </w:r>
      <w:r w:rsidR="008D3E91" w:rsidRPr="00280684">
        <w:t>positive H. pylori antibodies and showed increased insulin resistance and dyslipidemia compared to the control group.</w:t>
      </w:r>
    </w:p>
    <w:p w14:paraId="7E632A3F" w14:textId="77777777" w:rsidR="008D3E91" w:rsidRPr="00280684" w:rsidRDefault="008D3E91" w:rsidP="008D3E91">
      <w:pPr>
        <w:spacing w:line="276" w:lineRule="auto"/>
        <w:ind w:firstLine="0"/>
        <w:rPr>
          <w:b/>
          <w:bCs/>
        </w:rPr>
      </w:pPr>
    </w:p>
    <w:p w14:paraId="3D58BFFA" w14:textId="33D48ED8" w:rsidR="001277BD" w:rsidRPr="007866E5" w:rsidRDefault="001277BD" w:rsidP="009C6E03">
      <w:pPr>
        <w:spacing w:line="276" w:lineRule="auto"/>
        <w:ind w:left="1260" w:hanging="1260"/>
        <w:rPr>
          <w:i/>
          <w:iCs/>
        </w:rPr>
      </w:pPr>
      <w:r w:rsidRPr="007866E5">
        <w:rPr>
          <w:b/>
          <w:bCs/>
          <w:i/>
          <w:iCs/>
        </w:rPr>
        <w:t>Keywords</w:t>
      </w:r>
      <w:r w:rsidR="009C6E03" w:rsidRPr="007866E5">
        <w:rPr>
          <w:b/>
          <w:bCs/>
          <w:i/>
          <w:iCs/>
        </w:rPr>
        <w:t xml:space="preserve">: </w:t>
      </w:r>
      <w:r w:rsidRPr="007866E5">
        <w:rPr>
          <w:i/>
          <w:iCs/>
        </w:rPr>
        <w:t xml:space="preserve">H. </w:t>
      </w:r>
      <w:r w:rsidR="00DE5430" w:rsidRPr="007866E5">
        <w:rPr>
          <w:i/>
          <w:iCs/>
        </w:rPr>
        <w:t>P</w:t>
      </w:r>
      <w:r w:rsidRPr="007866E5">
        <w:rPr>
          <w:i/>
          <w:iCs/>
        </w:rPr>
        <w:t xml:space="preserve">ylori, </w:t>
      </w:r>
      <w:r w:rsidR="009C6E03" w:rsidRPr="007866E5">
        <w:rPr>
          <w:i/>
          <w:iCs/>
        </w:rPr>
        <w:t xml:space="preserve">Insulin </w:t>
      </w:r>
      <w:r w:rsidR="00DE5430" w:rsidRPr="007866E5">
        <w:rPr>
          <w:i/>
          <w:iCs/>
        </w:rPr>
        <w:t>R</w:t>
      </w:r>
      <w:r w:rsidR="009C6E03" w:rsidRPr="007866E5">
        <w:rPr>
          <w:i/>
          <w:iCs/>
        </w:rPr>
        <w:t xml:space="preserve">esistance, Metabolic </w:t>
      </w:r>
      <w:r w:rsidR="00DE5430" w:rsidRPr="007866E5">
        <w:rPr>
          <w:i/>
          <w:iCs/>
        </w:rPr>
        <w:t>S</w:t>
      </w:r>
      <w:r w:rsidR="009C6E03" w:rsidRPr="007866E5">
        <w:rPr>
          <w:i/>
          <w:iCs/>
        </w:rPr>
        <w:t>yndrome, N</w:t>
      </w:r>
      <w:r w:rsidRPr="007866E5">
        <w:rPr>
          <w:i/>
          <w:iCs/>
        </w:rPr>
        <w:t xml:space="preserve">onalcoholic </w:t>
      </w:r>
      <w:r w:rsidR="00DE5430" w:rsidRPr="007866E5">
        <w:rPr>
          <w:i/>
          <w:iCs/>
        </w:rPr>
        <w:t>Fatty Liver Disease</w:t>
      </w:r>
      <w:r w:rsidR="004133B6" w:rsidRPr="007866E5">
        <w:rPr>
          <w:i/>
          <w:iCs/>
        </w:rPr>
        <w:t>, dyslipidemia,</w:t>
      </w:r>
      <w:r w:rsidR="000E2234" w:rsidRPr="007866E5">
        <w:rPr>
          <w:i/>
          <w:iCs/>
        </w:rPr>
        <w:t xml:space="preserve"> obesity, chronic liver disease, HOMA IR, gut microbiota, </w:t>
      </w:r>
      <w:r w:rsidR="00B35F69" w:rsidRPr="007866E5">
        <w:rPr>
          <w:i/>
          <w:iCs/>
        </w:rPr>
        <w:t>hepatic steatosis</w:t>
      </w:r>
      <w:r w:rsidR="00DE5430" w:rsidRPr="007866E5">
        <w:rPr>
          <w:i/>
          <w:iCs/>
        </w:rPr>
        <w:t xml:space="preserve">. </w:t>
      </w:r>
    </w:p>
    <w:p w14:paraId="252C2A00" w14:textId="4979543A" w:rsidR="0080128B" w:rsidRPr="00280684" w:rsidRDefault="0080128B" w:rsidP="009C6E03">
      <w:pPr>
        <w:spacing w:after="200" w:line="276" w:lineRule="auto"/>
        <w:ind w:firstLine="0"/>
        <w:jc w:val="left"/>
        <w:rPr>
          <w:b/>
          <w:bCs/>
        </w:rPr>
      </w:pPr>
    </w:p>
    <w:p w14:paraId="2A53FFD1" w14:textId="77777777" w:rsidR="00D410E9" w:rsidRPr="00280684" w:rsidRDefault="00D410E9" w:rsidP="00EF6E69">
      <w:pPr>
        <w:pStyle w:val="Heading2"/>
        <w:ind w:firstLine="0"/>
      </w:pPr>
      <w:r w:rsidRPr="00280684">
        <w:t>Introduction</w:t>
      </w:r>
    </w:p>
    <w:p w14:paraId="7389C924" w14:textId="692E8746" w:rsidR="00AF00D3" w:rsidRPr="00280684" w:rsidRDefault="008D3E91" w:rsidP="00B35F69">
      <w:pPr>
        <w:spacing w:line="360" w:lineRule="auto"/>
      </w:pPr>
      <w:r w:rsidRPr="00280684">
        <w:t xml:space="preserve">Globally, </w:t>
      </w:r>
      <w:r w:rsidR="004133B6" w:rsidRPr="00280684">
        <w:t>non-alcoholic fatty liver disease (</w:t>
      </w:r>
      <w:r w:rsidRPr="00280684">
        <w:t>NAFLD</w:t>
      </w:r>
      <w:r w:rsidR="004133B6" w:rsidRPr="00280684">
        <w:t>)</w:t>
      </w:r>
      <w:r w:rsidRPr="00280684">
        <w:t xml:space="preserve"> is a </w:t>
      </w:r>
      <w:r w:rsidR="00D17EC6">
        <w:t>significant</w:t>
      </w:r>
      <w:r w:rsidRPr="00280684">
        <w:t xml:space="preserve"> contributor to chronic liver diseases</w:t>
      </w:r>
      <w:r w:rsidR="00781CAF" w:rsidRPr="00280684">
        <w:t xml:space="preserve"> and is an </w:t>
      </w:r>
      <w:r w:rsidR="00D17EC6">
        <w:t>essential</w:t>
      </w:r>
      <w:r w:rsidR="00781CAF" w:rsidRPr="00280684">
        <w:t xml:space="preserve"> indication for liver transplantation</w:t>
      </w:r>
      <w:r w:rsidR="00D17EC6">
        <w:t>.</w:t>
      </w:r>
      <w:r w:rsidR="00781CAF" w:rsidRPr="00280684">
        <w:t xml:space="preserve"> </w:t>
      </w:r>
      <w:r w:rsidR="00781CAF" w:rsidRPr="00280684">
        <w:fldChar w:fldCharType="begin"/>
      </w:r>
      <w:r w:rsidR="00781CAF" w:rsidRPr="00280684">
        <w:instrText xml:space="preserve"> ADDIN EN.CITE &lt;EndNote&gt;&lt;Cite&gt;&lt;Author&gt;Calzadilla Bertot&lt;/Author&gt;&lt;Year&gt;2016&lt;/Year&gt;&lt;RecNum&gt;2474&lt;/RecNum&gt;&lt;DisplayText&gt;[1]&lt;/DisplayText&gt;&lt;record&gt;&lt;rec-number&gt;2474&lt;/rec-number&gt;&lt;foreign-keys&gt;&lt;key app="EN" db-id="ftdeprx0ptvtxbefrrl5r9xrvps9d9vrpaat"&gt;2474&lt;/key&gt;&lt;/foreign-keys&gt;&lt;ref-type name="Journal Article"&gt;17&lt;/ref-type&gt;&lt;contributors&gt;&lt;authors&gt;&lt;author&gt;Calzadilla Bertot, Luis&lt;/author&gt;&lt;author&gt;Adams, Leon Anton&lt;/author&gt;&lt;/authors&gt;&lt;/contributors&gt;&lt;titles&gt;&lt;title&gt;The natural course of non-alcoholic fatty liver disease&lt;/title&gt;&lt;secondary-title&gt;International journal of molecular sciences&lt;/secondary-title&gt;&lt;/titles&gt;&lt;periodical&gt;&lt;full-title&gt;International journal of molecular sciences&lt;/full-title&gt;&lt;/periodical&gt;&lt;pages&gt;774&lt;/pages&gt;&lt;volume&gt;17&lt;/volume&gt;&lt;number&gt;5&lt;/number&gt;&lt;dates&gt;&lt;year&gt;2016&lt;/year&gt;&lt;/dates&gt;&lt;isbn&gt;1422-0067&lt;/isbn&gt;&lt;urls&gt;&lt;/urls&gt;&lt;/record&gt;&lt;/Cite&gt;&lt;/EndNote&gt;</w:instrText>
      </w:r>
      <w:r w:rsidR="00781CAF" w:rsidRPr="00280684">
        <w:fldChar w:fldCharType="separate"/>
      </w:r>
      <w:r w:rsidR="00781CAF" w:rsidRPr="00280684">
        <w:rPr>
          <w:noProof/>
        </w:rPr>
        <w:t>[</w:t>
      </w:r>
      <w:hyperlink w:anchor="_ENREF_1" w:tooltip="Calzadilla Bertot, 2016 #2474" w:history="1">
        <w:r w:rsidR="00B35F69" w:rsidRPr="00280684">
          <w:rPr>
            <w:noProof/>
          </w:rPr>
          <w:t>1</w:t>
        </w:r>
      </w:hyperlink>
      <w:r w:rsidR="00781CAF" w:rsidRPr="00280684">
        <w:rPr>
          <w:noProof/>
        </w:rPr>
        <w:t>]</w:t>
      </w:r>
      <w:r w:rsidR="00781CAF" w:rsidRPr="00280684">
        <w:fldChar w:fldCharType="end"/>
      </w:r>
      <w:r w:rsidR="00781CAF" w:rsidRPr="00280684">
        <w:t xml:space="preserve"> </w:t>
      </w:r>
      <w:r w:rsidRPr="00280684">
        <w:t>.</w:t>
      </w:r>
      <w:r w:rsidR="00AF00D3" w:rsidRPr="00280684">
        <w:t>Some estimates suggest that up to one-third of the population may be affected</w:t>
      </w:r>
      <w:r w:rsidR="00D17EC6">
        <w:t>.</w:t>
      </w:r>
      <w:r w:rsidR="00AF00D3" w:rsidRPr="00280684">
        <w:t xml:space="preserve"> </w:t>
      </w:r>
      <w:r w:rsidR="00AF00D3" w:rsidRPr="00280684">
        <w:fldChar w:fldCharType="begin"/>
      </w:r>
      <w:r w:rsidR="00D64F11" w:rsidRPr="00280684">
        <w:instrText xml:space="preserve"> ADDIN EN.CITE &lt;EndNote&gt;&lt;Cite&gt;&lt;Author&gt;Riazi&lt;/Author&gt;&lt;Year&gt;2022&lt;/Year&gt;&lt;RecNum&gt;2475&lt;/RecNum&gt;&lt;DisplayText&gt;[2]&lt;/DisplayText&gt;&lt;record&gt;&lt;rec-number&gt;2475&lt;/rec-number&gt;&lt;foreign-keys&gt;&lt;key app="EN" db-id="ftdeprx0ptvtxbefrrl5r9xrvps9d9vrpaat"&gt;2475&lt;/key&gt;&lt;/foreign-keys&gt;&lt;ref-type name="Journal Article"&gt;17&lt;/ref-type&gt;&lt;contributors&gt;&lt;authors&gt;&lt;author&gt;Riazi, Kiarash&lt;/author&gt;&lt;author&gt;Azhari, Hassan&lt;/author&gt;&lt;author&gt;Charette, Jacob H&lt;/author&gt;&lt;author&gt;Underwood, Fox E&lt;/author&gt;&lt;author&gt;King, James A&lt;/author&gt;&lt;author&gt;Afshar, Elnaz Ehteshami&lt;/author&gt;&lt;author&gt;Swain, Mark G&lt;/author&gt;&lt;author&gt;Congly, Stephen E&lt;/author&gt;&lt;author&gt;Kaplan, Gilaad G&lt;/author&gt;&lt;author&gt;Shaheen, Abdel-Aziz&lt;/author&gt;&lt;/authors&gt;&lt;/contributors&gt;&lt;titles&gt;&lt;title&gt;The prevalence and incidence of NAFLD worldwide: a systematic review and meta-analysis&lt;/title&gt;&lt;secondary-title&gt;The lancet gastroenterology &amp;amp; hepatology&lt;/secondary-title&gt;&lt;/titles&gt;&lt;periodical&gt;&lt;full-title&gt;The Lancet Gastroenterology &amp;amp; Hepatology&lt;/full-title&gt;&lt;/periodical&gt;&lt;pages&gt;851-861&lt;/pages&gt;&lt;volume&gt;7&lt;/volume&gt;&lt;number&gt;9&lt;/number&gt;&lt;dates&gt;&lt;year&gt;2022&lt;/year&gt;&lt;/dates&gt;&lt;isbn&gt;2468-1253&lt;/isbn&gt;&lt;urls&gt;&lt;/urls&gt;&lt;/record&gt;&lt;/Cite&gt;&lt;/EndNote&gt;</w:instrText>
      </w:r>
      <w:r w:rsidR="00AF00D3" w:rsidRPr="00280684">
        <w:fldChar w:fldCharType="separate"/>
      </w:r>
      <w:r w:rsidR="00D64F11" w:rsidRPr="00280684">
        <w:rPr>
          <w:noProof/>
        </w:rPr>
        <w:t>[</w:t>
      </w:r>
      <w:hyperlink w:anchor="_ENREF_2" w:tooltip="Riazi, 2022 #2475" w:history="1">
        <w:r w:rsidR="00B35F69" w:rsidRPr="00280684">
          <w:rPr>
            <w:noProof/>
          </w:rPr>
          <w:t>2</w:t>
        </w:r>
      </w:hyperlink>
      <w:r w:rsidR="00D64F11" w:rsidRPr="00280684">
        <w:rPr>
          <w:noProof/>
        </w:rPr>
        <w:t>]</w:t>
      </w:r>
      <w:r w:rsidR="00AF00D3" w:rsidRPr="00280684">
        <w:fldChar w:fldCharType="end"/>
      </w:r>
      <w:r w:rsidR="00AF00D3" w:rsidRPr="00280684">
        <w:t xml:space="preserve">. </w:t>
      </w:r>
      <w:r w:rsidR="00B506CD" w:rsidRPr="00280684">
        <w:t>NAFLD spectrum includes nonalcoholic fatty liver (NAFL) and nonalcoholic steatohepatitis (NASH)</w:t>
      </w:r>
      <w:r w:rsidR="00D17EC6">
        <w:t>,</w:t>
      </w:r>
      <w:r w:rsidR="00B506CD" w:rsidRPr="00280684">
        <w:t xml:space="preserve"> depending on the presence or absence of substantial inflammation </w:t>
      </w:r>
      <w:r w:rsidR="00B506CD" w:rsidRPr="00280684">
        <w:fldChar w:fldCharType="begin"/>
      </w:r>
      <w:r w:rsidR="00D64F11" w:rsidRPr="00280684">
        <w:instrText xml:space="preserve"> ADDIN EN.CITE &lt;EndNote&gt;&lt;Cite&gt;&lt;Author&gt;Harrison&lt;/Author&gt;&lt;Year&gt;2003&lt;/Year&gt;&lt;RecNum&gt;1871&lt;/RecNum&gt;&lt;DisplayText&gt;[3]&lt;/DisplayText&gt;&lt;record&gt;&lt;rec-number&gt;1871&lt;/rec-number&gt;&lt;foreign-keys&gt;&lt;key app="EN" db-id="ftdeprx0ptvtxbefrrl5r9xrvps9d9vrpaat"&gt;1871&lt;/key&gt;&lt;/foreign-keys&gt;&lt;ref-type name="Journal Article"&gt;17&lt;/ref-type&gt;&lt;contributors&gt;&lt;authors&gt;&lt;author&gt;Harrison, Stephen A&lt;/author&gt;&lt;author&gt;Torgerson, Sigurd&lt;/author&gt;&lt;author&gt;Hayashi, Paul H&lt;/author&gt;&lt;/authors&gt;&lt;/contributors&gt;&lt;titles&gt;&lt;title&gt;The natural history of nonalcoholic fatty liver disease: a clinical histopathological study&lt;/title&gt;&lt;secondary-title&gt;The American journal of gastroenterology&lt;/secondary-title&gt;&lt;/titles&gt;&lt;periodical&gt;&lt;full-title&gt;Am J Gastroenterol&lt;/full-title&gt;&lt;abbr-1&gt;The American journal of gastroenterology&lt;/abbr-1&gt;&lt;/periodical&gt;&lt;pages&gt;2042-2047&lt;/pages&gt;&lt;volume&gt;98&lt;/volume&gt;&lt;number&gt;9&lt;/number&gt;&lt;dates&gt;&lt;year&gt;2003&lt;/year&gt;&lt;/dates&gt;&lt;isbn&gt;0002-9270&lt;/isbn&gt;&lt;urls&gt;&lt;/urls&gt;&lt;/record&gt;&lt;/Cite&gt;&lt;/EndNote&gt;</w:instrText>
      </w:r>
      <w:r w:rsidR="00B506CD" w:rsidRPr="00280684">
        <w:fldChar w:fldCharType="separate"/>
      </w:r>
      <w:r w:rsidR="00D64F11" w:rsidRPr="00280684">
        <w:rPr>
          <w:noProof/>
        </w:rPr>
        <w:t>[</w:t>
      </w:r>
      <w:hyperlink w:anchor="_ENREF_3" w:tooltip="Harrison, 2003 #1871" w:history="1">
        <w:r w:rsidR="00B35F69" w:rsidRPr="00280684">
          <w:rPr>
            <w:noProof/>
          </w:rPr>
          <w:t>3</w:t>
        </w:r>
      </w:hyperlink>
      <w:r w:rsidR="00D64F11" w:rsidRPr="00280684">
        <w:rPr>
          <w:noProof/>
        </w:rPr>
        <w:t>]</w:t>
      </w:r>
      <w:r w:rsidR="00B506CD" w:rsidRPr="00280684">
        <w:fldChar w:fldCharType="end"/>
      </w:r>
      <w:r w:rsidR="00B506CD" w:rsidRPr="00280684">
        <w:t>.</w:t>
      </w:r>
      <w:r w:rsidRPr="00280684">
        <w:t xml:space="preserve"> </w:t>
      </w:r>
    </w:p>
    <w:p w14:paraId="07F67094" w14:textId="1C6EEBB8" w:rsidR="00AF00D3" w:rsidRPr="00280684" w:rsidRDefault="00F63F9A" w:rsidP="00B35F69">
      <w:pPr>
        <w:spacing w:line="360" w:lineRule="auto"/>
      </w:pPr>
      <w:r w:rsidRPr="00280684">
        <w:t>Non-alcoholic fatty liver disease is defined by the accumulation of excessive fat in</w:t>
      </w:r>
      <w:r w:rsidR="00AF00D3" w:rsidRPr="00280684">
        <w:t>side</w:t>
      </w:r>
      <w:r w:rsidRPr="00280684">
        <w:t xml:space="preserve"> hepatocytes, with steatosis </w:t>
      </w:r>
      <w:r w:rsidR="00AF00D3" w:rsidRPr="00280684">
        <w:t>affecting</w:t>
      </w:r>
      <w:r w:rsidRPr="00280684">
        <w:t xml:space="preserve"> more than 5% of these cells in the absence of alcohol consumption</w:t>
      </w:r>
      <w:r w:rsidR="00D17EC6">
        <w:t>.</w:t>
      </w:r>
      <w:r w:rsidR="008134E5" w:rsidRPr="00280684">
        <w:rPr>
          <w:vertAlign w:val="superscript"/>
        </w:rPr>
        <w:t xml:space="preserve"> </w:t>
      </w:r>
      <w:r w:rsidR="008134E5" w:rsidRPr="00280684">
        <w:fldChar w:fldCharType="begin"/>
      </w:r>
      <w:r w:rsidR="00AF00D3" w:rsidRPr="00280684">
        <w:instrText xml:space="preserve"> ADDIN EN.CITE &lt;EndNote&gt;&lt;Cite&gt;&lt;Author&gt;Caldwell&lt;/Author&gt;&lt;Year&gt;2004&lt;/Year&gt;&lt;RecNum&gt;1781&lt;/RecNum&gt;&lt;DisplayText&gt;[4]&lt;/DisplayText&gt;&lt;record&gt;&lt;rec-number&gt;1781&lt;/rec-number&gt;&lt;foreign-keys&gt;&lt;key app="EN" db-id="ftdeprx0ptvtxbefrrl5r9xrvps9d9vrpaat"&gt;1781&lt;/key&gt;&lt;/foreign-keys&gt;&lt;ref-type name="Journal Article"&gt;17&lt;/ref-type&gt;&lt;contributors&gt;&lt;authors&gt;&lt;author&gt;Caldwell, Stephen H&lt;/author&gt;&lt;author&gt;Crespo, Deborah M&lt;/author&gt;&lt;/authors&gt;&lt;/contributors&gt;&lt;titles&gt;&lt;title&gt;The spectrum expanded: cryptogenic cirrhosis and the natural history of non-alcoholic fatty liver diseasePowell EE, Cooksley WGE, Hanson R, Searle J, Halliday JW, Powell LW. The natural history of nonalcoholic steatohepatitis: a follow-up study of forty-two patients for up to 21 years [Hepatology 1990; 11: 74–80]&lt;/title&gt;&lt;secondary-title&gt;Journal of hepatology&lt;/secondary-title&gt;&lt;/titles&gt;&lt;periodical&gt;&lt;full-title&gt;Journal of hepatology&lt;/full-title&gt;&lt;/periodical&gt;&lt;pages&gt;578-584&lt;/pages&gt;&lt;volume&gt;40&lt;/volume&gt;&lt;number&gt;4&lt;/number&gt;&lt;dates&gt;&lt;year&gt;2004&lt;/year&gt;&lt;/dates&gt;&lt;isbn&gt;0168-8278&lt;/isbn&gt;&lt;urls&gt;&lt;/urls&gt;&lt;/record&gt;&lt;/Cite&gt;&lt;/EndNote&gt;</w:instrText>
      </w:r>
      <w:r w:rsidR="008134E5" w:rsidRPr="00280684">
        <w:fldChar w:fldCharType="separate"/>
      </w:r>
      <w:r w:rsidR="00AF00D3" w:rsidRPr="00280684">
        <w:rPr>
          <w:noProof/>
        </w:rPr>
        <w:t>[</w:t>
      </w:r>
      <w:hyperlink w:anchor="_ENREF_4" w:tooltip="Caldwell, 2004 #1781" w:history="1">
        <w:r w:rsidR="00B35F69" w:rsidRPr="00280684">
          <w:rPr>
            <w:noProof/>
          </w:rPr>
          <w:t>4</w:t>
        </w:r>
      </w:hyperlink>
      <w:r w:rsidR="00AF00D3" w:rsidRPr="00280684">
        <w:rPr>
          <w:noProof/>
        </w:rPr>
        <w:t>]</w:t>
      </w:r>
      <w:r w:rsidR="008134E5" w:rsidRPr="00280684">
        <w:fldChar w:fldCharType="end"/>
      </w:r>
      <w:r w:rsidR="008134E5" w:rsidRPr="00280684">
        <w:t xml:space="preserve"> </w:t>
      </w:r>
      <w:r w:rsidRPr="00280684">
        <w:t>NAFLD can manifest as cirrhosis, inflammation</w:t>
      </w:r>
      <w:r w:rsidR="00AF00D3" w:rsidRPr="00280684">
        <w:t>, fibrosis, or simple steatosis</w:t>
      </w:r>
      <w:r w:rsidR="00AF00D3" w:rsidRPr="00280684">
        <w:rPr>
          <w:vertAlign w:val="superscript"/>
        </w:rPr>
        <w:t xml:space="preserve"> </w:t>
      </w:r>
      <w:r w:rsidR="008134E5" w:rsidRPr="00280684">
        <w:fldChar w:fldCharType="begin"/>
      </w:r>
      <w:r w:rsidR="00D64F11" w:rsidRPr="00280684">
        <w:instrText xml:space="preserve"> ADDIN EN.CITE &lt;EndNote&gt;&lt;Cite&gt;&lt;Author&gt;Harrison&lt;/Author&gt;&lt;Year&gt;2003&lt;/Year&gt;&lt;RecNum&gt;1871&lt;/RecNum&gt;&lt;DisplayText&gt;[3]&lt;/DisplayText&gt;&lt;record&gt;&lt;rec-number&gt;1871&lt;/rec-number&gt;&lt;foreign-keys&gt;&lt;key app="EN" db-id="ftdeprx0ptvtxbefrrl5r9xrvps9d9vrpaat"&gt;1871&lt;/key&gt;&lt;/foreign-keys&gt;&lt;ref-type name="Journal Article"&gt;17&lt;/ref-type&gt;&lt;contributors&gt;&lt;authors&gt;&lt;author&gt;Harrison, Stephen A&lt;/author&gt;&lt;author&gt;Torgerson, Sigurd&lt;/author&gt;&lt;author&gt;Hayashi, Paul H&lt;/author&gt;&lt;/authors&gt;&lt;/contributors&gt;&lt;titles&gt;&lt;title&gt;The natural history of nonalcoholic fatty liver disease: a clinical histopathological study&lt;/title&gt;&lt;secondary-title&gt;The American journal of gastroenterology&lt;/secondary-title&gt;&lt;/titles&gt;&lt;periodical&gt;&lt;full-title&gt;Am J Gastroenterol&lt;/full-title&gt;&lt;abbr-1&gt;The American journal of gastroenterology&lt;/abbr-1&gt;&lt;/periodical&gt;&lt;pages&gt;2042-2047&lt;/pages&gt;&lt;volume&gt;98&lt;/volume&gt;&lt;number&gt;9&lt;/number&gt;&lt;dates&gt;&lt;year&gt;2003&lt;/year&gt;&lt;/dates&gt;&lt;isbn&gt;0002-9270&lt;/isbn&gt;&lt;urls&gt;&lt;/urls&gt;&lt;/record&gt;&lt;/Cite&gt;&lt;/EndNote&gt;</w:instrText>
      </w:r>
      <w:r w:rsidR="008134E5" w:rsidRPr="00280684">
        <w:fldChar w:fldCharType="separate"/>
      </w:r>
      <w:r w:rsidR="00D64F11" w:rsidRPr="00280684">
        <w:rPr>
          <w:noProof/>
        </w:rPr>
        <w:t>[</w:t>
      </w:r>
      <w:hyperlink w:anchor="_ENREF_3" w:tooltip="Harrison, 2003 #1871" w:history="1">
        <w:r w:rsidR="00B35F69" w:rsidRPr="00280684">
          <w:rPr>
            <w:noProof/>
          </w:rPr>
          <w:t>3</w:t>
        </w:r>
      </w:hyperlink>
      <w:r w:rsidR="00D64F11" w:rsidRPr="00280684">
        <w:rPr>
          <w:noProof/>
        </w:rPr>
        <w:t>]</w:t>
      </w:r>
      <w:r w:rsidR="008134E5" w:rsidRPr="00280684">
        <w:fldChar w:fldCharType="end"/>
      </w:r>
      <w:r w:rsidR="00AF00D3" w:rsidRPr="00280684">
        <w:t>.</w:t>
      </w:r>
      <w:r w:rsidR="008134E5" w:rsidRPr="00280684">
        <w:t xml:space="preserve"> </w:t>
      </w:r>
    </w:p>
    <w:p w14:paraId="1449930B" w14:textId="0A0C1DA1" w:rsidR="006654DF" w:rsidRPr="00280684" w:rsidRDefault="00AF00D3" w:rsidP="00B35F69">
      <w:pPr>
        <w:spacing w:line="360" w:lineRule="auto"/>
      </w:pPr>
      <w:r w:rsidRPr="00280684">
        <w:t>Multiple factors contribute to the development of NAFLD</w:t>
      </w:r>
      <w:r w:rsidR="00D17EC6">
        <w:t>,</w:t>
      </w:r>
      <w:r w:rsidRPr="00280684">
        <w:t xml:space="preserve"> including lipid buildup, environmental factors, and genetics [5]</w:t>
      </w:r>
      <w:r w:rsidR="006654DF" w:rsidRPr="00280684">
        <w:t>. Additionally, NAFLD is substantially linked to elements of metabolic syndrome</w:t>
      </w:r>
      <w:r w:rsidR="00D17EC6">
        <w:t>, e.g.,</w:t>
      </w:r>
      <w:r w:rsidR="006654DF" w:rsidRPr="00280684">
        <w:t xml:space="preserve"> obesity, hypertension (HTN), and dyslipidemia. This suggests that insulin resistance </w:t>
      </w:r>
      <w:r w:rsidR="00266FD8" w:rsidRPr="00280684">
        <w:t xml:space="preserve">(IR) </w:t>
      </w:r>
      <w:r w:rsidR="006654DF" w:rsidRPr="00280684">
        <w:t xml:space="preserve">is </w:t>
      </w:r>
      <w:r w:rsidR="00D17EC6">
        <w:t>a significant</w:t>
      </w:r>
      <w:r w:rsidR="006654DF" w:rsidRPr="00280684">
        <w:t xml:space="preserve"> contributing factor</w:t>
      </w:r>
      <w:r w:rsidR="00D17EC6">
        <w:t>.</w:t>
      </w:r>
      <w:r w:rsidR="006654DF" w:rsidRPr="00280684">
        <w:t xml:space="preserve"> </w:t>
      </w:r>
      <w:r w:rsidR="008134E5" w:rsidRPr="00280684">
        <w:fldChar w:fldCharType="begin"/>
      </w:r>
      <w:r w:rsidR="00D64F11" w:rsidRPr="00280684">
        <w:instrText xml:space="preserve"> ADDIN EN.CITE &lt;EndNote&gt;&lt;Cite&gt;&lt;Author&gt;Collaborators&lt;/Author&gt;&lt;Year&gt;2017&lt;/Year&gt;&lt;RecNum&gt;1823&lt;/RecNum&gt;&lt;DisplayText&gt;[5, 6]&lt;/DisplayText&gt;&lt;record&gt;&lt;rec-number&gt;1823&lt;/rec-number&gt;&lt;foreign-keys&gt;&lt;key app="EN" db-id="ftdeprx0ptvtxbefrrl5r9xrvps9d9vrpaat"&gt;1823&lt;/key&gt;&lt;/foreign-keys&gt;&lt;ref-type name="Journal Article"&gt;17&lt;/ref-type&gt;&lt;contributors&gt;&lt;authors&gt;&lt;author&gt;GBD Obesity Collaborators&lt;/author&gt;&lt;/authors&gt;&lt;/contributors&gt;&lt;titles&gt;&lt;title&gt;Health effects of overweight and obesity in 195 countries over 25 years&lt;/title&gt;&lt;secondary-title&gt;New England journal of medicine&lt;/secondary-title&gt;&lt;/titles&gt;&lt;periodical&gt;&lt;full-title&gt;New England Journal of Medicine&lt;/full-title&gt;&lt;/periodical&gt;&lt;pages&gt;13-27&lt;/pages&gt;&lt;volume&gt;377&lt;/volume&gt;&lt;number&gt;1&lt;/number&gt;&lt;dates&gt;&lt;year&gt;2017&lt;/year&gt;&lt;/dates&gt;&lt;isbn&gt;0028-4793&lt;/isbn&gt;&lt;urls&gt;&lt;/urls&gt;&lt;/record&gt;&lt;/Cite&gt;&lt;Cite&gt;&lt;Author&gt;Stefan&lt;/Author&gt;&lt;Year&gt;2022&lt;/Year&gt;&lt;RecNum&gt;1824&lt;/RecNum&gt;&lt;record&gt;&lt;rec-number&gt;1824&lt;/rec-number&gt;&lt;foreign-keys&gt;&lt;key app="EN" db-id="ftdeprx0ptvtxbefrrl5r9xrvps9d9vrpaat"&gt;1824&lt;/key&gt;&lt;/foreign-keys&gt;&lt;ref-type name="Journal Article"&gt;17&lt;/ref-type&gt;&lt;contributors&gt;&lt;authors&gt;&lt;author&gt;Stefan, Norbert&lt;/author&gt;&lt;author&gt;Cusi, Kenneth&lt;/author&gt;&lt;/authors&gt;&lt;/contributors&gt;&lt;titles&gt;&lt;title&gt;A global view of the interplay between non-alcoholic fatty liver disease and diabetes&lt;/title&gt;&lt;secondary-title&gt;The lancet Diabetes &amp;amp; endocrinology&lt;/secondary-title&gt;&lt;/titles&gt;&lt;periodical&gt;&lt;full-title&gt;The Lancet Diabetes &amp;amp; Endocrinology&lt;/full-title&gt;&lt;/periodical&gt;&lt;pages&gt;284-296&lt;/pages&gt;&lt;volume&gt;10&lt;/volume&gt;&lt;number&gt;4&lt;/number&gt;&lt;dates&gt;&lt;year&gt;2022&lt;/year&gt;&lt;/dates&gt;&lt;isbn&gt;2213-8587&lt;/isbn&gt;&lt;urls&gt;&lt;/urls&gt;&lt;/record&gt;&lt;/Cite&gt;&lt;/EndNote&gt;</w:instrText>
      </w:r>
      <w:r w:rsidR="008134E5" w:rsidRPr="00280684">
        <w:fldChar w:fldCharType="separate"/>
      </w:r>
      <w:r w:rsidR="00D64F11" w:rsidRPr="00280684">
        <w:rPr>
          <w:noProof/>
        </w:rPr>
        <w:t>[</w:t>
      </w:r>
      <w:hyperlink w:anchor="_ENREF_5" w:tooltip="Collaborators, 2017 #1823" w:history="1">
        <w:r w:rsidR="00B35F69" w:rsidRPr="00280684">
          <w:rPr>
            <w:noProof/>
          </w:rPr>
          <w:t>5</w:t>
        </w:r>
      </w:hyperlink>
      <w:r w:rsidR="00D64F11" w:rsidRPr="00280684">
        <w:rPr>
          <w:noProof/>
        </w:rPr>
        <w:t xml:space="preserve">, </w:t>
      </w:r>
      <w:hyperlink w:anchor="_ENREF_6" w:tooltip="Stefan, 2022 #1824" w:history="1">
        <w:r w:rsidR="00B35F69" w:rsidRPr="00280684">
          <w:rPr>
            <w:noProof/>
          </w:rPr>
          <w:t>6</w:t>
        </w:r>
      </w:hyperlink>
      <w:r w:rsidR="00D64F11" w:rsidRPr="00280684">
        <w:rPr>
          <w:noProof/>
        </w:rPr>
        <w:t>]</w:t>
      </w:r>
      <w:r w:rsidR="008134E5" w:rsidRPr="00280684">
        <w:fldChar w:fldCharType="end"/>
      </w:r>
    </w:p>
    <w:p w14:paraId="659AC617" w14:textId="15385102" w:rsidR="00266FD8" w:rsidRPr="00280684" w:rsidRDefault="008134E5" w:rsidP="00B35F69">
      <w:pPr>
        <w:spacing w:line="360" w:lineRule="auto"/>
        <w:rPr>
          <w:color w:val="000000" w:themeColor="text1"/>
        </w:rPr>
      </w:pPr>
      <w:r w:rsidRPr="00280684">
        <w:rPr>
          <w:color w:val="000000" w:themeColor="text1"/>
        </w:rPr>
        <w:t xml:space="preserve">The gut microbiota is one of the additional variables that could influence the onset and course of </w:t>
      </w:r>
      <w:r w:rsidR="00266FD8" w:rsidRPr="00280684">
        <w:rPr>
          <w:color w:val="000000" w:themeColor="text1"/>
        </w:rPr>
        <w:t>the</w:t>
      </w:r>
      <w:r w:rsidRPr="00280684">
        <w:rPr>
          <w:color w:val="000000" w:themeColor="text1"/>
        </w:rPr>
        <w:t xml:space="preserve"> disease. </w:t>
      </w:r>
      <w:r w:rsidR="0032553C" w:rsidRPr="00280684">
        <w:rPr>
          <w:color w:val="000000" w:themeColor="text1"/>
        </w:rPr>
        <w:t xml:space="preserve">There is evidence that </w:t>
      </w:r>
      <w:r w:rsidRPr="00280684">
        <w:rPr>
          <w:color w:val="000000" w:themeColor="text1"/>
        </w:rPr>
        <w:t>H</w:t>
      </w:r>
      <w:r w:rsidR="0032553C" w:rsidRPr="00280684">
        <w:rPr>
          <w:color w:val="000000" w:themeColor="text1"/>
        </w:rPr>
        <w:t>elicobacter</w:t>
      </w:r>
      <w:r w:rsidRPr="00280684">
        <w:rPr>
          <w:color w:val="000000" w:themeColor="text1"/>
        </w:rPr>
        <w:t xml:space="preserve"> pylori</w:t>
      </w:r>
      <w:r w:rsidR="0032553C" w:rsidRPr="00280684">
        <w:rPr>
          <w:color w:val="000000" w:themeColor="text1"/>
        </w:rPr>
        <w:t xml:space="preserve"> (H. pylori)</w:t>
      </w:r>
      <w:r w:rsidRPr="00280684">
        <w:rPr>
          <w:color w:val="000000" w:themeColor="text1"/>
        </w:rPr>
        <w:t xml:space="preserve"> infection </w:t>
      </w:r>
      <w:r w:rsidR="0032553C" w:rsidRPr="00280684">
        <w:rPr>
          <w:color w:val="000000" w:themeColor="text1"/>
        </w:rPr>
        <w:t>may</w:t>
      </w:r>
      <w:r w:rsidRPr="00280684">
        <w:rPr>
          <w:color w:val="000000" w:themeColor="text1"/>
        </w:rPr>
        <w:t xml:space="preserve"> </w:t>
      </w:r>
      <w:r w:rsidR="00302F2A">
        <w:rPr>
          <w:color w:val="000000" w:themeColor="text1"/>
        </w:rPr>
        <w:t xml:space="preserve">play a part in the onset and progression of NAFLD. [7]. It is estimated that H. pylori infection impacts at least 50% of the global population. [8] </w:t>
      </w:r>
      <w:r w:rsidR="002060F1">
        <w:rPr>
          <w:color w:val="000000" w:themeColor="text1"/>
        </w:rPr>
        <w:t>Most</w:t>
      </w:r>
      <w:r w:rsidR="00302F2A">
        <w:rPr>
          <w:color w:val="000000" w:themeColor="text1"/>
        </w:rPr>
        <w:t xml:space="preserve"> infections start in childhood, especially in underdeveloped countries </w:t>
      </w:r>
      <w:r w:rsidR="00266FD8" w:rsidRPr="00280684">
        <w:rPr>
          <w:color w:val="000000" w:themeColor="text1"/>
        </w:rPr>
        <w:fldChar w:fldCharType="begin"/>
      </w:r>
      <w:r w:rsidR="00266FD8" w:rsidRPr="00280684">
        <w:rPr>
          <w:color w:val="000000" w:themeColor="text1"/>
        </w:rPr>
        <w:instrText xml:space="preserve"> ADDIN EN.CITE &lt;EndNote&gt;&lt;Cite&gt;&lt;Author&gt;Perez</w:instrText>
      </w:r>
      <w:r w:rsidR="00266FD8" w:rsidRPr="00280684">
        <w:rPr>
          <w:rFonts w:ascii="Cambria Math" w:hAnsi="Cambria Math" w:cs="Cambria Math"/>
          <w:color w:val="000000" w:themeColor="text1"/>
        </w:rPr>
        <w:instrText>‐</w:instrText>
      </w:r>
      <w:r w:rsidR="00266FD8" w:rsidRPr="00280684">
        <w:rPr>
          <w:color w:val="000000" w:themeColor="text1"/>
        </w:rPr>
        <w:instrText>Perez&lt;/Author&gt;&lt;Year&gt;2004&lt;/Year&gt;&lt;RecNum&gt;1013&lt;/RecNum&gt;&lt;DisplayText&gt;[9]&lt;/DisplayText&gt;&lt;record&gt;&lt;rec-number&gt;1013&lt;/rec-number&gt;&lt;foreign-keys&gt;&lt;key app="EN" db-id="eea2xtwzjdwsaxeez0o5er2bfrwv5zazp0p2" timestamp="1707089769"&gt;1013&lt;/key&gt;&lt;/foreign-keys&gt;&lt;ref-type name="Journal Article"&gt;17&lt;/ref-type&gt;&lt;contributors&gt;&lt;authors&gt;&lt;author&gt;Perez</w:instrText>
      </w:r>
      <w:r w:rsidR="00266FD8" w:rsidRPr="00280684">
        <w:rPr>
          <w:rFonts w:ascii="Cambria Math" w:hAnsi="Cambria Math" w:cs="Cambria Math"/>
          <w:color w:val="000000" w:themeColor="text1"/>
        </w:rPr>
        <w:instrText>‐</w:instrText>
      </w:r>
      <w:r w:rsidR="00266FD8" w:rsidRPr="00280684">
        <w:rPr>
          <w:color w:val="000000" w:themeColor="text1"/>
        </w:rPr>
        <w:instrText>Perez, Guillermo I&lt;/author&gt;&lt;author&gt;Rothenbacher, Dietrich&lt;/author&gt;&lt;author&gt;Brenner, Hermann&lt;/author&gt;&lt;/authors&gt;&lt;/contributors&gt;&lt;titles&gt;&lt;title&gt;Epidemiology of Helicobacter pylori infection&lt;/title&gt;&lt;secondary-title&gt;Helicobacter&lt;/secondary-title&gt;&lt;/titles&gt;&lt;periodical&gt;&lt;full-title&gt;Helicobacter&lt;/full-title&gt;&lt;/periodical&gt;&lt;pages&gt;1-6&lt;/pages&gt;&lt;volume&gt;9&lt;/volume&gt;&lt;dates&gt;&lt;year&gt;2004&lt;/year&gt;&lt;/dates&gt;&lt;isbn&gt;1083-4389&lt;/isbn&gt;&lt;urls&gt;&lt;/urls&gt;&lt;/record&gt;&lt;/Cite&gt;&lt;/EndNote&gt;</w:instrText>
      </w:r>
      <w:r w:rsidR="00266FD8" w:rsidRPr="00280684">
        <w:rPr>
          <w:color w:val="000000" w:themeColor="text1"/>
        </w:rPr>
        <w:fldChar w:fldCharType="separate"/>
      </w:r>
      <w:r w:rsidR="00266FD8" w:rsidRPr="00280684">
        <w:rPr>
          <w:noProof/>
          <w:color w:val="000000" w:themeColor="text1"/>
        </w:rPr>
        <w:t>[</w:t>
      </w:r>
      <w:hyperlink w:anchor="_ENREF_9" w:tooltip="Perez‐Perez, 2004 #1013" w:history="1">
        <w:r w:rsidR="00B35F69" w:rsidRPr="00280684">
          <w:rPr>
            <w:noProof/>
            <w:color w:val="000000" w:themeColor="text1"/>
          </w:rPr>
          <w:t>9</w:t>
        </w:r>
      </w:hyperlink>
      <w:r w:rsidR="00266FD8" w:rsidRPr="00280684">
        <w:rPr>
          <w:noProof/>
          <w:color w:val="000000" w:themeColor="text1"/>
        </w:rPr>
        <w:t>]</w:t>
      </w:r>
      <w:r w:rsidR="00266FD8" w:rsidRPr="00280684">
        <w:rPr>
          <w:color w:val="000000" w:themeColor="text1"/>
        </w:rPr>
        <w:fldChar w:fldCharType="end"/>
      </w:r>
      <w:r w:rsidR="00266FD8" w:rsidRPr="00280684">
        <w:t>.</w:t>
      </w:r>
      <w:r w:rsidR="00266FD8" w:rsidRPr="00280684">
        <w:rPr>
          <w:vertAlign w:val="superscript"/>
        </w:rPr>
        <w:t xml:space="preserve"> </w:t>
      </w:r>
    </w:p>
    <w:p w14:paraId="7DAE49ED" w14:textId="2C8869E8" w:rsidR="0048144E" w:rsidRPr="00280684" w:rsidRDefault="00D17EC6" w:rsidP="00B35F69">
      <w:pPr>
        <w:spacing w:line="360" w:lineRule="auto"/>
        <w:rPr>
          <w:strike/>
          <w:vertAlign w:val="superscript"/>
          <w:rtl/>
        </w:rPr>
      </w:pPr>
      <w:r>
        <w:t>Much research hasn't been</w:t>
      </w:r>
      <w:r w:rsidR="008134E5" w:rsidRPr="00280684">
        <w:t xml:space="preserve"> done on how the gut microbiota, particularly H. pylori, </w:t>
      </w:r>
      <w:r w:rsidR="00266FD8" w:rsidRPr="00280684">
        <w:t>produce</w:t>
      </w:r>
      <w:r w:rsidR="008134E5" w:rsidRPr="00280684">
        <w:t xml:space="preserve"> liver </w:t>
      </w:r>
      <w:r w:rsidR="00EF6E69" w:rsidRPr="00280684">
        <w:t xml:space="preserve">damage. </w:t>
      </w:r>
      <w:r w:rsidR="00266FD8" w:rsidRPr="00280684">
        <w:t xml:space="preserve">Potential mechanisms include </w:t>
      </w:r>
      <w:r>
        <w:t xml:space="preserve">the </w:t>
      </w:r>
      <w:r w:rsidR="008134E5" w:rsidRPr="00280684">
        <w:t>p</w:t>
      </w:r>
      <w:r w:rsidR="00266FD8" w:rsidRPr="00280684">
        <w:t>roduction of</w:t>
      </w:r>
      <w:r w:rsidR="008134E5" w:rsidRPr="00280684">
        <w:t xml:space="preserve"> certain toxins</w:t>
      </w:r>
      <w:r>
        <w:t>.</w:t>
      </w:r>
      <w:r w:rsidR="008134E5" w:rsidRPr="00280684">
        <w:rPr>
          <w:vertAlign w:val="superscript"/>
        </w:rPr>
        <w:t xml:space="preserve"> </w:t>
      </w:r>
      <w:r w:rsidR="008134E5" w:rsidRPr="00280684">
        <w:fldChar w:fldCharType="begin"/>
      </w:r>
      <w:r w:rsidR="00D64F11" w:rsidRPr="00280684">
        <w:instrText xml:space="preserve"> ADDIN EN.CITE &lt;EndNote&gt;&lt;Cite&gt;&lt;Author&gt;Taylor&lt;/Author&gt;&lt;Year&gt;1995&lt;/Year&gt;&lt;RecNum&gt;2447&lt;/RecNum&gt;&lt;DisplayText&gt;[10]&lt;/DisplayText&gt;&lt;record&gt;&lt;rec-number&gt;2447&lt;/rec-number&gt;&lt;foreign-keys&gt;&lt;key app="EN" db-id="ftdeprx0ptvtxbefrrl5r9xrvps9d9vrpaat"&gt;2447&lt;/key&gt;&lt;/foreign-keys&gt;&lt;ref-type name="Journal Article"&gt;17&lt;/ref-type&gt;&lt;contributors&gt;&lt;authors&gt;&lt;author&gt;Taylor, NS&lt;/author&gt;&lt;author&gt;Fox, JG&lt;/author&gt;&lt;author&gt;Yan, L&lt;/author&gt;&lt;/authors&gt;&lt;/contributors&gt;&lt;titles&gt;&lt;title&gt;In-vitro hepatotoxic factor in Helicobacter hepaticus, H. pylori and other Helicobacter species&lt;/title&gt;&lt;secondary-title&gt;Journal of medical microbiology&lt;/secondary-title&gt;&lt;/titles&gt;&lt;periodical&gt;&lt;full-title&gt;Journal of medical microbiology&lt;/full-title&gt;&lt;/periodical&gt;&lt;pages&gt;48-52&lt;/pages&gt;&lt;volume&gt;42&lt;/volume&gt;&lt;number&gt;1&lt;/number&gt;&lt;dates&gt;&lt;year&gt;1995&lt;/year&gt;&lt;/dates&gt;&lt;isbn&gt;0022-2615&lt;/isbn&gt;&lt;urls&gt;&lt;/urls&gt;&lt;/record&gt;&lt;/Cite&gt;&lt;/EndNote&gt;</w:instrText>
      </w:r>
      <w:r w:rsidR="008134E5" w:rsidRPr="00280684">
        <w:fldChar w:fldCharType="separate"/>
      </w:r>
      <w:r w:rsidR="00D64F11" w:rsidRPr="00280684">
        <w:rPr>
          <w:noProof/>
        </w:rPr>
        <w:t>[</w:t>
      </w:r>
      <w:hyperlink w:anchor="_ENREF_10" w:tooltip="Taylor, 1995 #2447" w:history="1">
        <w:r w:rsidR="00B35F69" w:rsidRPr="00280684">
          <w:rPr>
            <w:noProof/>
          </w:rPr>
          <w:t>10</w:t>
        </w:r>
      </w:hyperlink>
      <w:r w:rsidR="00D64F11" w:rsidRPr="00280684">
        <w:rPr>
          <w:noProof/>
        </w:rPr>
        <w:t>]</w:t>
      </w:r>
      <w:r w:rsidR="008134E5" w:rsidRPr="00280684">
        <w:fldChar w:fldCharType="end"/>
      </w:r>
      <w:r w:rsidR="00266FD8" w:rsidRPr="00280684">
        <w:t xml:space="preserve"> and </w:t>
      </w:r>
      <w:r w:rsidR="00F63F9A" w:rsidRPr="00280684">
        <w:t>increase</w:t>
      </w:r>
      <w:r w:rsidR="00266FD8" w:rsidRPr="00280684">
        <w:t>d</w:t>
      </w:r>
      <w:r w:rsidR="00F63F9A" w:rsidRPr="00280684">
        <w:t xml:space="preserve"> gut permeability,</w:t>
      </w:r>
      <w:r w:rsidR="00266FD8" w:rsidRPr="00280684">
        <w:t xml:space="preserve"> thus </w:t>
      </w:r>
      <w:r w:rsidR="00F63F9A" w:rsidRPr="00280684">
        <w:t>facilitating the entry of bacterial endotoxins into the liver through the portal vein</w:t>
      </w:r>
      <w:r w:rsidR="008134E5" w:rsidRPr="00280684">
        <w:t xml:space="preserve"> </w:t>
      </w:r>
      <w:r w:rsidR="008134E5" w:rsidRPr="00280684">
        <w:fldChar w:fldCharType="begin"/>
      </w:r>
      <w:r w:rsidR="00D64F11" w:rsidRPr="00280684">
        <w:instrText xml:space="preserve"> ADDIN EN.CITE &lt;EndNote&gt;&lt;Cite&gt;&lt;Author&gt;Fukuda&lt;/Author&gt;&lt;Year&gt;2001&lt;/Year&gt;&lt;RecNum&gt;2448&lt;/RecNum&gt;&lt;DisplayText&gt;[11]&lt;/DisplayText&gt;&lt;record&gt;&lt;rec-number&gt;2448&lt;/rec-number&gt;&lt;foreign-keys&gt;&lt;key app="EN" db-id="ftdeprx0ptvtxbefrrl5r9xrvps9d9vrpaat"&gt;2448&lt;/key&gt;&lt;/foreign-keys&gt;&lt;ref-type name="Journal Article"&gt;17&lt;/ref-type&gt;&lt;contributors&gt;&lt;authors&gt;&lt;author&gt;Fukuda, Yoshihiro&lt;/author&gt;&lt;author&gt;Bamba, Hiroko&lt;/author&gt;&lt;author&gt;Okui, Masanori&lt;/author&gt;&lt;author&gt;Tamura, Kazutami&lt;/author&gt;&lt;author&gt;Tanida, Noritoshi&lt;/author&gt;&lt;author&gt;Satomi, Masamichi&lt;/author&gt;&lt;author&gt;Shimoyama, Takashi&lt;/author&gt;&lt;author&gt;Nishigami, Takashi&lt;/author&gt;&lt;/authors&gt;&lt;/contributors&gt;&lt;titles&gt;&lt;title&gt;Helicobacter pylori infection increases mucosal permeability of the stomach and intestine&lt;/title&gt;&lt;secondary-title&gt;Digestion&lt;/secondary-title&gt;&lt;/titles&gt;&lt;periodical&gt;&lt;full-title&gt;Digestion&lt;/full-title&gt;&lt;/periodical&gt;&lt;pages&gt;93-96&lt;/pages&gt;&lt;volume&gt;63&lt;/volume&gt;&lt;number&gt;Suppl. 1&lt;/number&gt;&lt;dates&gt;&lt;year&gt;2001&lt;/year&gt;&lt;/dates&gt;&lt;isbn&gt;0012-2823&lt;/isbn&gt;&lt;urls&gt;&lt;/urls&gt;&lt;/record&gt;&lt;/Cite&gt;&lt;/EndNote&gt;</w:instrText>
      </w:r>
      <w:r w:rsidR="008134E5" w:rsidRPr="00280684">
        <w:fldChar w:fldCharType="separate"/>
      </w:r>
      <w:r w:rsidR="00D64F11" w:rsidRPr="00280684">
        <w:rPr>
          <w:noProof/>
        </w:rPr>
        <w:t>[</w:t>
      </w:r>
      <w:hyperlink w:anchor="_ENREF_11" w:tooltip="Fukuda, 2001 #2448" w:history="1">
        <w:r w:rsidR="00B35F69" w:rsidRPr="00280684">
          <w:rPr>
            <w:noProof/>
          </w:rPr>
          <w:t>11</w:t>
        </w:r>
      </w:hyperlink>
      <w:r w:rsidR="00D64F11" w:rsidRPr="00280684">
        <w:rPr>
          <w:noProof/>
        </w:rPr>
        <w:t>]</w:t>
      </w:r>
      <w:r w:rsidR="008134E5" w:rsidRPr="00280684">
        <w:fldChar w:fldCharType="end"/>
      </w:r>
      <w:r w:rsidR="00266FD8" w:rsidRPr="00280684">
        <w:t>.</w:t>
      </w:r>
    </w:p>
    <w:p w14:paraId="225706AE" w14:textId="77777777" w:rsidR="0018751D" w:rsidRPr="00280684" w:rsidRDefault="0018751D" w:rsidP="00EF6E69">
      <w:pPr>
        <w:spacing w:line="360" w:lineRule="auto"/>
      </w:pPr>
    </w:p>
    <w:p w14:paraId="7FA8052B" w14:textId="77777777" w:rsidR="00445EA6" w:rsidRPr="00280684" w:rsidRDefault="001C68F8" w:rsidP="00EF6E69">
      <w:pPr>
        <w:pStyle w:val="Heading2"/>
        <w:ind w:firstLine="0"/>
      </w:pPr>
      <w:r w:rsidRPr="00280684">
        <w:t xml:space="preserve">Subjects and </w:t>
      </w:r>
      <w:r w:rsidR="00524D54" w:rsidRPr="00280684">
        <w:t>Methods</w:t>
      </w:r>
    </w:p>
    <w:p w14:paraId="6BDB3928" w14:textId="390879E0" w:rsidR="00F7149A" w:rsidRPr="00280684" w:rsidRDefault="00D33D60" w:rsidP="00B35F69">
      <w:pPr>
        <w:spacing w:line="360" w:lineRule="auto"/>
      </w:pPr>
      <w:r w:rsidRPr="00280684">
        <w:t xml:space="preserve">This </w:t>
      </w:r>
      <w:r w:rsidR="00D17EC6">
        <w:t>cross-sectional case-control study included subjects attending outpatient clinics</w:t>
      </w:r>
      <w:r w:rsidR="00F7149A" w:rsidRPr="00280684">
        <w:t xml:space="preserve"> and wards of </w:t>
      </w:r>
      <w:r w:rsidR="003077D1" w:rsidRPr="00280684">
        <w:t>our hospital</w:t>
      </w:r>
      <w:r w:rsidR="00F7149A" w:rsidRPr="00280684">
        <w:t xml:space="preserve"> from June 2020 to May 2021. </w:t>
      </w:r>
      <w:r w:rsidRPr="00280684">
        <w:t xml:space="preserve">The study included </w:t>
      </w:r>
      <w:r w:rsidR="00BC004D" w:rsidRPr="00280684">
        <w:t>sixty</w:t>
      </w:r>
      <w:r w:rsidRPr="00280684">
        <w:t xml:space="preserve"> </w:t>
      </w:r>
      <w:r w:rsidR="00BC004D" w:rsidRPr="00280684">
        <w:t xml:space="preserve">obese </w:t>
      </w:r>
      <w:r w:rsidRPr="00280684">
        <w:t>patients with NAFLD (group 1)</w:t>
      </w:r>
      <w:r w:rsidR="004768DE" w:rsidRPr="00280684">
        <w:t xml:space="preserve"> </w:t>
      </w:r>
      <w:r w:rsidRPr="00280684">
        <w:t xml:space="preserve">and </w:t>
      </w:r>
      <w:r w:rsidR="00BC004D" w:rsidRPr="00280684">
        <w:t>sixty</w:t>
      </w:r>
      <w:r w:rsidRPr="00280684">
        <w:t xml:space="preserve"> healthy subjects</w:t>
      </w:r>
      <w:r w:rsidR="00BB2362" w:rsidRPr="00280684">
        <w:t xml:space="preserve"> of comparable age and sex</w:t>
      </w:r>
      <w:r w:rsidRPr="00280684">
        <w:t xml:space="preserve"> as control (group 2). </w:t>
      </w:r>
      <w:r w:rsidR="00F11C1D" w:rsidRPr="00D17EC6">
        <w:t xml:space="preserve">Patients in group 1 were further subdivided into three subgroups based on </w:t>
      </w:r>
      <w:r w:rsidR="00D17EC6">
        <w:t xml:space="preserve">the </w:t>
      </w:r>
      <w:r w:rsidR="00F11C1D" w:rsidRPr="00D17EC6">
        <w:t xml:space="preserve">severity of NAFLD by </w:t>
      </w:r>
      <w:r w:rsidR="00BC004D" w:rsidRPr="00D17EC6">
        <w:t>ultrasound (US)</w:t>
      </w:r>
      <w:r w:rsidR="00D17EC6">
        <w:t>:</w:t>
      </w:r>
      <w:r w:rsidR="0081365B" w:rsidRPr="00D17EC6">
        <w:t xml:space="preserve"> grade 1, grade 2</w:t>
      </w:r>
      <w:r w:rsidR="00D17EC6">
        <w:t>,</w:t>
      </w:r>
      <w:r w:rsidR="0081365B" w:rsidRPr="00D17EC6">
        <w:t xml:space="preserve"> and grade 3</w:t>
      </w:r>
      <w:r w:rsidR="00266FD8" w:rsidRPr="00D17EC6">
        <w:t xml:space="preserve"> </w:t>
      </w:r>
      <w:r w:rsidR="00266FD8" w:rsidRPr="00D17EC6">
        <w:fldChar w:fldCharType="begin"/>
      </w:r>
      <w:r w:rsidR="00266FD8" w:rsidRPr="00D17EC6">
        <w:instrText xml:space="preserve"> ADDIN EN.CITE &lt;EndNote&gt;&lt;Cite&gt;&lt;Author&gt;Saadeh&lt;/Author&gt;&lt;Year&gt;2002&lt;/Year&gt;&lt;RecNum&gt;1761&lt;/RecNum&gt;&lt;DisplayText&gt;[12]&lt;/DisplayText&gt;&lt;record&gt;&lt;rec-number&gt;1761&lt;/rec-number&gt;&lt;foreign-keys&gt;&lt;key app="EN" db-id="ftdeprx0ptvtxbefrrl5r9xrvps9d9vrpaat"&gt;1761&lt;/key&gt;&lt;/foreign-keys&gt;&lt;ref-type name="Journal Article"&gt;17&lt;/ref-type&gt;&lt;contributors&gt;&lt;authors&gt;&lt;author&gt;Saadeh, Sherif&lt;/author&gt;&lt;author&gt;Younossi, Zobair M&lt;/author&gt;&lt;author&gt;Remer, Erick M&lt;/author&gt;&lt;author&gt;Gramlich, Terry&lt;/author&gt;&lt;author&gt;Ong, Janus P&lt;/author&gt;&lt;author&gt;Hurley, Maja&lt;/author&gt;&lt;author&gt;Mullen, Kevin D&lt;/author&gt;&lt;author&gt;Cooper, James N&lt;/author&gt;&lt;author&gt;Sheridan, Michael J&lt;/author&gt;&lt;/authors&gt;&lt;/contributors&gt;&lt;titles&gt;&lt;title&gt;The utility of radiological imaging in nonalcoholic fatty liver disease&lt;/title&gt;&lt;secondary-title&gt;Gastroenterology&lt;/secondary-title&gt;&lt;/titles&gt;&lt;periodical&gt;&lt;full-title&gt;Gastroenterology&lt;/full-title&gt;&lt;/periodical&gt;&lt;pages&gt;745-750&lt;/pages&gt;&lt;volume&gt;123&lt;/volume&gt;&lt;number&gt;3&lt;/number&gt;&lt;dates&gt;&lt;year&gt;2002&lt;/year&gt;&lt;/dates&gt;&lt;isbn&gt;0016-5085&lt;/isbn&gt;&lt;urls&gt;&lt;/urls&gt;&lt;/record&gt;&lt;/Cite&gt;&lt;/EndNote&gt;</w:instrText>
      </w:r>
      <w:r w:rsidR="00266FD8" w:rsidRPr="00D17EC6">
        <w:fldChar w:fldCharType="separate"/>
      </w:r>
      <w:r w:rsidR="00266FD8" w:rsidRPr="00D17EC6">
        <w:t>[</w:t>
      </w:r>
      <w:hyperlink w:anchor="_ENREF_12" w:tooltip="Saadeh, 2002 #1761" w:history="1">
        <w:r w:rsidR="00B35F69" w:rsidRPr="00D17EC6">
          <w:t>12</w:t>
        </w:r>
      </w:hyperlink>
      <w:r w:rsidR="00266FD8" w:rsidRPr="00D17EC6">
        <w:t>]</w:t>
      </w:r>
      <w:r w:rsidR="00266FD8" w:rsidRPr="00D17EC6">
        <w:fldChar w:fldCharType="end"/>
      </w:r>
      <w:r w:rsidR="00DE569B" w:rsidRPr="00D17EC6">
        <w:t>.</w:t>
      </w:r>
    </w:p>
    <w:p w14:paraId="542C9B28" w14:textId="0A298F4C" w:rsidR="00F7149A" w:rsidRPr="00280684" w:rsidRDefault="00F63F9A" w:rsidP="00B35F69">
      <w:pPr>
        <w:spacing w:line="360" w:lineRule="auto"/>
      </w:pPr>
      <w:r w:rsidRPr="00280684">
        <w:t>The diagnosis of NAFLD necessitates patients to exhibit evidence of steatosis through imaging or biopsy in the absence of significant alcohol consumption, other causes of steatosis, or concurrent chronic liver disease</w:t>
      </w:r>
      <w:r w:rsidR="00302F2A">
        <w:t>.</w:t>
      </w:r>
      <w:r w:rsidR="00545B73" w:rsidRPr="00280684">
        <w:t xml:space="preserve"> </w:t>
      </w:r>
      <w:r w:rsidR="00545B73" w:rsidRPr="00280684">
        <w:fldChar w:fldCharType="begin"/>
      </w:r>
      <w:r w:rsidR="00545B73" w:rsidRPr="00280684">
        <w:instrText xml:space="preserve"> ADDIN EN.CITE &lt;EndNote&gt;&lt;Cite&gt;&lt;Author&gt;Chalasani&lt;/Author&gt;&lt;Year&gt;2018&lt;/Year&gt;&lt;RecNum&gt;1778&lt;/RecNum&gt;&lt;DisplayText&gt;[13]&lt;/DisplayText&gt;&lt;record&gt;&lt;rec-number&gt;1778&lt;/rec-number&gt;&lt;foreign-keys&gt;&lt;key app="EN" db-id="ftdeprx0ptvtxbefrrl5r9xrvps9d9vrpaat"&gt;1778&lt;/key&gt;&lt;/foreign-keys&gt;&lt;ref-type name="Journal Article"&gt;17&lt;/ref-type&gt;&lt;contributors&gt;&lt;authors&gt;&lt;author&gt;Chalasani, Naga&lt;/author&gt;&lt;author&gt;Younossi, Zobair&lt;/author&gt;&lt;author&gt;Lavine, Joel E&lt;/author&gt;&lt;author&gt;Charlton, Michael&lt;/author&gt;&lt;author&gt;Cusi, Kenneth&lt;/author&gt;&lt;author&gt;Rinella, Mary&lt;/author&gt;&lt;author&gt;Harrison, Stephen A&lt;/author&gt;&lt;author&gt;Brunt, Elizabeth M&lt;/author&gt;&lt;author&gt;Sanyal, Arun J&lt;/author&gt;&lt;/authors&gt;&lt;/contributors&gt;&lt;titles&gt;&lt;title&gt;The diagnosis and management of nonalcoholic fatty liver disease: practice guidance from the American Association for the Study of Liver Diseases&lt;/title&gt;&lt;secondary-title&gt;Hepatology&lt;/secondary-title&gt;&lt;/titles&gt;&lt;periodical&gt;&lt;full-title&gt;Hepatology&lt;/full-title&gt;&lt;/periodical&gt;&lt;pages&gt;328-357&lt;/pages&gt;&lt;volume&gt;67&lt;/volume&gt;&lt;number&gt;1&lt;/number&gt;&lt;dates&gt;&lt;year&gt;2018&lt;/year&gt;&lt;/dates&gt;&lt;isbn&gt;0270-9139&lt;/isbn&gt;&lt;urls&gt;&lt;/urls&gt;&lt;/record&gt;&lt;/Cite&gt;&lt;/EndNote&gt;</w:instrText>
      </w:r>
      <w:r w:rsidR="00545B73" w:rsidRPr="00280684">
        <w:fldChar w:fldCharType="separate"/>
      </w:r>
      <w:r w:rsidR="00545B73" w:rsidRPr="00280684">
        <w:rPr>
          <w:noProof/>
        </w:rPr>
        <w:t>[</w:t>
      </w:r>
      <w:hyperlink w:anchor="_ENREF_13" w:tooltip="Chalasani, 2018 #1778" w:history="1">
        <w:r w:rsidR="00B35F69" w:rsidRPr="00280684">
          <w:rPr>
            <w:noProof/>
          </w:rPr>
          <w:t>13</w:t>
        </w:r>
      </w:hyperlink>
      <w:r w:rsidR="00545B73" w:rsidRPr="00280684">
        <w:rPr>
          <w:noProof/>
        </w:rPr>
        <w:t>]</w:t>
      </w:r>
      <w:r w:rsidR="00545B73" w:rsidRPr="00280684">
        <w:fldChar w:fldCharType="end"/>
      </w:r>
      <w:r w:rsidR="00D17EC6">
        <w:t xml:space="preserve">In our study, the US was the imaging modality of choice; no patients needed a biopsy. Patients in group 1 had an age ≥ 18 </w:t>
      </w:r>
      <w:r w:rsidR="00F7149A" w:rsidRPr="00280684">
        <w:t xml:space="preserve">and </w:t>
      </w:r>
      <w:r w:rsidR="00BC004D" w:rsidRPr="00280684">
        <w:t>a body mass index (BMI)</w:t>
      </w:r>
      <w:r w:rsidR="00F7149A" w:rsidRPr="00280684">
        <w:t xml:space="preserve"> ≥ 30 kg/m</w:t>
      </w:r>
      <w:r w:rsidR="00F7149A" w:rsidRPr="00280684">
        <w:rPr>
          <w:vertAlign w:val="superscript"/>
        </w:rPr>
        <w:t>2</w:t>
      </w:r>
      <w:r w:rsidR="00F7149A" w:rsidRPr="00280684">
        <w:t>.</w:t>
      </w:r>
    </w:p>
    <w:p w14:paraId="4E492F76" w14:textId="77777777" w:rsidR="00D12889" w:rsidRPr="00280684" w:rsidRDefault="00D12889" w:rsidP="00D12889">
      <w:pPr>
        <w:spacing w:line="360" w:lineRule="auto"/>
        <w:ind w:firstLine="0"/>
      </w:pPr>
      <w:r w:rsidRPr="00280684">
        <w:rPr>
          <w:b/>
          <w:bCs/>
          <w:i/>
          <w:iCs/>
          <w:u w:val="single"/>
        </w:rPr>
        <w:t>Exclusion criteria</w:t>
      </w:r>
      <w:r w:rsidRPr="00280684">
        <w:t xml:space="preserve"> </w:t>
      </w:r>
    </w:p>
    <w:p w14:paraId="68AEAB37" w14:textId="77777777" w:rsidR="00D33D60" w:rsidRPr="00280684" w:rsidRDefault="00D33D60" w:rsidP="009C6E03">
      <w:pPr>
        <w:spacing w:line="360" w:lineRule="auto"/>
      </w:pPr>
      <w:r w:rsidRPr="00280684">
        <w:t>Patients with the following diseases/conditions were excluded from the study:</w:t>
      </w:r>
    </w:p>
    <w:p w14:paraId="0FEB45A9" w14:textId="77777777" w:rsidR="00D33D60" w:rsidRPr="00280684" w:rsidRDefault="00D33D60" w:rsidP="00B35F69">
      <w:pPr>
        <w:pStyle w:val="ListParagraph"/>
        <w:numPr>
          <w:ilvl w:val="0"/>
          <w:numId w:val="2"/>
        </w:numPr>
        <w:spacing w:line="360" w:lineRule="auto"/>
      </w:pPr>
      <w:r w:rsidRPr="00280684">
        <w:t>History of alcohol consumption</w:t>
      </w:r>
      <w:r w:rsidR="00545B73" w:rsidRPr="00280684">
        <w:t xml:space="preserve"> </w:t>
      </w:r>
      <w:r w:rsidR="00545B73" w:rsidRPr="00280684">
        <w:fldChar w:fldCharType="begin"/>
      </w:r>
      <w:r w:rsidR="00545B73" w:rsidRPr="00280684">
        <w:instrText xml:space="preserve"> ADDIN EN.CITE &lt;EndNote&gt;&lt;Cite&gt;&lt;Author&gt;Marchesini&lt;/Author&gt;&lt;Year&gt;2016&lt;/Year&gt;&lt;RecNum&gt;1762&lt;/RecNum&gt;&lt;DisplayText&gt;[14]&lt;/DisplayText&gt;&lt;record&gt;&lt;rec-number&gt;1762&lt;/rec-number&gt;&lt;foreign-keys&gt;&lt;key app="EN" db-id="ftdeprx0ptvtxbefrrl5r9xrvps9d9vrpaat"&gt;1762&lt;/key&gt;&lt;/foreign-keys&gt;&lt;ref-type name="Journal Article"&gt;17&lt;/ref-type&gt;&lt;contributors&gt;&lt;authors&gt;&lt;author&gt;Marchesini, Giulio&lt;/author&gt;&lt;author&gt;Day, Christopher P&lt;/author&gt;&lt;author&gt;Dufour, Jean-Francois&lt;/author&gt;&lt;author&gt;Canbay, Ali&lt;/author&gt;&lt;author&gt;Nobili, Valerio&lt;/author&gt;&lt;author&gt;Ratziu, Vlad&lt;/author&gt;&lt;author&gt;Tilg, Herbert&lt;/author&gt;&lt;author&gt;Roden, Michael&lt;/author&gt;&lt;author&gt;Gastaldelli, Amalia&lt;/author&gt;&lt;author&gt;Yki-Jarvinen, Hannele&lt;/author&gt;&lt;/authors&gt;&lt;/contributors&gt;&lt;titles&gt;&lt;title&gt;EASL-EASD-EASO Clinical Practice Guidelines for the management of non-alcoholic fatty liver disease&lt;/title&gt;&lt;secondary-title&gt;Journal of Hepatology&lt;/secondary-title&gt;&lt;/titles&gt;&lt;periodical&gt;&lt;full-title&gt;Journal of hepatology&lt;/full-title&gt;&lt;/periodical&gt;&lt;pages&gt;1388-1402&lt;/pages&gt;&lt;volume&gt;64&lt;/volume&gt;&lt;number&gt;6&lt;/number&gt;&lt;dates&gt;&lt;year&gt;2016&lt;/year&gt;&lt;/dates&gt;&lt;isbn&gt;0168-8278&lt;/isbn&gt;&lt;urls&gt;&lt;/urls&gt;&lt;/record&gt;&lt;/Cite&gt;&lt;/EndNote&gt;</w:instrText>
      </w:r>
      <w:r w:rsidR="00545B73" w:rsidRPr="00280684">
        <w:fldChar w:fldCharType="separate"/>
      </w:r>
      <w:r w:rsidR="00545B73" w:rsidRPr="00280684">
        <w:rPr>
          <w:noProof/>
        </w:rPr>
        <w:t>[</w:t>
      </w:r>
      <w:hyperlink w:anchor="_ENREF_14" w:tooltip="Marchesini, 2016 #1762" w:history="1">
        <w:r w:rsidR="00B35F69" w:rsidRPr="00280684">
          <w:rPr>
            <w:noProof/>
          </w:rPr>
          <w:t>14</w:t>
        </w:r>
      </w:hyperlink>
      <w:r w:rsidR="00545B73" w:rsidRPr="00280684">
        <w:rPr>
          <w:noProof/>
        </w:rPr>
        <w:t>]</w:t>
      </w:r>
      <w:r w:rsidR="00545B73" w:rsidRPr="00280684">
        <w:fldChar w:fldCharType="end"/>
      </w:r>
      <w:r w:rsidR="00DE569B" w:rsidRPr="00280684">
        <w:t>.</w:t>
      </w:r>
      <w:r w:rsidR="00BC004D" w:rsidRPr="00280684">
        <w:t xml:space="preserve"> </w:t>
      </w:r>
    </w:p>
    <w:p w14:paraId="4FDC0E5B" w14:textId="5E7739F1" w:rsidR="00D33D60" w:rsidRPr="00280684" w:rsidRDefault="00D33D60">
      <w:pPr>
        <w:pStyle w:val="ListParagraph"/>
        <w:numPr>
          <w:ilvl w:val="0"/>
          <w:numId w:val="2"/>
        </w:numPr>
        <w:spacing w:line="360" w:lineRule="auto"/>
      </w:pPr>
      <w:r w:rsidRPr="00280684">
        <w:t xml:space="preserve">Active or past infection with hepatitis B </w:t>
      </w:r>
      <w:r w:rsidR="00D17EC6">
        <w:t>or</w:t>
      </w:r>
      <w:r w:rsidRPr="00280684">
        <w:t xml:space="preserve"> hepatitis C viral infection.</w:t>
      </w:r>
    </w:p>
    <w:p w14:paraId="481F881C" w14:textId="3FBB91EE" w:rsidR="00D33D60" w:rsidRPr="00280684" w:rsidRDefault="00D33D60">
      <w:pPr>
        <w:pStyle w:val="ListParagraph"/>
        <w:numPr>
          <w:ilvl w:val="0"/>
          <w:numId w:val="2"/>
        </w:numPr>
        <w:spacing w:line="360" w:lineRule="auto"/>
      </w:pPr>
      <w:r w:rsidRPr="00280684">
        <w:t>Other causes of secondary liver diseases</w:t>
      </w:r>
      <w:r w:rsidR="00D17EC6">
        <w:t>, e.g.,</w:t>
      </w:r>
      <w:r w:rsidRPr="00280684">
        <w:t xml:space="preserve"> Wilson disease.</w:t>
      </w:r>
    </w:p>
    <w:p w14:paraId="7CB565D9" w14:textId="6AA14424" w:rsidR="00D33D60" w:rsidRPr="00280684" w:rsidRDefault="00D17EC6">
      <w:pPr>
        <w:pStyle w:val="ListParagraph"/>
        <w:numPr>
          <w:ilvl w:val="0"/>
          <w:numId w:val="2"/>
        </w:numPr>
        <w:spacing w:line="360" w:lineRule="auto"/>
      </w:pPr>
      <w:r>
        <w:t>Long-term</w:t>
      </w:r>
      <w:r w:rsidR="00D33D60" w:rsidRPr="00280684">
        <w:t xml:space="preserve"> parenteral feeding.</w:t>
      </w:r>
    </w:p>
    <w:p w14:paraId="56112134" w14:textId="6C8CAF5F" w:rsidR="00D33D60" w:rsidRPr="00280684" w:rsidRDefault="00D33D60">
      <w:pPr>
        <w:pStyle w:val="ListParagraph"/>
        <w:numPr>
          <w:ilvl w:val="0"/>
          <w:numId w:val="2"/>
        </w:numPr>
        <w:spacing w:line="360" w:lineRule="auto"/>
      </w:pPr>
      <w:r w:rsidRPr="00280684">
        <w:t xml:space="preserve">Receiving </w:t>
      </w:r>
      <w:r w:rsidR="00D17EC6">
        <w:t>lipid-lowering</w:t>
      </w:r>
      <w:r w:rsidRPr="00280684">
        <w:t xml:space="preserve"> drugs.</w:t>
      </w:r>
    </w:p>
    <w:p w14:paraId="6A33ACF7" w14:textId="77777777" w:rsidR="00D33D60" w:rsidRPr="00280684" w:rsidRDefault="00D33D60">
      <w:pPr>
        <w:pStyle w:val="ListParagraph"/>
        <w:numPr>
          <w:ilvl w:val="0"/>
          <w:numId w:val="2"/>
        </w:numPr>
        <w:spacing w:line="360" w:lineRule="auto"/>
      </w:pPr>
      <w:r w:rsidRPr="00280684">
        <w:t>Diabetes mellitus.</w:t>
      </w:r>
    </w:p>
    <w:p w14:paraId="5B7F8135" w14:textId="77777777" w:rsidR="00D33D60" w:rsidRPr="00280684" w:rsidRDefault="00D33D60">
      <w:pPr>
        <w:pStyle w:val="ListParagraph"/>
        <w:numPr>
          <w:ilvl w:val="0"/>
          <w:numId w:val="2"/>
        </w:numPr>
        <w:spacing w:line="360" w:lineRule="auto"/>
      </w:pPr>
      <w:r w:rsidRPr="00280684">
        <w:t>Recent rapid weight loss.</w:t>
      </w:r>
    </w:p>
    <w:p w14:paraId="458CA34C" w14:textId="77777777" w:rsidR="00D33D60" w:rsidRPr="00280684" w:rsidRDefault="00D33D60">
      <w:pPr>
        <w:pStyle w:val="ListParagraph"/>
        <w:numPr>
          <w:ilvl w:val="0"/>
          <w:numId w:val="2"/>
        </w:numPr>
        <w:spacing w:line="360" w:lineRule="auto"/>
      </w:pPr>
      <w:r w:rsidRPr="00280684">
        <w:t>History of bariatric surgery.</w:t>
      </w:r>
    </w:p>
    <w:p w14:paraId="3F617AAB" w14:textId="77777777" w:rsidR="00D33D60" w:rsidRPr="00280684" w:rsidRDefault="00D33D60">
      <w:pPr>
        <w:pStyle w:val="ListParagraph"/>
        <w:numPr>
          <w:ilvl w:val="0"/>
          <w:numId w:val="2"/>
        </w:numPr>
        <w:spacing w:line="360" w:lineRule="auto"/>
      </w:pPr>
      <w:r w:rsidRPr="00280684">
        <w:t>Recent H. pylori eradication therapy.</w:t>
      </w:r>
    </w:p>
    <w:p w14:paraId="19ABC6B8" w14:textId="77777777" w:rsidR="00BB69D0" w:rsidRPr="00280684" w:rsidRDefault="00BB69D0">
      <w:pPr>
        <w:pStyle w:val="ListParagraph"/>
        <w:numPr>
          <w:ilvl w:val="0"/>
          <w:numId w:val="2"/>
        </w:numPr>
        <w:spacing w:line="360" w:lineRule="auto"/>
      </w:pPr>
      <w:r w:rsidRPr="00280684">
        <w:t>Recent intake of hepatotoxic medications.</w:t>
      </w:r>
    </w:p>
    <w:p w14:paraId="6DF33717" w14:textId="15C85398" w:rsidR="00DC4042" w:rsidRPr="00280684" w:rsidRDefault="000E46C9" w:rsidP="00B35F69">
      <w:pPr>
        <w:spacing w:line="360" w:lineRule="auto"/>
        <w:rPr>
          <w:vertAlign w:val="superscript"/>
        </w:rPr>
      </w:pPr>
      <w:r w:rsidRPr="00280684">
        <w:t>A</w:t>
      </w:r>
      <w:r w:rsidR="008920FE" w:rsidRPr="00280684">
        <w:t xml:space="preserve">ll participants underwent comprehensive clinical assessment, </w:t>
      </w:r>
      <w:r w:rsidR="00D17EC6">
        <w:t>emphasizing</w:t>
      </w:r>
      <w:r w:rsidR="008920FE" w:rsidRPr="00280684">
        <w:t xml:space="preserve"> blood pressure and anthropometric measurements</w:t>
      </w:r>
      <w:r w:rsidR="00D17EC6">
        <w:t>,</w:t>
      </w:r>
      <w:r w:rsidR="003705D5" w:rsidRPr="00280684">
        <w:t xml:space="preserve"> including </w:t>
      </w:r>
      <w:r w:rsidR="008920FE" w:rsidRPr="00280684">
        <w:t>BMI and waist-to-hip ratio (WHR)</w:t>
      </w:r>
      <w:r w:rsidR="003705D5" w:rsidRPr="00280684">
        <w:t>. Obesity was defined as</w:t>
      </w:r>
      <w:r w:rsidR="008920FE" w:rsidRPr="00280684">
        <w:t xml:space="preserve"> a BMI</w:t>
      </w:r>
      <w:r w:rsidR="003705D5" w:rsidRPr="00280684">
        <w:t xml:space="preserve"> ≥ 30 kg/m² </w:t>
      </w:r>
      <w:r w:rsidR="008920FE" w:rsidRPr="00280684">
        <w:t xml:space="preserve"> </w:t>
      </w:r>
      <w:r w:rsidR="00DC5A14" w:rsidRPr="00280684">
        <w:fldChar w:fldCharType="begin"/>
      </w:r>
      <w:r w:rsidR="00D64F11" w:rsidRPr="00280684">
        <w:instrText xml:space="preserve"> ADDIN EN.CITE &lt;EndNote&gt;&lt;Cite&gt;&lt;Author&gt;WHOP Status&lt;/Author&gt;&lt;Year&gt;1995&lt;/Year&gt;&lt;RecNum&gt;1765&lt;/RecNum&gt;&lt;DisplayText&gt;[15]&lt;/DisplayText&gt;&lt;record&gt;&lt;rec-number&gt;1765&lt;/rec-number&gt;&lt;foreign-keys&gt;&lt;key app="EN" db-id="ftdeprx0ptvtxbefrrl5r9xrvps9d9vrpaat"&gt;1765&lt;/key&gt;&lt;/foreign-keys&gt;&lt;ref-type name="Journal Article"&gt;17&lt;/ref-type&gt;&lt;contributors&gt;&lt;authors&gt;&lt;author&gt;WHOP Status,,&lt;/author&gt;&lt;/authors&gt;&lt;/contributors&gt;&lt;titles&gt;&lt;title&gt;The use and interpretation of anthropometry&lt;/title&gt;&lt;secondary-title&gt;WHO technical report series&lt;/secondary-title&gt;&lt;/titles&gt;&lt;periodical&gt;&lt;full-title&gt;WHO technical report series&lt;/full-title&gt;&lt;/periodical&gt;&lt;volume&gt;854&lt;/volume&gt;&lt;number&gt;9&lt;/number&gt;&lt;dates&gt;&lt;year&gt;1995&lt;/year&gt;&lt;/dates&gt;&lt;urls&gt;&lt;/urls&gt;&lt;/record&gt;&lt;/Cite&gt;&lt;/EndNote&gt;</w:instrText>
      </w:r>
      <w:r w:rsidR="00DC5A14" w:rsidRPr="00280684">
        <w:fldChar w:fldCharType="separate"/>
      </w:r>
      <w:r w:rsidR="00D64F11" w:rsidRPr="00280684">
        <w:rPr>
          <w:noProof/>
        </w:rPr>
        <w:t>[</w:t>
      </w:r>
      <w:hyperlink w:anchor="_ENREF_15" w:tooltip="WHOP Status, 1995 #1765" w:history="1">
        <w:r w:rsidR="00B35F69" w:rsidRPr="00280684">
          <w:rPr>
            <w:noProof/>
          </w:rPr>
          <w:t>15</w:t>
        </w:r>
      </w:hyperlink>
      <w:r w:rsidR="00D64F11" w:rsidRPr="00280684">
        <w:rPr>
          <w:noProof/>
        </w:rPr>
        <w:t>]</w:t>
      </w:r>
      <w:r w:rsidR="00DC5A14" w:rsidRPr="00280684">
        <w:fldChar w:fldCharType="end"/>
      </w:r>
      <w:r w:rsidR="003705D5" w:rsidRPr="00280684">
        <w:t>.</w:t>
      </w:r>
      <w:r w:rsidR="005578BD" w:rsidRPr="00280684">
        <w:t xml:space="preserve"> </w:t>
      </w:r>
      <w:r w:rsidR="00455B52" w:rsidRPr="007866E5">
        <w:t xml:space="preserve">A </w:t>
      </w:r>
      <w:r w:rsidR="00BC004D" w:rsidRPr="007866E5">
        <w:t>WHR</w:t>
      </w:r>
      <w:r w:rsidR="00455B52" w:rsidRPr="007866E5">
        <w:t xml:space="preserve"> </w:t>
      </w:r>
      <w:r w:rsidR="00BC004D" w:rsidRPr="007866E5">
        <w:t>was</w:t>
      </w:r>
      <w:r w:rsidR="00455B52" w:rsidRPr="007866E5">
        <w:t xml:space="preserve"> considered normal if  ≤ 0.85 for women and ≤ 0.9 for men</w:t>
      </w:r>
      <w:r w:rsidR="00D17EC6" w:rsidRPr="007866E5">
        <w:t>.</w:t>
      </w:r>
      <w:r w:rsidR="00455B52" w:rsidRPr="007866E5">
        <w:t xml:space="preserve"> </w:t>
      </w:r>
      <w:r w:rsidR="00830839" w:rsidRPr="007866E5">
        <w:fldChar w:fldCharType="begin"/>
      </w:r>
      <w:r w:rsidR="00D64F11" w:rsidRPr="007866E5">
        <w:instrText xml:space="preserve"> ADDIN EN.CITE &lt;EndNote&gt;&lt;Cite&gt;&lt;Author&gt;World Health Organization&lt;/Author&gt;&lt;Year&gt;2011&lt;/Year&gt;&lt;RecNum&gt;1779&lt;/RecNum&gt;&lt;DisplayText&gt;[16]&lt;/DisplayText&gt;&lt;record&gt;&lt;rec-number&gt;1779&lt;/rec-number&gt;&lt;foreign-keys&gt;&lt;key app="EN" db-id="ftdeprx0ptvtxbefrrl5r9xrvps9d9vrpaat"&gt;1779&lt;/key&gt;&lt;/foreign-keys&gt;&lt;ref-type name="Journal Article"&gt;17&lt;/ref-type&gt;&lt;contributors&gt;&lt;authors&gt;&lt;author&gt;World Health Organization,,&lt;/author&gt;&lt;/authors&gt;&lt;/contributors&gt;&lt;titles&gt;&lt;title&gt;Waist circumference and waist-hip ratio: report of a WHO expert consultation, Geneva, 8-11 December 2008&lt;/title&gt;&lt;/titles&gt;&lt;dates&gt;&lt;year&gt;2011&lt;/year&gt;&lt;/dates&gt;&lt;isbn&gt;9241501499&lt;/isbn&gt;&lt;urls&gt;&lt;/urls&gt;&lt;/record&gt;&lt;/Cite&gt;&lt;/EndNote&gt;</w:instrText>
      </w:r>
      <w:r w:rsidR="00830839" w:rsidRPr="007866E5">
        <w:fldChar w:fldCharType="separate"/>
      </w:r>
      <w:r w:rsidR="00D64F11" w:rsidRPr="007866E5">
        <w:t>[</w:t>
      </w:r>
      <w:hyperlink w:anchor="_ENREF_16" w:tooltip="World Health Organization, 2011 #1779" w:history="1">
        <w:r w:rsidR="00B35F69" w:rsidRPr="007866E5">
          <w:t>16</w:t>
        </w:r>
      </w:hyperlink>
      <w:r w:rsidR="00D64F11" w:rsidRPr="007866E5">
        <w:t>]</w:t>
      </w:r>
      <w:r w:rsidR="00830839" w:rsidRPr="007866E5">
        <w:fldChar w:fldCharType="end"/>
      </w:r>
      <w:r w:rsidR="00D17EC6" w:rsidRPr="007866E5">
        <w:t xml:space="preserve">Dietary intake was evaluated using a 24-hour food recall (24h-FR) method, </w:t>
      </w:r>
      <w:r w:rsidR="008920FE" w:rsidRPr="00280684">
        <w:t>known for its ease of application, cost-effectiveness, and independence from the respondent's literacy level</w:t>
      </w:r>
      <w:r w:rsidR="00D17EC6">
        <w:t>.</w:t>
      </w:r>
      <w:r w:rsidR="003705D5" w:rsidRPr="00280684">
        <w:t xml:space="preserve"> </w:t>
      </w:r>
      <w:r w:rsidR="003705D5" w:rsidRPr="00280684">
        <w:fldChar w:fldCharType="begin"/>
      </w:r>
      <w:r w:rsidR="003705D5" w:rsidRPr="00280684">
        <w:instrText xml:space="preserve"> ADDIN EN.CITE &lt;EndNote&gt;&lt;Cite&gt;&lt;Author&gt;Ribeiro&lt;/Author&gt;&lt;Year&gt;2006&lt;/Year&gt;&lt;RecNum&gt;1773&lt;/RecNum&gt;&lt;DisplayText&gt;[17]&lt;/DisplayText&gt;&lt;record&gt;&lt;rec-number&gt;1773&lt;/rec-number&gt;&lt;foreign-keys&gt;&lt;key app="EN" db-id="ftdeprx0ptvtxbefrrl5r9xrvps9d9vrpaat"&gt;1773&lt;/key&gt;&lt;/foreign-keys&gt;&lt;ref-type name="Journal Article"&gt;17&lt;/ref-type&gt;&lt;contributors&gt;&lt;authors&gt;&lt;author&gt;Ribeiro, Aída Calvão&lt;/author&gt;&lt;author&gt;Sávio, Karin Eleonora Oliveira&lt;/author&gt;&lt;author&gt;Rodrigues, Maria de Lourdes Carlos Ferreirinha&lt;/author&gt;&lt;author&gt;Costa, Teresa Helena Macedo da&lt;/author&gt;&lt;author&gt;Schmitz, Bethsáida de Abreu Soares&lt;/author&gt;&lt;/authors&gt;&lt;/contributors&gt;&lt;titles&gt;&lt;title&gt;Validation of a food frequency questionnaire for the adult population&lt;/title&gt;&lt;secondary-title&gt;Revista de Nutrição&lt;/secondary-title&gt;&lt;/titles&gt;&lt;periodical&gt;&lt;full-title&gt;Revista de Nutrição&lt;/full-title&gt;&lt;/periodical&gt;&lt;pages&gt;553-562&lt;/pages&gt;&lt;volume&gt;19&lt;/volume&gt;&lt;number&gt;5&lt;/number&gt;&lt;dates&gt;&lt;year&gt;2006&lt;/year&gt;&lt;/dates&gt;&lt;isbn&gt;1415-5273&lt;/isbn&gt;&lt;urls&gt;&lt;/urls&gt;&lt;/record&gt;&lt;/Cite&gt;&lt;/EndNote&gt;</w:instrText>
      </w:r>
      <w:r w:rsidR="003705D5" w:rsidRPr="00280684">
        <w:fldChar w:fldCharType="separate"/>
      </w:r>
      <w:r w:rsidR="003705D5" w:rsidRPr="00280684">
        <w:rPr>
          <w:noProof/>
        </w:rPr>
        <w:t>[</w:t>
      </w:r>
      <w:hyperlink w:anchor="_ENREF_17" w:tooltip="Ribeiro, 2006 #1773" w:history="1">
        <w:r w:rsidR="00B35F69" w:rsidRPr="00280684">
          <w:rPr>
            <w:noProof/>
          </w:rPr>
          <w:t>17</w:t>
        </w:r>
      </w:hyperlink>
      <w:r w:rsidR="003705D5" w:rsidRPr="00280684">
        <w:rPr>
          <w:noProof/>
        </w:rPr>
        <w:t>]</w:t>
      </w:r>
      <w:r w:rsidR="003705D5" w:rsidRPr="00280684">
        <w:fldChar w:fldCharType="end"/>
      </w:r>
      <w:r w:rsidR="008920FE" w:rsidRPr="00280684">
        <w:t>. Physical activity levels were evaluated using a self-report measure</w:t>
      </w:r>
      <w:r w:rsidR="00D17EC6">
        <w:t>.</w:t>
      </w:r>
      <w:r w:rsidR="003705D5" w:rsidRPr="00280684">
        <w:t xml:space="preserve"> </w:t>
      </w:r>
      <w:r w:rsidR="003705D5" w:rsidRPr="00280684">
        <w:fldChar w:fldCharType="begin"/>
      </w:r>
      <w:r w:rsidR="003705D5" w:rsidRPr="00280684">
        <w:instrText xml:space="preserve"> ADDIN EN.CITE &lt;EndNote&gt;&lt;Cite&gt;&lt;Author&gt;Baecke&lt;/Author&gt;&lt;Year&gt;1982&lt;/Year&gt;&lt;RecNum&gt;1775&lt;/RecNum&gt;&lt;DisplayText&gt;[18]&lt;/DisplayText&gt;&lt;record&gt;&lt;rec-number&gt;1775&lt;/rec-number&gt;&lt;foreign-keys&gt;&lt;key app="EN" db-id="ftdeprx0ptvtxbefrrl5r9xrvps9d9vrpaat"&gt;1775&lt;/key&gt;&lt;/foreign-keys&gt;&lt;ref-type name="Journal Article"&gt;17&lt;/ref-type&gt;&lt;contributors&gt;&lt;authors&gt;&lt;author&gt;Baecke, J. A.&lt;/author&gt;&lt;author&gt;Burema, J.&lt;/author&gt;&lt;author&gt;Frijters, J. E.&lt;/author&gt;&lt;/authors&gt;&lt;/contributors&gt;&lt;titles&gt;&lt;title&gt;A short questionnaire for the measurement of habitual physical activity in epidemiological studies&lt;/title&gt;&lt;secondary-title&gt;Am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nutrition&lt;/abbr-1&gt;&lt;/alt-periodical&gt;&lt;pages&gt;936-42&lt;/pages&gt;&lt;volume&gt;36&lt;/volume&gt;&lt;number&gt;5&lt;/number&gt;&lt;edition&gt;1982/11/01&lt;/edition&gt;&lt;keywords&gt;&lt;keyword&gt;Adipose Tissue/anatomy &amp;amp; histology&lt;/keyword&gt;&lt;keyword&gt;Adult&lt;/keyword&gt;&lt;keyword&gt;Age Factors&lt;/keyword&gt;&lt;keyword&gt;Body Constitution&lt;/keyword&gt;&lt;keyword&gt;Educational Status&lt;/keyword&gt;&lt;keyword&gt;Epidemiologic Methods&lt;/keyword&gt;&lt;keyword&gt;Female&lt;/keyword&gt;&lt;keyword&gt;Humans&lt;/keyword&gt;&lt;keyword&gt;*Leisure Activities&lt;/keyword&gt;&lt;keyword&gt;Male&lt;/keyword&gt;&lt;keyword&gt;Netherlands&lt;/keyword&gt;&lt;keyword&gt;*Physical Exertion&lt;/keyword&gt;&lt;keyword&gt;Sex Factors&lt;/keyword&gt;&lt;keyword&gt;Sports Medicine&lt;/keyword&gt;&lt;keyword&gt;Surveys and Questionnaires&lt;/keyword&gt;&lt;keyword&gt;*Work&lt;/keyword&gt;&lt;/keywords&gt;&lt;dates&gt;&lt;year&gt;1982&lt;/year&gt;&lt;pub-dates&gt;&lt;date&gt;Nov&lt;/date&gt;&lt;/pub-dates&gt;&lt;/dates&gt;&lt;isbn&gt;0002-9165 (Print)&amp;#xD;0002-9165&lt;/isbn&gt;&lt;accession-num&gt;7137077&lt;/accession-num&gt;&lt;urls&gt;&lt;/urls&gt;&lt;electronic-resource-num&gt;10.1093/ajcn/36.5.936&lt;/electronic-resource-num&gt;&lt;remote-database-provider&gt;Nlm&lt;/remote-database-provider&gt;&lt;language&gt;eng&lt;/language&gt;&lt;/record&gt;&lt;/Cite&gt;&lt;/EndNote&gt;</w:instrText>
      </w:r>
      <w:r w:rsidR="003705D5" w:rsidRPr="00280684">
        <w:fldChar w:fldCharType="separate"/>
      </w:r>
      <w:r w:rsidR="003705D5" w:rsidRPr="00280684">
        <w:rPr>
          <w:noProof/>
        </w:rPr>
        <w:t>[</w:t>
      </w:r>
      <w:hyperlink w:anchor="_ENREF_18" w:tooltip="Baecke, 1982 #1775" w:history="1">
        <w:r w:rsidR="00B35F69" w:rsidRPr="00280684">
          <w:rPr>
            <w:noProof/>
          </w:rPr>
          <w:t>18</w:t>
        </w:r>
      </w:hyperlink>
      <w:r w:rsidR="003705D5" w:rsidRPr="00280684">
        <w:rPr>
          <w:noProof/>
        </w:rPr>
        <w:t>]</w:t>
      </w:r>
      <w:r w:rsidR="003705D5" w:rsidRPr="00280684">
        <w:fldChar w:fldCharType="end"/>
      </w:r>
      <w:r w:rsidR="008920FE" w:rsidRPr="00280684">
        <w:t>.</w:t>
      </w:r>
      <w:r w:rsidR="003705D5" w:rsidRPr="00280684">
        <w:rPr>
          <w:vertAlign w:val="superscript"/>
        </w:rPr>
        <w:t xml:space="preserve"> </w:t>
      </w:r>
    </w:p>
    <w:p w14:paraId="26955AAD" w14:textId="77777777" w:rsidR="001C68F8" w:rsidRPr="00280684" w:rsidRDefault="001C68F8" w:rsidP="001C68F8">
      <w:pPr>
        <w:spacing w:line="240" w:lineRule="auto"/>
      </w:pPr>
    </w:p>
    <w:p w14:paraId="4AC47949" w14:textId="77777777" w:rsidR="00747A9B" w:rsidRPr="00280684" w:rsidRDefault="00747A9B" w:rsidP="00FA3FDA">
      <w:pPr>
        <w:spacing w:line="360" w:lineRule="auto"/>
        <w:ind w:firstLine="0"/>
        <w:rPr>
          <w:b/>
          <w:bCs/>
          <w:i/>
          <w:iCs/>
        </w:rPr>
      </w:pPr>
      <w:r w:rsidRPr="00280684">
        <w:rPr>
          <w:b/>
          <w:bCs/>
          <w:i/>
          <w:iCs/>
        </w:rPr>
        <w:t>Abdominal ultrasound</w:t>
      </w:r>
    </w:p>
    <w:p w14:paraId="6E6DC892" w14:textId="5DF24BCE" w:rsidR="00FA3FDA" w:rsidRPr="00280684" w:rsidRDefault="00FA3FDA" w:rsidP="00B35F69">
      <w:pPr>
        <w:spacing w:line="360" w:lineRule="auto"/>
        <w:ind w:firstLine="0"/>
        <w:rPr>
          <w:rFonts w:ascii="Times New Roman" w:eastAsia="Times New Roman" w:hAnsi="Times New Roman" w:cs="Times New Roman"/>
          <w:lang w:bidi="ar-SA"/>
        </w:rPr>
      </w:pPr>
      <w:r w:rsidRPr="00280684">
        <w:rPr>
          <w:rFonts w:ascii="Times New Roman" w:eastAsia="Times New Roman" w:hAnsi="Times New Roman" w:cs="Times New Roman"/>
          <w:lang w:bidi="ar-SA"/>
        </w:rPr>
        <w:t xml:space="preserve">Abdominal ultrasound was conducted using consistent equipment and by the same operator. Increased liver echogenicity served as the primary indicator of steatosis in the ultrasound scans. </w:t>
      </w:r>
      <w:r w:rsidR="003705D5" w:rsidRPr="00280684">
        <w:rPr>
          <w:rFonts w:ascii="Times New Roman" w:eastAsia="Times New Roman" w:hAnsi="Times New Roman" w:cs="Times New Roman"/>
          <w:lang w:bidi="ar-SA"/>
        </w:rPr>
        <w:t>S</w:t>
      </w:r>
      <w:r w:rsidRPr="00280684">
        <w:rPr>
          <w:rFonts w:ascii="Times New Roman" w:eastAsia="Times New Roman" w:hAnsi="Times New Roman" w:cs="Times New Roman"/>
          <w:lang w:bidi="ar-SA"/>
        </w:rPr>
        <w:t xml:space="preserve">teatosis </w:t>
      </w:r>
      <w:r w:rsidR="003705D5" w:rsidRPr="00280684">
        <w:rPr>
          <w:rFonts w:ascii="Times New Roman" w:eastAsia="Times New Roman" w:hAnsi="Times New Roman" w:cs="Times New Roman"/>
          <w:lang w:bidi="ar-SA"/>
        </w:rPr>
        <w:t xml:space="preserve">severity </w:t>
      </w:r>
      <w:r w:rsidRPr="00280684">
        <w:rPr>
          <w:rFonts w:ascii="Times New Roman" w:eastAsia="Times New Roman" w:hAnsi="Times New Roman" w:cs="Times New Roman"/>
          <w:lang w:bidi="ar-SA"/>
        </w:rPr>
        <w:t>was classified as follows</w:t>
      </w:r>
      <w:r w:rsidR="00D17EC6">
        <w:rPr>
          <w:rFonts w:ascii="Times New Roman" w:eastAsia="Times New Roman" w:hAnsi="Times New Roman" w:cs="Times New Roman"/>
          <w:lang w:bidi="ar-SA"/>
        </w:rPr>
        <w:t>.</w:t>
      </w:r>
      <w:r w:rsidR="00CB3709" w:rsidRPr="00280684">
        <w:rPr>
          <w:rFonts w:ascii="Times New Roman" w:eastAsia="Times New Roman" w:hAnsi="Times New Roman" w:cs="Times New Roman"/>
          <w:lang w:bidi="ar-SA"/>
        </w:rPr>
        <w:t xml:space="preserve"> </w:t>
      </w:r>
      <w:r w:rsidR="00CB3709" w:rsidRPr="00280684">
        <w:fldChar w:fldCharType="begin"/>
      </w:r>
      <w:r w:rsidR="00CB3709" w:rsidRPr="00280684">
        <w:instrText xml:space="preserve"> ADDIN EN.CITE &lt;EndNote&gt;&lt;Cite&gt;&lt;Author&gt;Saadeh&lt;/Author&gt;&lt;Year&gt;2002&lt;/Year&gt;&lt;RecNum&gt;1761&lt;/RecNum&gt;&lt;DisplayText&gt;[12]&lt;/DisplayText&gt;&lt;record&gt;&lt;rec-number&gt;1761&lt;/rec-number&gt;&lt;foreign-keys&gt;&lt;key app="EN" db-id="ftdeprx0ptvtxbefrrl5r9xrvps9d9vrpaat"&gt;1761&lt;/key&gt;&lt;/foreign-keys&gt;&lt;ref-type name="Journal Article"&gt;17&lt;/ref-type&gt;&lt;contributors&gt;&lt;authors&gt;&lt;author&gt;Saadeh, Sherif&lt;/author&gt;&lt;author&gt;Younossi, Zobair M&lt;/author&gt;&lt;author&gt;Remer, Erick M&lt;/author&gt;&lt;author&gt;Gramlich, Terry&lt;/author&gt;&lt;author&gt;Ong, Janus P&lt;/author&gt;&lt;author&gt;Hurley, Maja&lt;/author&gt;&lt;author&gt;Mullen, Kevin D&lt;/author&gt;&lt;author&gt;Cooper, James N&lt;/author&gt;&lt;author&gt;Sheridan, Michael J&lt;/author&gt;&lt;/authors&gt;&lt;/contributors&gt;&lt;titles&gt;&lt;title&gt;The utility of radiological imaging in nonalcoholic fatty liver disease&lt;/title&gt;&lt;secondary-title&gt;Gastroenterology&lt;/secondary-title&gt;&lt;/titles&gt;&lt;periodical&gt;&lt;full-title&gt;Gastroenterology&lt;/full-title&gt;&lt;/periodical&gt;&lt;pages&gt;745-750&lt;/pages&gt;&lt;volume&gt;123&lt;/volume&gt;&lt;number&gt;3&lt;/number&gt;&lt;dates&gt;&lt;year&gt;2002&lt;/year&gt;&lt;/dates&gt;&lt;isbn&gt;0016-5085&lt;/isbn&gt;&lt;urls&gt;&lt;/urls&gt;&lt;/record&gt;&lt;/Cite&gt;&lt;/EndNote&gt;</w:instrText>
      </w:r>
      <w:r w:rsidR="00CB3709" w:rsidRPr="00280684">
        <w:fldChar w:fldCharType="separate"/>
      </w:r>
      <w:r w:rsidR="00CB3709" w:rsidRPr="00280684">
        <w:rPr>
          <w:noProof/>
        </w:rPr>
        <w:t>[</w:t>
      </w:r>
      <w:hyperlink w:anchor="_ENREF_12" w:tooltip="Saadeh, 2002 #1761" w:history="1">
        <w:r w:rsidR="00B35F69" w:rsidRPr="00280684">
          <w:rPr>
            <w:noProof/>
          </w:rPr>
          <w:t>12</w:t>
        </w:r>
      </w:hyperlink>
      <w:r w:rsidR="00CB3709" w:rsidRPr="00280684">
        <w:rPr>
          <w:noProof/>
        </w:rPr>
        <w:t>]</w:t>
      </w:r>
      <w:r w:rsidR="00CB3709" w:rsidRPr="00280684">
        <w:fldChar w:fldCharType="end"/>
      </w:r>
      <w:r w:rsidRPr="00280684">
        <w:rPr>
          <w:rFonts w:ascii="Times New Roman" w:eastAsia="Times New Roman" w:hAnsi="Times New Roman" w:cs="Times New Roman"/>
          <w:lang w:bidi="ar-SA"/>
        </w:rPr>
        <w:t>:</w:t>
      </w:r>
    </w:p>
    <w:p w14:paraId="04B48E31" w14:textId="6E4C8AE9" w:rsidR="00FA3FDA" w:rsidRPr="00280684" w:rsidRDefault="00FA3FDA" w:rsidP="00CB3709">
      <w:pPr>
        <w:numPr>
          <w:ilvl w:val="0"/>
          <w:numId w:val="4"/>
        </w:numPr>
        <w:spacing w:line="360" w:lineRule="auto"/>
        <w:rPr>
          <w:rFonts w:ascii="Times New Roman" w:eastAsia="Times New Roman" w:hAnsi="Times New Roman" w:cs="Times New Roman"/>
          <w:lang w:bidi="ar-SA"/>
        </w:rPr>
      </w:pPr>
      <w:r w:rsidRPr="00280684">
        <w:rPr>
          <w:rFonts w:ascii="Times New Roman" w:eastAsia="Times New Roman" w:hAnsi="Times New Roman" w:cs="Times New Roman"/>
          <w:lang w:bidi="ar-SA"/>
        </w:rPr>
        <w:t xml:space="preserve">Grade 0: echogenicity of the right liver lobe is </w:t>
      </w:r>
      <w:r w:rsidR="00D17EC6">
        <w:rPr>
          <w:rFonts w:ascii="Times New Roman" w:eastAsia="Times New Roman" w:hAnsi="Times New Roman" w:cs="Times New Roman"/>
          <w:lang w:bidi="ar-SA"/>
        </w:rPr>
        <w:t>average</w:t>
      </w:r>
      <w:r w:rsidRPr="00280684">
        <w:rPr>
          <w:rFonts w:ascii="Times New Roman" w:eastAsia="Times New Roman" w:hAnsi="Times New Roman" w:cs="Times New Roman"/>
          <w:lang w:bidi="ar-SA"/>
        </w:rPr>
        <w:t xml:space="preserve"> compared to </w:t>
      </w:r>
      <w:r w:rsidR="00D17EC6">
        <w:rPr>
          <w:rFonts w:ascii="Times New Roman" w:eastAsia="Times New Roman" w:hAnsi="Times New Roman" w:cs="Times New Roman"/>
          <w:lang w:bidi="ar-SA"/>
        </w:rPr>
        <w:t xml:space="preserve">the </w:t>
      </w:r>
      <w:r w:rsidR="003705D5" w:rsidRPr="00280684">
        <w:rPr>
          <w:rFonts w:ascii="Times New Roman" w:eastAsia="Times New Roman" w:hAnsi="Times New Roman" w:cs="Times New Roman"/>
          <w:lang w:bidi="ar-SA"/>
        </w:rPr>
        <w:t>right renal cortex.</w:t>
      </w:r>
    </w:p>
    <w:p w14:paraId="1DBF98BD" w14:textId="13217B94" w:rsidR="00FA3FDA" w:rsidRPr="00D17EC6" w:rsidRDefault="00FA3FDA" w:rsidP="00CB3709">
      <w:pPr>
        <w:numPr>
          <w:ilvl w:val="0"/>
          <w:numId w:val="4"/>
        </w:numPr>
        <w:spacing w:line="360" w:lineRule="auto"/>
      </w:pPr>
      <w:r w:rsidRPr="00D17EC6">
        <w:t xml:space="preserve">Grade 1: a slight, diffuse increase in </w:t>
      </w:r>
      <w:r w:rsidR="00D17EC6">
        <w:t>delicate</w:t>
      </w:r>
      <w:r w:rsidRPr="00D17EC6">
        <w:t xml:space="preserve"> echoes in the liver parenchyma, with normal </w:t>
      </w:r>
      <w:r w:rsidR="00D17EC6">
        <w:t>diaphragm and intrahepatic vessel borders visualization</w:t>
      </w:r>
      <w:r w:rsidRPr="00D17EC6">
        <w:t>.</w:t>
      </w:r>
    </w:p>
    <w:p w14:paraId="5A534135" w14:textId="1D2CDE51" w:rsidR="00FA3FDA" w:rsidRPr="00D17EC6" w:rsidRDefault="00FA3FDA" w:rsidP="00CB3709">
      <w:pPr>
        <w:numPr>
          <w:ilvl w:val="0"/>
          <w:numId w:val="4"/>
        </w:numPr>
        <w:spacing w:line="360" w:lineRule="auto"/>
      </w:pPr>
      <w:r w:rsidRPr="00D17EC6">
        <w:t xml:space="preserve">Grade 2: moderate, diffuse increase in </w:t>
      </w:r>
      <w:r w:rsidR="00D17EC6">
        <w:t>delicate</w:t>
      </w:r>
      <w:r w:rsidRPr="00D17EC6">
        <w:t xml:space="preserve"> echoes</w:t>
      </w:r>
      <w:r w:rsidR="00CB3709" w:rsidRPr="00D17EC6">
        <w:t xml:space="preserve"> and </w:t>
      </w:r>
      <w:r w:rsidRPr="00D17EC6">
        <w:t>slightly impaired visualization of the diaphragm and intrahepatic vessel borders.</w:t>
      </w:r>
    </w:p>
    <w:p w14:paraId="46F97116" w14:textId="1BB98EA3" w:rsidR="00302445" w:rsidRPr="00D17EC6" w:rsidRDefault="00FA3FDA" w:rsidP="00CB3709">
      <w:pPr>
        <w:numPr>
          <w:ilvl w:val="0"/>
          <w:numId w:val="4"/>
        </w:numPr>
        <w:spacing w:line="360" w:lineRule="auto"/>
      </w:pPr>
      <w:r w:rsidRPr="00D17EC6">
        <w:t xml:space="preserve">Grade 3: marked increase in </w:t>
      </w:r>
      <w:r w:rsidR="00D17EC6">
        <w:t>delicate</w:t>
      </w:r>
      <w:r w:rsidRPr="00D17EC6">
        <w:t xml:space="preserve"> echoes, accompanied by poor or non-visualization of the intrahepatic vessel borders, diaphragm, and posterior right lobe of the liver. </w:t>
      </w:r>
    </w:p>
    <w:p w14:paraId="6A7422DF" w14:textId="77777777" w:rsidR="00BA62A6" w:rsidRPr="00280684" w:rsidRDefault="00D12889" w:rsidP="009C6E03">
      <w:pPr>
        <w:spacing w:line="360" w:lineRule="auto"/>
        <w:ind w:firstLine="0"/>
        <w:rPr>
          <w:b/>
          <w:bCs/>
          <w:i/>
          <w:iCs/>
        </w:rPr>
      </w:pPr>
      <w:r w:rsidRPr="00280684">
        <w:rPr>
          <w:b/>
          <w:bCs/>
          <w:i/>
          <w:iCs/>
        </w:rPr>
        <w:t>L</w:t>
      </w:r>
      <w:r w:rsidR="00BA62A6" w:rsidRPr="00280684">
        <w:rPr>
          <w:b/>
          <w:bCs/>
          <w:i/>
          <w:iCs/>
        </w:rPr>
        <w:t>aboratory investigations</w:t>
      </w:r>
    </w:p>
    <w:p w14:paraId="046AA29A" w14:textId="421EC843" w:rsidR="00912D0D" w:rsidRPr="00280684" w:rsidRDefault="00F73A5E" w:rsidP="00B35F69">
      <w:pPr>
        <w:spacing w:line="360" w:lineRule="auto"/>
        <w:rPr>
          <w:strike/>
        </w:rPr>
      </w:pPr>
      <w:r w:rsidRPr="00280684">
        <w:t>Investigations</w:t>
      </w:r>
      <w:r w:rsidR="00E73529" w:rsidRPr="00280684">
        <w:t xml:space="preserve"> done i</w:t>
      </w:r>
      <w:r w:rsidRPr="00280684">
        <w:t>ncluded</w:t>
      </w:r>
      <w:r w:rsidR="00DC4042" w:rsidRPr="00280684">
        <w:t xml:space="preserve"> f</w:t>
      </w:r>
      <w:r w:rsidRPr="00280684">
        <w:t>asting insulin level</w:t>
      </w:r>
      <w:r w:rsidR="00DC4042" w:rsidRPr="00280684">
        <w:t xml:space="preserve">, </w:t>
      </w:r>
      <w:r w:rsidR="00BE4C72" w:rsidRPr="00280684">
        <w:t>fasting blood glucose (</w:t>
      </w:r>
      <w:r w:rsidR="00BC004D" w:rsidRPr="00280684">
        <w:t>FBG</w:t>
      </w:r>
      <w:r w:rsidR="00BE4C72" w:rsidRPr="00280684">
        <w:t>)</w:t>
      </w:r>
      <w:r w:rsidR="00DC4042" w:rsidRPr="00280684">
        <w:t>, c</w:t>
      </w:r>
      <w:r w:rsidRPr="00280684">
        <w:t xml:space="preserve">holesterol, </w:t>
      </w:r>
      <w:r w:rsidR="00BE4C72" w:rsidRPr="00280684">
        <w:t>triglyceride (TG)</w:t>
      </w:r>
      <w:r w:rsidRPr="00280684">
        <w:t xml:space="preserve">, </w:t>
      </w:r>
      <w:r w:rsidR="00D17EC6">
        <w:t>low-density</w:t>
      </w:r>
      <w:r w:rsidR="00BE4C72" w:rsidRPr="00280684">
        <w:t xml:space="preserve"> lipoprotein cholesterol (</w:t>
      </w:r>
      <w:r w:rsidRPr="00280684">
        <w:t>LDL-C</w:t>
      </w:r>
      <w:r w:rsidR="008B6A4B" w:rsidRPr="00280684">
        <w:t>)</w:t>
      </w:r>
      <w:r w:rsidR="00DC4042" w:rsidRPr="00280684">
        <w:t xml:space="preserve">, </w:t>
      </w:r>
      <w:r w:rsidR="00D17EC6">
        <w:t>high-density</w:t>
      </w:r>
      <w:r w:rsidR="008B6A4B" w:rsidRPr="00280684">
        <w:t xml:space="preserve"> lipoprotein cholesterol (</w:t>
      </w:r>
      <w:r w:rsidRPr="00280684">
        <w:t>HDL-C</w:t>
      </w:r>
      <w:r w:rsidR="00BC004D" w:rsidRPr="00280684">
        <w:t>)</w:t>
      </w:r>
      <w:r w:rsidR="00DC4042" w:rsidRPr="00280684">
        <w:t>, a</w:t>
      </w:r>
      <w:r w:rsidRPr="00280684">
        <w:t>lanine aminotransferase (ALT), aspartate aminotransferase (AST), albumin, bilirubin, prothrombin time (PT), prothrombin activity</w:t>
      </w:r>
      <w:r w:rsidR="0062370F" w:rsidRPr="00280684">
        <w:t>, international normalized ratio (INR)</w:t>
      </w:r>
      <w:r w:rsidR="00DE03DB" w:rsidRPr="00280684">
        <w:t>,</w:t>
      </w:r>
      <w:r w:rsidR="001C68F8" w:rsidRPr="00280684">
        <w:t xml:space="preserve"> </w:t>
      </w:r>
      <w:r w:rsidR="00DE03DB" w:rsidRPr="00280684">
        <w:t xml:space="preserve">H. pylori </w:t>
      </w:r>
      <w:r w:rsidR="001C68F8" w:rsidRPr="00280684">
        <w:t>antigen</w:t>
      </w:r>
      <w:r w:rsidR="00DE03DB" w:rsidRPr="00280684">
        <w:t xml:space="preserve"> in stools</w:t>
      </w:r>
      <w:r w:rsidR="00DC4042" w:rsidRPr="00280684">
        <w:t xml:space="preserve"> and </w:t>
      </w:r>
      <w:r w:rsidRPr="00280684">
        <w:t>H. pylori IgG antibodies</w:t>
      </w:r>
      <w:r w:rsidR="00320418" w:rsidRPr="00280684">
        <w:t xml:space="preserve"> (IgG Abs)</w:t>
      </w:r>
      <w:r w:rsidR="00DC4042" w:rsidRPr="00280684">
        <w:t xml:space="preserve">. </w:t>
      </w:r>
      <w:r w:rsidR="008B6A4B" w:rsidRPr="00280684">
        <w:t>IR</w:t>
      </w:r>
      <w:r w:rsidR="00E73529" w:rsidRPr="00280684">
        <w:t xml:space="preserve"> was </w:t>
      </w:r>
      <w:r w:rsidR="008B6A4B" w:rsidRPr="00280684">
        <w:t>assessed</w:t>
      </w:r>
      <w:r w:rsidR="00E73529" w:rsidRPr="00280684">
        <w:t xml:space="preserve"> using the homeostatic model assessment for insulin resistance (HOMA-IR)</w:t>
      </w:r>
      <w:r w:rsidR="00F91D8D">
        <w:t xml:space="preserve">; </w:t>
      </w:r>
      <w:r w:rsidR="00F91D8D" w:rsidRPr="007866E5">
        <w:t>Fasting Insulin (</w:t>
      </w:r>
      <w:proofErr w:type="spellStart"/>
      <w:r w:rsidR="00F91D8D" w:rsidRPr="007866E5">
        <w:t>μg</w:t>
      </w:r>
      <w:proofErr w:type="spellEnd"/>
      <w:r w:rsidR="00F91D8D" w:rsidRPr="007866E5">
        <w:t>/ml)]*[Fasting Glucose (mmol/l)]/22.5</w:t>
      </w:r>
      <w:r w:rsidR="008B6A4B" w:rsidRPr="00280684">
        <w:t xml:space="preserve"> </w:t>
      </w:r>
      <w:r w:rsidR="008B6A4B" w:rsidRPr="00280684">
        <w:fldChar w:fldCharType="begin"/>
      </w:r>
      <w:r w:rsidR="008B6A4B" w:rsidRPr="00280684">
        <w:instrText xml:space="preserve"> ADDIN EN.CITE &lt;EndNote&gt;&lt;Cite&gt;&lt;Author&gt;Matthews&lt;/Author&gt;&lt;Year&gt;1985&lt;/Year&gt;&lt;RecNum&gt;1771&lt;/RecNum&gt;&lt;DisplayText&gt;[19]&lt;/DisplayText&gt;&lt;record&gt;&lt;rec-number&gt;1771&lt;/rec-number&gt;&lt;foreign-keys&gt;&lt;key app="EN" db-id="ftdeprx0ptvtxbefrrl5r9xrvps9d9vrpaat"&gt;1771&lt;/key&gt;&lt;/foreign-keys&gt;&lt;ref-type name="Journal Article"&gt;17&lt;/ref-type&gt;&lt;contributors&gt;&lt;authors&gt;&lt;author&gt;Matthews, David R&lt;/author&gt;&lt;author&gt;Hosker, John P&lt;/author&gt;&lt;author&gt;Rudenski, Aram S&lt;/author&gt;&lt;author&gt;Naylor, BA&lt;/author&gt;&lt;author&gt;Treacher, David F&lt;/author&gt;&lt;author&gt;Turner, Robert C&lt;/author&gt;&lt;/authors&gt;&lt;/contributors&gt;&lt;titles&gt;&lt;title&gt;Homeostasis model assessment: insulin resistance and β-cell function from fasting plasma glucose and insulin concentrations in man&lt;/title&gt;&lt;secondary-title&gt;Diabetologia&lt;/secondary-title&gt;&lt;/titles&gt;&lt;periodical&gt;&lt;full-title&gt;Diabetologia&lt;/full-title&gt;&lt;/periodical&gt;&lt;pages&gt;412-419&lt;/pages&gt;&lt;volume&gt;28&lt;/volume&gt;&lt;dates&gt;&lt;year&gt;1985&lt;/year&gt;&lt;/dates&gt;&lt;isbn&gt;0012-186X&lt;/isbn&gt;&lt;urls&gt;&lt;/urls&gt;&lt;/record&gt;&lt;/Cite&gt;&lt;/EndNote&gt;</w:instrText>
      </w:r>
      <w:r w:rsidR="008B6A4B" w:rsidRPr="00280684">
        <w:fldChar w:fldCharType="separate"/>
      </w:r>
      <w:r w:rsidR="008B6A4B" w:rsidRPr="00280684">
        <w:rPr>
          <w:noProof/>
        </w:rPr>
        <w:t>[</w:t>
      </w:r>
      <w:hyperlink w:anchor="_ENREF_19" w:tooltip="Matthews, 1985 #1771" w:history="1">
        <w:r w:rsidR="00B35F69" w:rsidRPr="00280684">
          <w:rPr>
            <w:noProof/>
          </w:rPr>
          <w:t>19</w:t>
        </w:r>
      </w:hyperlink>
      <w:r w:rsidR="008B6A4B" w:rsidRPr="00280684">
        <w:rPr>
          <w:noProof/>
        </w:rPr>
        <w:t>]</w:t>
      </w:r>
      <w:r w:rsidR="008B6A4B" w:rsidRPr="00280684">
        <w:fldChar w:fldCharType="end"/>
      </w:r>
      <w:r w:rsidR="00E73529" w:rsidRPr="00280684">
        <w:t>.</w:t>
      </w:r>
    </w:p>
    <w:p w14:paraId="02F25000" w14:textId="77777777" w:rsidR="007E24F9" w:rsidRPr="00280684" w:rsidRDefault="007E24F9" w:rsidP="009C6E03">
      <w:pPr>
        <w:spacing w:line="360" w:lineRule="auto"/>
        <w:ind w:firstLine="0"/>
        <w:rPr>
          <w:b/>
          <w:bCs/>
          <w:i/>
          <w:iCs/>
        </w:rPr>
      </w:pPr>
      <w:r w:rsidRPr="00280684">
        <w:rPr>
          <w:b/>
          <w:bCs/>
          <w:i/>
          <w:iCs/>
        </w:rPr>
        <w:t>Statistical analysis</w:t>
      </w:r>
    </w:p>
    <w:p w14:paraId="24F3C520" w14:textId="6CF62487" w:rsidR="00D33D60" w:rsidRPr="00280684" w:rsidRDefault="00E73529" w:rsidP="00B35F69">
      <w:pPr>
        <w:spacing w:line="360" w:lineRule="auto"/>
      </w:pPr>
      <w:r w:rsidRPr="00280684">
        <w:t>The SPSS software</w:t>
      </w:r>
      <w:r w:rsidR="00D17EC6">
        <w:t xml:space="preserve"> version 22 (SPSS Inc., Chicago, IL, USA)</w:t>
      </w:r>
      <w:r w:rsidRPr="00280684">
        <w:t xml:space="preserve"> was employed for data collection, presentation, and statistical analysis. Normally distributed data were presented as mean</w:t>
      </w:r>
      <w:r w:rsidR="00C4011C" w:rsidRPr="00280684">
        <w:t xml:space="preserve"> (M)</w:t>
      </w:r>
      <w:r w:rsidRPr="00280684">
        <w:t xml:space="preserve"> (± standard deviation [SD]). Non-normally distributed data were analyzed using the Mann-Whitney test</w:t>
      </w:r>
      <w:r w:rsidR="00D17EC6">
        <w:t xml:space="preserve"> and Spearman's rank-order correlation</w:t>
      </w:r>
      <w:r w:rsidRPr="00280684">
        <w:t xml:space="preserve"> and reported as the median and interquartile range (IQR), denoting the 25</w:t>
      </w:r>
      <w:r w:rsidRPr="00280684">
        <w:rPr>
          <w:vertAlign w:val="superscript"/>
        </w:rPr>
        <w:t>th</w:t>
      </w:r>
      <w:r w:rsidRPr="00280684">
        <w:t xml:space="preserve"> to 75</w:t>
      </w:r>
      <w:r w:rsidRPr="00280684">
        <w:rPr>
          <w:vertAlign w:val="superscript"/>
        </w:rPr>
        <w:t>th</w:t>
      </w:r>
      <w:r w:rsidRPr="00280684">
        <w:t xml:space="preserve"> percentiles. The Kolmogorov test for normality was applied to quantitative data. Pearson's Chi-square test was utilized to explore associations between two variables in qualitative data. A probability (p) value &lt; 0.05 was considered significant for interpreting test results</w:t>
      </w:r>
      <w:r w:rsidR="00D17EC6">
        <w:t>.</w:t>
      </w:r>
      <w:r w:rsidR="008B6A4B" w:rsidRPr="00280684">
        <w:t xml:space="preserve"> </w:t>
      </w:r>
      <w:r w:rsidR="008B6A4B" w:rsidRPr="00280684">
        <w:fldChar w:fldCharType="begin"/>
      </w:r>
      <w:r w:rsidR="008B6A4B" w:rsidRPr="00280684">
        <w:instrText xml:space="preserve"> ADDIN EN.CITE &lt;EndNote&gt;&lt;Cite&gt;&lt;Author&gt;Dawson&lt;/Author&gt;&lt;Year&gt;2001&lt;/Year&gt;&lt;RecNum&gt;298&lt;/RecNum&gt;&lt;DisplayText&gt;[20]&lt;/DisplayText&gt;&lt;record&gt;&lt;rec-number&gt;298&lt;/rec-number&gt;&lt;foreign-keys&gt;&lt;key app="EN" db-id="avtwwfsdrpspveees5yv5ts7asv2see5f99r"&gt;298&lt;/key&gt;&lt;/foreign-keys&gt;&lt;ref-type name="Book"&gt;6&lt;/ref-type&gt;&lt;contributors&gt;&lt;authors&gt;&lt;author&gt;Dawson, B&lt;/author&gt;&lt;author&gt;Trapp, R&lt;/author&gt;&lt;/authors&gt;&lt;/contributors&gt;&lt;titles&gt;&lt;title&gt;Basic and clinical biostatistics 3rd ed. In lange medical books&lt;/title&gt;&lt;/titles&gt;&lt;dates&gt;&lt;year&gt;2001&lt;/year&gt;&lt;/dates&gt;&lt;publisher&gt;Oxford, London and Boston&lt;/publisher&gt;&lt;urls&gt;&lt;/urls&gt;&lt;/record&gt;&lt;/Cite&gt;&lt;/EndNote&gt;</w:instrText>
      </w:r>
      <w:r w:rsidR="008B6A4B" w:rsidRPr="00280684">
        <w:fldChar w:fldCharType="separate"/>
      </w:r>
      <w:r w:rsidR="008B6A4B" w:rsidRPr="00280684">
        <w:rPr>
          <w:noProof/>
        </w:rPr>
        <w:t>[</w:t>
      </w:r>
      <w:hyperlink w:anchor="_ENREF_20" w:tooltip="Dawson, 2001 #298" w:history="1">
        <w:r w:rsidR="00B35F69" w:rsidRPr="00280684">
          <w:rPr>
            <w:noProof/>
          </w:rPr>
          <w:t>20</w:t>
        </w:r>
      </w:hyperlink>
      <w:r w:rsidR="008B6A4B" w:rsidRPr="00280684">
        <w:rPr>
          <w:noProof/>
        </w:rPr>
        <w:t>]</w:t>
      </w:r>
      <w:r w:rsidR="008B6A4B" w:rsidRPr="00280684">
        <w:fldChar w:fldCharType="end"/>
      </w:r>
      <w:r w:rsidRPr="00280684">
        <w:t>.</w:t>
      </w:r>
      <w:r w:rsidR="009F5775" w:rsidRPr="00280684">
        <w:t xml:space="preserve"> </w:t>
      </w:r>
    </w:p>
    <w:p w14:paraId="36DE2E26" w14:textId="77777777" w:rsidR="009C6E03" w:rsidRPr="00280684" w:rsidRDefault="009C6E03" w:rsidP="009C6E03">
      <w:pPr>
        <w:pStyle w:val="Heading2"/>
        <w:ind w:firstLine="0"/>
      </w:pPr>
    </w:p>
    <w:p w14:paraId="049D4A44" w14:textId="77777777" w:rsidR="007E24F9" w:rsidRPr="00280684" w:rsidRDefault="007E24F9" w:rsidP="009C6E03">
      <w:pPr>
        <w:pStyle w:val="Heading2"/>
        <w:ind w:firstLine="0"/>
      </w:pPr>
      <w:r w:rsidRPr="00280684">
        <w:t>Results</w:t>
      </w:r>
    </w:p>
    <w:p w14:paraId="2136B9BE" w14:textId="453781D9" w:rsidR="00327027" w:rsidRDefault="00327027" w:rsidP="00122B7C">
      <w:pPr>
        <w:pStyle w:val="BodyText"/>
        <w:spacing w:line="360" w:lineRule="auto"/>
        <w:ind w:right="58" w:firstLine="720"/>
        <w:jc w:val="both"/>
        <w:rPr>
          <w:rFonts w:asciiTheme="majorBidi" w:hAnsiTheme="majorBidi" w:cstheme="majorBidi"/>
          <w:color w:val="000000" w:themeColor="text1"/>
          <w:sz w:val="24"/>
          <w:szCs w:val="24"/>
        </w:rPr>
      </w:pPr>
      <w:r w:rsidRPr="00280684">
        <w:rPr>
          <w:rFonts w:asciiTheme="majorBidi" w:hAnsiTheme="majorBidi" w:cstheme="majorBidi"/>
          <w:color w:val="000000" w:themeColor="text1"/>
          <w:sz w:val="24"/>
          <w:szCs w:val="24"/>
        </w:rPr>
        <w:t xml:space="preserve">This study </w:t>
      </w:r>
      <w:r w:rsidR="008B6A4B" w:rsidRPr="00280684">
        <w:rPr>
          <w:rFonts w:asciiTheme="majorBidi" w:hAnsiTheme="majorBidi" w:cstheme="majorBidi"/>
          <w:color w:val="000000" w:themeColor="text1"/>
          <w:sz w:val="24"/>
          <w:szCs w:val="24"/>
        </w:rPr>
        <w:t>included</w:t>
      </w:r>
      <w:r w:rsidRPr="00280684">
        <w:rPr>
          <w:rFonts w:asciiTheme="majorBidi" w:hAnsiTheme="majorBidi" w:cstheme="majorBidi"/>
          <w:color w:val="000000" w:themeColor="text1"/>
          <w:sz w:val="24"/>
          <w:szCs w:val="24"/>
        </w:rPr>
        <w:t xml:space="preserve"> 60 obese NAFLD patients diagnosed by </w:t>
      </w:r>
      <w:r w:rsidR="00D17EC6">
        <w:rPr>
          <w:rFonts w:asciiTheme="majorBidi" w:hAnsiTheme="majorBidi" w:cstheme="majorBidi"/>
          <w:color w:val="000000" w:themeColor="text1"/>
          <w:sz w:val="24"/>
          <w:szCs w:val="24"/>
        </w:rPr>
        <w:t>ultrasound</w:t>
      </w:r>
      <w:r w:rsidRPr="00280684">
        <w:rPr>
          <w:rFonts w:asciiTheme="majorBidi" w:hAnsiTheme="majorBidi" w:cstheme="majorBidi"/>
          <w:color w:val="000000" w:themeColor="text1"/>
          <w:sz w:val="24"/>
          <w:szCs w:val="24"/>
        </w:rPr>
        <w:t xml:space="preserve"> and 60 healthy apparent controls. Patients </w:t>
      </w:r>
      <w:r w:rsidR="00D17EC6">
        <w:rPr>
          <w:rFonts w:asciiTheme="majorBidi" w:hAnsiTheme="majorBidi" w:cstheme="majorBidi"/>
          <w:color w:val="000000" w:themeColor="text1"/>
          <w:sz w:val="24"/>
          <w:szCs w:val="24"/>
        </w:rPr>
        <w:t xml:space="preserve">were subdivided into three subgroups (Grade I, Grade II, and Grade III) according to the severity of NAFLD by the </w:t>
      </w:r>
      <w:r w:rsidRPr="00280684">
        <w:rPr>
          <w:rFonts w:asciiTheme="majorBidi" w:hAnsiTheme="majorBidi" w:cstheme="majorBidi"/>
          <w:color w:val="000000" w:themeColor="text1"/>
          <w:sz w:val="24"/>
          <w:szCs w:val="24"/>
        </w:rPr>
        <w:t xml:space="preserve">US. </w:t>
      </w:r>
      <w:r w:rsidR="0013167C" w:rsidRPr="00280684">
        <w:rPr>
          <w:rFonts w:asciiTheme="majorBidi" w:hAnsiTheme="majorBidi" w:cstheme="majorBidi"/>
          <w:color w:val="000000" w:themeColor="text1"/>
          <w:sz w:val="24"/>
          <w:szCs w:val="24"/>
        </w:rPr>
        <w:t>N</w:t>
      </w:r>
      <w:r w:rsidRPr="00280684">
        <w:rPr>
          <w:rFonts w:asciiTheme="majorBidi" w:hAnsiTheme="majorBidi" w:cstheme="majorBidi"/>
          <w:color w:val="000000" w:themeColor="text1"/>
          <w:sz w:val="24"/>
          <w:szCs w:val="24"/>
        </w:rPr>
        <w:t xml:space="preserve">o </w:t>
      </w:r>
      <w:r w:rsidRPr="00280684">
        <w:rPr>
          <w:rFonts w:asciiTheme="majorBidi" w:hAnsiTheme="majorBidi" w:cstheme="majorBidi"/>
          <w:color w:val="000000" w:themeColor="text1"/>
          <w:sz w:val="24"/>
          <w:szCs w:val="24"/>
          <w:shd w:val="clear" w:color="auto" w:fill="FFFFFF"/>
        </w:rPr>
        <w:t xml:space="preserve">statistically significant </w:t>
      </w:r>
      <w:r w:rsidRPr="00280684">
        <w:rPr>
          <w:rFonts w:asciiTheme="majorBidi" w:hAnsiTheme="majorBidi" w:cstheme="majorBidi"/>
          <w:color w:val="000000" w:themeColor="text1"/>
          <w:sz w:val="24"/>
          <w:szCs w:val="24"/>
        </w:rPr>
        <w:t xml:space="preserve">difference </w:t>
      </w:r>
      <w:r w:rsidR="0013167C" w:rsidRPr="00280684">
        <w:rPr>
          <w:rFonts w:asciiTheme="majorBidi" w:hAnsiTheme="majorBidi" w:cstheme="majorBidi"/>
          <w:color w:val="000000" w:themeColor="text1"/>
          <w:sz w:val="24"/>
          <w:szCs w:val="24"/>
        </w:rPr>
        <w:t xml:space="preserve">was found </w:t>
      </w:r>
      <w:r w:rsidRPr="00280684">
        <w:rPr>
          <w:rFonts w:asciiTheme="majorBidi" w:hAnsiTheme="majorBidi" w:cstheme="majorBidi"/>
          <w:color w:val="000000" w:themeColor="text1"/>
          <w:sz w:val="24"/>
          <w:szCs w:val="24"/>
        </w:rPr>
        <w:t xml:space="preserve">between both groups </w:t>
      </w:r>
      <w:r w:rsidR="008B6A4B" w:rsidRPr="00280684">
        <w:rPr>
          <w:rFonts w:asciiTheme="majorBidi" w:hAnsiTheme="majorBidi" w:cstheme="majorBidi"/>
          <w:color w:val="000000" w:themeColor="text1"/>
          <w:sz w:val="24"/>
          <w:szCs w:val="24"/>
        </w:rPr>
        <w:t>regarding</w:t>
      </w:r>
      <w:r w:rsidRPr="00280684">
        <w:rPr>
          <w:rFonts w:asciiTheme="majorBidi" w:hAnsiTheme="majorBidi" w:cstheme="majorBidi"/>
          <w:color w:val="000000" w:themeColor="text1"/>
          <w:sz w:val="24"/>
          <w:szCs w:val="24"/>
        </w:rPr>
        <w:t xml:space="preserve"> age and sex (p: 0.060 and 0.464</w:t>
      </w:r>
      <w:r w:rsidR="00D17EC6">
        <w:rPr>
          <w:rFonts w:asciiTheme="majorBidi" w:hAnsiTheme="majorBidi" w:cstheme="majorBidi"/>
          <w:color w:val="000000" w:themeColor="text1"/>
          <w:sz w:val="24"/>
          <w:szCs w:val="24"/>
        </w:rPr>
        <w:t>,</w:t>
      </w:r>
      <w:r w:rsidRPr="00280684">
        <w:rPr>
          <w:rFonts w:asciiTheme="majorBidi" w:hAnsiTheme="majorBidi" w:cstheme="majorBidi"/>
          <w:color w:val="000000" w:themeColor="text1"/>
          <w:sz w:val="24"/>
          <w:szCs w:val="24"/>
        </w:rPr>
        <w:t xml:space="preserve"> respectively). Around </w:t>
      </w:r>
      <w:r w:rsidR="00D17EC6">
        <w:rPr>
          <w:rFonts w:asciiTheme="majorBidi" w:hAnsiTheme="majorBidi" w:cstheme="majorBidi"/>
          <w:color w:val="000000" w:themeColor="text1"/>
          <w:sz w:val="24"/>
          <w:szCs w:val="24"/>
        </w:rPr>
        <w:t xml:space="preserve">one-fifth of </w:t>
      </w:r>
      <w:r w:rsidRPr="00280684">
        <w:rPr>
          <w:rFonts w:asciiTheme="majorBidi" w:hAnsiTheme="majorBidi" w:cstheme="majorBidi"/>
          <w:color w:val="000000" w:themeColor="text1"/>
          <w:sz w:val="24"/>
          <w:szCs w:val="24"/>
        </w:rPr>
        <w:t xml:space="preserve">group 1 (13/60) had HTN. The control group showed </w:t>
      </w:r>
      <w:r w:rsidRPr="00280684">
        <w:rPr>
          <w:rFonts w:asciiTheme="majorBidi" w:hAnsiTheme="majorBidi" w:cstheme="majorBidi"/>
          <w:color w:val="000000" w:themeColor="text1"/>
          <w:sz w:val="24"/>
          <w:szCs w:val="24"/>
          <w:shd w:val="clear" w:color="auto" w:fill="FFFFFF"/>
        </w:rPr>
        <w:t xml:space="preserve">statistically </w:t>
      </w:r>
      <w:r w:rsidRPr="00280684">
        <w:rPr>
          <w:rFonts w:asciiTheme="majorBidi" w:hAnsiTheme="majorBidi" w:cstheme="majorBidi"/>
          <w:color w:val="000000" w:themeColor="text1"/>
          <w:sz w:val="24"/>
          <w:szCs w:val="24"/>
        </w:rPr>
        <w:t xml:space="preserve">significantly higher values regarding physical activity </w:t>
      </w:r>
      <w:r w:rsidR="00D17EC6">
        <w:rPr>
          <w:rFonts w:asciiTheme="majorBidi" w:hAnsiTheme="majorBidi" w:cstheme="majorBidi"/>
          <w:color w:val="000000" w:themeColor="text1"/>
          <w:sz w:val="24"/>
          <w:szCs w:val="24"/>
        </w:rPr>
        <w:t xml:space="preserve">levels than the </w:t>
      </w:r>
      <w:r w:rsidRPr="00280684">
        <w:rPr>
          <w:rFonts w:asciiTheme="majorBidi" w:hAnsiTheme="majorBidi" w:cstheme="majorBidi"/>
          <w:color w:val="000000" w:themeColor="text1"/>
          <w:sz w:val="24"/>
          <w:szCs w:val="24"/>
        </w:rPr>
        <w:t xml:space="preserve">NAFLD group (p: 0.039). </w:t>
      </w:r>
      <w:r w:rsidR="005A48F0" w:rsidRPr="00280684">
        <w:rPr>
          <w:rFonts w:asciiTheme="majorBidi" w:hAnsiTheme="majorBidi" w:cstheme="majorBidi"/>
          <w:color w:val="000000" w:themeColor="text1"/>
          <w:sz w:val="24"/>
          <w:szCs w:val="24"/>
        </w:rPr>
        <w:t>No</w:t>
      </w:r>
      <w:r w:rsidRPr="00280684">
        <w:rPr>
          <w:rFonts w:asciiTheme="majorBidi" w:hAnsiTheme="majorBidi" w:cstheme="majorBidi"/>
          <w:color w:val="000000" w:themeColor="text1"/>
          <w:sz w:val="24"/>
          <w:szCs w:val="24"/>
        </w:rPr>
        <w:t xml:space="preserve"> </w:t>
      </w:r>
      <w:r w:rsidR="00E73529" w:rsidRPr="00280684">
        <w:rPr>
          <w:rFonts w:asciiTheme="majorBidi" w:hAnsiTheme="majorBidi" w:cstheme="majorBidi"/>
          <w:color w:val="000000" w:themeColor="text1"/>
          <w:sz w:val="24"/>
          <w:szCs w:val="24"/>
          <w:shd w:val="clear" w:color="auto" w:fill="FFFFFF"/>
        </w:rPr>
        <w:t>statistically</w:t>
      </w:r>
      <w:r w:rsidRPr="00280684">
        <w:rPr>
          <w:rFonts w:asciiTheme="majorBidi" w:hAnsiTheme="majorBidi" w:cstheme="majorBidi"/>
          <w:color w:val="000000" w:themeColor="text1"/>
          <w:sz w:val="24"/>
          <w:szCs w:val="24"/>
          <w:shd w:val="clear" w:color="auto" w:fill="FFFFFF"/>
        </w:rPr>
        <w:t xml:space="preserve"> significant </w:t>
      </w:r>
      <w:r w:rsidRPr="00280684">
        <w:rPr>
          <w:rFonts w:asciiTheme="majorBidi" w:hAnsiTheme="majorBidi" w:cstheme="majorBidi"/>
          <w:color w:val="000000" w:themeColor="text1"/>
          <w:sz w:val="24"/>
          <w:szCs w:val="24"/>
        </w:rPr>
        <w:t xml:space="preserve">difference in smoking status </w:t>
      </w:r>
      <w:r w:rsidR="005A48F0" w:rsidRPr="00280684">
        <w:rPr>
          <w:rFonts w:asciiTheme="majorBidi" w:hAnsiTheme="majorBidi" w:cstheme="majorBidi"/>
          <w:color w:val="000000" w:themeColor="text1"/>
          <w:sz w:val="24"/>
          <w:szCs w:val="24"/>
        </w:rPr>
        <w:t xml:space="preserve">was found </w:t>
      </w:r>
      <w:r w:rsidRPr="00280684">
        <w:rPr>
          <w:rFonts w:asciiTheme="majorBidi" w:hAnsiTheme="majorBidi" w:cstheme="majorBidi"/>
          <w:color w:val="000000" w:themeColor="text1"/>
          <w:sz w:val="24"/>
          <w:szCs w:val="24"/>
        </w:rPr>
        <w:t xml:space="preserve">between both groups (p: 0.055). </w:t>
      </w:r>
      <w:r w:rsidR="00D17EC6">
        <w:rPr>
          <w:rFonts w:asciiTheme="majorBidi" w:hAnsiTheme="majorBidi" w:cstheme="majorBidi"/>
          <w:color w:val="000000" w:themeColor="text1"/>
          <w:sz w:val="24"/>
          <w:szCs w:val="24"/>
        </w:rPr>
        <w:t>The frequency</w:t>
      </w:r>
      <w:r w:rsidRPr="00280684">
        <w:rPr>
          <w:rFonts w:asciiTheme="majorBidi" w:hAnsiTheme="majorBidi" w:cstheme="majorBidi"/>
          <w:color w:val="000000" w:themeColor="text1"/>
          <w:sz w:val="24"/>
          <w:szCs w:val="24"/>
        </w:rPr>
        <w:t xml:space="preserve"> of fast-food meals was significantly higher</w:t>
      </w:r>
      <w:r w:rsidR="00D17EC6">
        <w:rPr>
          <w:rFonts w:asciiTheme="majorBidi" w:hAnsiTheme="majorBidi" w:cstheme="majorBidi"/>
          <w:color w:val="000000" w:themeColor="text1"/>
          <w:sz w:val="24"/>
          <w:szCs w:val="24"/>
        </w:rPr>
        <w:t>,</w:t>
      </w:r>
      <w:r w:rsidRPr="00280684">
        <w:rPr>
          <w:rFonts w:asciiTheme="majorBidi" w:hAnsiTheme="majorBidi" w:cstheme="majorBidi"/>
          <w:color w:val="000000" w:themeColor="text1"/>
          <w:sz w:val="24"/>
          <w:szCs w:val="24"/>
        </w:rPr>
        <w:t xml:space="preserve"> while daily vegetable and fruit </w:t>
      </w:r>
      <w:r w:rsidR="00D17EC6">
        <w:rPr>
          <w:rFonts w:asciiTheme="majorBidi" w:hAnsiTheme="majorBidi" w:cstheme="majorBidi"/>
          <w:color w:val="000000" w:themeColor="text1"/>
          <w:sz w:val="24"/>
          <w:szCs w:val="24"/>
        </w:rPr>
        <w:t>portions</w:t>
      </w:r>
      <w:r w:rsidRPr="00280684">
        <w:rPr>
          <w:rFonts w:asciiTheme="majorBidi" w:hAnsiTheme="majorBidi" w:cstheme="majorBidi"/>
          <w:color w:val="000000" w:themeColor="text1"/>
          <w:sz w:val="24"/>
          <w:szCs w:val="24"/>
        </w:rPr>
        <w:t xml:space="preserve"> per week </w:t>
      </w:r>
      <w:r w:rsidR="00D17EC6">
        <w:rPr>
          <w:rFonts w:asciiTheme="majorBidi" w:hAnsiTheme="majorBidi" w:cstheme="majorBidi"/>
          <w:color w:val="000000" w:themeColor="text1"/>
          <w:sz w:val="24"/>
          <w:szCs w:val="24"/>
        </w:rPr>
        <w:t>were</w:t>
      </w:r>
      <w:r w:rsidRPr="00280684">
        <w:rPr>
          <w:rFonts w:asciiTheme="majorBidi" w:hAnsiTheme="majorBidi" w:cstheme="majorBidi"/>
          <w:color w:val="000000" w:themeColor="text1"/>
          <w:sz w:val="24"/>
          <w:szCs w:val="24"/>
        </w:rPr>
        <w:t xml:space="preserve"> significantly lower in </w:t>
      </w:r>
      <w:r w:rsidR="00D17EC6">
        <w:rPr>
          <w:rFonts w:asciiTheme="majorBidi" w:hAnsiTheme="majorBidi" w:cstheme="majorBidi"/>
          <w:color w:val="000000" w:themeColor="text1"/>
          <w:sz w:val="24"/>
          <w:szCs w:val="24"/>
        </w:rPr>
        <w:t xml:space="preserve">the </w:t>
      </w:r>
      <w:r w:rsidRPr="00280684">
        <w:rPr>
          <w:rFonts w:asciiTheme="majorBidi" w:hAnsiTheme="majorBidi" w:cstheme="majorBidi"/>
          <w:color w:val="000000" w:themeColor="text1"/>
          <w:sz w:val="24"/>
          <w:szCs w:val="24"/>
        </w:rPr>
        <w:t>NAFLD group compared to the control</w:t>
      </w:r>
      <w:bookmarkStart w:id="2" w:name="_Ref37884078"/>
      <w:r w:rsidR="0087250B">
        <w:rPr>
          <w:rFonts w:asciiTheme="majorBidi" w:hAnsiTheme="majorBidi" w:cstheme="majorBidi"/>
          <w:color w:val="000000" w:themeColor="text1"/>
          <w:sz w:val="24"/>
          <w:szCs w:val="24"/>
        </w:rPr>
        <w:t>.</w:t>
      </w:r>
    </w:p>
    <w:p w14:paraId="39290CB0" w14:textId="77777777" w:rsidR="007866E5" w:rsidRDefault="007866E5" w:rsidP="00122B7C">
      <w:pPr>
        <w:pStyle w:val="BodyText"/>
        <w:spacing w:line="360" w:lineRule="auto"/>
        <w:ind w:right="58" w:firstLine="720"/>
        <w:jc w:val="both"/>
        <w:rPr>
          <w:rFonts w:asciiTheme="majorBidi" w:hAnsiTheme="majorBidi" w:cstheme="majorBidi"/>
          <w:color w:val="000000" w:themeColor="text1"/>
          <w:sz w:val="24"/>
          <w:szCs w:val="24"/>
        </w:rPr>
      </w:pPr>
    </w:p>
    <w:p w14:paraId="7FCE069C" w14:textId="38508ACC" w:rsidR="007866E5" w:rsidRPr="007866E5" w:rsidRDefault="007866E5" w:rsidP="007866E5">
      <w:pPr>
        <w:pStyle w:val="Caption"/>
        <w:keepNext/>
      </w:pPr>
      <w:r>
        <w:t xml:space="preserve">Table </w:t>
      </w:r>
      <w:fldSimple w:instr=" SEQ Table \* ARABIC ">
        <w:r w:rsidR="00B10A88">
          <w:rPr>
            <w:noProof/>
          </w:rPr>
          <w:t>1</w:t>
        </w:r>
      </w:fldSimple>
      <w:r>
        <w:t>.</w:t>
      </w:r>
      <w:r w:rsidRPr="007866E5">
        <w:t xml:space="preserve"> Comparison of demographic characteristics of the studied groups.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Comparison of demographic characteristics of the studied groups."/>
      </w:tblPr>
      <w:tblGrid>
        <w:gridCol w:w="2755"/>
        <w:gridCol w:w="1287"/>
        <w:gridCol w:w="1448"/>
        <w:gridCol w:w="1336"/>
        <w:gridCol w:w="1193"/>
        <w:gridCol w:w="1007"/>
      </w:tblGrid>
      <w:tr w:rsidR="007866E5" w:rsidRPr="00280684" w14:paraId="5D038BC1" w14:textId="77777777" w:rsidTr="006F0285">
        <w:trPr>
          <w:jc w:val="center"/>
        </w:trPr>
        <w:tc>
          <w:tcPr>
            <w:tcW w:w="2239" w:type="pct"/>
            <w:gridSpan w:val="2"/>
            <w:tcBorders>
              <w:top w:val="single" w:sz="4" w:space="0" w:color="000000"/>
              <w:bottom w:val="single" w:sz="4" w:space="0" w:color="000000"/>
            </w:tcBorders>
            <w:shd w:val="clear" w:color="auto" w:fill="auto"/>
            <w:vAlign w:val="center"/>
          </w:tcPr>
          <w:p w14:paraId="726C7ADB"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p>
        </w:tc>
        <w:tc>
          <w:tcPr>
            <w:tcW w:w="802" w:type="pct"/>
            <w:tcBorders>
              <w:top w:val="single" w:sz="4" w:space="0" w:color="000000"/>
              <w:bottom w:val="single" w:sz="4" w:space="0" w:color="000000"/>
            </w:tcBorders>
            <w:shd w:val="clear" w:color="auto" w:fill="auto"/>
            <w:vAlign w:val="center"/>
          </w:tcPr>
          <w:p w14:paraId="46B20C4F"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Group 1</w:t>
            </w:r>
          </w:p>
          <w:p w14:paraId="378F0A24"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(N=60)</w:t>
            </w:r>
          </w:p>
        </w:tc>
        <w:tc>
          <w:tcPr>
            <w:tcW w:w="740" w:type="pct"/>
            <w:tcBorders>
              <w:top w:val="single" w:sz="4" w:space="0" w:color="000000"/>
              <w:bottom w:val="single" w:sz="4" w:space="0" w:color="000000"/>
            </w:tcBorders>
            <w:shd w:val="clear" w:color="auto" w:fill="auto"/>
            <w:vAlign w:val="center"/>
          </w:tcPr>
          <w:p w14:paraId="0584DFF2"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Group 2</w:t>
            </w:r>
          </w:p>
          <w:p w14:paraId="55900AB9"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(N=60)</w:t>
            </w:r>
          </w:p>
        </w:tc>
        <w:tc>
          <w:tcPr>
            <w:tcW w:w="661" w:type="pct"/>
            <w:tcBorders>
              <w:top w:val="single" w:sz="4" w:space="0" w:color="000000"/>
              <w:bottom w:val="single" w:sz="4" w:space="0" w:color="000000"/>
            </w:tcBorders>
            <w:shd w:val="clear" w:color="auto" w:fill="auto"/>
            <w:vAlign w:val="center"/>
          </w:tcPr>
          <w:p w14:paraId="11F843CF"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Test</w:t>
            </w:r>
          </w:p>
        </w:tc>
        <w:tc>
          <w:tcPr>
            <w:tcW w:w="559" w:type="pct"/>
            <w:tcBorders>
              <w:top w:val="single" w:sz="4" w:space="0" w:color="000000"/>
              <w:bottom w:val="single" w:sz="4" w:space="0" w:color="000000"/>
            </w:tcBorders>
            <w:shd w:val="clear" w:color="auto" w:fill="auto"/>
            <w:vAlign w:val="center"/>
          </w:tcPr>
          <w:p w14:paraId="7C4E258D"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p</w:t>
            </w:r>
          </w:p>
        </w:tc>
      </w:tr>
      <w:tr w:rsidR="007866E5" w:rsidRPr="00280684" w14:paraId="087297E5" w14:textId="77777777" w:rsidTr="006F0285">
        <w:trPr>
          <w:trHeight w:val="233"/>
          <w:jc w:val="center"/>
        </w:trPr>
        <w:tc>
          <w:tcPr>
            <w:tcW w:w="1526" w:type="pct"/>
            <w:tcBorders>
              <w:top w:val="single" w:sz="4" w:space="0" w:color="000000"/>
            </w:tcBorders>
            <w:shd w:val="clear" w:color="auto" w:fill="auto"/>
            <w:vAlign w:val="center"/>
          </w:tcPr>
          <w:p w14:paraId="6C155CED"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Age</w:t>
            </w:r>
          </w:p>
        </w:tc>
        <w:tc>
          <w:tcPr>
            <w:tcW w:w="712" w:type="pct"/>
            <w:tcBorders>
              <w:top w:val="single" w:sz="4" w:space="0" w:color="000000"/>
            </w:tcBorders>
            <w:shd w:val="clear" w:color="auto" w:fill="auto"/>
            <w:vAlign w:val="center"/>
          </w:tcPr>
          <w:p w14:paraId="0A9AECEF"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M±SD</w:t>
            </w:r>
          </w:p>
        </w:tc>
        <w:tc>
          <w:tcPr>
            <w:tcW w:w="802" w:type="pct"/>
            <w:tcBorders>
              <w:top w:val="single" w:sz="4" w:space="0" w:color="000000"/>
            </w:tcBorders>
            <w:shd w:val="clear" w:color="auto" w:fill="auto"/>
            <w:vAlign w:val="center"/>
          </w:tcPr>
          <w:p w14:paraId="7480319C" w14:textId="77777777" w:rsidR="007866E5" w:rsidRPr="00280684" w:rsidRDefault="007866E5" w:rsidP="00FF1E5F">
            <w:pPr>
              <w:spacing w:line="240" w:lineRule="auto"/>
              <w:ind w:left="-57" w:right="-57" w:firstLine="0"/>
              <w:jc w:val="center"/>
              <w:rPr>
                <w:sz w:val="22"/>
                <w:szCs w:val="22"/>
              </w:rPr>
            </w:pPr>
            <w:r w:rsidRPr="00280684">
              <w:rPr>
                <w:sz w:val="22"/>
                <w:szCs w:val="22"/>
              </w:rPr>
              <w:t>30.63± 4.89</w:t>
            </w:r>
          </w:p>
        </w:tc>
        <w:tc>
          <w:tcPr>
            <w:tcW w:w="740" w:type="pct"/>
            <w:tcBorders>
              <w:top w:val="single" w:sz="4" w:space="0" w:color="000000"/>
            </w:tcBorders>
            <w:shd w:val="clear" w:color="auto" w:fill="auto"/>
            <w:vAlign w:val="center"/>
          </w:tcPr>
          <w:p w14:paraId="74FC34FD" w14:textId="77777777" w:rsidR="007866E5" w:rsidRPr="00280684" w:rsidRDefault="007866E5" w:rsidP="00FF1E5F">
            <w:pPr>
              <w:spacing w:line="240" w:lineRule="auto"/>
              <w:ind w:left="-57" w:right="-57" w:firstLine="0"/>
              <w:jc w:val="center"/>
              <w:rPr>
                <w:sz w:val="22"/>
                <w:szCs w:val="22"/>
              </w:rPr>
            </w:pPr>
            <w:r w:rsidRPr="00280684">
              <w:rPr>
                <w:sz w:val="22"/>
                <w:szCs w:val="22"/>
              </w:rPr>
              <w:t>30.40± 5.75</w:t>
            </w:r>
          </w:p>
        </w:tc>
        <w:tc>
          <w:tcPr>
            <w:tcW w:w="661" w:type="pct"/>
            <w:tcBorders>
              <w:top w:val="single" w:sz="4" w:space="0" w:color="000000"/>
            </w:tcBorders>
            <w:shd w:val="clear" w:color="auto" w:fill="auto"/>
            <w:vAlign w:val="center"/>
          </w:tcPr>
          <w:p w14:paraId="0A89CFEA" w14:textId="77777777" w:rsidR="007866E5" w:rsidRPr="00280684" w:rsidRDefault="007866E5" w:rsidP="00FF1E5F">
            <w:pPr>
              <w:spacing w:line="240" w:lineRule="auto"/>
              <w:ind w:left="-57" w:right="-57" w:firstLine="0"/>
              <w:jc w:val="center"/>
              <w:rPr>
                <w:sz w:val="22"/>
                <w:szCs w:val="22"/>
              </w:rPr>
            </w:pPr>
            <w:r w:rsidRPr="00280684">
              <w:rPr>
                <w:sz w:val="22"/>
                <w:szCs w:val="22"/>
              </w:rPr>
              <w:t>t = 1.830</w:t>
            </w:r>
          </w:p>
        </w:tc>
        <w:tc>
          <w:tcPr>
            <w:tcW w:w="559" w:type="pct"/>
            <w:tcBorders>
              <w:top w:val="single" w:sz="4" w:space="0" w:color="000000"/>
            </w:tcBorders>
            <w:shd w:val="clear" w:color="auto" w:fill="auto"/>
            <w:vAlign w:val="center"/>
          </w:tcPr>
          <w:p w14:paraId="63F9FD2D" w14:textId="77777777" w:rsidR="007866E5" w:rsidRPr="00280684" w:rsidRDefault="007866E5" w:rsidP="00FF1E5F">
            <w:pPr>
              <w:spacing w:line="240" w:lineRule="auto"/>
              <w:ind w:left="-57" w:right="-57" w:firstLine="0"/>
              <w:jc w:val="center"/>
              <w:rPr>
                <w:sz w:val="22"/>
                <w:szCs w:val="22"/>
              </w:rPr>
            </w:pPr>
            <w:r w:rsidRPr="00280684">
              <w:rPr>
                <w:sz w:val="22"/>
                <w:szCs w:val="22"/>
              </w:rPr>
              <w:t>0.060</w:t>
            </w:r>
          </w:p>
        </w:tc>
      </w:tr>
      <w:tr w:rsidR="007866E5" w:rsidRPr="00280684" w14:paraId="00C0420C" w14:textId="77777777" w:rsidTr="006F0285">
        <w:trPr>
          <w:trHeight w:val="391"/>
          <w:jc w:val="center"/>
        </w:trPr>
        <w:tc>
          <w:tcPr>
            <w:tcW w:w="1526" w:type="pct"/>
            <w:vMerge w:val="restart"/>
            <w:shd w:val="clear" w:color="auto" w:fill="auto"/>
            <w:vAlign w:val="center"/>
          </w:tcPr>
          <w:p w14:paraId="2F39D8ED"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Gender [N (%)]</w:t>
            </w:r>
          </w:p>
        </w:tc>
        <w:tc>
          <w:tcPr>
            <w:tcW w:w="712" w:type="pct"/>
            <w:shd w:val="clear" w:color="auto" w:fill="auto"/>
            <w:vAlign w:val="center"/>
          </w:tcPr>
          <w:p w14:paraId="5943C06E"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Female</w:t>
            </w:r>
          </w:p>
        </w:tc>
        <w:tc>
          <w:tcPr>
            <w:tcW w:w="802" w:type="pct"/>
            <w:shd w:val="clear" w:color="auto" w:fill="auto"/>
            <w:vAlign w:val="center"/>
          </w:tcPr>
          <w:p w14:paraId="173A2EFB" w14:textId="77777777" w:rsidR="007866E5" w:rsidRPr="00280684" w:rsidRDefault="007866E5" w:rsidP="00FF1E5F">
            <w:pPr>
              <w:spacing w:line="240" w:lineRule="auto"/>
              <w:ind w:left="-57" w:right="-57" w:firstLine="0"/>
              <w:jc w:val="center"/>
              <w:rPr>
                <w:sz w:val="22"/>
                <w:szCs w:val="22"/>
              </w:rPr>
            </w:pPr>
            <w:r w:rsidRPr="00280684">
              <w:rPr>
                <w:sz w:val="22"/>
                <w:szCs w:val="22"/>
              </w:rPr>
              <w:t>26 (43.3%)</w:t>
            </w:r>
          </w:p>
        </w:tc>
        <w:tc>
          <w:tcPr>
            <w:tcW w:w="740" w:type="pct"/>
            <w:shd w:val="clear" w:color="auto" w:fill="auto"/>
            <w:vAlign w:val="center"/>
          </w:tcPr>
          <w:p w14:paraId="2E28FFB1" w14:textId="77777777" w:rsidR="007866E5" w:rsidRPr="00280684" w:rsidRDefault="007866E5" w:rsidP="00FF1E5F">
            <w:pPr>
              <w:spacing w:line="240" w:lineRule="auto"/>
              <w:ind w:left="-57" w:right="-57" w:firstLine="0"/>
              <w:jc w:val="center"/>
              <w:rPr>
                <w:sz w:val="22"/>
                <w:szCs w:val="22"/>
              </w:rPr>
            </w:pPr>
            <w:r w:rsidRPr="00280684">
              <w:rPr>
                <w:sz w:val="22"/>
                <w:szCs w:val="22"/>
              </w:rPr>
              <w:t>30 (50%)</w:t>
            </w:r>
          </w:p>
        </w:tc>
        <w:tc>
          <w:tcPr>
            <w:tcW w:w="661" w:type="pct"/>
            <w:vMerge w:val="restart"/>
            <w:shd w:val="clear" w:color="auto" w:fill="auto"/>
            <w:vAlign w:val="center"/>
          </w:tcPr>
          <w:p w14:paraId="75E5FF17" w14:textId="77777777" w:rsidR="007866E5" w:rsidRPr="00280684" w:rsidRDefault="007866E5" w:rsidP="00FF1E5F">
            <w:pPr>
              <w:spacing w:line="240" w:lineRule="auto"/>
              <w:ind w:left="-57" w:right="-57" w:firstLine="0"/>
              <w:jc w:val="center"/>
              <w:rPr>
                <w:sz w:val="22"/>
                <w:szCs w:val="22"/>
              </w:rPr>
            </w:pPr>
            <w:r w:rsidRPr="00280684">
              <w:rPr>
                <w:sz w:val="22"/>
                <w:szCs w:val="22"/>
              </w:rPr>
              <w:t>X</w:t>
            </w:r>
            <w:r w:rsidRPr="00280684">
              <w:rPr>
                <w:sz w:val="22"/>
                <w:szCs w:val="22"/>
                <w:vertAlign w:val="superscript"/>
              </w:rPr>
              <w:t>2</w:t>
            </w:r>
            <w:r w:rsidRPr="00280684">
              <w:rPr>
                <w:sz w:val="22"/>
                <w:szCs w:val="22"/>
                <w:vertAlign w:val="subscript"/>
              </w:rPr>
              <w:t>ChS</w:t>
            </w:r>
            <w:r w:rsidRPr="00280684">
              <w:rPr>
                <w:sz w:val="22"/>
                <w:szCs w:val="22"/>
              </w:rPr>
              <w:t xml:space="preserve"> = 0.536</w:t>
            </w:r>
          </w:p>
        </w:tc>
        <w:tc>
          <w:tcPr>
            <w:tcW w:w="559" w:type="pct"/>
            <w:vMerge w:val="restart"/>
            <w:shd w:val="clear" w:color="auto" w:fill="auto"/>
            <w:vAlign w:val="center"/>
          </w:tcPr>
          <w:p w14:paraId="137814BD" w14:textId="77777777" w:rsidR="007866E5" w:rsidRPr="00280684" w:rsidRDefault="007866E5" w:rsidP="00FF1E5F">
            <w:pPr>
              <w:spacing w:line="240" w:lineRule="auto"/>
              <w:ind w:left="-57" w:right="-57" w:firstLine="0"/>
              <w:jc w:val="center"/>
              <w:rPr>
                <w:sz w:val="22"/>
                <w:szCs w:val="22"/>
              </w:rPr>
            </w:pPr>
            <w:r w:rsidRPr="00280684">
              <w:rPr>
                <w:sz w:val="22"/>
                <w:szCs w:val="22"/>
              </w:rPr>
              <w:t>0.464</w:t>
            </w:r>
          </w:p>
        </w:tc>
      </w:tr>
      <w:tr w:rsidR="007866E5" w:rsidRPr="00280684" w14:paraId="389DB2E9" w14:textId="77777777" w:rsidTr="006F0285">
        <w:trPr>
          <w:trHeight w:val="395"/>
          <w:jc w:val="center"/>
        </w:trPr>
        <w:tc>
          <w:tcPr>
            <w:tcW w:w="1526" w:type="pct"/>
            <w:vMerge/>
            <w:shd w:val="clear" w:color="auto" w:fill="auto"/>
            <w:vAlign w:val="center"/>
          </w:tcPr>
          <w:p w14:paraId="6AB2805A"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p>
        </w:tc>
        <w:tc>
          <w:tcPr>
            <w:tcW w:w="712" w:type="pct"/>
            <w:shd w:val="clear" w:color="auto" w:fill="auto"/>
            <w:vAlign w:val="center"/>
          </w:tcPr>
          <w:p w14:paraId="5CF2ED2A"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Male</w:t>
            </w:r>
          </w:p>
        </w:tc>
        <w:tc>
          <w:tcPr>
            <w:tcW w:w="802" w:type="pct"/>
            <w:shd w:val="clear" w:color="auto" w:fill="auto"/>
            <w:vAlign w:val="center"/>
          </w:tcPr>
          <w:p w14:paraId="6E813BD9" w14:textId="77777777" w:rsidR="007866E5" w:rsidRPr="00280684" w:rsidRDefault="007866E5" w:rsidP="00FF1E5F">
            <w:pPr>
              <w:spacing w:line="240" w:lineRule="auto"/>
              <w:ind w:left="-57" w:right="-57" w:firstLine="0"/>
              <w:jc w:val="center"/>
              <w:rPr>
                <w:sz w:val="22"/>
                <w:szCs w:val="22"/>
              </w:rPr>
            </w:pPr>
            <w:r w:rsidRPr="00280684">
              <w:rPr>
                <w:sz w:val="22"/>
                <w:szCs w:val="22"/>
              </w:rPr>
              <w:t>34 (56.7%)</w:t>
            </w:r>
          </w:p>
        </w:tc>
        <w:tc>
          <w:tcPr>
            <w:tcW w:w="740" w:type="pct"/>
            <w:shd w:val="clear" w:color="auto" w:fill="auto"/>
            <w:vAlign w:val="center"/>
          </w:tcPr>
          <w:p w14:paraId="6EE1DAA2" w14:textId="77777777" w:rsidR="007866E5" w:rsidRPr="00280684" w:rsidRDefault="007866E5" w:rsidP="00FF1E5F">
            <w:pPr>
              <w:spacing w:line="240" w:lineRule="auto"/>
              <w:ind w:left="-57" w:right="-57" w:firstLine="0"/>
              <w:jc w:val="center"/>
              <w:rPr>
                <w:sz w:val="22"/>
                <w:szCs w:val="22"/>
              </w:rPr>
            </w:pPr>
            <w:r w:rsidRPr="00280684">
              <w:rPr>
                <w:sz w:val="22"/>
                <w:szCs w:val="22"/>
              </w:rPr>
              <w:t>30 (50%)</w:t>
            </w:r>
          </w:p>
        </w:tc>
        <w:tc>
          <w:tcPr>
            <w:tcW w:w="661" w:type="pct"/>
            <w:vMerge/>
            <w:shd w:val="clear" w:color="auto" w:fill="auto"/>
            <w:vAlign w:val="center"/>
          </w:tcPr>
          <w:p w14:paraId="698D5AC8" w14:textId="77777777" w:rsidR="007866E5" w:rsidRPr="00280684" w:rsidRDefault="007866E5" w:rsidP="00FF1E5F">
            <w:pPr>
              <w:spacing w:line="240" w:lineRule="auto"/>
              <w:ind w:left="-57" w:right="-57" w:firstLine="0"/>
              <w:jc w:val="center"/>
              <w:rPr>
                <w:sz w:val="22"/>
                <w:szCs w:val="22"/>
              </w:rPr>
            </w:pPr>
          </w:p>
        </w:tc>
        <w:tc>
          <w:tcPr>
            <w:tcW w:w="559" w:type="pct"/>
            <w:vMerge/>
            <w:shd w:val="clear" w:color="auto" w:fill="auto"/>
            <w:vAlign w:val="center"/>
          </w:tcPr>
          <w:p w14:paraId="6EE09414" w14:textId="77777777" w:rsidR="007866E5" w:rsidRPr="00280684" w:rsidRDefault="007866E5" w:rsidP="00FF1E5F">
            <w:pPr>
              <w:spacing w:line="240" w:lineRule="auto"/>
              <w:ind w:left="-57" w:right="-57" w:firstLine="0"/>
              <w:jc w:val="center"/>
              <w:rPr>
                <w:sz w:val="22"/>
                <w:szCs w:val="22"/>
              </w:rPr>
            </w:pPr>
          </w:p>
        </w:tc>
      </w:tr>
      <w:tr w:rsidR="007866E5" w:rsidRPr="00280684" w14:paraId="30D4EB6C" w14:textId="77777777" w:rsidTr="006F0285">
        <w:trPr>
          <w:trHeight w:val="64"/>
          <w:jc w:val="center"/>
        </w:trPr>
        <w:tc>
          <w:tcPr>
            <w:tcW w:w="1526" w:type="pct"/>
            <w:shd w:val="clear" w:color="auto" w:fill="auto"/>
            <w:vAlign w:val="center"/>
          </w:tcPr>
          <w:p w14:paraId="14E56100"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Co-morbidities</w:t>
            </w:r>
          </w:p>
          <w:p w14:paraId="3EC6F3FF"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[N (%)]</w:t>
            </w:r>
          </w:p>
        </w:tc>
        <w:tc>
          <w:tcPr>
            <w:tcW w:w="712" w:type="pct"/>
            <w:shd w:val="clear" w:color="auto" w:fill="auto"/>
            <w:vAlign w:val="center"/>
          </w:tcPr>
          <w:p w14:paraId="718B63E9"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HTN</w:t>
            </w:r>
          </w:p>
        </w:tc>
        <w:tc>
          <w:tcPr>
            <w:tcW w:w="802" w:type="pct"/>
            <w:shd w:val="clear" w:color="auto" w:fill="auto"/>
            <w:vAlign w:val="center"/>
          </w:tcPr>
          <w:p w14:paraId="0B84DF87" w14:textId="77777777" w:rsidR="007866E5" w:rsidRPr="00280684" w:rsidRDefault="007866E5" w:rsidP="00FF1E5F">
            <w:pPr>
              <w:spacing w:line="240" w:lineRule="auto"/>
              <w:ind w:left="-57" w:right="-57" w:firstLine="0"/>
              <w:jc w:val="center"/>
              <w:rPr>
                <w:sz w:val="22"/>
                <w:szCs w:val="22"/>
              </w:rPr>
            </w:pPr>
            <w:r w:rsidRPr="00280684">
              <w:rPr>
                <w:sz w:val="22"/>
                <w:szCs w:val="22"/>
              </w:rPr>
              <w:t>13 (21.7%)</w:t>
            </w:r>
          </w:p>
        </w:tc>
        <w:tc>
          <w:tcPr>
            <w:tcW w:w="740" w:type="pct"/>
            <w:shd w:val="clear" w:color="auto" w:fill="auto"/>
            <w:vAlign w:val="center"/>
          </w:tcPr>
          <w:p w14:paraId="037FF784" w14:textId="77777777" w:rsidR="007866E5" w:rsidRPr="00280684" w:rsidRDefault="007866E5" w:rsidP="00FF1E5F">
            <w:pPr>
              <w:spacing w:line="240" w:lineRule="auto"/>
              <w:ind w:left="-57" w:right="-57" w:firstLine="0"/>
              <w:jc w:val="center"/>
              <w:rPr>
                <w:sz w:val="22"/>
                <w:szCs w:val="22"/>
              </w:rPr>
            </w:pPr>
            <w:r w:rsidRPr="00280684">
              <w:rPr>
                <w:sz w:val="22"/>
                <w:szCs w:val="22"/>
              </w:rPr>
              <w:t>0 (0.0%)</w:t>
            </w:r>
          </w:p>
        </w:tc>
        <w:tc>
          <w:tcPr>
            <w:tcW w:w="661" w:type="pct"/>
            <w:shd w:val="clear" w:color="auto" w:fill="auto"/>
            <w:vAlign w:val="center"/>
          </w:tcPr>
          <w:p w14:paraId="5F4742A4" w14:textId="77777777" w:rsidR="007866E5" w:rsidRPr="00280684" w:rsidRDefault="007866E5" w:rsidP="00FF1E5F">
            <w:pPr>
              <w:spacing w:line="240" w:lineRule="auto"/>
              <w:ind w:left="-57" w:right="-57" w:firstLine="0"/>
              <w:jc w:val="center"/>
              <w:rPr>
                <w:sz w:val="22"/>
                <w:szCs w:val="22"/>
              </w:rPr>
            </w:pPr>
            <w:r w:rsidRPr="00280684">
              <w:rPr>
                <w:sz w:val="22"/>
                <w:szCs w:val="22"/>
              </w:rPr>
              <w:t>X</w:t>
            </w:r>
            <w:r w:rsidRPr="00280684">
              <w:rPr>
                <w:sz w:val="22"/>
                <w:szCs w:val="22"/>
                <w:vertAlign w:val="superscript"/>
              </w:rPr>
              <w:t>2</w:t>
            </w:r>
            <w:r w:rsidRPr="00280684">
              <w:rPr>
                <w:sz w:val="22"/>
                <w:szCs w:val="22"/>
                <w:vertAlign w:val="subscript"/>
              </w:rPr>
              <w:t>ChS</w:t>
            </w:r>
            <w:r w:rsidRPr="00280684">
              <w:rPr>
                <w:sz w:val="22"/>
                <w:szCs w:val="22"/>
              </w:rPr>
              <w:t xml:space="preserve"> = 14.579</w:t>
            </w:r>
          </w:p>
        </w:tc>
        <w:tc>
          <w:tcPr>
            <w:tcW w:w="559" w:type="pct"/>
            <w:shd w:val="clear" w:color="auto" w:fill="auto"/>
            <w:vAlign w:val="center"/>
          </w:tcPr>
          <w:p w14:paraId="4BD4768D" w14:textId="77777777" w:rsidR="007866E5" w:rsidRPr="00280684" w:rsidRDefault="007866E5" w:rsidP="00FF1E5F">
            <w:pPr>
              <w:spacing w:line="240" w:lineRule="auto"/>
              <w:ind w:left="-57" w:right="-57" w:firstLine="0"/>
              <w:jc w:val="center"/>
              <w:rPr>
                <w:sz w:val="22"/>
                <w:szCs w:val="22"/>
              </w:rPr>
            </w:pPr>
            <w:r w:rsidRPr="00280684">
              <w:rPr>
                <w:sz w:val="22"/>
                <w:szCs w:val="22"/>
              </w:rPr>
              <w:t>&lt;0.001</w:t>
            </w:r>
            <w:r w:rsidRPr="00280684">
              <w:rPr>
                <w:sz w:val="22"/>
                <w:szCs w:val="22"/>
                <w:vertAlign w:val="superscript"/>
              </w:rPr>
              <w:t>*</w:t>
            </w:r>
          </w:p>
        </w:tc>
      </w:tr>
      <w:tr w:rsidR="007866E5" w:rsidRPr="00280684" w14:paraId="37BDC10E" w14:textId="77777777" w:rsidTr="006F0285">
        <w:trPr>
          <w:trHeight w:val="395"/>
          <w:jc w:val="center"/>
        </w:trPr>
        <w:tc>
          <w:tcPr>
            <w:tcW w:w="2239" w:type="pct"/>
            <w:gridSpan w:val="2"/>
            <w:shd w:val="clear" w:color="auto" w:fill="auto"/>
            <w:vAlign w:val="center"/>
          </w:tcPr>
          <w:p w14:paraId="73584CCC"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Smoking [N (%)]</w:t>
            </w:r>
          </w:p>
        </w:tc>
        <w:tc>
          <w:tcPr>
            <w:tcW w:w="802" w:type="pct"/>
            <w:shd w:val="clear" w:color="auto" w:fill="auto"/>
            <w:vAlign w:val="center"/>
          </w:tcPr>
          <w:p w14:paraId="1D8721A7"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19 (31.7%)</w:t>
            </w:r>
          </w:p>
        </w:tc>
        <w:tc>
          <w:tcPr>
            <w:tcW w:w="740" w:type="pct"/>
            <w:shd w:val="clear" w:color="auto" w:fill="auto"/>
            <w:vAlign w:val="center"/>
          </w:tcPr>
          <w:p w14:paraId="6422BABD"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10 (16.7%)</w:t>
            </w:r>
          </w:p>
        </w:tc>
        <w:tc>
          <w:tcPr>
            <w:tcW w:w="661" w:type="pct"/>
            <w:shd w:val="clear" w:color="auto" w:fill="auto"/>
            <w:vAlign w:val="center"/>
          </w:tcPr>
          <w:p w14:paraId="2362D1E8"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X</w:t>
            </w:r>
            <w:r w:rsidRPr="00280684">
              <w:rPr>
                <w:rFonts w:eastAsia="Times New Roman"/>
                <w:sz w:val="22"/>
                <w:szCs w:val="22"/>
                <w:vertAlign w:val="superscript"/>
              </w:rPr>
              <w:t>2</w:t>
            </w:r>
            <w:r w:rsidRPr="00280684">
              <w:rPr>
                <w:rFonts w:eastAsia="Times New Roman"/>
                <w:sz w:val="22"/>
                <w:szCs w:val="22"/>
                <w:vertAlign w:val="subscript"/>
              </w:rPr>
              <w:t>ChS</w:t>
            </w:r>
            <w:r w:rsidRPr="00280684">
              <w:rPr>
                <w:rFonts w:eastAsia="Times New Roman"/>
                <w:sz w:val="22"/>
                <w:szCs w:val="22"/>
              </w:rPr>
              <w:t xml:space="preserve"> = 3.683</w:t>
            </w:r>
          </w:p>
        </w:tc>
        <w:tc>
          <w:tcPr>
            <w:tcW w:w="559" w:type="pct"/>
            <w:shd w:val="clear" w:color="auto" w:fill="auto"/>
            <w:vAlign w:val="center"/>
          </w:tcPr>
          <w:p w14:paraId="211B84AE"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0.055</w:t>
            </w:r>
          </w:p>
        </w:tc>
      </w:tr>
      <w:tr w:rsidR="007866E5" w:rsidRPr="00280684" w14:paraId="63CF88DB" w14:textId="77777777" w:rsidTr="006F0285">
        <w:trPr>
          <w:trHeight w:val="440"/>
          <w:jc w:val="center"/>
        </w:trPr>
        <w:tc>
          <w:tcPr>
            <w:tcW w:w="2239" w:type="pct"/>
            <w:gridSpan w:val="2"/>
            <w:shd w:val="clear" w:color="auto" w:fill="auto"/>
            <w:vAlign w:val="center"/>
          </w:tcPr>
          <w:p w14:paraId="05A4189F"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Physical activity</w:t>
            </w:r>
          </w:p>
        </w:tc>
        <w:tc>
          <w:tcPr>
            <w:tcW w:w="802" w:type="pct"/>
            <w:shd w:val="clear" w:color="auto" w:fill="auto"/>
            <w:vAlign w:val="center"/>
          </w:tcPr>
          <w:p w14:paraId="035139C6"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11 (18.3%)</w:t>
            </w:r>
          </w:p>
        </w:tc>
        <w:tc>
          <w:tcPr>
            <w:tcW w:w="740" w:type="pct"/>
            <w:shd w:val="clear" w:color="auto" w:fill="auto"/>
            <w:vAlign w:val="center"/>
          </w:tcPr>
          <w:p w14:paraId="5E220245"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21 (35.0%)</w:t>
            </w:r>
          </w:p>
        </w:tc>
        <w:tc>
          <w:tcPr>
            <w:tcW w:w="661" w:type="pct"/>
            <w:shd w:val="clear" w:color="auto" w:fill="auto"/>
            <w:vAlign w:val="center"/>
          </w:tcPr>
          <w:p w14:paraId="59BE0AC0"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X</w:t>
            </w:r>
            <w:r w:rsidRPr="00280684">
              <w:rPr>
                <w:rFonts w:eastAsia="Times New Roman"/>
                <w:sz w:val="22"/>
                <w:szCs w:val="22"/>
                <w:vertAlign w:val="superscript"/>
              </w:rPr>
              <w:t>2</w:t>
            </w:r>
            <w:r w:rsidRPr="00280684">
              <w:rPr>
                <w:rFonts w:eastAsia="Times New Roman"/>
                <w:sz w:val="22"/>
                <w:szCs w:val="22"/>
                <w:vertAlign w:val="subscript"/>
              </w:rPr>
              <w:t>ChS</w:t>
            </w:r>
            <w:r w:rsidRPr="00280684">
              <w:rPr>
                <w:rFonts w:eastAsia="Times New Roman"/>
                <w:sz w:val="22"/>
                <w:szCs w:val="22"/>
              </w:rPr>
              <w:t xml:space="preserve"> = 4.261</w:t>
            </w:r>
          </w:p>
        </w:tc>
        <w:tc>
          <w:tcPr>
            <w:tcW w:w="559" w:type="pct"/>
            <w:shd w:val="clear" w:color="auto" w:fill="auto"/>
            <w:vAlign w:val="center"/>
          </w:tcPr>
          <w:p w14:paraId="6AAF57FE"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0.039</w:t>
            </w:r>
            <w:r w:rsidRPr="00280684">
              <w:rPr>
                <w:rFonts w:eastAsia="Times New Roman"/>
                <w:sz w:val="22"/>
                <w:szCs w:val="22"/>
                <w:vertAlign w:val="superscript"/>
              </w:rPr>
              <w:t>*</w:t>
            </w:r>
          </w:p>
        </w:tc>
      </w:tr>
      <w:tr w:rsidR="007866E5" w:rsidRPr="00280684" w14:paraId="7099D1F0" w14:textId="77777777" w:rsidTr="006F0285">
        <w:trPr>
          <w:trHeight w:val="457"/>
          <w:jc w:val="center"/>
        </w:trPr>
        <w:tc>
          <w:tcPr>
            <w:tcW w:w="1526" w:type="pct"/>
            <w:shd w:val="clear" w:color="auto" w:fill="auto"/>
            <w:vAlign w:val="center"/>
          </w:tcPr>
          <w:p w14:paraId="2BC234BE"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Frequency of fast-food meals /week</w:t>
            </w:r>
          </w:p>
        </w:tc>
        <w:tc>
          <w:tcPr>
            <w:tcW w:w="712" w:type="pct"/>
            <w:shd w:val="clear" w:color="auto" w:fill="auto"/>
            <w:vAlign w:val="center"/>
          </w:tcPr>
          <w:p w14:paraId="546E282D"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Median (IQR)</w:t>
            </w:r>
          </w:p>
        </w:tc>
        <w:tc>
          <w:tcPr>
            <w:tcW w:w="802" w:type="pct"/>
            <w:shd w:val="clear" w:color="auto" w:fill="auto"/>
            <w:vAlign w:val="center"/>
          </w:tcPr>
          <w:p w14:paraId="2108274F"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2 [0 - 3]</w:t>
            </w:r>
          </w:p>
        </w:tc>
        <w:tc>
          <w:tcPr>
            <w:tcW w:w="740" w:type="pct"/>
            <w:shd w:val="clear" w:color="auto" w:fill="auto"/>
            <w:vAlign w:val="center"/>
          </w:tcPr>
          <w:p w14:paraId="50D8B6D3"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1 [0 - 2]</w:t>
            </w:r>
          </w:p>
        </w:tc>
        <w:tc>
          <w:tcPr>
            <w:tcW w:w="661" w:type="pct"/>
            <w:shd w:val="clear" w:color="auto" w:fill="auto"/>
            <w:vAlign w:val="center"/>
          </w:tcPr>
          <w:p w14:paraId="24EA8E2D"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Z = 2.357</w:t>
            </w:r>
          </w:p>
        </w:tc>
        <w:tc>
          <w:tcPr>
            <w:tcW w:w="559" w:type="pct"/>
            <w:shd w:val="clear" w:color="auto" w:fill="auto"/>
            <w:vAlign w:val="center"/>
          </w:tcPr>
          <w:p w14:paraId="555D1FCD"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0.018</w:t>
            </w:r>
            <w:r w:rsidRPr="00280684">
              <w:rPr>
                <w:rFonts w:eastAsia="Times New Roman"/>
                <w:sz w:val="22"/>
                <w:szCs w:val="22"/>
                <w:vertAlign w:val="superscript"/>
              </w:rPr>
              <w:t>*</w:t>
            </w:r>
          </w:p>
        </w:tc>
      </w:tr>
      <w:tr w:rsidR="007866E5" w:rsidRPr="00280684" w14:paraId="1E073A56" w14:textId="77777777" w:rsidTr="006F0285">
        <w:trPr>
          <w:trHeight w:val="383"/>
          <w:jc w:val="center"/>
        </w:trPr>
        <w:tc>
          <w:tcPr>
            <w:tcW w:w="1526" w:type="pct"/>
            <w:tcBorders>
              <w:bottom w:val="single" w:sz="4" w:space="0" w:color="000000"/>
            </w:tcBorders>
            <w:shd w:val="clear" w:color="auto" w:fill="auto"/>
            <w:vAlign w:val="center"/>
          </w:tcPr>
          <w:p w14:paraId="5817D58E"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Daily vegetable and fruit portions</w:t>
            </w:r>
          </w:p>
        </w:tc>
        <w:tc>
          <w:tcPr>
            <w:tcW w:w="712" w:type="pct"/>
            <w:tcBorders>
              <w:bottom w:val="single" w:sz="4" w:space="0" w:color="000000"/>
            </w:tcBorders>
            <w:shd w:val="clear" w:color="auto" w:fill="auto"/>
            <w:vAlign w:val="center"/>
          </w:tcPr>
          <w:p w14:paraId="25687BAF" w14:textId="77777777" w:rsidR="007866E5" w:rsidRPr="00280684" w:rsidRDefault="007866E5" w:rsidP="00FF1E5F">
            <w:pPr>
              <w:tabs>
                <w:tab w:val="right" w:pos="6804"/>
              </w:tabs>
              <w:autoSpaceDE w:val="0"/>
              <w:autoSpaceDN w:val="0"/>
              <w:adjustRightInd w:val="0"/>
              <w:spacing w:line="240" w:lineRule="auto"/>
              <w:ind w:firstLine="0"/>
              <w:jc w:val="center"/>
              <w:rPr>
                <w:b/>
                <w:bCs/>
                <w:sz w:val="22"/>
                <w:szCs w:val="22"/>
              </w:rPr>
            </w:pPr>
            <w:r w:rsidRPr="00280684">
              <w:rPr>
                <w:b/>
                <w:bCs/>
                <w:sz w:val="22"/>
                <w:szCs w:val="22"/>
              </w:rPr>
              <w:t>Median (IQR)</w:t>
            </w:r>
          </w:p>
        </w:tc>
        <w:tc>
          <w:tcPr>
            <w:tcW w:w="802" w:type="pct"/>
            <w:tcBorders>
              <w:bottom w:val="single" w:sz="4" w:space="0" w:color="000000"/>
            </w:tcBorders>
            <w:shd w:val="clear" w:color="auto" w:fill="auto"/>
            <w:vAlign w:val="center"/>
          </w:tcPr>
          <w:p w14:paraId="345DACE9"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1 [0 - 3]</w:t>
            </w:r>
          </w:p>
        </w:tc>
        <w:tc>
          <w:tcPr>
            <w:tcW w:w="740" w:type="pct"/>
            <w:tcBorders>
              <w:bottom w:val="single" w:sz="4" w:space="0" w:color="000000"/>
            </w:tcBorders>
            <w:shd w:val="clear" w:color="auto" w:fill="auto"/>
            <w:vAlign w:val="center"/>
          </w:tcPr>
          <w:p w14:paraId="08BF334D"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2 [1 - 3]</w:t>
            </w:r>
          </w:p>
        </w:tc>
        <w:tc>
          <w:tcPr>
            <w:tcW w:w="661" w:type="pct"/>
            <w:tcBorders>
              <w:bottom w:val="single" w:sz="4" w:space="0" w:color="000000"/>
            </w:tcBorders>
            <w:shd w:val="clear" w:color="auto" w:fill="auto"/>
            <w:vAlign w:val="center"/>
          </w:tcPr>
          <w:p w14:paraId="2A1FBD7B" w14:textId="77777777" w:rsidR="007866E5" w:rsidRPr="00280684" w:rsidRDefault="007866E5" w:rsidP="00FF1E5F">
            <w:pPr>
              <w:spacing w:line="240" w:lineRule="auto"/>
              <w:ind w:left="-57" w:right="-57" w:firstLine="0"/>
              <w:jc w:val="center"/>
              <w:rPr>
                <w:rFonts w:eastAsia="Times New Roman"/>
                <w:sz w:val="22"/>
                <w:szCs w:val="22"/>
              </w:rPr>
            </w:pPr>
            <w:r w:rsidRPr="00280684">
              <w:rPr>
                <w:rFonts w:eastAsia="Times New Roman"/>
                <w:sz w:val="22"/>
                <w:szCs w:val="22"/>
              </w:rPr>
              <w:t>Z= 2.552</w:t>
            </w:r>
          </w:p>
        </w:tc>
        <w:tc>
          <w:tcPr>
            <w:tcW w:w="559" w:type="pct"/>
            <w:tcBorders>
              <w:bottom w:val="single" w:sz="4" w:space="0" w:color="000000"/>
            </w:tcBorders>
            <w:shd w:val="clear" w:color="auto" w:fill="auto"/>
            <w:vAlign w:val="center"/>
          </w:tcPr>
          <w:p w14:paraId="1EB4ED7B" w14:textId="77777777" w:rsidR="007866E5" w:rsidRPr="00280684" w:rsidRDefault="007866E5" w:rsidP="00105339">
            <w:pPr>
              <w:keepNext/>
              <w:spacing w:line="240" w:lineRule="auto"/>
              <w:ind w:left="-57" w:right="-57" w:firstLine="0"/>
              <w:jc w:val="center"/>
              <w:rPr>
                <w:rFonts w:eastAsia="Times New Roman"/>
                <w:sz w:val="22"/>
                <w:szCs w:val="22"/>
              </w:rPr>
            </w:pPr>
            <w:r w:rsidRPr="00280684">
              <w:rPr>
                <w:rFonts w:eastAsia="Times New Roman"/>
                <w:sz w:val="22"/>
                <w:szCs w:val="22"/>
              </w:rPr>
              <w:t>0.011</w:t>
            </w:r>
            <w:r w:rsidRPr="00280684">
              <w:rPr>
                <w:rFonts w:eastAsia="Times New Roman"/>
                <w:sz w:val="22"/>
                <w:szCs w:val="22"/>
                <w:vertAlign w:val="superscript"/>
              </w:rPr>
              <w:t>*</w:t>
            </w:r>
          </w:p>
        </w:tc>
      </w:tr>
    </w:tbl>
    <w:p w14:paraId="1987F49F" w14:textId="77777777" w:rsidR="00105339" w:rsidRPr="00105339" w:rsidRDefault="00105339" w:rsidP="00105339">
      <w:pPr>
        <w:pStyle w:val="BodyText"/>
        <w:spacing w:line="360" w:lineRule="auto"/>
        <w:ind w:right="28"/>
        <w:rPr>
          <w:b/>
          <w:bCs/>
          <w:color w:val="4F81BD" w:themeColor="accent1"/>
          <w:sz w:val="18"/>
          <w:szCs w:val="18"/>
        </w:rPr>
      </w:pPr>
      <w:bookmarkStart w:id="3" w:name="_Hlk174616439"/>
      <w:bookmarkEnd w:id="2"/>
      <w:r w:rsidRPr="00105339">
        <w:rPr>
          <w:b/>
          <w:bCs/>
          <w:color w:val="4F81BD" w:themeColor="accent1"/>
          <w:sz w:val="18"/>
          <w:szCs w:val="18"/>
        </w:rPr>
        <w:t>* Significant at p-value &lt;0.05</w:t>
      </w:r>
    </w:p>
    <w:bookmarkEnd w:id="3"/>
    <w:p w14:paraId="46D7EFE6" w14:textId="6F768290" w:rsidR="00105339" w:rsidRDefault="00D17EC6" w:rsidP="00122B7C">
      <w:pPr>
        <w:pStyle w:val="BodyText"/>
        <w:spacing w:line="360" w:lineRule="auto"/>
        <w:ind w:right="28"/>
        <w:rPr>
          <w:rFonts w:asciiTheme="majorBidi" w:hAnsiTheme="majorBidi" w:cstheme="majorBidi"/>
          <w:sz w:val="24"/>
          <w:szCs w:val="24"/>
        </w:rPr>
      </w:pPr>
      <w:r>
        <w:rPr>
          <w:rFonts w:asciiTheme="majorBidi" w:hAnsiTheme="majorBidi" w:cstheme="majorBidi"/>
          <w:sz w:val="24"/>
          <w:szCs w:val="24"/>
        </w:rPr>
        <w:t>The most</w:t>
      </w:r>
      <w:r w:rsidR="00122B7C" w:rsidRPr="00280684">
        <w:rPr>
          <w:rFonts w:asciiTheme="majorBidi" w:hAnsiTheme="majorBidi" w:cstheme="majorBidi"/>
          <w:sz w:val="24"/>
          <w:szCs w:val="24"/>
        </w:rPr>
        <w:t xml:space="preserve"> common clinical symptoms in </w:t>
      </w:r>
      <w:r>
        <w:rPr>
          <w:rFonts w:asciiTheme="majorBidi" w:hAnsiTheme="majorBidi" w:cstheme="majorBidi"/>
          <w:sz w:val="24"/>
          <w:szCs w:val="24"/>
        </w:rPr>
        <w:t xml:space="preserve">the </w:t>
      </w:r>
      <w:r w:rsidR="00122B7C" w:rsidRPr="00280684">
        <w:rPr>
          <w:rFonts w:asciiTheme="majorBidi" w:hAnsiTheme="majorBidi" w:cstheme="majorBidi"/>
          <w:sz w:val="24"/>
          <w:szCs w:val="24"/>
        </w:rPr>
        <w:t xml:space="preserve">patient group were </w:t>
      </w:r>
      <w:r>
        <w:rPr>
          <w:rFonts w:asciiTheme="majorBidi" w:hAnsiTheme="majorBidi" w:cstheme="majorBidi"/>
          <w:sz w:val="24"/>
          <w:szCs w:val="24"/>
        </w:rPr>
        <w:t>heartburn</w:t>
      </w:r>
      <w:r w:rsidR="00122B7C" w:rsidRPr="00280684">
        <w:rPr>
          <w:rFonts w:asciiTheme="majorBidi" w:hAnsiTheme="majorBidi" w:cstheme="majorBidi"/>
          <w:sz w:val="24"/>
          <w:szCs w:val="24"/>
        </w:rPr>
        <w:t xml:space="preserve"> (76.7%), epigastric pain (75.0%)</w:t>
      </w:r>
      <w:r>
        <w:rPr>
          <w:rFonts w:asciiTheme="majorBidi" w:hAnsiTheme="majorBidi" w:cstheme="majorBidi"/>
          <w:sz w:val="24"/>
          <w:szCs w:val="24"/>
        </w:rPr>
        <w:t>,</w:t>
      </w:r>
      <w:r w:rsidR="00122B7C" w:rsidRPr="00280684">
        <w:rPr>
          <w:rFonts w:asciiTheme="majorBidi" w:hAnsiTheme="majorBidi" w:cstheme="majorBidi"/>
          <w:sz w:val="24"/>
          <w:szCs w:val="24"/>
        </w:rPr>
        <w:t xml:space="preserve"> and reflux (70.0%)</w:t>
      </w:r>
      <w:r w:rsidR="0087250B">
        <w:rPr>
          <w:rFonts w:asciiTheme="majorBidi" w:hAnsiTheme="majorBidi" w:cstheme="majorBidi"/>
          <w:sz w:val="24"/>
          <w:szCs w:val="24"/>
        </w:rPr>
        <w:t>.</w:t>
      </w:r>
    </w:p>
    <w:p w14:paraId="0B85D7BF" w14:textId="77777777" w:rsidR="00617250" w:rsidRDefault="00617250" w:rsidP="00122B7C">
      <w:pPr>
        <w:pStyle w:val="BodyText"/>
        <w:spacing w:line="360" w:lineRule="auto"/>
        <w:ind w:right="28"/>
        <w:rPr>
          <w:rFonts w:asciiTheme="majorBidi" w:hAnsiTheme="majorBidi" w:cstheme="majorBidi"/>
          <w:sz w:val="24"/>
          <w:szCs w:val="24"/>
        </w:rPr>
      </w:pPr>
    </w:p>
    <w:p w14:paraId="0E829F2F" w14:textId="1F38522A" w:rsidR="00476353" w:rsidRPr="00476353" w:rsidRDefault="00476353" w:rsidP="00476353">
      <w:pPr>
        <w:pStyle w:val="BodyText"/>
        <w:rPr>
          <w:b/>
          <w:bCs/>
          <w:color w:val="4F81BD" w:themeColor="accent1"/>
          <w:sz w:val="18"/>
          <w:szCs w:val="18"/>
        </w:rPr>
      </w:pPr>
      <w:bookmarkStart w:id="4" w:name="_Hlk174742461"/>
    </w:p>
    <w:p w14:paraId="1009F450" w14:textId="05B2FEDD" w:rsidR="00476353" w:rsidRDefault="00476353" w:rsidP="00476353">
      <w:pPr>
        <w:pStyle w:val="Caption"/>
        <w:keepNext/>
      </w:pPr>
      <w:r>
        <w:t xml:space="preserve">Table </w:t>
      </w:r>
      <w:fldSimple w:instr=" SEQ Table \* ARABIC ">
        <w:r w:rsidR="00B10A88">
          <w:rPr>
            <w:noProof/>
          </w:rPr>
          <w:t>2</w:t>
        </w:r>
      </w:fldSimple>
      <w:r>
        <w:t>.</w:t>
      </w:r>
      <w:r w:rsidRPr="00476353">
        <w:t xml:space="preserve"> Main clinical symptoms of </w:t>
      </w:r>
      <w:r>
        <w:t xml:space="preserve">the </w:t>
      </w:r>
      <w:r w:rsidRPr="00476353">
        <w:t>patient group.</w:t>
      </w:r>
    </w:p>
    <w:tbl>
      <w:tblPr>
        <w:tblW w:w="5000" w:type="pct"/>
        <w:jc w:val="center"/>
        <w:tblLook w:val="04A0" w:firstRow="1" w:lastRow="0" w:firstColumn="1" w:lastColumn="0" w:noHBand="0" w:noVBand="1"/>
        <w:tblCaption w:val="Table 2: Main clinical symptoms of patient group."/>
      </w:tblPr>
      <w:tblGrid>
        <w:gridCol w:w="5959"/>
        <w:gridCol w:w="3067"/>
      </w:tblGrid>
      <w:tr w:rsidR="00476353" w:rsidRPr="00476353" w14:paraId="7FB009C5" w14:textId="77777777" w:rsidTr="006F0285">
        <w:trPr>
          <w:trHeight w:val="79"/>
          <w:jc w:val="center"/>
        </w:trPr>
        <w:tc>
          <w:tcPr>
            <w:tcW w:w="3301" w:type="pct"/>
            <w:tcBorders>
              <w:top w:val="single" w:sz="4" w:space="0" w:color="000000"/>
              <w:bottom w:val="single" w:sz="4" w:space="0" w:color="000000"/>
            </w:tcBorders>
            <w:shd w:val="clear" w:color="auto" w:fill="auto"/>
            <w:noWrap/>
            <w:vAlign w:val="center"/>
            <w:hideMark/>
          </w:tcPr>
          <w:p w14:paraId="442189A4"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Symptoms</w:t>
            </w:r>
          </w:p>
        </w:tc>
        <w:tc>
          <w:tcPr>
            <w:tcW w:w="1699" w:type="pct"/>
            <w:tcBorders>
              <w:top w:val="single" w:sz="4" w:space="0" w:color="000000"/>
              <w:bottom w:val="single" w:sz="4" w:space="0" w:color="000000"/>
            </w:tcBorders>
            <w:shd w:val="clear" w:color="auto" w:fill="auto"/>
            <w:vAlign w:val="center"/>
          </w:tcPr>
          <w:p w14:paraId="55AA41ED"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N (%)</w:t>
            </w:r>
          </w:p>
        </w:tc>
      </w:tr>
      <w:tr w:rsidR="00476353" w:rsidRPr="00476353" w14:paraId="717EAA6F" w14:textId="77777777" w:rsidTr="006F0285">
        <w:trPr>
          <w:trHeight w:val="300"/>
          <w:jc w:val="center"/>
        </w:trPr>
        <w:tc>
          <w:tcPr>
            <w:tcW w:w="3301" w:type="pct"/>
            <w:tcBorders>
              <w:top w:val="single" w:sz="4" w:space="0" w:color="000000"/>
            </w:tcBorders>
            <w:shd w:val="clear" w:color="auto" w:fill="auto"/>
            <w:noWrap/>
            <w:vAlign w:val="center"/>
          </w:tcPr>
          <w:p w14:paraId="1F73C141" w14:textId="04CF01C2"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9D2E3D">
              <w:rPr>
                <w:sz w:val="22"/>
                <w:szCs w:val="22"/>
              </w:rPr>
              <w:t>Heartburn</w:t>
            </w:r>
          </w:p>
        </w:tc>
        <w:tc>
          <w:tcPr>
            <w:tcW w:w="1699" w:type="pct"/>
            <w:tcBorders>
              <w:top w:val="single" w:sz="4" w:space="0" w:color="000000"/>
            </w:tcBorders>
            <w:shd w:val="clear" w:color="auto" w:fill="auto"/>
            <w:vAlign w:val="center"/>
          </w:tcPr>
          <w:p w14:paraId="36C9A9AA"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46 (76.7%)</w:t>
            </w:r>
          </w:p>
        </w:tc>
      </w:tr>
      <w:tr w:rsidR="00476353" w:rsidRPr="00476353" w14:paraId="70A50822" w14:textId="77777777" w:rsidTr="006F0285">
        <w:trPr>
          <w:trHeight w:val="300"/>
          <w:jc w:val="center"/>
        </w:trPr>
        <w:tc>
          <w:tcPr>
            <w:tcW w:w="3301" w:type="pct"/>
            <w:shd w:val="clear" w:color="auto" w:fill="auto"/>
            <w:noWrap/>
            <w:vAlign w:val="center"/>
          </w:tcPr>
          <w:p w14:paraId="235D4FB3"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Epigastric pain</w:t>
            </w:r>
          </w:p>
        </w:tc>
        <w:tc>
          <w:tcPr>
            <w:tcW w:w="1699" w:type="pct"/>
            <w:shd w:val="clear" w:color="auto" w:fill="auto"/>
            <w:vAlign w:val="center"/>
          </w:tcPr>
          <w:p w14:paraId="4DC744BE"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45 (75.0%)</w:t>
            </w:r>
          </w:p>
        </w:tc>
      </w:tr>
      <w:tr w:rsidR="00476353" w:rsidRPr="00476353" w14:paraId="32FE393C" w14:textId="77777777" w:rsidTr="006F0285">
        <w:trPr>
          <w:trHeight w:val="300"/>
          <w:jc w:val="center"/>
        </w:trPr>
        <w:tc>
          <w:tcPr>
            <w:tcW w:w="3301" w:type="pct"/>
            <w:shd w:val="clear" w:color="auto" w:fill="auto"/>
            <w:noWrap/>
            <w:vAlign w:val="center"/>
          </w:tcPr>
          <w:p w14:paraId="0635FBC3"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Reflux</w:t>
            </w:r>
          </w:p>
        </w:tc>
        <w:tc>
          <w:tcPr>
            <w:tcW w:w="1699" w:type="pct"/>
            <w:shd w:val="clear" w:color="auto" w:fill="auto"/>
            <w:vAlign w:val="center"/>
          </w:tcPr>
          <w:p w14:paraId="6008219C"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42 (70.0%)</w:t>
            </w:r>
          </w:p>
        </w:tc>
      </w:tr>
      <w:tr w:rsidR="00476353" w:rsidRPr="00476353" w14:paraId="2156DDD3" w14:textId="77777777" w:rsidTr="006F0285">
        <w:trPr>
          <w:trHeight w:val="300"/>
          <w:jc w:val="center"/>
        </w:trPr>
        <w:tc>
          <w:tcPr>
            <w:tcW w:w="3301" w:type="pct"/>
            <w:shd w:val="clear" w:color="auto" w:fill="auto"/>
            <w:noWrap/>
            <w:vAlign w:val="center"/>
          </w:tcPr>
          <w:p w14:paraId="5DE68B49"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Bloating</w:t>
            </w:r>
          </w:p>
        </w:tc>
        <w:tc>
          <w:tcPr>
            <w:tcW w:w="1699" w:type="pct"/>
            <w:shd w:val="clear" w:color="auto" w:fill="auto"/>
            <w:vAlign w:val="center"/>
          </w:tcPr>
          <w:p w14:paraId="707A5D36"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37 (61.7%)</w:t>
            </w:r>
          </w:p>
        </w:tc>
      </w:tr>
      <w:tr w:rsidR="00476353" w:rsidRPr="00476353" w14:paraId="6BF3917B" w14:textId="77777777" w:rsidTr="006F0285">
        <w:trPr>
          <w:trHeight w:val="300"/>
          <w:jc w:val="center"/>
        </w:trPr>
        <w:tc>
          <w:tcPr>
            <w:tcW w:w="3301" w:type="pct"/>
            <w:shd w:val="clear" w:color="auto" w:fill="auto"/>
            <w:noWrap/>
            <w:vAlign w:val="center"/>
          </w:tcPr>
          <w:p w14:paraId="1C88AF36" w14:textId="364B015F" w:rsidR="00476353" w:rsidRPr="00476353" w:rsidRDefault="008136EE" w:rsidP="00302F2A">
            <w:pPr>
              <w:tabs>
                <w:tab w:val="right" w:pos="6804"/>
              </w:tabs>
              <w:autoSpaceDE w:val="0"/>
              <w:autoSpaceDN w:val="0"/>
              <w:adjustRightInd w:val="0"/>
              <w:spacing w:line="240" w:lineRule="auto"/>
              <w:ind w:firstLine="0"/>
              <w:jc w:val="left"/>
              <w:rPr>
                <w:sz w:val="22"/>
                <w:szCs w:val="22"/>
              </w:rPr>
            </w:pPr>
            <w:r w:rsidRPr="009D2E3D">
              <w:rPr>
                <w:sz w:val="22"/>
                <w:szCs w:val="22"/>
              </w:rPr>
              <w:t>The metallic</w:t>
            </w:r>
            <w:r w:rsidR="00476353" w:rsidRPr="00476353">
              <w:rPr>
                <w:sz w:val="22"/>
                <w:szCs w:val="22"/>
              </w:rPr>
              <w:t xml:space="preserve"> taste of </w:t>
            </w:r>
            <w:r w:rsidRPr="009D2E3D">
              <w:rPr>
                <w:sz w:val="22"/>
                <w:szCs w:val="22"/>
              </w:rPr>
              <w:t xml:space="preserve">the </w:t>
            </w:r>
            <w:r w:rsidR="00476353" w:rsidRPr="00476353">
              <w:rPr>
                <w:sz w:val="22"/>
                <w:szCs w:val="22"/>
              </w:rPr>
              <w:t>mouth</w:t>
            </w:r>
          </w:p>
        </w:tc>
        <w:tc>
          <w:tcPr>
            <w:tcW w:w="1699" w:type="pct"/>
            <w:shd w:val="clear" w:color="auto" w:fill="auto"/>
            <w:vAlign w:val="center"/>
          </w:tcPr>
          <w:p w14:paraId="42B67000"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36 (60.0%)</w:t>
            </w:r>
          </w:p>
        </w:tc>
      </w:tr>
      <w:tr w:rsidR="00476353" w:rsidRPr="00476353" w14:paraId="363BD98F" w14:textId="77777777" w:rsidTr="006F0285">
        <w:trPr>
          <w:trHeight w:val="300"/>
          <w:jc w:val="center"/>
        </w:trPr>
        <w:tc>
          <w:tcPr>
            <w:tcW w:w="3301" w:type="pct"/>
            <w:shd w:val="clear" w:color="auto" w:fill="auto"/>
            <w:noWrap/>
            <w:vAlign w:val="center"/>
          </w:tcPr>
          <w:p w14:paraId="7A210195"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Dysphagia</w:t>
            </w:r>
          </w:p>
        </w:tc>
        <w:tc>
          <w:tcPr>
            <w:tcW w:w="1699" w:type="pct"/>
            <w:shd w:val="clear" w:color="auto" w:fill="auto"/>
            <w:vAlign w:val="center"/>
          </w:tcPr>
          <w:p w14:paraId="5F46B287"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17 (28.3%)</w:t>
            </w:r>
          </w:p>
        </w:tc>
      </w:tr>
      <w:tr w:rsidR="00476353" w:rsidRPr="00476353" w14:paraId="14DE0E34" w14:textId="77777777" w:rsidTr="006F0285">
        <w:trPr>
          <w:trHeight w:val="300"/>
          <w:jc w:val="center"/>
        </w:trPr>
        <w:tc>
          <w:tcPr>
            <w:tcW w:w="3301" w:type="pct"/>
            <w:shd w:val="clear" w:color="auto" w:fill="auto"/>
            <w:noWrap/>
            <w:vAlign w:val="center"/>
          </w:tcPr>
          <w:p w14:paraId="311607BC"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Oropharyngeal candidiasis</w:t>
            </w:r>
          </w:p>
        </w:tc>
        <w:tc>
          <w:tcPr>
            <w:tcW w:w="1699" w:type="pct"/>
            <w:shd w:val="clear" w:color="auto" w:fill="auto"/>
            <w:vAlign w:val="center"/>
          </w:tcPr>
          <w:p w14:paraId="35338765"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15 (25.0%)</w:t>
            </w:r>
          </w:p>
        </w:tc>
      </w:tr>
      <w:tr w:rsidR="00476353" w:rsidRPr="00476353" w14:paraId="6F05834D" w14:textId="77777777" w:rsidTr="006F0285">
        <w:trPr>
          <w:trHeight w:val="300"/>
          <w:jc w:val="center"/>
        </w:trPr>
        <w:tc>
          <w:tcPr>
            <w:tcW w:w="3301" w:type="pct"/>
            <w:shd w:val="clear" w:color="auto" w:fill="auto"/>
            <w:noWrap/>
            <w:vAlign w:val="center"/>
          </w:tcPr>
          <w:p w14:paraId="25D39292"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Loss of appetite</w:t>
            </w:r>
          </w:p>
        </w:tc>
        <w:tc>
          <w:tcPr>
            <w:tcW w:w="1699" w:type="pct"/>
            <w:shd w:val="clear" w:color="auto" w:fill="auto"/>
            <w:vAlign w:val="center"/>
          </w:tcPr>
          <w:p w14:paraId="40AAAEED"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8 (13.3%)</w:t>
            </w:r>
          </w:p>
        </w:tc>
      </w:tr>
      <w:tr w:rsidR="00476353" w:rsidRPr="00476353" w14:paraId="2F7F1246" w14:textId="77777777" w:rsidTr="006F0285">
        <w:trPr>
          <w:trHeight w:val="300"/>
          <w:jc w:val="center"/>
        </w:trPr>
        <w:tc>
          <w:tcPr>
            <w:tcW w:w="3301" w:type="pct"/>
            <w:shd w:val="clear" w:color="auto" w:fill="auto"/>
            <w:noWrap/>
            <w:vAlign w:val="center"/>
          </w:tcPr>
          <w:p w14:paraId="418B0C92"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Recurrent vomiting</w:t>
            </w:r>
          </w:p>
        </w:tc>
        <w:tc>
          <w:tcPr>
            <w:tcW w:w="1699" w:type="pct"/>
            <w:shd w:val="clear" w:color="auto" w:fill="auto"/>
            <w:vAlign w:val="center"/>
          </w:tcPr>
          <w:p w14:paraId="0E6E1096"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6 (10.0%)</w:t>
            </w:r>
          </w:p>
        </w:tc>
      </w:tr>
      <w:tr w:rsidR="00476353" w:rsidRPr="00476353" w14:paraId="6B42D864" w14:textId="77777777" w:rsidTr="006F0285">
        <w:trPr>
          <w:trHeight w:val="300"/>
          <w:jc w:val="center"/>
        </w:trPr>
        <w:tc>
          <w:tcPr>
            <w:tcW w:w="3301" w:type="pct"/>
            <w:shd w:val="clear" w:color="auto" w:fill="auto"/>
            <w:noWrap/>
            <w:vAlign w:val="center"/>
          </w:tcPr>
          <w:p w14:paraId="38ECE1B8"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Feeling tired than usual</w:t>
            </w:r>
          </w:p>
        </w:tc>
        <w:tc>
          <w:tcPr>
            <w:tcW w:w="1699" w:type="pct"/>
            <w:shd w:val="clear" w:color="auto" w:fill="auto"/>
            <w:vAlign w:val="center"/>
          </w:tcPr>
          <w:p w14:paraId="729C24F6"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45 (75.0%)</w:t>
            </w:r>
          </w:p>
        </w:tc>
      </w:tr>
      <w:tr w:rsidR="00476353" w:rsidRPr="00476353" w14:paraId="48AC0929" w14:textId="77777777" w:rsidTr="006F0285">
        <w:trPr>
          <w:trHeight w:val="300"/>
          <w:jc w:val="center"/>
        </w:trPr>
        <w:tc>
          <w:tcPr>
            <w:tcW w:w="3301" w:type="pct"/>
            <w:shd w:val="clear" w:color="auto" w:fill="auto"/>
            <w:noWrap/>
            <w:vAlign w:val="center"/>
          </w:tcPr>
          <w:p w14:paraId="7E746B3C"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Shortness of breathing</w:t>
            </w:r>
          </w:p>
        </w:tc>
        <w:tc>
          <w:tcPr>
            <w:tcW w:w="1699" w:type="pct"/>
            <w:shd w:val="clear" w:color="auto" w:fill="auto"/>
            <w:vAlign w:val="center"/>
          </w:tcPr>
          <w:p w14:paraId="5342E730"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31 (51.7%)</w:t>
            </w:r>
          </w:p>
        </w:tc>
      </w:tr>
      <w:tr w:rsidR="00476353" w:rsidRPr="00476353" w14:paraId="29947616" w14:textId="77777777" w:rsidTr="006F0285">
        <w:trPr>
          <w:trHeight w:val="300"/>
          <w:jc w:val="center"/>
        </w:trPr>
        <w:tc>
          <w:tcPr>
            <w:tcW w:w="3301" w:type="pct"/>
            <w:shd w:val="clear" w:color="auto" w:fill="auto"/>
            <w:noWrap/>
            <w:vAlign w:val="center"/>
          </w:tcPr>
          <w:p w14:paraId="0AE832E1"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Intermittent claudication and tingling</w:t>
            </w:r>
          </w:p>
        </w:tc>
        <w:tc>
          <w:tcPr>
            <w:tcW w:w="1699" w:type="pct"/>
            <w:shd w:val="clear" w:color="auto" w:fill="auto"/>
            <w:vAlign w:val="center"/>
          </w:tcPr>
          <w:p w14:paraId="08F49212"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15 (25.0%)</w:t>
            </w:r>
          </w:p>
        </w:tc>
      </w:tr>
      <w:tr w:rsidR="00476353" w:rsidRPr="00476353" w14:paraId="2C07EC1B" w14:textId="77777777" w:rsidTr="006F0285">
        <w:trPr>
          <w:trHeight w:val="300"/>
          <w:jc w:val="center"/>
        </w:trPr>
        <w:tc>
          <w:tcPr>
            <w:tcW w:w="3301" w:type="pct"/>
            <w:shd w:val="clear" w:color="auto" w:fill="auto"/>
            <w:noWrap/>
            <w:vAlign w:val="center"/>
          </w:tcPr>
          <w:p w14:paraId="3F82F0A6"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 xml:space="preserve">Skin tags </w:t>
            </w:r>
          </w:p>
        </w:tc>
        <w:tc>
          <w:tcPr>
            <w:tcW w:w="1699" w:type="pct"/>
            <w:shd w:val="clear" w:color="auto" w:fill="auto"/>
            <w:vAlign w:val="center"/>
          </w:tcPr>
          <w:p w14:paraId="1D56F529"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8 (13.3%)</w:t>
            </w:r>
          </w:p>
        </w:tc>
      </w:tr>
      <w:tr w:rsidR="00476353" w:rsidRPr="00476353" w14:paraId="29FA0526" w14:textId="77777777" w:rsidTr="006F0285">
        <w:trPr>
          <w:trHeight w:val="300"/>
          <w:jc w:val="center"/>
        </w:trPr>
        <w:tc>
          <w:tcPr>
            <w:tcW w:w="3301" w:type="pct"/>
            <w:tcBorders>
              <w:bottom w:val="single" w:sz="4" w:space="0" w:color="000000"/>
            </w:tcBorders>
            <w:shd w:val="clear" w:color="auto" w:fill="auto"/>
            <w:noWrap/>
            <w:vAlign w:val="center"/>
          </w:tcPr>
          <w:p w14:paraId="46F982DA" w14:textId="77777777" w:rsidR="00476353" w:rsidRPr="00476353" w:rsidRDefault="00476353" w:rsidP="00302F2A">
            <w:pPr>
              <w:tabs>
                <w:tab w:val="right" w:pos="6804"/>
              </w:tabs>
              <w:autoSpaceDE w:val="0"/>
              <w:autoSpaceDN w:val="0"/>
              <w:adjustRightInd w:val="0"/>
              <w:spacing w:line="240" w:lineRule="auto"/>
              <w:ind w:firstLine="0"/>
              <w:jc w:val="left"/>
              <w:rPr>
                <w:sz w:val="22"/>
                <w:szCs w:val="22"/>
              </w:rPr>
            </w:pPr>
            <w:r w:rsidRPr="00476353">
              <w:rPr>
                <w:sz w:val="22"/>
                <w:szCs w:val="22"/>
              </w:rPr>
              <w:t>Acne</w:t>
            </w:r>
          </w:p>
        </w:tc>
        <w:tc>
          <w:tcPr>
            <w:tcW w:w="1699" w:type="pct"/>
            <w:tcBorders>
              <w:bottom w:val="single" w:sz="4" w:space="0" w:color="000000"/>
            </w:tcBorders>
            <w:shd w:val="clear" w:color="auto" w:fill="auto"/>
            <w:vAlign w:val="center"/>
          </w:tcPr>
          <w:p w14:paraId="6D1DC421" w14:textId="77777777" w:rsidR="00476353" w:rsidRPr="00476353" w:rsidRDefault="00476353" w:rsidP="009D2E3D">
            <w:pPr>
              <w:tabs>
                <w:tab w:val="right" w:pos="6804"/>
              </w:tabs>
              <w:autoSpaceDE w:val="0"/>
              <w:autoSpaceDN w:val="0"/>
              <w:adjustRightInd w:val="0"/>
              <w:spacing w:line="240" w:lineRule="auto"/>
              <w:ind w:firstLine="0"/>
              <w:jc w:val="center"/>
              <w:rPr>
                <w:sz w:val="22"/>
                <w:szCs w:val="22"/>
              </w:rPr>
            </w:pPr>
            <w:r w:rsidRPr="00476353">
              <w:rPr>
                <w:sz w:val="22"/>
                <w:szCs w:val="22"/>
              </w:rPr>
              <w:t>2 (3.3%)</w:t>
            </w:r>
          </w:p>
        </w:tc>
      </w:tr>
    </w:tbl>
    <w:p w14:paraId="4D859370" w14:textId="77777777" w:rsidR="00617250" w:rsidRPr="00617250" w:rsidRDefault="00617250" w:rsidP="00617250">
      <w:pPr>
        <w:pStyle w:val="BodyText"/>
        <w:rPr>
          <w:b/>
          <w:bCs/>
          <w:color w:val="4F81BD" w:themeColor="accent1"/>
          <w:sz w:val="18"/>
          <w:szCs w:val="18"/>
          <w:lang w:bidi="ar-EG"/>
        </w:rPr>
      </w:pPr>
      <w:r w:rsidRPr="00617250">
        <w:rPr>
          <w:b/>
          <w:bCs/>
          <w:color w:val="4F81BD" w:themeColor="accent1"/>
          <w:sz w:val="18"/>
          <w:szCs w:val="18"/>
          <w:lang w:bidi="ar-EG"/>
        </w:rPr>
        <w:t>* Significant at p-value &lt;0.05</w:t>
      </w:r>
    </w:p>
    <w:bookmarkEnd w:id="4"/>
    <w:p w14:paraId="4B8079DA" w14:textId="7D7D2989" w:rsidR="00327027" w:rsidRDefault="00D17EC6" w:rsidP="00122B7C">
      <w:pPr>
        <w:pStyle w:val="BodyText"/>
        <w:spacing w:line="360" w:lineRule="auto"/>
        <w:ind w:right="28"/>
        <w:rPr>
          <w:rFonts w:asciiTheme="majorBidi" w:hAnsiTheme="majorBidi" w:cstheme="majorBidi"/>
          <w:sz w:val="24"/>
          <w:szCs w:val="24"/>
        </w:rPr>
      </w:pPr>
      <w:r>
        <w:rPr>
          <w:rFonts w:asciiTheme="majorBidi" w:hAnsiTheme="majorBidi" w:cstheme="majorBidi"/>
          <w:sz w:val="24"/>
          <w:szCs w:val="24"/>
        </w:rPr>
        <w:t>The patient</w:t>
      </w:r>
      <w:r w:rsidR="00327027" w:rsidRPr="00280684">
        <w:rPr>
          <w:rFonts w:asciiTheme="majorBidi" w:hAnsiTheme="majorBidi" w:cstheme="majorBidi"/>
          <w:sz w:val="24"/>
          <w:szCs w:val="24"/>
        </w:rPr>
        <w:t xml:space="preserve"> group showed significantly higher BMI and WHR (p &lt;0.001</w:t>
      </w:r>
      <w:r w:rsidR="00122B7C" w:rsidRPr="00280684">
        <w:rPr>
          <w:rFonts w:asciiTheme="majorBidi" w:hAnsiTheme="majorBidi" w:cstheme="majorBidi"/>
          <w:sz w:val="24"/>
          <w:szCs w:val="24"/>
        </w:rPr>
        <w:t xml:space="preserve"> for both</w:t>
      </w:r>
      <w:r w:rsidR="00327027" w:rsidRPr="00280684">
        <w:rPr>
          <w:rFonts w:asciiTheme="majorBidi" w:hAnsiTheme="majorBidi" w:cstheme="majorBidi"/>
          <w:sz w:val="24"/>
          <w:szCs w:val="24"/>
        </w:rPr>
        <w:t>)</w:t>
      </w:r>
      <w:r w:rsidR="00122B7C" w:rsidRPr="00280684">
        <w:rPr>
          <w:rFonts w:asciiTheme="majorBidi" w:hAnsiTheme="majorBidi" w:cstheme="majorBidi"/>
          <w:sz w:val="24"/>
          <w:szCs w:val="24"/>
        </w:rPr>
        <w:t xml:space="preserve"> and </w:t>
      </w:r>
      <w:r>
        <w:rPr>
          <w:rFonts w:asciiTheme="majorBidi" w:hAnsiTheme="majorBidi" w:cstheme="majorBidi"/>
          <w:sz w:val="24"/>
          <w:szCs w:val="24"/>
        </w:rPr>
        <w:t>considerably</w:t>
      </w:r>
      <w:r w:rsidR="00327027" w:rsidRPr="00280684">
        <w:rPr>
          <w:rFonts w:asciiTheme="majorBidi" w:hAnsiTheme="majorBidi" w:cstheme="majorBidi"/>
          <w:sz w:val="24"/>
          <w:szCs w:val="24"/>
        </w:rPr>
        <w:t xml:space="preserve"> higher values for both </w:t>
      </w:r>
      <w:r w:rsidR="00122B7C" w:rsidRPr="00280684">
        <w:rPr>
          <w:rFonts w:asciiTheme="majorBidi" w:hAnsiTheme="majorBidi" w:cstheme="majorBidi"/>
          <w:sz w:val="24"/>
          <w:szCs w:val="24"/>
        </w:rPr>
        <w:t xml:space="preserve">SBP and DBP </w:t>
      </w:r>
      <w:r w:rsidR="00327027" w:rsidRPr="00280684">
        <w:rPr>
          <w:rFonts w:asciiTheme="majorBidi" w:hAnsiTheme="majorBidi" w:cstheme="majorBidi"/>
          <w:sz w:val="24"/>
          <w:szCs w:val="24"/>
        </w:rPr>
        <w:t>(p &lt;0.001 and 0.015</w:t>
      </w:r>
      <w:r>
        <w:rPr>
          <w:rFonts w:asciiTheme="majorBidi" w:hAnsiTheme="majorBidi" w:cstheme="majorBidi"/>
          <w:sz w:val="24"/>
          <w:szCs w:val="24"/>
        </w:rPr>
        <w:t>,</w:t>
      </w:r>
      <w:r w:rsidR="00327027" w:rsidRPr="00280684">
        <w:rPr>
          <w:rFonts w:asciiTheme="majorBidi" w:hAnsiTheme="majorBidi" w:cstheme="majorBidi"/>
          <w:sz w:val="24"/>
          <w:szCs w:val="24"/>
        </w:rPr>
        <w:t xml:space="preserve"> respectively). </w:t>
      </w:r>
    </w:p>
    <w:p w14:paraId="33AA297E" w14:textId="37CE685F" w:rsidR="008136EE" w:rsidRDefault="008136EE" w:rsidP="008136EE">
      <w:pPr>
        <w:pStyle w:val="Caption"/>
        <w:keepNext/>
      </w:pPr>
      <w:r>
        <w:t>Table 3.</w:t>
      </w:r>
      <w:r w:rsidRPr="008136EE">
        <w:rPr>
          <w:b w:val="0"/>
          <w:bCs w:val="0"/>
          <w:color w:val="auto"/>
          <w:sz w:val="24"/>
          <w:szCs w:val="24"/>
        </w:rPr>
        <w:t xml:space="preserve"> </w:t>
      </w:r>
      <w:r w:rsidRPr="008136EE">
        <w:t>Comparison of the primary clinical data of the studied groups.</w:t>
      </w:r>
      <w:r>
        <w:t xml:space="preserve"> </w:t>
      </w:r>
    </w:p>
    <w:tbl>
      <w:tblPr>
        <w:tblW w:w="5000" w:type="pct"/>
        <w:jc w:val="center"/>
        <w:tblLook w:val="04A0" w:firstRow="1" w:lastRow="0" w:firstColumn="1" w:lastColumn="0" w:noHBand="0" w:noVBand="1"/>
        <w:tblCaption w:val="Table 3: Comparison of the primary clinical data of the studied groups."/>
      </w:tblPr>
      <w:tblGrid>
        <w:gridCol w:w="1292"/>
        <w:gridCol w:w="1083"/>
        <w:gridCol w:w="1982"/>
        <w:gridCol w:w="1988"/>
        <w:gridCol w:w="1621"/>
        <w:gridCol w:w="1060"/>
      </w:tblGrid>
      <w:tr w:rsidR="008136EE" w:rsidRPr="00280684" w14:paraId="5F79FED7" w14:textId="77777777" w:rsidTr="006F0285">
        <w:trPr>
          <w:trHeight w:val="300"/>
          <w:jc w:val="center"/>
        </w:trPr>
        <w:tc>
          <w:tcPr>
            <w:tcW w:w="1315" w:type="pct"/>
            <w:gridSpan w:val="2"/>
            <w:tcBorders>
              <w:top w:val="single" w:sz="4" w:space="0" w:color="000000"/>
            </w:tcBorders>
            <w:shd w:val="clear" w:color="auto" w:fill="auto"/>
            <w:noWrap/>
            <w:hideMark/>
          </w:tcPr>
          <w:p w14:paraId="56B21B1A"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p>
        </w:tc>
        <w:tc>
          <w:tcPr>
            <w:tcW w:w="1098" w:type="pct"/>
            <w:tcBorders>
              <w:top w:val="single" w:sz="4" w:space="0" w:color="000000"/>
            </w:tcBorders>
            <w:shd w:val="clear" w:color="auto" w:fill="auto"/>
            <w:vAlign w:val="center"/>
          </w:tcPr>
          <w:p w14:paraId="09C68EF6"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Group 1</w:t>
            </w:r>
          </w:p>
          <w:p w14:paraId="21673708"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(N=60)</w:t>
            </w:r>
          </w:p>
        </w:tc>
        <w:tc>
          <w:tcPr>
            <w:tcW w:w="1101" w:type="pct"/>
            <w:tcBorders>
              <w:top w:val="single" w:sz="4" w:space="0" w:color="000000"/>
            </w:tcBorders>
            <w:shd w:val="clear" w:color="auto" w:fill="auto"/>
            <w:noWrap/>
            <w:vAlign w:val="center"/>
            <w:hideMark/>
          </w:tcPr>
          <w:p w14:paraId="0FB6E236"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Group 2</w:t>
            </w:r>
          </w:p>
          <w:p w14:paraId="7610DCD9"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(N=60)</w:t>
            </w:r>
          </w:p>
        </w:tc>
        <w:tc>
          <w:tcPr>
            <w:tcW w:w="898" w:type="pct"/>
            <w:tcBorders>
              <w:top w:val="single" w:sz="4" w:space="0" w:color="000000"/>
            </w:tcBorders>
          </w:tcPr>
          <w:p w14:paraId="7FF5699D"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Test</w:t>
            </w:r>
          </w:p>
        </w:tc>
        <w:tc>
          <w:tcPr>
            <w:tcW w:w="587" w:type="pct"/>
            <w:tcBorders>
              <w:top w:val="single" w:sz="4" w:space="0" w:color="000000"/>
            </w:tcBorders>
            <w:shd w:val="clear" w:color="auto" w:fill="auto"/>
            <w:vAlign w:val="center"/>
          </w:tcPr>
          <w:p w14:paraId="04E1A4C0"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p</w:t>
            </w:r>
          </w:p>
        </w:tc>
      </w:tr>
      <w:tr w:rsidR="008136EE" w:rsidRPr="00280684" w14:paraId="744677ED" w14:textId="77777777" w:rsidTr="006F0285">
        <w:trPr>
          <w:trHeight w:val="300"/>
          <w:jc w:val="center"/>
        </w:trPr>
        <w:tc>
          <w:tcPr>
            <w:tcW w:w="715" w:type="pct"/>
            <w:tcBorders>
              <w:top w:val="single" w:sz="4" w:space="0" w:color="000000"/>
            </w:tcBorders>
            <w:shd w:val="clear" w:color="auto" w:fill="auto"/>
            <w:noWrap/>
            <w:vAlign w:val="center"/>
          </w:tcPr>
          <w:p w14:paraId="66325492" w14:textId="77777777" w:rsidR="008136EE" w:rsidRPr="00280684" w:rsidRDefault="008136EE" w:rsidP="005504BF">
            <w:pPr>
              <w:tabs>
                <w:tab w:val="right" w:pos="6804"/>
              </w:tabs>
              <w:autoSpaceDE w:val="0"/>
              <w:autoSpaceDN w:val="0"/>
              <w:adjustRightInd w:val="0"/>
              <w:spacing w:line="240" w:lineRule="auto"/>
              <w:ind w:left="57" w:firstLine="0"/>
              <w:rPr>
                <w:b/>
                <w:bCs/>
                <w:sz w:val="22"/>
                <w:szCs w:val="22"/>
              </w:rPr>
            </w:pPr>
            <w:r w:rsidRPr="00280684">
              <w:rPr>
                <w:b/>
                <w:bCs/>
                <w:sz w:val="22"/>
                <w:szCs w:val="22"/>
              </w:rPr>
              <w:t>BMI</w:t>
            </w:r>
          </w:p>
        </w:tc>
        <w:tc>
          <w:tcPr>
            <w:tcW w:w="600" w:type="pct"/>
            <w:tcBorders>
              <w:top w:val="single" w:sz="4" w:space="0" w:color="000000"/>
            </w:tcBorders>
            <w:shd w:val="clear" w:color="auto" w:fill="auto"/>
            <w:noWrap/>
            <w:vAlign w:val="center"/>
          </w:tcPr>
          <w:p w14:paraId="33E35668" w14:textId="77777777" w:rsidR="008136EE" w:rsidRPr="00280684" w:rsidRDefault="008136EE" w:rsidP="005504BF">
            <w:pPr>
              <w:tabs>
                <w:tab w:val="right" w:pos="6804"/>
              </w:tabs>
              <w:autoSpaceDE w:val="0"/>
              <w:autoSpaceDN w:val="0"/>
              <w:adjustRightInd w:val="0"/>
              <w:spacing w:line="240" w:lineRule="auto"/>
              <w:ind w:left="-57" w:right="-57" w:firstLine="0"/>
              <w:jc w:val="center"/>
              <w:rPr>
                <w:b/>
                <w:bCs/>
                <w:sz w:val="22"/>
                <w:szCs w:val="22"/>
              </w:rPr>
            </w:pPr>
            <w:r w:rsidRPr="00280684">
              <w:rPr>
                <w:b/>
                <w:bCs/>
                <w:sz w:val="22"/>
                <w:szCs w:val="22"/>
              </w:rPr>
              <w:t>M±SD</w:t>
            </w:r>
          </w:p>
        </w:tc>
        <w:tc>
          <w:tcPr>
            <w:tcW w:w="1098" w:type="pct"/>
            <w:tcBorders>
              <w:top w:val="single" w:sz="4" w:space="0" w:color="000000"/>
            </w:tcBorders>
            <w:shd w:val="clear" w:color="auto" w:fill="auto"/>
            <w:vAlign w:val="center"/>
          </w:tcPr>
          <w:p w14:paraId="3376A6CE" w14:textId="77777777" w:rsidR="008136EE" w:rsidRPr="00280684" w:rsidRDefault="008136EE" w:rsidP="005504BF">
            <w:pPr>
              <w:spacing w:line="240" w:lineRule="auto"/>
              <w:ind w:left="-57" w:right="-57" w:firstLine="0"/>
              <w:jc w:val="center"/>
              <w:rPr>
                <w:sz w:val="22"/>
                <w:szCs w:val="22"/>
              </w:rPr>
            </w:pPr>
            <w:r w:rsidRPr="00280684">
              <w:rPr>
                <w:sz w:val="22"/>
                <w:szCs w:val="22"/>
              </w:rPr>
              <w:t>32.60 ± 1.45</w:t>
            </w:r>
          </w:p>
        </w:tc>
        <w:tc>
          <w:tcPr>
            <w:tcW w:w="1101" w:type="pct"/>
            <w:tcBorders>
              <w:top w:val="single" w:sz="4" w:space="0" w:color="000000"/>
            </w:tcBorders>
            <w:shd w:val="clear" w:color="auto" w:fill="auto"/>
            <w:noWrap/>
            <w:vAlign w:val="center"/>
          </w:tcPr>
          <w:p w14:paraId="69E9EA33" w14:textId="77777777" w:rsidR="008136EE" w:rsidRPr="00280684" w:rsidRDefault="008136EE" w:rsidP="005504BF">
            <w:pPr>
              <w:spacing w:line="240" w:lineRule="auto"/>
              <w:ind w:left="-57" w:right="-57" w:firstLine="0"/>
              <w:jc w:val="center"/>
              <w:rPr>
                <w:sz w:val="22"/>
                <w:szCs w:val="22"/>
              </w:rPr>
            </w:pPr>
            <w:r w:rsidRPr="00280684">
              <w:rPr>
                <w:sz w:val="22"/>
                <w:szCs w:val="22"/>
              </w:rPr>
              <w:t>24.29 ± 1.64</w:t>
            </w:r>
          </w:p>
        </w:tc>
        <w:tc>
          <w:tcPr>
            <w:tcW w:w="898" w:type="pct"/>
            <w:tcBorders>
              <w:top w:val="single" w:sz="4" w:space="0" w:color="000000"/>
            </w:tcBorders>
          </w:tcPr>
          <w:p w14:paraId="4DCA9DAA" w14:textId="77777777" w:rsidR="008136EE" w:rsidRPr="00280684" w:rsidRDefault="008136EE" w:rsidP="005504BF">
            <w:pPr>
              <w:spacing w:line="240" w:lineRule="auto"/>
              <w:ind w:left="-57" w:right="-57" w:firstLine="0"/>
              <w:jc w:val="center"/>
              <w:rPr>
                <w:sz w:val="22"/>
                <w:szCs w:val="22"/>
              </w:rPr>
            </w:pPr>
            <w:r w:rsidRPr="00280684">
              <w:t>T = 29.469</w:t>
            </w:r>
          </w:p>
        </w:tc>
        <w:tc>
          <w:tcPr>
            <w:tcW w:w="587" w:type="pct"/>
            <w:tcBorders>
              <w:top w:val="single" w:sz="4" w:space="0" w:color="000000"/>
            </w:tcBorders>
            <w:shd w:val="clear" w:color="auto" w:fill="auto"/>
            <w:vAlign w:val="center"/>
          </w:tcPr>
          <w:p w14:paraId="710F5540" w14:textId="77777777" w:rsidR="008136EE" w:rsidRPr="00280684" w:rsidRDefault="008136EE" w:rsidP="005504BF">
            <w:pPr>
              <w:spacing w:line="240" w:lineRule="auto"/>
              <w:ind w:left="-57" w:right="-57" w:firstLine="0"/>
              <w:jc w:val="center"/>
              <w:rPr>
                <w:sz w:val="22"/>
                <w:szCs w:val="22"/>
              </w:rPr>
            </w:pPr>
            <w:r w:rsidRPr="00280684">
              <w:rPr>
                <w:sz w:val="22"/>
                <w:szCs w:val="22"/>
              </w:rPr>
              <w:t>&lt;0.001</w:t>
            </w:r>
            <w:r w:rsidRPr="00280684">
              <w:rPr>
                <w:sz w:val="22"/>
                <w:szCs w:val="22"/>
                <w:vertAlign w:val="superscript"/>
              </w:rPr>
              <w:t>*</w:t>
            </w:r>
          </w:p>
        </w:tc>
      </w:tr>
      <w:tr w:rsidR="008136EE" w:rsidRPr="00280684" w14:paraId="2BDC635E" w14:textId="77777777" w:rsidTr="006F0285">
        <w:trPr>
          <w:trHeight w:val="300"/>
          <w:jc w:val="center"/>
        </w:trPr>
        <w:tc>
          <w:tcPr>
            <w:tcW w:w="715" w:type="pct"/>
            <w:shd w:val="clear" w:color="auto" w:fill="auto"/>
            <w:noWrap/>
            <w:vAlign w:val="center"/>
          </w:tcPr>
          <w:p w14:paraId="4E73ACB8" w14:textId="77777777" w:rsidR="008136EE" w:rsidRPr="00280684" w:rsidRDefault="008136EE" w:rsidP="005504BF">
            <w:pPr>
              <w:tabs>
                <w:tab w:val="right" w:pos="6804"/>
              </w:tabs>
              <w:autoSpaceDE w:val="0"/>
              <w:autoSpaceDN w:val="0"/>
              <w:adjustRightInd w:val="0"/>
              <w:spacing w:line="240" w:lineRule="auto"/>
              <w:ind w:left="57" w:firstLine="0"/>
              <w:rPr>
                <w:b/>
                <w:bCs/>
                <w:sz w:val="22"/>
                <w:szCs w:val="22"/>
              </w:rPr>
            </w:pPr>
            <w:r w:rsidRPr="00280684">
              <w:rPr>
                <w:b/>
                <w:bCs/>
                <w:sz w:val="22"/>
                <w:szCs w:val="22"/>
              </w:rPr>
              <w:t>WHR</w:t>
            </w:r>
          </w:p>
        </w:tc>
        <w:tc>
          <w:tcPr>
            <w:tcW w:w="600" w:type="pct"/>
            <w:shd w:val="clear" w:color="auto" w:fill="auto"/>
            <w:noWrap/>
            <w:vAlign w:val="center"/>
          </w:tcPr>
          <w:p w14:paraId="46B5DECB" w14:textId="77777777" w:rsidR="008136EE" w:rsidRPr="00280684" w:rsidRDefault="008136EE" w:rsidP="005504BF">
            <w:pPr>
              <w:tabs>
                <w:tab w:val="right" w:pos="6804"/>
              </w:tabs>
              <w:autoSpaceDE w:val="0"/>
              <w:autoSpaceDN w:val="0"/>
              <w:adjustRightInd w:val="0"/>
              <w:spacing w:line="240" w:lineRule="auto"/>
              <w:ind w:left="-57" w:right="-57" w:firstLine="0"/>
              <w:jc w:val="center"/>
              <w:rPr>
                <w:b/>
                <w:bCs/>
                <w:sz w:val="22"/>
                <w:szCs w:val="22"/>
              </w:rPr>
            </w:pPr>
            <w:r w:rsidRPr="00280684">
              <w:rPr>
                <w:b/>
                <w:bCs/>
                <w:sz w:val="22"/>
                <w:szCs w:val="22"/>
              </w:rPr>
              <w:t>M±SD</w:t>
            </w:r>
          </w:p>
        </w:tc>
        <w:tc>
          <w:tcPr>
            <w:tcW w:w="1098" w:type="pct"/>
            <w:shd w:val="clear" w:color="auto" w:fill="auto"/>
            <w:vAlign w:val="center"/>
          </w:tcPr>
          <w:p w14:paraId="4A30E451" w14:textId="77777777" w:rsidR="008136EE" w:rsidRPr="00280684" w:rsidRDefault="008136EE" w:rsidP="005504BF">
            <w:pPr>
              <w:spacing w:line="240" w:lineRule="auto"/>
              <w:ind w:left="-57" w:right="-57" w:firstLine="0"/>
              <w:jc w:val="center"/>
              <w:rPr>
                <w:sz w:val="22"/>
                <w:szCs w:val="22"/>
              </w:rPr>
            </w:pPr>
            <w:r w:rsidRPr="00280684">
              <w:rPr>
                <w:sz w:val="22"/>
                <w:szCs w:val="22"/>
              </w:rPr>
              <w:t>1.02 ± 0.07</w:t>
            </w:r>
          </w:p>
        </w:tc>
        <w:tc>
          <w:tcPr>
            <w:tcW w:w="1101" w:type="pct"/>
            <w:shd w:val="clear" w:color="auto" w:fill="auto"/>
            <w:noWrap/>
            <w:vAlign w:val="center"/>
          </w:tcPr>
          <w:p w14:paraId="50B3D7B5" w14:textId="77777777" w:rsidR="008136EE" w:rsidRPr="00280684" w:rsidRDefault="008136EE" w:rsidP="005504BF">
            <w:pPr>
              <w:spacing w:line="240" w:lineRule="auto"/>
              <w:ind w:left="-57" w:right="-57" w:firstLine="0"/>
              <w:jc w:val="center"/>
              <w:rPr>
                <w:sz w:val="22"/>
                <w:szCs w:val="22"/>
              </w:rPr>
            </w:pPr>
            <w:r w:rsidRPr="00280684">
              <w:rPr>
                <w:sz w:val="22"/>
                <w:szCs w:val="22"/>
              </w:rPr>
              <w:t>0.86 ± 0.03</w:t>
            </w:r>
          </w:p>
        </w:tc>
        <w:tc>
          <w:tcPr>
            <w:tcW w:w="898" w:type="pct"/>
          </w:tcPr>
          <w:p w14:paraId="1E672441" w14:textId="77777777" w:rsidR="008136EE" w:rsidRPr="00280684" w:rsidRDefault="008136EE" w:rsidP="005504BF">
            <w:pPr>
              <w:spacing w:line="240" w:lineRule="auto"/>
              <w:ind w:left="-57" w:right="-57" w:firstLine="0"/>
              <w:jc w:val="center"/>
              <w:rPr>
                <w:sz w:val="22"/>
                <w:szCs w:val="22"/>
              </w:rPr>
            </w:pPr>
            <w:r w:rsidRPr="00280684">
              <w:t>T= 15.975</w:t>
            </w:r>
          </w:p>
        </w:tc>
        <w:tc>
          <w:tcPr>
            <w:tcW w:w="587" w:type="pct"/>
            <w:shd w:val="clear" w:color="auto" w:fill="auto"/>
            <w:vAlign w:val="center"/>
          </w:tcPr>
          <w:p w14:paraId="75E6A1DC" w14:textId="77777777" w:rsidR="008136EE" w:rsidRPr="00280684" w:rsidRDefault="008136EE" w:rsidP="005504BF">
            <w:pPr>
              <w:spacing w:line="240" w:lineRule="auto"/>
              <w:ind w:left="-57" w:right="-57" w:firstLine="0"/>
              <w:jc w:val="center"/>
              <w:rPr>
                <w:sz w:val="22"/>
                <w:szCs w:val="22"/>
              </w:rPr>
            </w:pPr>
            <w:r w:rsidRPr="00280684">
              <w:rPr>
                <w:sz w:val="22"/>
                <w:szCs w:val="22"/>
              </w:rPr>
              <w:t>&lt;0.001*</w:t>
            </w:r>
          </w:p>
        </w:tc>
      </w:tr>
      <w:tr w:rsidR="008136EE" w:rsidRPr="00280684" w14:paraId="271D62C5" w14:textId="77777777" w:rsidTr="006F0285">
        <w:trPr>
          <w:trHeight w:val="323"/>
          <w:jc w:val="center"/>
        </w:trPr>
        <w:tc>
          <w:tcPr>
            <w:tcW w:w="715" w:type="pct"/>
            <w:shd w:val="clear" w:color="auto" w:fill="auto"/>
            <w:noWrap/>
            <w:vAlign w:val="center"/>
          </w:tcPr>
          <w:p w14:paraId="40DCDD19" w14:textId="77777777" w:rsidR="008136EE" w:rsidRPr="00280684" w:rsidRDefault="008136EE" w:rsidP="005504BF">
            <w:pPr>
              <w:tabs>
                <w:tab w:val="right" w:pos="6804"/>
              </w:tabs>
              <w:autoSpaceDE w:val="0"/>
              <w:autoSpaceDN w:val="0"/>
              <w:adjustRightInd w:val="0"/>
              <w:spacing w:line="240" w:lineRule="auto"/>
              <w:ind w:left="57" w:firstLine="0"/>
              <w:rPr>
                <w:b/>
                <w:bCs/>
                <w:sz w:val="22"/>
                <w:szCs w:val="22"/>
              </w:rPr>
            </w:pPr>
            <w:r w:rsidRPr="00280684">
              <w:rPr>
                <w:b/>
                <w:bCs/>
                <w:sz w:val="22"/>
                <w:szCs w:val="22"/>
              </w:rPr>
              <w:t>SBP</w:t>
            </w:r>
          </w:p>
        </w:tc>
        <w:tc>
          <w:tcPr>
            <w:tcW w:w="600" w:type="pct"/>
            <w:shd w:val="clear" w:color="auto" w:fill="auto"/>
            <w:noWrap/>
            <w:vAlign w:val="center"/>
          </w:tcPr>
          <w:p w14:paraId="741ADAA6" w14:textId="77777777" w:rsidR="008136EE" w:rsidRPr="00280684" w:rsidRDefault="008136EE" w:rsidP="005504BF">
            <w:pPr>
              <w:tabs>
                <w:tab w:val="right" w:pos="6804"/>
              </w:tabs>
              <w:autoSpaceDE w:val="0"/>
              <w:autoSpaceDN w:val="0"/>
              <w:adjustRightInd w:val="0"/>
              <w:spacing w:line="240" w:lineRule="auto"/>
              <w:ind w:left="-57" w:right="-57" w:firstLine="0"/>
              <w:jc w:val="center"/>
              <w:rPr>
                <w:b/>
                <w:bCs/>
                <w:sz w:val="22"/>
                <w:szCs w:val="22"/>
              </w:rPr>
            </w:pPr>
            <w:r w:rsidRPr="00280684">
              <w:rPr>
                <w:b/>
                <w:bCs/>
                <w:sz w:val="22"/>
                <w:szCs w:val="22"/>
              </w:rPr>
              <w:t>M±SD</w:t>
            </w:r>
          </w:p>
        </w:tc>
        <w:tc>
          <w:tcPr>
            <w:tcW w:w="1098" w:type="pct"/>
            <w:shd w:val="clear" w:color="auto" w:fill="auto"/>
            <w:vAlign w:val="center"/>
          </w:tcPr>
          <w:p w14:paraId="454318F3" w14:textId="77777777" w:rsidR="008136EE" w:rsidRPr="00280684" w:rsidRDefault="008136EE" w:rsidP="005504BF">
            <w:pPr>
              <w:spacing w:line="240" w:lineRule="auto"/>
              <w:ind w:left="-57" w:right="-57" w:firstLine="0"/>
              <w:jc w:val="center"/>
              <w:rPr>
                <w:sz w:val="22"/>
                <w:szCs w:val="22"/>
              </w:rPr>
            </w:pPr>
            <w:r w:rsidRPr="00280684">
              <w:rPr>
                <w:sz w:val="22"/>
                <w:szCs w:val="22"/>
              </w:rPr>
              <w:t>123.83 ± 13.32</w:t>
            </w:r>
          </w:p>
        </w:tc>
        <w:tc>
          <w:tcPr>
            <w:tcW w:w="1101" w:type="pct"/>
            <w:shd w:val="clear" w:color="auto" w:fill="auto"/>
            <w:noWrap/>
            <w:vAlign w:val="center"/>
          </w:tcPr>
          <w:p w14:paraId="3A210BDA" w14:textId="77777777" w:rsidR="008136EE" w:rsidRPr="00280684" w:rsidRDefault="008136EE" w:rsidP="005504BF">
            <w:pPr>
              <w:spacing w:line="240" w:lineRule="auto"/>
              <w:ind w:left="-57" w:right="-57" w:firstLine="0"/>
              <w:jc w:val="center"/>
              <w:rPr>
                <w:sz w:val="22"/>
                <w:szCs w:val="22"/>
              </w:rPr>
            </w:pPr>
            <w:r w:rsidRPr="00280684">
              <w:rPr>
                <w:sz w:val="22"/>
                <w:szCs w:val="22"/>
              </w:rPr>
              <w:t>114.33 ± 11.33</w:t>
            </w:r>
          </w:p>
        </w:tc>
        <w:tc>
          <w:tcPr>
            <w:tcW w:w="898" w:type="pct"/>
          </w:tcPr>
          <w:p w14:paraId="20D0816A" w14:textId="77777777" w:rsidR="008136EE" w:rsidRPr="00280684" w:rsidRDefault="008136EE" w:rsidP="005504BF">
            <w:pPr>
              <w:spacing w:line="240" w:lineRule="auto"/>
              <w:ind w:left="-57" w:right="-57" w:firstLine="0"/>
              <w:jc w:val="center"/>
              <w:rPr>
                <w:sz w:val="22"/>
                <w:szCs w:val="22"/>
              </w:rPr>
            </w:pPr>
            <w:r w:rsidRPr="00280684">
              <w:rPr>
                <w:color w:val="000000"/>
              </w:rPr>
              <w:t>T = 4.208</w:t>
            </w:r>
          </w:p>
        </w:tc>
        <w:tc>
          <w:tcPr>
            <w:tcW w:w="587" w:type="pct"/>
            <w:shd w:val="clear" w:color="auto" w:fill="auto"/>
            <w:vAlign w:val="center"/>
          </w:tcPr>
          <w:p w14:paraId="7A018377" w14:textId="77777777" w:rsidR="008136EE" w:rsidRPr="00280684" w:rsidRDefault="008136EE" w:rsidP="005504BF">
            <w:pPr>
              <w:spacing w:line="240" w:lineRule="auto"/>
              <w:ind w:left="-57" w:right="-57" w:firstLine="0"/>
              <w:jc w:val="center"/>
              <w:rPr>
                <w:sz w:val="22"/>
                <w:szCs w:val="22"/>
              </w:rPr>
            </w:pPr>
            <w:r w:rsidRPr="00280684">
              <w:rPr>
                <w:sz w:val="22"/>
                <w:szCs w:val="22"/>
              </w:rPr>
              <w:t>&lt;0.001*</w:t>
            </w:r>
          </w:p>
        </w:tc>
      </w:tr>
      <w:tr w:rsidR="008136EE" w:rsidRPr="00280684" w14:paraId="4593B0BD" w14:textId="77777777" w:rsidTr="006F0285">
        <w:trPr>
          <w:trHeight w:val="300"/>
          <w:jc w:val="center"/>
        </w:trPr>
        <w:tc>
          <w:tcPr>
            <w:tcW w:w="715" w:type="pct"/>
            <w:tcBorders>
              <w:bottom w:val="single" w:sz="4" w:space="0" w:color="000000"/>
            </w:tcBorders>
            <w:shd w:val="clear" w:color="auto" w:fill="auto"/>
            <w:noWrap/>
            <w:vAlign w:val="center"/>
          </w:tcPr>
          <w:p w14:paraId="2D62E0D5" w14:textId="77777777" w:rsidR="008136EE" w:rsidRPr="00280684" w:rsidRDefault="008136EE" w:rsidP="005504BF">
            <w:pPr>
              <w:tabs>
                <w:tab w:val="right" w:pos="6804"/>
              </w:tabs>
              <w:autoSpaceDE w:val="0"/>
              <w:autoSpaceDN w:val="0"/>
              <w:adjustRightInd w:val="0"/>
              <w:spacing w:line="240" w:lineRule="auto"/>
              <w:ind w:left="57" w:firstLine="0"/>
              <w:rPr>
                <w:b/>
                <w:bCs/>
                <w:sz w:val="22"/>
                <w:szCs w:val="22"/>
              </w:rPr>
            </w:pPr>
            <w:r w:rsidRPr="00280684">
              <w:rPr>
                <w:b/>
                <w:bCs/>
                <w:sz w:val="22"/>
                <w:szCs w:val="22"/>
              </w:rPr>
              <w:t>DBP</w:t>
            </w:r>
          </w:p>
        </w:tc>
        <w:tc>
          <w:tcPr>
            <w:tcW w:w="600" w:type="pct"/>
            <w:tcBorders>
              <w:bottom w:val="single" w:sz="4" w:space="0" w:color="000000"/>
            </w:tcBorders>
            <w:shd w:val="clear" w:color="auto" w:fill="auto"/>
            <w:noWrap/>
            <w:vAlign w:val="center"/>
          </w:tcPr>
          <w:p w14:paraId="455806DF" w14:textId="77777777" w:rsidR="008136EE" w:rsidRPr="00280684" w:rsidRDefault="008136EE" w:rsidP="005504BF">
            <w:pPr>
              <w:tabs>
                <w:tab w:val="right" w:pos="6804"/>
              </w:tabs>
              <w:autoSpaceDE w:val="0"/>
              <w:autoSpaceDN w:val="0"/>
              <w:adjustRightInd w:val="0"/>
              <w:spacing w:line="240" w:lineRule="auto"/>
              <w:ind w:left="-57" w:right="-57" w:firstLine="0"/>
              <w:jc w:val="center"/>
              <w:rPr>
                <w:b/>
                <w:bCs/>
                <w:sz w:val="22"/>
                <w:szCs w:val="22"/>
              </w:rPr>
            </w:pPr>
            <w:r w:rsidRPr="00280684">
              <w:rPr>
                <w:b/>
                <w:bCs/>
                <w:sz w:val="22"/>
                <w:szCs w:val="22"/>
              </w:rPr>
              <w:t>M±SD</w:t>
            </w:r>
          </w:p>
        </w:tc>
        <w:tc>
          <w:tcPr>
            <w:tcW w:w="1098" w:type="pct"/>
            <w:tcBorders>
              <w:bottom w:val="single" w:sz="4" w:space="0" w:color="000000"/>
            </w:tcBorders>
            <w:shd w:val="clear" w:color="auto" w:fill="auto"/>
            <w:vAlign w:val="center"/>
          </w:tcPr>
          <w:p w14:paraId="5D0C7B64" w14:textId="77777777" w:rsidR="008136EE" w:rsidRPr="00280684" w:rsidRDefault="008136EE" w:rsidP="005504BF">
            <w:pPr>
              <w:spacing w:line="240" w:lineRule="auto"/>
              <w:ind w:left="-57" w:right="-57" w:firstLine="0"/>
              <w:jc w:val="center"/>
              <w:rPr>
                <w:sz w:val="22"/>
                <w:szCs w:val="22"/>
              </w:rPr>
            </w:pPr>
            <w:r w:rsidRPr="00280684">
              <w:rPr>
                <w:sz w:val="22"/>
                <w:szCs w:val="22"/>
              </w:rPr>
              <w:t>76.58 ± 8.61</w:t>
            </w:r>
          </w:p>
        </w:tc>
        <w:tc>
          <w:tcPr>
            <w:tcW w:w="1101" w:type="pct"/>
            <w:tcBorders>
              <w:bottom w:val="single" w:sz="4" w:space="0" w:color="000000"/>
            </w:tcBorders>
            <w:shd w:val="clear" w:color="auto" w:fill="auto"/>
            <w:noWrap/>
            <w:vAlign w:val="center"/>
          </w:tcPr>
          <w:p w14:paraId="42E69820" w14:textId="77777777" w:rsidR="008136EE" w:rsidRPr="00280684" w:rsidRDefault="008136EE" w:rsidP="005504BF">
            <w:pPr>
              <w:spacing w:line="240" w:lineRule="auto"/>
              <w:ind w:left="-57" w:right="-57" w:firstLine="0"/>
              <w:jc w:val="center"/>
              <w:rPr>
                <w:sz w:val="22"/>
                <w:szCs w:val="22"/>
              </w:rPr>
            </w:pPr>
            <w:r w:rsidRPr="00280684">
              <w:rPr>
                <w:sz w:val="22"/>
                <w:szCs w:val="22"/>
              </w:rPr>
              <w:t>72.83 ± 7.94</w:t>
            </w:r>
          </w:p>
        </w:tc>
        <w:tc>
          <w:tcPr>
            <w:tcW w:w="898" w:type="pct"/>
            <w:tcBorders>
              <w:bottom w:val="single" w:sz="4" w:space="0" w:color="000000"/>
            </w:tcBorders>
          </w:tcPr>
          <w:p w14:paraId="2366D393" w14:textId="77777777" w:rsidR="008136EE" w:rsidRPr="00280684" w:rsidRDefault="008136EE" w:rsidP="005504BF">
            <w:pPr>
              <w:spacing w:line="240" w:lineRule="auto"/>
              <w:ind w:left="-57" w:right="-57" w:firstLine="0"/>
              <w:jc w:val="center"/>
              <w:rPr>
                <w:sz w:val="22"/>
                <w:szCs w:val="22"/>
              </w:rPr>
            </w:pPr>
            <w:r w:rsidRPr="00280684">
              <w:rPr>
                <w:color w:val="000000"/>
              </w:rPr>
              <w:t>T = 2.480</w:t>
            </w:r>
          </w:p>
        </w:tc>
        <w:tc>
          <w:tcPr>
            <w:tcW w:w="587" w:type="pct"/>
            <w:tcBorders>
              <w:bottom w:val="single" w:sz="4" w:space="0" w:color="000000"/>
            </w:tcBorders>
            <w:shd w:val="clear" w:color="auto" w:fill="auto"/>
            <w:vAlign w:val="center"/>
          </w:tcPr>
          <w:p w14:paraId="3ACF80F9" w14:textId="77777777" w:rsidR="008136EE" w:rsidRPr="00280684" w:rsidRDefault="008136EE" w:rsidP="006F0285">
            <w:pPr>
              <w:keepNext/>
              <w:spacing w:line="240" w:lineRule="auto"/>
              <w:ind w:left="-57" w:right="-57" w:firstLine="0"/>
              <w:jc w:val="center"/>
              <w:rPr>
                <w:sz w:val="22"/>
                <w:szCs w:val="22"/>
              </w:rPr>
            </w:pPr>
            <w:r w:rsidRPr="00280684">
              <w:rPr>
                <w:sz w:val="22"/>
                <w:szCs w:val="22"/>
              </w:rPr>
              <w:t>0.015*</w:t>
            </w:r>
          </w:p>
        </w:tc>
      </w:tr>
    </w:tbl>
    <w:p w14:paraId="079A3379" w14:textId="77777777" w:rsidR="006F0285" w:rsidRPr="006F0285" w:rsidRDefault="006F0285" w:rsidP="006F0285">
      <w:pPr>
        <w:pStyle w:val="BodyText"/>
        <w:spacing w:line="360" w:lineRule="auto"/>
        <w:ind w:right="26" w:firstLine="720"/>
        <w:rPr>
          <w:b/>
          <w:bCs/>
          <w:color w:val="4F81BD" w:themeColor="accent1"/>
          <w:sz w:val="18"/>
          <w:szCs w:val="18"/>
        </w:rPr>
      </w:pPr>
      <w:r w:rsidRPr="006F0285">
        <w:rPr>
          <w:b/>
          <w:bCs/>
          <w:color w:val="4F81BD" w:themeColor="accent1"/>
          <w:sz w:val="18"/>
          <w:szCs w:val="18"/>
        </w:rPr>
        <w:t>* Significant at p-value &lt;0.05</w:t>
      </w:r>
    </w:p>
    <w:p w14:paraId="41B5534B" w14:textId="77777777" w:rsidR="006F0285" w:rsidRPr="006F0285" w:rsidRDefault="006F0285" w:rsidP="006F0285">
      <w:pPr>
        <w:pStyle w:val="BodyText"/>
        <w:spacing w:line="360" w:lineRule="auto"/>
        <w:ind w:right="26" w:firstLine="720"/>
        <w:rPr>
          <w:b/>
          <w:bCs/>
          <w:color w:val="4F81BD" w:themeColor="accent1"/>
          <w:sz w:val="18"/>
          <w:szCs w:val="18"/>
        </w:rPr>
      </w:pPr>
      <w:r w:rsidRPr="006F0285">
        <w:rPr>
          <w:b/>
          <w:bCs/>
          <w:color w:val="4F81BD" w:themeColor="accent1"/>
          <w:sz w:val="18"/>
          <w:szCs w:val="18"/>
        </w:rPr>
        <w:t>** FE: Fisher’s exact test, X</w:t>
      </w:r>
      <w:r w:rsidRPr="006F0285">
        <w:rPr>
          <w:b/>
          <w:bCs/>
          <w:color w:val="4F81BD" w:themeColor="accent1"/>
          <w:sz w:val="18"/>
          <w:szCs w:val="18"/>
          <w:vertAlign w:val="superscript"/>
        </w:rPr>
        <w:t>2</w:t>
      </w:r>
      <w:r w:rsidRPr="006F0285">
        <w:rPr>
          <w:b/>
          <w:bCs/>
          <w:color w:val="4F81BD" w:themeColor="accent1"/>
          <w:sz w:val="18"/>
          <w:szCs w:val="18"/>
          <w:vertAlign w:val="subscript"/>
        </w:rPr>
        <w:t>ChS</w:t>
      </w:r>
      <w:r w:rsidRPr="006F0285">
        <w:rPr>
          <w:b/>
          <w:bCs/>
          <w:color w:val="4F81BD" w:themeColor="accent1"/>
          <w:sz w:val="18"/>
          <w:szCs w:val="18"/>
        </w:rPr>
        <w:t xml:space="preserve">: Pearson’s Chi-square test for independence of observations, </w:t>
      </w:r>
    </w:p>
    <w:p w14:paraId="1ACF7325" w14:textId="45AF6674" w:rsidR="00327027" w:rsidRDefault="00122B7C" w:rsidP="00FE1C9F">
      <w:pPr>
        <w:pStyle w:val="BodyText"/>
        <w:spacing w:line="360" w:lineRule="auto"/>
        <w:ind w:right="26" w:firstLine="720"/>
        <w:jc w:val="both"/>
        <w:rPr>
          <w:rFonts w:asciiTheme="majorBidi" w:hAnsiTheme="majorBidi" w:cstheme="majorBidi"/>
          <w:color w:val="000000" w:themeColor="text1"/>
          <w:sz w:val="24"/>
          <w:szCs w:val="24"/>
        </w:rPr>
      </w:pPr>
      <w:r w:rsidRPr="00280684">
        <w:rPr>
          <w:rFonts w:asciiTheme="majorBidi" w:hAnsiTheme="majorBidi" w:cstheme="majorBidi"/>
          <w:sz w:val="24"/>
          <w:szCs w:val="24"/>
        </w:rPr>
        <w:t>R</w:t>
      </w:r>
      <w:r w:rsidR="00327027" w:rsidRPr="00280684">
        <w:rPr>
          <w:rFonts w:asciiTheme="majorBidi" w:hAnsiTheme="majorBidi" w:cstheme="majorBidi"/>
          <w:sz w:val="24"/>
          <w:szCs w:val="24"/>
        </w:rPr>
        <w:t>egard</w:t>
      </w:r>
      <w:r w:rsidRPr="00280684">
        <w:rPr>
          <w:rFonts w:asciiTheme="majorBidi" w:hAnsiTheme="majorBidi" w:cstheme="majorBidi"/>
          <w:sz w:val="24"/>
          <w:szCs w:val="24"/>
        </w:rPr>
        <w:t>ing</w:t>
      </w:r>
      <w:r w:rsidR="00327027" w:rsidRPr="00280684">
        <w:rPr>
          <w:rFonts w:asciiTheme="majorBidi" w:hAnsiTheme="majorBidi" w:cstheme="majorBidi"/>
          <w:sz w:val="24"/>
          <w:szCs w:val="24"/>
        </w:rPr>
        <w:t xml:space="preserve"> laboratory </w:t>
      </w:r>
      <w:r w:rsidRPr="00280684">
        <w:rPr>
          <w:rFonts w:asciiTheme="majorBidi" w:hAnsiTheme="majorBidi" w:cstheme="majorBidi"/>
          <w:sz w:val="24"/>
          <w:szCs w:val="24"/>
        </w:rPr>
        <w:t xml:space="preserve">parameters, </w:t>
      </w:r>
      <w:r w:rsidR="00327027" w:rsidRPr="00280684">
        <w:rPr>
          <w:rFonts w:asciiTheme="majorBidi" w:hAnsiTheme="majorBidi" w:cstheme="majorBidi"/>
          <w:sz w:val="24"/>
          <w:szCs w:val="24"/>
        </w:rPr>
        <w:t xml:space="preserve">group 1 shows statistically </w:t>
      </w:r>
      <w:r w:rsidR="00D17EC6">
        <w:rPr>
          <w:rFonts w:asciiTheme="majorBidi" w:hAnsiTheme="majorBidi" w:cstheme="majorBidi"/>
          <w:sz w:val="24"/>
          <w:szCs w:val="24"/>
        </w:rPr>
        <w:t>significantly</w:t>
      </w:r>
      <w:r w:rsidR="00327027" w:rsidRPr="00280684">
        <w:rPr>
          <w:rFonts w:asciiTheme="majorBidi" w:hAnsiTheme="majorBidi" w:cstheme="majorBidi"/>
          <w:sz w:val="24"/>
          <w:szCs w:val="24"/>
        </w:rPr>
        <w:t xml:space="preserve"> higher values for FBG (p: 0.004), HbA</w:t>
      </w:r>
      <w:r w:rsidR="00327027" w:rsidRPr="00280684">
        <w:rPr>
          <w:rFonts w:asciiTheme="majorBidi" w:hAnsiTheme="majorBidi" w:cstheme="majorBidi"/>
          <w:sz w:val="24"/>
          <w:szCs w:val="24"/>
          <w:vertAlign w:val="subscript"/>
        </w:rPr>
        <w:t>1c</w:t>
      </w:r>
      <w:r w:rsidR="00327027" w:rsidRPr="00280684">
        <w:rPr>
          <w:rFonts w:asciiTheme="majorBidi" w:hAnsiTheme="majorBidi" w:cstheme="majorBidi"/>
          <w:sz w:val="24"/>
          <w:szCs w:val="24"/>
        </w:rPr>
        <w:t xml:space="preserve"> (p &lt;0.001), cholesterol (p: 0.007), LDL-C (p: 0.001), ALT (p &lt;0.001</w:t>
      </w:r>
      <w:r w:rsidR="00327027" w:rsidRPr="00280684">
        <w:rPr>
          <w:rFonts w:asciiTheme="majorBidi" w:hAnsiTheme="majorBidi" w:cstheme="majorBidi"/>
          <w:sz w:val="24"/>
          <w:szCs w:val="24"/>
          <w:vertAlign w:val="superscript"/>
        </w:rPr>
        <w:t>*</w:t>
      </w:r>
      <w:r w:rsidR="00327027" w:rsidRPr="00280684">
        <w:rPr>
          <w:rFonts w:asciiTheme="majorBidi" w:hAnsiTheme="majorBidi" w:cstheme="majorBidi"/>
          <w:sz w:val="24"/>
          <w:szCs w:val="24"/>
        </w:rPr>
        <w:t xml:space="preserve">) and AST (p: 0.025), while group 2 shows statistically significant higher values for albumin level (p: 0.035). There was no statistically significant difference between the studied groups regarding insulin level (p: 0.055), HOMA-IR (p: 0.057), </w:t>
      </w:r>
      <w:r w:rsidR="00FE1C9F" w:rsidRPr="00280684">
        <w:rPr>
          <w:rFonts w:asciiTheme="majorBidi" w:hAnsiTheme="majorBidi" w:cstheme="majorBidi"/>
          <w:sz w:val="24"/>
          <w:szCs w:val="24"/>
        </w:rPr>
        <w:t>TG</w:t>
      </w:r>
      <w:r w:rsidR="00327027" w:rsidRPr="00280684">
        <w:rPr>
          <w:rFonts w:asciiTheme="majorBidi" w:hAnsiTheme="majorBidi" w:cstheme="majorBidi"/>
          <w:sz w:val="24"/>
          <w:szCs w:val="24"/>
        </w:rPr>
        <w:t xml:space="preserve"> (p: 0.064), HDL-C (p: 0.631), INR (p:0.746) and bilirubin (p: 0.</w:t>
      </w:r>
      <w:r w:rsidR="00327027" w:rsidRPr="00280684">
        <w:rPr>
          <w:rFonts w:asciiTheme="majorBidi" w:hAnsiTheme="majorBidi" w:cstheme="majorBidi"/>
          <w:color w:val="000000" w:themeColor="text1"/>
          <w:sz w:val="24"/>
          <w:szCs w:val="24"/>
        </w:rPr>
        <w:t>823).</w:t>
      </w:r>
    </w:p>
    <w:p w14:paraId="721B8BC5" w14:textId="201C243D" w:rsidR="008136EE" w:rsidRPr="008136EE" w:rsidRDefault="008136EE" w:rsidP="008136EE">
      <w:pPr>
        <w:pStyle w:val="Caption"/>
        <w:keepNext/>
      </w:pPr>
      <w:r>
        <w:t xml:space="preserve">Table </w:t>
      </w:r>
      <w:r w:rsidR="009D2E3D">
        <w:t>4</w:t>
      </w:r>
      <w:r>
        <w:t>.</w:t>
      </w:r>
      <w:r w:rsidRPr="008136EE">
        <w:t xml:space="preserve"> Comparison of laboratory parameters of the studied groups.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Comparison of laboratory parameters of the studied groups."/>
      </w:tblPr>
      <w:tblGrid>
        <w:gridCol w:w="2742"/>
        <w:gridCol w:w="52"/>
        <w:gridCol w:w="995"/>
        <w:gridCol w:w="1645"/>
        <w:gridCol w:w="1612"/>
        <w:gridCol w:w="1029"/>
        <w:gridCol w:w="951"/>
      </w:tblGrid>
      <w:tr w:rsidR="008136EE" w:rsidRPr="00280684" w14:paraId="5FB039F5" w14:textId="77777777" w:rsidTr="006F0285">
        <w:trPr>
          <w:jc w:val="center"/>
        </w:trPr>
        <w:tc>
          <w:tcPr>
            <w:tcW w:w="2099" w:type="pct"/>
            <w:gridSpan w:val="3"/>
            <w:tcBorders>
              <w:top w:val="single" w:sz="4" w:space="0" w:color="000000"/>
              <w:bottom w:val="single" w:sz="4" w:space="0" w:color="000000"/>
            </w:tcBorders>
            <w:shd w:val="clear" w:color="auto" w:fill="auto"/>
            <w:vAlign w:val="center"/>
          </w:tcPr>
          <w:p w14:paraId="3DC29187"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p>
        </w:tc>
        <w:tc>
          <w:tcPr>
            <w:tcW w:w="911" w:type="pct"/>
            <w:tcBorders>
              <w:top w:val="single" w:sz="4" w:space="0" w:color="000000"/>
              <w:bottom w:val="single" w:sz="4" w:space="0" w:color="000000"/>
            </w:tcBorders>
            <w:shd w:val="clear" w:color="auto" w:fill="auto"/>
            <w:vAlign w:val="center"/>
          </w:tcPr>
          <w:p w14:paraId="6C55C759"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Group 1</w:t>
            </w:r>
          </w:p>
          <w:p w14:paraId="31CDA355"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rFonts w:eastAsia="Times New Roman"/>
                <w:b/>
                <w:bCs/>
                <w:sz w:val="22"/>
                <w:szCs w:val="22"/>
              </w:rPr>
              <w:t>(N= 60)</w:t>
            </w:r>
          </w:p>
        </w:tc>
        <w:tc>
          <w:tcPr>
            <w:tcW w:w="893" w:type="pct"/>
            <w:tcBorders>
              <w:top w:val="single" w:sz="4" w:space="0" w:color="000000"/>
              <w:bottom w:val="single" w:sz="4" w:space="0" w:color="000000"/>
            </w:tcBorders>
            <w:shd w:val="clear" w:color="auto" w:fill="auto"/>
            <w:vAlign w:val="center"/>
          </w:tcPr>
          <w:p w14:paraId="38FFD36A"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Group 2</w:t>
            </w:r>
          </w:p>
          <w:p w14:paraId="495E53B0"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rFonts w:eastAsia="Times New Roman"/>
                <w:b/>
                <w:bCs/>
                <w:sz w:val="22"/>
                <w:szCs w:val="22"/>
              </w:rPr>
              <w:t>(N=60)</w:t>
            </w:r>
          </w:p>
        </w:tc>
        <w:tc>
          <w:tcPr>
            <w:tcW w:w="570" w:type="pct"/>
            <w:tcBorders>
              <w:top w:val="single" w:sz="4" w:space="0" w:color="000000"/>
              <w:bottom w:val="single" w:sz="4" w:space="0" w:color="000000"/>
            </w:tcBorders>
            <w:shd w:val="clear" w:color="auto" w:fill="auto"/>
            <w:vAlign w:val="center"/>
          </w:tcPr>
          <w:p w14:paraId="42BD5A08"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Test</w:t>
            </w:r>
          </w:p>
        </w:tc>
        <w:tc>
          <w:tcPr>
            <w:tcW w:w="527" w:type="pct"/>
            <w:tcBorders>
              <w:top w:val="single" w:sz="4" w:space="0" w:color="000000"/>
              <w:bottom w:val="single" w:sz="4" w:space="0" w:color="000000"/>
            </w:tcBorders>
            <w:shd w:val="clear" w:color="auto" w:fill="auto"/>
            <w:vAlign w:val="center"/>
          </w:tcPr>
          <w:p w14:paraId="7533CF9A" w14:textId="77777777" w:rsidR="008136EE" w:rsidRPr="00280684" w:rsidRDefault="008136EE" w:rsidP="005504BF">
            <w:pPr>
              <w:tabs>
                <w:tab w:val="right" w:pos="6804"/>
              </w:tabs>
              <w:autoSpaceDE w:val="0"/>
              <w:autoSpaceDN w:val="0"/>
              <w:adjustRightInd w:val="0"/>
              <w:spacing w:line="240" w:lineRule="auto"/>
              <w:ind w:firstLine="0"/>
              <w:jc w:val="center"/>
              <w:rPr>
                <w:b/>
                <w:bCs/>
                <w:sz w:val="22"/>
                <w:szCs w:val="22"/>
              </w:rPr>
            </w:pPr>
            <w:r w:rsidRPr="00280684">
              <w:rPr>
                <w:b/>
                <w:bCs/>
                <w:sz w:val="22"/>
                <w:szCs w:val="22"/>
              </w:rPr>
              <w:t>p</w:t>
            </w:r>
          </w:p>
        </w:tc>
      </w:tr>
      <w:tr w:rsidR="008136EE" w:rsidRPr="00280684" w14:paraId="261B1383" w14:textId="77777777" w:rsidTr="006F0285">
        <w:trPr>
          <w:trHeight w:val="64"/>
          <w:jc w:val="center"/>
        </w:trPr>
        <w:tc>
          <w:tcPr>
            <w:tcW w:w="1519" w:type="pct"/>
            <w:tcBorders>
              <w:top w:val="single" w:sz="4" w:space="0" w:color="000000"/>
            </w:tcBorders>
            <w:shd w:val="clear" w:color="auto" w:fill="auto"/>
            <w:vAlign w:val="center"/>
          </w:tcPr>
          <w:p w14:paraId="06AC6551"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FBG (mg/dl)</w:t>
            </w:r>
          </w:p>
        </w:tc>
        <w:tc>
          <w:tcPr>
            <w:tcW w:w="580" w:type="pct"/>
            <w:gridSpan w:val="2"/>
            <w:tcBorders>
              <w:top w:val="single" w:sz="4" w:space="0" w:color="000000"/>
            </w:tcBorders>
            <w:shd w:val="clear" w:color="auto" w:fill="auto"/>
            <w:vAlign w:val="center"/>
          </w:tcPr>
          <w:p w14:paraId="1EB78AD3"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tcBorders>
              <w:top w:val="single" w:sz="4" w:space="0" w:color="000000"/>
            </w:tcBorders>
            <w:shd w:val="clear" w:color="auto" w:fill="auto"/>
            <w:vAlign w:val="center"/>
          </w:tcPr>
          <w:p w14:paraId="0255958D" w14:textId="77777777" w:rsidR="008136EE" w:rsidRPr="00280684" w:rsidRDefault="008136EE" w:rsidP="005504BF">
            <w:pPr>
              <w:spacing w:line="240" w:lineRule="auto"/>
              <w:ind w:left="-57" w:right="-57" w:firstLine="0"/>
              <w:jc w:val="center"/>
              <w:rPr>
                <w:sz w:val="21"/>
                <w:szCs w:val="21"/>
              </w:rPr>
            </w:pPr>
            <w:r w:rsidRPr="00280684">
              <w:rPr>
                <w:sz w:val="21"/>
                <w:szCs w:val="21"/>
              </w:rPr>
              <w:t>89.30± 7.84</w:t>
            </w:r>
          </w:p>
        </w:tc>
        <w:tc>
          <w:tcPr>
            <w:tcW w:w="893" w:type="pct"/>
            <w:tcBorders>
              <w:top w:val="single" w:sz="4" w:space="0" w:color="000000"/>
            </w:tcBorders>
            <w:shd w:val="clear" w:color="auto" w:fill="auto"/>
            <w:vAlign w:val="center"/>
          </w:tcPr>
          <w:p w14:paraId="2856EDFC" w14:textId="77777777" w:rsidR="008136EE" w:rsidRPr="00280684" w:rsidRDefault="008136EE" w:rsidP="005504BF">
            <w:pPr>
              <w:spacing w:line="240" w:lineRule="auto"/>
              <w:ind w:left="-57" w:right="-57" w:firstLine="0"/>
              <w:jc w:val="center"/>
              <w:rPr>
                <w:sz w:val="21"/>
                <w:szCs w:val="21"/>
              </w:rPr>
            </w:pPr>
            <w:r w:rsidRPr="00280684">
              <w:rPr>
                <w:sz w:val="21"/>
                <w:szCs w:val="21"/>
              </w:rPr>
              <w:t>84.22±10.86</w:t>
            </w:r>
          </w:p>
        </w:tc>
        <w:tc>
          <w:tcPr>
            <w:tcW w:w="570" w:type="pct"/>
            <w:tcBorders>
              <w:top w:val="single" w:sz="4" w:space="0" w:color="000000"/>
            </w:tcBorders>
            <w:shd w:val="clear" w:color="auto" w:fill="auto"/>
            <w:vAlign w:val="center"/>
          </w:tcPr>
          <w:p w14:paraId="29F49306" w14:textId="77777777" w:rsidR="008136EE" w:rsidRPr="00280684" w:rsidRDefault="008136EE" w:rsidP="005504BF">
            <w:pPr>
              <w:spacing w:line="240" w:lineRule="auto"/>
              <w:ind w:left="-57" w:right="-57" w:firstLine="0"/>
              <w:jc w:val="center"/>
              <w:rPr>
                <w:sz w:val="21"/>
                <w:szCs w:val="21"/>
              </w:rPr>
            </w:pPr>
            <w:r w:rsidRPr="00280684">
              <w:rPr>
                <w:sz w:val="21"/>
                <w:szCs w:val="21"/>
              </w:rPr>
              <w:t>t = 2.936</w:t>
            </w:r>
          </w:p>
        </w:tc>
        <w:tc>
          <w:tcPr>
            <w:tcW w:w="527" w:type="pct"/>
            <w:tcBorders>
              <w:top w:val="single" w:sz="4" w:space="0" w:color="000000"/>
            </w:tcBorders>
            <w:shd w:val="clear" w:color="auto" w:fill="auto"/>
            <w:vAlign w:val="center"/>
          </w:tcPr>
          <w:p w14:paraId="26B919AF" w14:textId="77777777" w:rsidR="008136EE" w:rsidRPr="00280684" w:rsidRDefault="008136EE" w:rsidP="005504BF">
            <w:pPr>
              <w:spacing w:line="240" w:lineRule="auto"/>
              <w:ind w:left="-57" w:right="-57" w:firstLine="0"/>
              <w:jc w:val="center"/>
              <w:rPr>
                <w:sz w:val="21"/>
                <w:szCs w:val="21"/>
              </w:rPr>
            </w:pPr>
            <w:r w:rsidRPr="00280684">
              <w:rPr>
                <w:sz w:val="21"/>
                <w:szCs w:val="21"/>
              </w:rPr>
              <w:t>0.004</w:t>
            </w:r>
            <w:r w:rsidRPr="00280684">
              <w:rPr>
                <w:sz w:val="21"/>
                <w:szCs w:val="21"/>
                <w:vertAlign w:val="superscript"/>
              </w:rPr>
              <w:t>*</w:t>
            </w:r>
          </w:p>
        </w:tc>
      </w:tr>
      <w:tr w:rsidR="008136EE" w:rsidRPr="00280684" w14:paraId="265C413A" w14:textId="77777777" w:rsidTr="006F0285">
        <w:trPr>
          <w:trHeight w:val="425"/>
          <w:jc w:val="center"/>
        </w:trPr>
        <w:tc>
          <w:tcPr>
            <w:tcW w:w="1519" w:type="pct"/>
            <w:shd w:val="clear" w:color="auto" w:fill="auto"/>
            <w:vAlign w:val="center"/>
          </w:tcPr>
          <w:p w14:paraId="77C84042"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HbA</w:t>
            </w:r>
            <w:r w:rsidRPr="003770FE">
              <w:rPr>
                <w:sz w:val="22"/>
                <w:szCs w:val="22"/>
                <w:vertAlign w:val="subscript"/>
              </w:rPr>
              <w:t>1c</w:t>
            </w:r>
            <w:r w:rsidRPr="003770FE">
              <w:rPr>
                <w:sz w:val="22"/>
                <w:szCs w:val="22"/>
              </w:rPr>
              <w:t xml:space="preserve"> (%)</w:t>
            </w:r>
          </w:p>
        </w:tc>
        <w:tc>
          <w:tcPr>
            <w:tcW w:w="580" w:type="pct"/>
            <w:gridSpan w:val="2"/>
            <w:shd w:val="clear" w:color="auto" w:fill="auto"/>
            <w:vAlign w:val="center"/>
          </w:tcPr>
          <w:p w14:paraId="5856229B"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7B7A6D3F" w14:textId="77777777" w:rsidR="008136EE" w:rsidRPr="00280684" w:rsidRDefault="008136EE" w:rsidP="005504BF">
            <w:pPr>
              <w:spacing w:line="240" w:lineRule="auto"/>
              <w:ind w:left="-57" w:right="-57" w:firstLine="0"/>
              <w:jc w:val="center"/>
              <w:rPr>
                <w:sz w:val="21"/>
                <w:szCs w:val="21"/>
              </w:rPr>
            </w:pPr>
            <w:r w:rsidRPr="00280684">
              <w:rPr>
                <w:sz w:val="21"/>
                <w:szCs w:val="21"/>
              </w:rPr>
              <w:t>5.89±.32</w:t>
            </w:r>
          </w:p>
        </w:tc>
        <w:tc>
          <w:tcPr>
            <w:tcW w:w="893" w:type="pct"/>
            <w:shd w:val="clear" w:color="auto" w:fill="auto"/>
            <w:vAlign w:val="center"/>
          </w:tcPr>
          <w:p w14:paraId="22BDFB08" w14:textId="77777777" w:rsidR="008136EE" w:rsidRPr="00280684" w:rsidRDefault="008136EE" w:rsidP="005504BF">
            <w:pPr>
              <w:spacing w:line="240" w:lineRule="auto"/>
              <w:ind w:left="-57" w:right="-57" w:firstLine="0"/>
              <w:jc w:val="center"/>
              <w:rPr>
                <w:sz w:val="21"/>
                <w:szCs w:val="21"/>
              </w:rPr>
            </w:pPr>
            <w:r w:rsidRPr="00280684">
              <w:rPr>
                <w:sz w:val="21"/>
                <w:szCs w:val="21"/>
              </w:rPr>
              <w:t>5.09±.36</w:t>
            </w:r>
          </w:p>
        </w:tc>
        <w:tc>
          <w:tcPr>
            <w:tcW w:w="570" w:type="pct"/>
            <w:shd w:val="clear" w:color="auto" w:fill="auto"/>
            <w:vAlign w:val="center"/>
          </w:tcPr>
          <w:p w14:paraId="6D54202B" w14:textId="77777777" w:rsidR="008136EE" w:rsidRPr="00280684" w:rsidRDefault="008136EE" w:rsidP="005504BF">
            <w:pPr>
              <w:spacing w:line="240" w:lineRule="auto"/>
              <w:ind w:left="-57" w:right="-57" w:firstLine="0"/>
              <w:jc w:val="center"/>
              <w:rPr>
                <w:sz w:val="21"/>
                <w:szCs w:val="21"/>
              </w:rPr>
            </w:pPr>
            <w:r w:rsidRPr="00280684">
              <w:rPr>
                <w:sz w:val="21"/>
                <w:szCs w:val="21"/>
              </w:rPr>
              <w:t>t=12.956</w:t>
            </w:r>
          </w:p>
        </w:tc>
        <w:tc>
          <w:tcPr>
            <w:tcW w:w="527" w:type="pct"/>
            <w:shd w:val="clear" w:color="auto" w:fill="auto"/>
            <w:vAlign w:val="center"/>
          </w:tcPr>
          <w:p w14:paraId="4F630FA6" w14:textId="77777777" w:rsidR="008136EE" w:rsidRPr="00280684" w:rsidRDefault="008136EE" w:rsidP="005504BF">
            <w:pPr>
              <w:spacing w:line="240" w:lineRule="auto"/>
              <w:ind w:left="-57" w:right="-57" w:firstLine="0"/>
              <w:jc w:val="center"/>
              <w:rPr>
                <w:sz w:val="21"/>
                <w:szCs w:val="21"/>
              </w:rPr>
            </w:pPr>
            <w:r w:rsidRPr="00280684">
              <w:rPr>
                <w:sz w:val="21"/>
                <w:szCs w:val="21"/>
              </w:rPr>
              <w:t>&lt;0.001</w:t>
            </w:r>
            <w:r w:rsidRPr="00280684">
              <w:rPr>
                <w:sz w:val="21"/>
                <w:szCs w:val="21"/>
                <w:vertAlign w:val="superscript"/>
              </w:rPr>
              <w:t>*</w:t>
            </w:r>
          </w:p>
        </w:tc>
      </w:tr>
      <w:tr w:rsidR="008136EE" w:rsidRPr="00280684" w14:paraId="739DBDDF" w14:textId="77777777" w:rsidTr="006F0285">
        <w:trPr>
          <w:trHeight w:val="425"/>
          <w:jc w:val="center"/>
        </w:trPr>
        <w:tc>
          <w:tcPr>
            <w:tcW w:w="1519" w:type="pct"/>
            <w:shd w:val="clear" w:color="auto" w:fill="auto"/>
            <w:vAlign w:val="center"/>
          </w:tcPr>
          <w:p w14:paraId="3C3F1374"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Insulin level (</w:t>
            </w:r>
            <w:proofErr w:type="spellStart"/>
            <w:r w:rsidRPr="003770FE">
              <w:rPr>
                <w:sz w:val="22"/>
                <w:szCs w:val="22"/>
              </w:rPr>
              <w:t>miu</w:t>
            </w:r>
            <w:proofErr w:type="spellEnd"/>
            <w:r w:rsidRPr="003770FE">
              <w:rPr>
                <w:sz w:val="22"/>
                <w:szCs w:val="22"/>
              </w:rPr>
              <w:t>/ml)</w:t>
            </w:r>
          </w:p>
        </w:tc>
        <w:tc>
          <w:tcPr>
            <w:tcW w:w="580" w:type="pct"/>
            <w:gridSpan w:val="2"/>
            <w:shd w:val="clear" w:color="auto" w:fill="auto"/>
            <w:vAlign w:val="center"/>
          </w:tcPr>
          <w:p w14:paraId="5ADA2A9F"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7EA1FBA9" w14:textId="77777777" w:rsidR="008136EE" w:rsidRPr="00280684" w:rsidRDefault="008136EE" w:rsidP="005504BF">
            <w:pPr>
              <w:spacing w:line="240" w:lineRule="auto"/>
              <w:ind w:left="-57" w:right="-57" w:firstLine="0"/>
              <w:jc w:val="center"/>
              <w:rPr>
                <w:sz w:val="21"/>
                <w:szCs w:val="21"/>
              </w:rPr>
            </w:pPr>
            <w:r w:rsidRPr="00280684">
              <w:rPr>
                <w:sz w:val="21"/>
                <w:szCs w:val="21"/>
              </w:rPr>
              <w:t>11.16±5.84</w:t>
            </w:r>
          </w:p>
        </w:tc>
        <w:tc>
          <w:tcPr>
            <w:tcW w:w="893" w:type="pct"/>
            <w:shd w:val="clear" w:color="auto" w:fill="auto"/>
            <w:vAlign w:val="center"/>
          </w:tcPr>
          <w:p w14:paraId="274083CC" w14:textId="77777777" w:rsidR="008136EE" w:rsidRPr="00280684" w:rsidRDefault="008136EE" w:rsidP="005504BF">
            <w:pPr>
              <w:spacing w:line="240" w:lineRule="auto"/>
              <w:ind w:left="-57" w:right="-57" w:firstLine="0"/>
              <w:jc w:val="center"/>
              <w:rPr>
                <w:sz w:val="21"/>
                <w:szCs w:val="21"/>
              </w:rPr>
            </w:pPr>
            <w:r w:rsidRPr="00280684">
              <w:rPr>
                <w:sz w:val="21"/>
                <w:szCs w:val="21"/>
              </w:rPr>
              <w:t>9.36±4.22</w:t>
            </w:r>
          </w:p>
        </w:tc>
        <w:tc>
          <w:tcPr>
            <w:tcW w:w="570" w:type="pct"/>
            <w:shd w:val="clear" w:color="auto" w:fill="auto"/>
            <w:vAlign w:val="center"/>
          </w:tcPr>
          <w:p w14:paraId="710CF742" w14:textId="77777777" w:rsidR="008136EE" w:rsidRPr="00280684" w:rsidRDefault="008136EE" w:rsidP="005504BF">
            <w:pPr>
              <w:spacing w:line="240" w:lineRule="auto"/>
              <w:ind w:left="-57" w:right="-57" w:firstLine="0"/>
              <w:jc w:val="center"/>
              <w:rPr>
                <w:sz w:val="21"/>
                <w:szCs w:val="21"/>
              </w:rPr>
            </w:pPr>
            <w:r w:rsidRPr="00280684">
              <w:rPr>
                <w:sz w:val="21"/>
                <w:szCs w:val="21"/>
              </w:rPr>
              <w:t>t=1.937</w:t>
            </w:r>
          </w:p>
        </w:tc>
        <w:tc>
          <w:tcPr>
            <w:tcW w:w="527" w:type="pct"/>
            <w:shd w:val="clear" w:color="auto" w:fill="auto"/>
            <w:vAlign w:val="center"/>
          </w:tcPr>
          <w:p w14:paraId="19768A20" w14:textId="77777777" w:rsidR="008136EE" w:rsidRPr="00280684" w:rsidRDefault="008136EE" w:rsidP="005504BF">
            <w:pPr>
              <w:spacing w:line="240" w:lineRule="auto"/>
              <w:ind w:left="-57" w:right="-57" w:firstLine="0"/>
              <w:jc w:val="center"/>
              <w:rPr>
                <w:sz w:val="21"/>
                <w:szCs w:val="21"/>
              </w:rPr>
            </w:pPr>
            <w:r w:rsidRPr="00280684">
              <w:rPr>
                <w:sz w:val="21"/>
                <w:szCs w:val="21"/>
              </w:rPr>
              <w:t>0.055</w:t>
            </w:r>
          </w:p>
        </w:tc>
      </w:tr>
      <w:tr w:rsidR="008136EE" w:rsidRPr="00280684" w14:paraId="232D7EC7" w14:textId="77777777" w:rsidTr="006F0285">
        <w:trPr>
          <w:jc w:val="center"/>
        </w:trPr>
        <w:tc>
          <w:tcPr>
            <w:tcW w:w="1519" w:type="pct"/>
            <w:shd w:val="clear" w:color="auto" w:fill="auto"/>
            <w:vAlign w:val="center"/>
          </w:tcPr>
          <w:p w14:paraId="058A0276"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HOMA-IR</w:t>
            </w:r>
          </w:p>
        </w:tc>
        <w:tc>
          <w:tcPr>
            <w:tcW w:w="580" w:type="pct"/>
            <w:gridSpan w:val="2"/>
            <w:shd w:val="clear" w:color="auto" w:fill="auto"/>
            <w:vAlign w:val="center"/>
          </w:tcPr>
          <w:p w14:paraId="1A8D1274"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Median (IQR)</w:t>
            </w:r>
          </w:p>
        </w:tc>
        <w:tc>
          <w:tcPr>
            <w:tcW w:w="911" w:type="pct"/>
            <w:shd w:val="clear" w:color="auto" w:fill="auto"/>
            <w:vAlign w:val="center"/>
          </w:tcPr>
          <w:p w14:paraId="3109BEB6" w14:textId="77777777" w:rsidR="008136EE" w:rsidRPr="00280684" w:rsidRDefault="008136EE" w:rsidP="005504BF">
            <w:pPr>
              <w:spacing w:line="240" w:lineRule="auto"/>
              <w:ind w:left="-57" w:right="-57" w:firstLine="0"/>
              <w:jc w:val="center"/>
              <w:rPr>
                <w:sz w:val="21"/>
                <w:szCs w:val="21"/>
              </w:rPr>
            </w:pPr>
            <w:r w:rsidRPr="00280684">
              <w:rPr>
                <w:sz w:val="21"/>
                <w:szCs w:val="21"/>
              </w:rPr>
              <w:t xml:space="preserve">2.20 </w:t>
            </w:r>
          </w:p>
          <w:p w14:paraId="5DE62C66" w14:textId="77777777" w:rsidR="008136EE" w:rsidRPr="00280684" w:rsidRDefault="008136EE" w:rsidP="005504BF">
            <w:pPr>
              <w:spacing w:line="240" w:lineRule="auto"/>
              <w:ind w:left="-57" w:right="-57" w:firstLine="0"/>
              <w:jc w:val="center"/>
              <w:rPr>
                <w:sz w:val="21"/>
                <w:szCs w:val="21"/>
              </w:rPr>
            </w:pPr>
            <w:r w:rsidRPr="00280684">
              <w:rPr>
                <w:sz w:val="21"/>
                <w:szCs w:val="21"/>
              </w:rPr>
              <w:t>(1.35–3.45)</w:t>
            </w:r>
          </w:p>
        </w:tc>
        <w:tc>
          <w:tcPr>
            <w:tcW w:w="893" w:type="pct"/>
            <w:shd w:val="clear" w:color="auto" w:fill="auto"/>
            <w:vAlign w:val="center"/>
          </w:tcPr>
          <w:p w14:paraId="62422E8D" w14:textId="77777777" w:rsidR="008136EE" w:rsidRPr="00280684" w:rsidRDefault="008136EE" w:rsidP="005504BF">
            <w:pPr>
              <w:spacing w:line="240" w:lineRule="auto"/>
              <w:ind w:left="-57" w:right="-57" w:firstLine="0"/>
              <w:jc w:val="center"/>
              <w:rPr>
                <w:sz w:val="21"/>
                <w:szCs w:val="21"/>
              </w:rPr>
            </w:pPr>
            <w:r w:rsidRPr="00280684">
              <w:rPr>
                <w:sz w:val="21"/>
                <w:szCs w:val="21"/>
              </w:rPr>
              <w:t>2.05</w:t>
            </w:r>
          </w:p>
          <w:p w14:paraId="2000CDD6" w14:textId="77777777" w:rsidR="008136EE" w:rsidRPr="00280684" w:rsidRDefault="008136EE" w:rsidP="005504BF">
            <w:pPr>
              <w:spacing w:line="240" w:lineRule="auto"/>
              <w:ind w:left="-57" w:right="-57" w:firstLine="0"/>
              <w:jc w:val="center"/>
              <w:rPr>
                <w:sz w:val="21"/>
                <w:szCs w:val="21"/>
              </w:rPr>
            </w:pPr>
            <w:r w:rsidRPr="00280684">
              <w:rPr>
                <w:sz w:val="21"/>
                <w:szCs w:val="21"/>
              </w:rPr>
              <w:t>(1.20–2.65)</w:t>
            </w:r>
          </w:p>
        </w:tc>
        <w:tc>
          <w:tcPr>
            <w:tcW w:w="570" w:type="pct"/>
            <w:shd w:val="clear" w:color="auto" w:fill="auto"/>
            <w:vAlign w:val="center"/>
          </w:tcPr>
          <w:p w14:paraId="59E552D2" w14:textId="77777777" w:rsidR="008136EE" w:rsidRPr="00280684" w:rsidRDefault="008136EE" w:rsidP="005504BF">
            <w:pPr>
              <w:spacing w:line="240" w:lineRule="auto"/>
              <w:ind w:left="-57" w:right="-57" w:firstLine="0"/>
              <w:jc w:val="center"/>
              <w:rPr>
                <w:sz w:val="21"/>
                <w:szCs w:val="21"/>
              </w:rPr>
            </w:pPr>
            <w:r w:rsidRPr="00280684">
              <w:rPr>
                <w:sz w:val="21"/>
                <w:szCs w:val="21"/>
              </w:rPr>
              <w:t>Z=1.905</w:t>
            </w:r>
          </w:p>
        </w:tc>
        <w:tc>
          <w:tcPr>
            <w:tcW w:w="527" w:type="pct"/>
            <w:shd w:val="clear" w:color="auto" w:fill="auto"/>
            <w:vAlign w:val="center"/>
          </w:tcPr>
          <w:p w14:paraId="4DA73873" w14:textId="77777777" w:rsidR="008136EE" w:rsidRPr="00280684" w:rsidRDefault="008136EE" w:rsidP="005504BF">
            <w:pPr>
              <w:spacing w:line="240" w:lineRule="auto"/>
              <w:ind w:left="-57" w:right="-57" w:firstLine="0"/>
              <w:jc w:val="center"/>
              <w:rPr>
                <w:sz w:val="21"/>
                <w:szCs w:val="21"/>
              </w:rPr>
            </w:pPr>
            <w:r w:rsidRPr="00280684">
              <w:rPr>
                <w:sz w:val="21"/>
                <w:szCs w:val="21"/>
              </w:rPr>
              <w:t>0.057</w:t>
            </w:r>
          </w:p>
        </w:tc>
      </w:tr>
      <w:tr w:rsidR="008136EE" w:rsidRPr="00280684" w14:paraId="41F49931" w14:textId="77777777" w:rsidTr="006F0285">
        <w:trPr>
          <w:trHeight w:val="277"/>
          <w:jc w:val="center"/>
        </w:trPr>
        <w:tc>
          <w:tcPr>
            <w:tcW w:w="1519" w:type="pct"/>
            <w:shd w:val="clear" w:color="auto" w:fill="auto"/>
            <w:vAlign w:val="center"/>
          </w:tcPr>
          <w:p w14:paraId="23655A75"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Cholesterol (mg/dl)</w:t>
            </w:r>
          </w:p>
        </w:tc>
        <w:tc>
          <w:tcPr>
            <w:tcW w:w="580" w:type="pct"/>
            <w:gridSpan w:val="2"/>
            <w:shd w:val="clear" w:color="auto" w:fill="auto"/>
            <w:vAlign w:val="center"/>
          </w:tcPr>
          <w:p w14:paraId="024BFCE5"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38318E1F" w14:textId="77777777" w:rsidR="008136EE" w:rsidRPr="00280684" w:rsidRDefault="008136EE" w:rsidP="005504BF">
            <w:pPr>
              <w:spacing w:line="240" w:lineRule="auto"/>
              <w:ind w:left="-57" w:right="-57" w:firstLine="0"/>
              <w:jc w:val="center"/>
              <w:rPr>
                <w:sz w:val="21"/>
                <w:szCs w:val="21"/>
              </w:rPr>
            </w:pPr>
            <w:r w:rsidRPr="00280684">
              <w:rPr>
                <w:sz w:val="21"/>
                <w:szCs w:val="21"/>
              </w:rPr>
              <w:t>183.42± 23.98</w:t>
            </w:r>
          </w:p>
        </w:tc>
        <w:tc>
          <w:tcPr>
            <w:tcW w:w="893" w:type="pct"/>
            <w:shd w:val="clear" w:color="auto" w:fill="auto"/>
            <w:vAlign w:val="center"/>
          </w:tcPr>
          <w:p w14:paraId="60260631" w14:textId="77777777" w:rsidR="008136EE" w:rsidRPr="00280684" w:rsidRDefault="008136EE" w:rsidP="005504BF">
            <w:pPr>
              <w:spacing w:line="240" w:lineRule="auto"/>
              <w:ind w:left="-57" w:right="-57" w:firstLine="0"/>
              <w:jc w:val="center"/>
              <w:rPr>
                <w:sz w:val="21"/>
                <w:szCs w:val="21"/>
              </w:rPr>
            </w:pPr>
            <w:r w:rsidRPr="00280684">
              <w:rPr>
                <w:sz w:val="21"/>
                <w:szCs w:val="21"/>
              </w:rPr>
              <w:t>169.91±29.87</w:t>
            </w:r>
          </w:p>
        </w:tc>
        <w:tc>
          <w:tcPr>
            <w:tcW w:w="570" w:type="pct"/>
            <w:shd w:val="clear" w:color="auto" w:fill="auto"/>
            <w:vAlign w:val="center"/>
          </w:tcPr>
          <w:p w14:paraId="2DC868DB" w14:textId="77777777" w:rsidR="008136EE" w:rsidRPr="00280684" w:rsidRDefault="008136EE" w:rsidP="005504BF">
            <w:pPr>
              <w:spacing w:line="240" w:lineRule="auto"/>
              <w:ind w:left="-57" w:right="-57" w:firstLine="0"/>
              <w:jc w:val="center"/>
              <w:rPr>
                <w:sz w:val="21"/>
                <w:szCs w:val="21"/>
              </w:rPr>
            </w:pPr>
            <w:r w:rsidRPr="00280684">
              <w:rPr>
                <w:sz w:val="21"/>
                <w:szCs w:val="21"/>
              </w:rPr>
              <w:t>t=2.731</w:t>
            </w:r>
          </w:p>
        </w:tc>
        <w:tc>
          <w:tcPr>
            <w:tcW w:w="527" w:type="pct"/>
            <w:shd w:val="clear" w:color="auto" w:fill="auto"/>
            <w:vAlign w:val="center"/>
          </w:tcPr>
          <w:p w14:paraId="7C6B7857" w14:textId="77777777" w:rsidR="008136EE" w:rsidRPr="00280684" w:rsidRDefault="008136EE" w:rsidP="005504BF">
            <w:pPr>
              <w:spacing w:line="240" w:lineRule="auto"/>
              <w:ind w:left="-57" w:right="-57" w:firstLine="0"/>
              <w:jc w:val="center"/>
              <w:rPr>
                <w:sz w:val="21"/>
                <w:szCs w:val="21"/>
              </w:rPr>
            </w:pPr>
            <w:r w:rsidRPr="00280684">
              <w:rPr>
                <w:sz w:val="21"/>
                <w:szCs w:val="21"/>
              </w:rPr>
              <w:t>0.007</w:t>
            </w:r>
            <w:r w:rsidRPr="00280684">
              <w:rPr>
                <w:sz w:val="21"/>
                <w:szCs w:val="21"/>
                <w:vertAlign w:val="superscript"/>
              </w:rPr>
              <w:t>*</w:t>
            </w:r>
          </w:p>
        </w:tc>
      </w:tr>
      <w:tr w:rsidR="008136EE" w:rsidRPr="00280684" w14:paraId="1AB1F66F" w14:textId="77777777" w:rsidTr="006F0285">
        <w:trPr>
          <w:trHeight w:val="271"/>
          <w:jc w:val="center"/>
        </w:trPr>
        <w:tc>
          <w:tcPr>
            <w:tcW w:w="1519" w:type="pct"/>
            <w:shd w:val="clear" w:color="auto" w:fill="auto"/>
            <w:vAlign w:val="center"/>
          </w:tcPr>
          <w:p w14:paraId="5FA5C2BE"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TG (mg/dl)</w:t>
            </w:r>
          </w:p>
        </w:tc>
        <w:tc>
          <w:tcPr>
            <w:tcW w:w="580" w:type="pct"/>
            <w:gridSpan w:val="2"/>
            <w:shd w:val="clear" w:color="auto" w:fill="auto"/>
            <w:vAlign w:val="center"/>
          </w:tcPr>
          <w:p w14:paraId="752CD9F9"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54B31553" w14:textId="77777777" w:rsidR="008136EE" w:rsidRPr="00280684" w:rsidRDefault="008136EE" w:rsidP="005504BF">
            <w:pPr>
              <w:spacing w:line="240" w:lineRule="auto"/>
              <w:ind w:left="-57" w:right="-57" w:firstLine="0"/>
              <w:jc w:val="center"/>
              <w:rPr>
                <w:sz w:val="21"/>
                <w:szCs w:val="21"/>
              </w:rPr>
            </w:pPr>
            <w:r w:rsidRPr="00280684">
              <w:rPr>
                <w:sz w:val="21"/>
                <w:szCs w:val="21"/>
              </w:rPr>
              <w:t>128.03±30.81</w:t>
            </w:r>
          </w:p>
        </w:tc>
        <w:tc>
          <w:tcPr>
            <w:tcW w:w="893" w:type="pct"/>
            <w:shd w:val="clear" w:color="auto" w:fill="auto"/>
            <w:vAlign w:val="center"/>
          </w:tcPr>
          <w:p w14:paraId="7545F255" w14:textId="77777777" w:rsidR="008136EE" w:rsidRPr="00280684" w:rsidRDefault="008136EE" w:rsidP="005504BF">
            <w:pPr>
              <w:spacing w:line="240" w:lineRule="auto"/>
              <w:ind w:left="-57" w:right="-57" w:firstLine="0"/>
              <w:jc w:val="center"/>
              <w:rPr>
                <w:sz w:val="21"/>
                <w:szCs w:val="21"/>
              </w:rPr>
            </w:pPr>
            <w:r w:rsidRPr="00280684">
              <w:rPr>
                <w:sz w:val="21"/>
                <w:szCs w:val="21"/>
              </w:rPr>
              <w:t>116.62±35.85</w:t>
            </w:r>
          </w:p>
        </w:tc>
        <w:tc>
          <w:tcPr>
            <w:tcW w:w="570" w:type="pct"/>
            <w:shd w:val="clear" w:color="auto" w:fill="auto"/>
            <w:vAlign w:val="center"/>
          </w:tcPr>
          <w:p w14:paraId="176E9746" w14:textId="77777777" w:rsidR="008136EE" w:rsidRPr="00280684" w:rsidRDefault="008136EE" w:rsidP="005504BF">
            <w:pPr>
              <w:spacing w:line="240" w:lineRule="auto"/>
              <w:ind w:left="-57" w:right="-57" w:firstLine="0"/>
              <w:jc w:val="center"/>
              <w:rPr>
                <w:sz w:val="21"/>
                <w:szCs w:val="21"/>
              </w:rPr>
            </w:pPr>
            <w:r w:rsidRPr="00280684">
              <w:rPr>
                <w:sz w:val="21"/>
                <w:szCs w:val="21"/>
              </w:rPr>
              <w:t>t=1.870</w:t>
            </w:r>
          </w:p>
        </w:tc>
        <w:tc>
          <w:tcPr>
            <w:tcW w:w="527" w:type="pct"/>
            <w:shd w:val="clear" w:color="auto" w:fill="auto"/>
            <w:vAlign w:val="center"/>
          </w:tcPr>
          <w:p w14:paraId="08AE1D98" w14:textId="77777777" w:rsidR="008136EE" w:rsidRPr="00280684" w:rsidRDefault="008136EE" w:rsidP="005504BF">
            <w:pPr>
              <w:spacing w:line="240" w:lineRule="auto"/>
              <w:ind w:left="-57" w:right="-57" w:firstLine="0"/>
              <w:jc w:val="center"/>
              <w:rPr>
                <w:sz w:val="21"/>
                <w:szCs w:val="21"/>
              </w:rPr>
            </w:pPr>
            <w:r w:rsidRPr="00280684">
              <w:rPr>
                <w:sz w:val="21"/>
                <w:szCs w:val="21"/>
              </w:rPr>
              <w:t>0.064</w:t>
            </w:r>
          </w:p>
        </w:tc>
      </w:tr>
      <w:tr w:rsidR="008136EE" w:rsidRPr="00280684" w14:paraId="6EDAB990" w14:textId="77777777" w:rsidTr="006F0285">
        <w:trPr>
          <w:trHeight w:val="251"/>
          <w:jc w:val="center"/>
        </w:trPr>
        <w:tc>
          <w:tcPr>
            <w:tcW w:w="1519" w:type="pct"/>
            <w:shd w:val="clear" w:color="auto" w:fill="auto"/>
            <w:vAlign w:val="center"/>
          </w:tcPr>
          <w:p w14:paraId="3847CC3A"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HDL-C (mg/dl)</w:t>
            </w:r>
          </w:p>
        </w:tc>
        <w:tc>
          <w:tcPr>
            <w:tcW w:w="580" w:type="pct"/>
            <w:gridSpan w:val="2"/>
            <w:shd w:val="clear" w:color="auto" w:fill="auto"/>
            <w:vAlign w:val="center"/>
          </w:tcPr>
          <w:p w14:paraId="3572A6FC"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0A7CEA31" w14:textId="77777777" w:rsidR="008136EE" w:rsidRPr="00280684" w:rsidRDefault="008136EE" w:rsidP="005504BF">
            <w:pPr>
              <w:spacing w:line="240" w:lineRule="auto"/>
              <w:ind w:left="-57" w:right="-57" w:firstLine="0"/>
              <w:jc w:val="center"/>
              <w:rPr>
                <w:sz w:val="21"/>
                <w:szCs w:val="21"/>
              </w:rPr>
            </w:pPr>
            <w:r w:rsidRPr="00280684">
              <w:rPr>
                <w:sz w:val="21"/>
                <w:szCs w:val="21"/>
              </w:rPr>
              <w:t>50.35±8.86</w:t>
            </w:r>
          </w:p>
        </w:tc>
        <w:tc>
          <w:tcPr>
            <w:tcW w:w="893" w:type="pct"/>
            <w:shd w:val="clear" w:color="auto" w:fill="auto"/>
            <w:vAlign w:val="center"/>
          </w:tcPr>
          <w:p w14:paraId="753108B4" w14:textId="77777777" w:rsidR="008136EE" w:rsidRPr="00280684" w:rsidRDefault="008136EE" w:rsidP="005504BF">
            <w:pPr>
              <w:spacing w:line="240" w:lineRule="auto"/>
              <w:ind w:left="-57" w:right="-57" w:firstLine="0"/>
              <w:jc w:val="center"/>
              <w:rPr>
                <w:sz w:val="21"/>
                <w:szCs w:val="21"/>
              </w:rPr>
            </w:pPr>
            <w:r w:rsidRPr="00280684">
              <w:rPr>
                <w:sz w:val="21"/>
                <w:szCs w:val="21"/>
              </w:rPr>
              <w:t>49.42±12.03</w:t>
            </w:r>
          </w:p>
        </w:tc>
        <w:tc>
          <w:tcPr>
            <w:tcW w:w="570" w:type="pct"/>
            <w:shd w:val="clear" w:color="auto" w:fill="auto"/>
            <w:vAlign w:val="center"/>
          </w:tcPr>
          <w:p w14:paraId="7527D65A" w14:textId="77777777" w:rsidR="008136EE" w:rsidRPr="00280684" w:rsidRDefault="008136EE" w:rsidP="005504BF">
            <w:pPr>
              <w:spacing w:line="240" w:lineRule="auto"/>
              <w:ind w:left="-57" w:right="-57" w:firstLine="0"/>
              <w:jc w:val="center"/>
              <w:rPr>
                <w:sz w:val="21"/>
                <w:szCs w:val="21"/>
              </w:rPr>
            </w:pPr>
            <w:r w:rsidRPr="00280684">
              <w:rPr>
                <w:sz w:val="21"/>
                <w:szCs w:val="21"/>
              </w:rPr>
              <w:t>t= 0.482</w:t>
            </w:r>
          </w:p>
        </w:tc>
        <w:tc>
          <w:tcPr>
            <w:tcW w:w="527" w:type="pct"/>
            <w:shd w:val="clear" w:color="auto" w:fill="auto"/>
            <w:vAlign w:val="center"/>
          </w:tcPr>
          <w:p w14:paraId="1457295E" w14:textId="77777777" w:rsidR="008136EE" w:rsidRPr="00280684" w:rsidRDefault="008136EE" w:rsidP="005504BF">
            <w:pPr>
              <w:spacing w:line="240" w:lineRule="auto"/>
              <w:ind w:left="-57" w:right="-57" w:firstLine="0"/>
              <w:jc w:val="center"/>
              <w:rPr>
                <w:sz w:val="21"/>
                <w:szCs w:val="21"/>
              </w:rPr>
            </w:pPr>
            <w:r w:rsidRPr="00280684">
              <w:rPr>
                <w:sz w:val="21"/>
                <w:szCs w:val="21"/>
              </w:rPr>
              <w:t>0.631</w:t>
            </w:r>
          </w:p>
        </w:tc>
      </w:tr>
      <w:tr w:rsidR="008136EE" w:rsidRPr="00280684" w14:paraId="2CB47F4E" w14:textId="77777777" w:rsidTr="006F0285">
        <w:trPr>
          <w:trHeight w:val="245"/>
          <w:jc w:val="center"/>
        </w:trPr>
        <w:tc>
          <w:tcPr>
            <w:tcW w:w="1519" w:type="pct"/>
            <w:shd w:val="clear" w:color="auto" w:fill="auto"/>
            <w:vAlign w:val="center"/>
          </w:tcPr>
          <w:p w14:paraId="580DAEEA"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LDL-C (mg/dl)</w:t>
            </w:r>
          </w:p>
        </w:tc>
        <w:tc>
          <w:tcPr>
            <w:tcW w:w="580" w:type="pct"/>
            <w:gridSpan w:val="2"/>
            <w:shd w:val="clear" w:color="auto" w:fill="auto"/>
            <w:vAlign w:val="center"/>
          </w:tcPr>
          <w:p w14:paraId="1FFC2C8A"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28456255" w14:textId="77777777" w:rsidR="008136EE" w:rsidRPr="00280684" w:rsidRDefault="008136EE" w:rsidP="005504BF">
            <w:pPr>
              <w:spacing w:line="240" w:lineRule="auto"/>
              <w:ind w:left="-57" w:right="-57" w:firstLine="0"/>
              <w:jc w:val="center"/>
              <w:rPr>
                <w:sz w:val="21"/>
                <w:szCs w:val="21"/>
              </w:rPr>
            </w:pPr>
            <w:r w:rsidRPr="00280684">
              <w:rPr>
                <w:sz w:val="21"/>
                <w:szCs w:val="21"/>
              </w:rPr>
              <w:t>111.20± 25.24</w:t>
            </w:r>
          </w:p>
        </w:tc>
        <w:tc>
          <w:tcPr>
            <w:tcW w:w="893" w:type="pct"/>
            <w:shd w:val="clear" w:color="auto" w:fill="auto"/>
            <w:vAlign w:val="center"/>
          </w:tcPr>
          <w:p w14:paraId="08DA1333" w14:textId="77777777" w:rsidR="008136EE" w:rsidRPr="00280684" w:rsidRDefault="008136EE" w:rsidP="005504BF">
            <w:pPr>
              <w:spacing w:line="240" w:lineRule="auto"/>
              <w:ind w:left="-57" w:right="-57" w:firstLine="0"/>
              <w:jc w:val="center"/>
              <w:rPr>
                <w:sz w:val="21"/>
                <w:szCs w:val="21"/>
              </w:rPr>
            </w:pPr>
            <w:r w:rsidRPr="00280684">
              <w:rPr>
                <w:sz w:val="21"/>
                <w:szCs w:val="21"/>
              </w:rPr>
              <w:t>96.34 ± 22.11</w:t>
            </w:r>
          </w:p>
        </w:tc>
        <w:tc>
          <w:tcPr>
            <w:tcW w:w="570" w:type="pct"/>
            <w:shd w:val="clear" w:color="auto" w:fill="auto"/>
            <w:vAlign w:val="center"/>
          </w:tcPr>
          <w:p w14:paraId="311F4779" w14:textId="77777777" w:rsidR="008136EE" w:rsidRPr="00280684" w:rsidRDefault="008136EE" w:rsidP="005504BF">
            <w:pPr>
              <w:spacing w:line="240" w:lineRule="auto"/>
              <w:ind w:left="-57" w:right="-57" w:firstLine="0"/>
              <w:jc w:val="center"/>
              <w:rPr>
                <w:sz w:val="21"/>
                <w:szCs w:val="21"/>
              </w:rPr>
            </w:pPr>
            <w:r w:rsidRPr="00280684">
              <w:rPr>
                <w:sz w:val="21"/>
                <w:szCs w:val="21"/>
              </w:rPr>
              <w:t>t=3.430</w:t>
            </w:r>
          </w:p>
        </w:tc>
        <w:tc>
          <w:tcPr>
            <w:tcW w:w="527" w:type="pct"/>
            <w:shd w:val="clear" w:color="auto" w:fill="auto"/>
            <w:vAlign w:val="center"/>
          </w:tcPr>
          <w:p w14:paraId="1805AC6D" w14:textId="77777777" w:rsidR="008136EE" w:rsidRPr="00280684" w:rsidRDefault="008136EE" w:rsidP="005504BF">
            <w:pPr>
              <w:spacing w:line="240" w:lineRule="auto"/>
              <w:ind w:left="-57" w:right="-57" w:firstLine="0"/>
              <w:jc w:val="center"/>
              <w:rPr>
                <w:sz w:val="21"/>
                <w:szCs w:val="21"/>
              </w:rPr>
            </w:pPr>
            <w:r w:rsidRPr="00280684">
              <w:rPr>
                <w:sz w:val="21"/>
                <w:szCs w:val="21"/>
              </w:rPr>
              <w:t>0.001</w:t>
            </w:r>
            <w:r w:rsidRPr="00280684">
              <w:rPr>
                <w:sz w:val="21"/>
                <w:szCs w:val="21"/>
                <w:vertAlign w:val="superscript"/>
              </w:rPr>
              <w:t>*</w:t>
            </w:r>
          </w:p>
        </w:tc>
      </w:tr>
      <w:tr w:rsidR="008136EE" w:rsidRPr="00280684" w14:paraId="3A98F1E3" w14:textId="77777777" w:rsidTr="006F0285">
        <w:trPr>
          <w:jc w:val="center"/>
        </w:trPr>
        <w:tc>
          <w:tcPr>
            <w:tcW w:w="1519" w:type="pct"/>
            <w:shd w:val="clear" w:color="auto" w:fill="auto"/>
            <w:vAlign w:val="center"/>
          </w:tcPr>
          <w:p w14:paraId="2384A589"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ALT (u/l)</w:t>
            </w:r>
          </w:p>
        </w:tc>
        <w:tc>
          <w:tcPr>
            <w:tcW w:w="580" w:type="pct"/>
            <w:gridSpan w:val="2"/>
            <w:shd w:val="clear" w:color="auto" w:fill="auto"/>
            <w:vAlign w:val="center"/>
          </w:tcPr>
          <w:p w14:paraId="32CF3636"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525F8D5C" w14:textId="77777777" w:rsidR="008136EE" w:rsidRPr="00280684" w:rsidRDefault="008136EE" w:rsidP="005504BF">
            <w:pPr>
              <w:spacing w:line="240" w:lineRule="auto"/>
              <w:ind w:left="-57" w:right="-57" w:firstLine="0"/>
              <w:jc w:val="center"/>
              <w:rPr>
                <w:sz w:val="21"/>
                <w:szCs w:val="21"/>
              </w:rPr>
            </w:pPr>
            <w:r w:rsidRPr="00280684">
              <w:rPr>
                <w:sz w:val="21"/>
                <w:szCs w:val="21"/>
              </w:rPr>
              <w:t>30.42± 10.64</w:t>
            </w:r>
          </w:p>
        </w:tc>
        <w:tc>
          <w:tcPr>
            <w:tcW w:w="893" w:type="pct"/>
            <w:shd w:val="clear" w:color="auto" w:fill="auto"/>
            <w:vAlign w:val="center"/>
          </w:tcPr>
          <w:p w14:paraId="36BED0CC" w14:textId="77777777" w:rsidR="008136EE" w:rsidRPr="00280684" w:rsidRDefault="008136EE" w:rsidP="005504BF">
            <w:pPr>
              <w:spacing w:line="240" w:lineRule="auto"/>
              <w:ind w:left="-57" w:right="-57" w:firstLine="0"/>
              <w:jc w:val="center"/>
              <w:rPr>
                <w:sz w:val="21"/>
                <w:szCs w:val="21"/>
              </w:rPr>
            </w:pPr>
            <w:r w:rsidRPr="00280684">
              <w:rPr>
                <w:sz w:val="21"/>
                <w:szCs w:val="21"/>
              </w:rPr>
              <w:t>22.16±10.03</w:t>
            </w:r>
          </w:p>
        </w:tc>
        <w:tc>
          <w:tcPr>
            <w:tcW w:w="570" w:type="pct"/>
            <w:shd w:val="clear" w:color="auto" w:fill="auto"/>
            <w:vAlign w:val="center"/>
          </w:tcPr>
          <w:p w14:paraId="515CFBCC" w14:textId="77777777" w:rsidR="008136EE" w:rsidRPr="00280684" w:rsidRDefault="008136EE" w:rsidP="005504BF">
            <w:pPr>
              <w:spacing w:line="240" w:lineRule="auto"/>
              <w:ind w:left="-57" w:right="-57" w:firstLine="0"/>
              <w:jc w:val="center"/>
              <w:rPr>
                <w:sz w:val="21"/>
                <w:szCs w:val="21"/>
              </w:rPr>
            </w:pPr>
            <w:r w:rsidRPr="00280684">
              <w:rPr>
                <w:sz w:val="21"/>
                <w:szCs w:val="21"/>
              </w:rPr>
              <w:t>t=4.373</w:t>
            </w:r>
          </w:p>
        </w:tc>
        <w:tc>
          <w:tcPr>
            <w:tcW w:w="527" w:type="pct"/>
            <w:shd w:val="clear" w:color="auto" w:fill="auto"/>
            <w:vAlign w:val="center"/>
          </w:tcPr>
          <w:p w14:paraId="7734AB34" w14:textId="77777777" w:rsidR="008136EE" w:rsidRPr="00280684" w:rsidRDefault="008136EE" w:rsidP="005504BF">
            <w:pPr>
              <w:spacing w:line="240" w:lineRule="auto"/>
              <w:ind w:left="-57" w:right="-57" w:firstLine="0"/>
              <w:jc w:val="center"/>
              <w:rPr>
                <w:sz w:val="21"/>
                <w:szCs w:val="21"/>
              </w:rPr>
            </w:pPr>
            <w:r w:rsidRPr="00280684">
              <w:rPr>
                <w:sz w:val="21"/>
                <w:szCs w:val="21"/>
              </w:rPr>
              <w:t>&lt;0.001</w:t>
            </w:r>
            <w:r w:rsidRPr="00280684">
              <w:rPr>
                <w:sz w:val="21"/>
                <w:szCs w:val="21"/>
                <w:vertAlign w:val="superscript"/>
              </w:rPr>
              <w:t>*</w:t>
            </w:r>
          </w:p>
        </w:tc>
      </w:tr>
      <w:tr w:rsidR="008136EE" w:rsidRPr="00280684" w14:paraId="362BC988" w14:textId="77777777" w:rsidTr="006F0285">
        <w:trPr>
          <w:trHeight w:val="210"/>
          <w:jc w:val="center"/>
        </w:trPr>
        <w:tc>
          <w:tcPr>
            <w:tcW w:w="1519" w:type="pct"/>
            <w:shd w:val="clear" w:color="auto" w:fill="auto"/>
            <w:vAlign w:val="center"/>
          </w:tcPr>
          <w:p w14:paraId="18845F05"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AST (u/l)</w:t>
            </w:r>
          </w:p>
        </w:tc>
        <w:tc>
          <w:tcPr>
            <w:tcW w:w="580" w:type="pct"/>
            <w:gridSpan w:val="2"/>
            <w:shd w:val="clear" w:color="auto" w:fill="auto"/>
            <w:vAlign w:val="center"/>
          </w:tcPr>
          <w:p w14:paraId="293DF638"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491B8D0C" w14:textId="77777777" w:rsidR="008136EE" w:rsidRPr="00280684" w:rsidRDefault="008136EE" w:rsidP="005504BF">
            <w:pPr>
              <w:spacing w:line="240" w:lineRule="auto"/>
              <w:ind w:left="-57" w:right="-57" w:firstLine="0"/>
              <w:jc w:val="center"/>
              <w:rPr>
                <w:sz w:val="21"/>
                <w:szCs w:val="21"/>
              </w:rPr>
            </w:pPr>
            <w:r w:rsidRPr="00280684">
              <w:rPr>
                <w:sz w:val="21"/>
                <w:szCs w:val="21"/>
              </w:rPr>
              <w:t>26.45±7.50</w:t>
            </w:r>
          </w:p>
        </w:tc>
        <w:tc>
          <w:tcPr>
            <w:tcW w:w="893" w:type="pct"/>
            <w:shd w:val="clear" w:color="auto" w:fill="auto"/>
            <w:vAlign w:val="center"/>
          </w:tcPr>
          <w:p w14:paraId="40FEE2DF" w14:textId="77777777" w:rsidR="008136EE" w:rsidRPr="00280684" w:rsidRDefault="008136EE" w:rsidP="005504BF">
            <w:pPr>
              <w:spacing w:line="240" w:lineRule="auto"/>
              <w:ind w:left="-57" w:right="-57" w:firstLine="0"/>
              <w:jc w:val="center"/>
              <w:rPr>
                <w:sz w:val="21"/>
                <w:szCs w:val="21"/>
              </w:rPr>
            </w:pPr>
            <w:r w:rsidRPr="00280684">
              <w:rPr>
                <w:sz w:val="21"/>
                <w:szCs w:val="21"/>
              </w:rPr>
              <w:t>23.83 ± 4.81</w:t>
            </w:r>
          </w:p>
        </w:tc>
        <w:tc>
          <w:tcPr>
            <w:tcW w:w="570" w:type="pct"/>
            <w:shd w:val="clear" w:color="auto" w:fill="auto"/>
            <w:vAlign w:val="center"/>
          </w:tcPr>
          <w:p w14:paraId="0D5252DE" w14:textId="77777777" w:rsidR="008136EE" w:rsidRPr="00280684" w:rsidRDefault="008136EE" w:rsidP="005504BF">
            <w:pPr>
              <w:spacing w:line="240" w:lineRule="auto"/>
              <w:ind w:left="-57" w:right="-57" w:firstLine="0"/>
              <w:jc w:val="center"/>
              <w:rPr>
                <w:sz w:val="21"/>
                <w:szCs w:val="21"/>
              </w:rPr>
            </w:pPr>
            <w:r w:rsidRPr="00280684">
              <w:rPr>
                <w:sz w:val="21"/>
                <w:szCs w:val="21"/>
              </w:rPr>
              <w:t>t=2.274</w:t>
            </w:r>
          </w:p>
        </w:tc>
        <w:tc>
          <w:tcPr>
            <w:tcW w:w="527" w:type="pct"/>
            <w:shd w:val="clear" w:color="auto" w:fill="auto"/>
            <w:vAlign w:val="center"/>
          </w:tcPr>
          <w:p w14:paraId="2A41B790" w14:textId="77777777" w:rsidR="008136EE" w:rsidRPr="00280684" w:rsidRDefault="008136EE" w:rsidP="005504BF">
            <w:pPr>
              <w:spacing w:line="240" w:lineRule="auto"/>
              <w:ind w:left="-57" w:right="-57" w:firstLine="0"/>
              <w:jc w:val="center"/>
              <w:rPr>
                <w:sz w:val="21"/>
                <w:szCs w:val="21"/>
              </w:rPr>
            </w:pPr>
            <w:r w:rsidRPr="00280684">
              <w:rPr>
                <w:sz w:val="21"/>
                <w:szCs w:val="21"/>
              </w:rPr>
              <w:t>0.025</w:t>
            </w:r>
            <w:r w:rsidRPr="00280684">
              <w:rPr>
                <w:sz w:val="21"/>
                <w:szCs w:val="21"/>
                <w:vertAlign w:val="superscript"/>
              </w:rPr>
              <w:t>*</w:t>
            </w:r>
          </w:p>
        </w:tc>
      </w:tr>
      <w:tr w:rsidR="008136EE" w:rsidRPr="00280684" w14:paraId="6F26490E" w14:textId="77777777" w:rsidTr="006F0285">
        <w:trPr>
          <w:jc w:val="center"/>
        </w:trPr>
        <w:tc>
          <w:tcPr>
            <w:tcW w:w="1519" w:type="pct"/>
            <w:shd w:val="clear" w:color="auto" w:fill="auto"/>
            <w:vAlign w:val="center"/>
          </w:tcPr>
          <w:p w14:paraId="48DF456A"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Albumin (g/dl)</w:t>
            </w:r>
          </w:p>
        </w:tc>
        <w:tc>
          <w:tcPr>
            <w:tcW w:w="580" w:type="pct"/>
            <w:gridSpan w:val="2"/>
            <w:shd w:val="clear" w:color="auto" w:fill="auto"/>
            <w:vAlign w:val="center"/>
          </w:tcPr>
          <w:p w14:paraId="3876D9A3"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42880BCB" w14:textId="77777777" w:rsidR="008136EE" w:rsidRPr="00280684" w:rsidRDefault="008136EE" w:rsidP="005504BF">
            <w:pPr>
              <w:spacing w:line="240" w:lineRule="auto"/>
              <w:ind w:left="-57" w:right="-57" w:firstLine="0"/>
              <w:jc w:val="center"/>
              <w:rPr>
                <w:sz w:val="21"/>
                <w:szCs w:val="21"/>
              </w:rPr>
            </w:pPr>
            <w:r w:rsidRPr="00280684">
              <w:rPr>
                <w:sz w:val="21"/>
                <w:szCs w:val="21"/>
              </w:rPr>
              <w:t>3.91±0.25</w:t>
            </w:r>
          </w:p>
        </w:tc>
        <w:tc>
          <w:tcPr>
            <w:tcW w:w="893" w:type="pct"/>
            <w:shd w:val="clear" w:color="auto" w:fill="auto"/>
            <w:vAlign w:val="center"/>
          </w:tcPr>
          <w:p w14:paraId="783952D2" w14:textId="77777777" w:rsidR="008136EE" w:rsidRPr="00280684" w:rsidRDefault="008136EE" w:rsidP="005504BF">
            <w:pPr>
              <w:spacing w:line="240" w:lineRule="auto"/>
              <w:ind w:left="-57" w:right="-57" w:firstLine="0"/>
              <w:jc w:val="center"/>
              <w:rPr>
                <w:sz w:val="21"/>
                <w:szCs w:val="21"/>
              </w:rPr>
            </w:pPr>
            <w:r w:rsidRPr="00280684">
              <w:rPr>
                <w:sz w:val="21"/>
                <w:szCs w:val="21"/>
              </w:rPr>
              <w:t>4.02±0.31</w:t>
            </w:r>
          </w:p>
        </w:tc>
        <w:tc>
          <w:tcPr>
            <w:tcW w:w="570" w:type="pct"/>
            <w:shd w:val="clear" w:color="auto" w:fill="auto"/>
            <w:vAlign w:val="center"/>
          </w:tcPr>
          <w:p w14:paraId="4A2B2798" w14:textId="77777777" w:rsidR="008136EE" w:rsidRPr="00280684" w:rsidRDefault="008136EE" w:rsidP="005504BF">
            <w:pPr>
              <w:spacing w:line="240" w:lineRule="auto"/>
              <w:ind w:left="-57" w:right="-57" w:firstLine="0"/>
              <w:jc w:val="center"/>
              <w:rPr>
                <w:sz w:val="21"/>
                <w:szCs w:val="21"/>
              </w:rPr>
            </w:pPr>
            <w:r w:rsidRPr="00280684">
              <w:rPr>
                <w:sz w:val="21"/>
                <w:szCs w:val="21"/>
              </w:rPr>
              <w:t>r=2.131</w:t>
            </w:r>
          </w:p>
        </w:tc>
        <w:tc>
          <w:tcPr>
            <w:tcW w:w="527" w:type="pct"/>
            <w:shd w:val="clear" w:color="auto" w:fill="auto"/>
            <w:vAlign w:val="center"/>
          </w:tcPr>
          <w:p w14:paraId="749ABBDF" w14:textId="77777777" w:rsidR="008136EE" w:rsidRPr="00280684" w:rsidRDefault="008136EE" w:rsidP="005504BF">
            <w:pPr>
              <w:spacing w:line="240" w:lineRule="auto"/>
              <w:ind w:left="-57" w:right="-57" w:firstLine="0"/>
              <w:jc w:val="center"/>
              <w:rPr>
                <w:sz w:val="21"/>
                <w:szCs w:val="21"/>
              </w:rPr>
            </w:pPr>
            <w:r w:rsidRPr="00280684">
              <w:rPr>
                <w:sz w:val="21"/>
                <w:szCs w:val="21"/>
              </w:rPr>
              <w:t>0.035</w:t>
            </w:r>
            <w:r w:rsidRPr="00280684">
              <w:rPr>
                <w:sz w:val="21"/>
                <w:szCs w:val="21"/>
                <w:vertAlign w:val="superscript"/>
              </w:rPr>
              <w:t>*</w:t>
            </w:r>
          </w:p>
        </w:tc>
      </w:tr>
      <w:tr w:rsidR="008136EE" w:rsidRPr="00280684" w14:paraId="51F6A0BE" w14:textId="77777777" w:rsidTr="006F0285">
        <w:trPr>
          <w:jc w:val="center"/>
        </w:trPr>
        <w:tc>
          <w:tcPr>
            <w:tcW w:w="1519" w:type="pct"/>
            <w:shd w:val="clear" w:color="auto" w:fill="auto"/>
            <w:vAlign w:val="center"/>
          </w:tcPr>
          <w:p w14:paraId="2ACD7F6B"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Bilirubin (mg/dl)</w:t>
            </w:r>
          </w:p>
        </w:tc>
        <w:tc>
          <w:tcPr>
            <w:tcW w:w="580" w:type="pct"/>
            <w:gridSpan w:val="2"/>
            <w:shd w:val="clear" w:color="auto" w:fill="auto"/>
            <w:vAlign w:val="center"/>
          </w:tcPr>
          <w:p w14:paraId="289E03EA"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5108EBE4" w14:textId="77777777" w:rsidR="008136EE" w:rsidRPr="00280684" w:rsidRDefault="008136EE" w:rsidP="005504BF">
            <w:pPr>
              <w:spacing w:line="240" w:lineRule="auto"/>
              <w:ind w:left="-57" w:right="-57" w:firstLine="0"/>
              <w:jc w:val="center"/>
              <w:rPr>
                <w:sz w:val="21"/>
                <w:szCs w:val="21"/>
              </w:rPr>
            </w:pPr>
            <w:r w:rsidRPr="00280684">
              <w:rPr>
                <w:sz w:val="21"/>
                <w:szCs w:val="21"/>
              </w:rPr>
              <w:t>0.43±0.10</w:t>
            </w:r>
          </w:p>
        </w:tc>
        <w:tc>
          <w:tcPr>
            <w:tcW w:w="893" w:type="pct"/>
            <w:shd w:val="clear" w:color="auto" w:fill="auto"/>
            <w:vAlign w:val="center"/>
          </w:tcPr>
          <w:p w14:paraId="5E4E7965" w14:textId="77777777" w:rsidR="008136EE" w:rsidRPr="00280684" w:rsidRDefault="008136EE" w:rsidP="005504BF">
            <w:pPr>
              <w:spacing w:line="240" w:lineRule="auto"/>
              <w:ind w:left="-57" w:right="-57" w:firstLine="0"/>
              <w:jc w:val="center"/>
              <w:rPr>
                <w:sz w:val="21"/>
                <w:szCs w:val="21"/>
              </w:rPr>
            </w:pPr>
            <w:r w:rsidRPr="00280684">
              <w:rPr>
                <w:sz w:val="21"/>
                <w:szCs w:val="21"/>
              </w:rPr>
              <w:t>0.43±0.10</w:t>
            </w:r>
          </w:p>
        </w:tc>
        <w:tc>
          <w:tcPr>
            <w:tcW w:w="570" w:type="pct"/>
            <w:shd w:val="clear" w:color="auto" w:fill="auto"/>
            <w:vAlign w:val="center"/>
          </w:tcPr>
          <w:p w14:paraId="0394034B" w14:textId="77777777" w:rsidR="008136EE" w:rsidRPr="00280684" w:rsidRDefault="008136EE" w:rsidP="005504BF">
            <w:pPr>
              <w:spacing w:line="240" w:lineRule="auto"/>
              <w:ind w:left="-57" w:right="-57" w:firstLine="0"/>
              <w:jc w:val="center"/>
              <w:rPr>
                <w:sz w:val="21"/>
                <w:szCs w:val="21"/>
              </w:rPr>
            </w:pPr>
            <w:r w:rsidRPr="00280684">
              <w:rPr>
                <w:sz w:val="21"/>
                <w:szCs w:val="21"/>
              </w:rPr>
              <w:t>t=0.224</w:t>
            </w:r>
          </w:p>
        </w:tc>
        <w:tc>
          <w:tcPr>
            <w:tcW w:w="527" w:type="pct"/>
            <w:shd w:val="clear" w:color="auto" w:fill="auto"/>
            <w:vAlign w:val="center"/>
          </w:tcPr>
          <w:p w14:paraId="604F016D" w14:textId="77777777" w:rsidR="008136EE" w:rsidRPr="00280684" w:rsidRDefault="008136EE" w:rsidP="005504BF">
            <w:pPr>
              <w:spacing w:line="240" w:lineRule="auto"/>
              <w:ind w:left="-57" w:right="-57" w:firstLine="0"/>
              <w:jc w:val="center"/>
              <w:rPr>
                <w:sz w:val="21"/>
                <w:szCs w:val="21"/>
              </w:rPr>
            </w:pPr>
            <w:r w:rsidRPr="00280684">
              <w:rPr>
                <w:sz w:val="21"/>
                <w:szCs w:val="21"/>
              </w:rPr>
              <w:t>0.823</w:t>
            </w:r>
          </w:p>
        </w:tc>
      </w:tr>
      <w:tr w:rsidR="008136EE" w:rsidRPr="00280684" w14:paraId="461850C1" w14:textId="77777777" w:rsidTr="006F0285">
        <w:trPr>
          <w:trHeight w:val="235"/>
          <w:jc w:val="center"/>
        </w:trPr>
        <w:tc>
          <w:tcPr>
            <w:tcW w:w="1519" w:type="pct"/>
            <w:shd w:val="clear" w:color="auto" w:fill="auto"/>
            <w:vAlign w:val="center"/>
          </w:tcPr>
          <w:p w14:paraId="7D81734F"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 xml:space="preserve">INR </w:t>
            </w:r>
          </w:p>
        </w:tc>
        <w:tc>
          <w:tcPr>
            <w:tcW w:w="580" w:type="pct"/>
            <w:gridSpan w:val="2"/>
            <w:shd w:val="clear" w:color="auto" w:fill="auto"/>
            <w:vAlign w:val="center"/>
          </w:tcPr>
          <w:p w14:paraId="6A31992E"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0BCE60BE" w14:textId="77777777" w:rsidR="008136EE" w:rsidRPr="00280684" w:rsidRDefault="008136EE" w:rsidP="005504BF">
            <w:pPr>
              <w:spacing w:line="240" w:lineRule="auto"/>
              <w:ind w:left="-57" w:right="-57" w:firstLine="0"/>
              <w:jc w:val="center"/>
              <w:rPr>
                <w:sz w:val="21"/>
                <w:szCs w:val="21"/>
              </w:rPr>
            </w:pPr>
            <w:r w:rsidRPr="00280684">
              <w:rPr>
                <w:sz w:val="21"/>
                <w:szCs w:val="21"/>
              </w:rPr>
              <w:t>1.19±0.09</w:t>
            </w:r>
          </w:p>
        </w:tc>
        <w:tc>
          <w:tcPr>
            <w:tcW w:w="893" w:type="pct"/>
            <w:shd w:val="clear" w:color="auto" w:fill="auto"/>
            <w:vAlign w:val="center"/>
          </w:tcPr>
          <w:p w14:paraId="07620323" w14:textId="77777777" w:rsidR="008136EE" w:rsidRPr="00280684" w:rsidRDefault="008136EE" w:rsidP="005504BF">
            <w:pPr>
              <w:spacing w:line="240" w:lineRule="auto"/>
              <w:ind w:left="-57" w:right="-57" w:firstLine="0"/>
              <w:jc w:val="center"/>
              <w:rPr>
                <w:sz w:val="21"/>
                <w:szCs w:val="21"/>
              </w:rPr>
            </w:pPr>
            <w:r w:rsidRPr="00280684">
              <w:rPr>
                <w:sz w:val="21"/>
                <w:szCs w:val="21"/>
              </w:rPr>
              <w:t>1.18±0.09</w:t>
            </w:r>
          </w:p>
        </w:tc>
        <w:tc>
          <w:tcPr>
            <w:tcW w:w="570" w:type="pct"/>
            <w:shd w:val="clear" w:color="auto" w:fill="auto"/>
            <w:vAlign w:val="center"/>
          </w:tcPr>
          <w:p w14:paraId="561F0C56" w14:textId="77777777" w:rsidR="008136EE" w:rsidRPr="00280684" w:rsidRDefault="008136EE" w:rsidP="005504BF">
            <w:pPr>
              <w:spacing w:line="240" w:lineRule="auto"/>
              <w:ind w:left="-57" w:right="-57" w:firstLine="0"/>
              <w:jc w:val="center"/>
              <w:rPr>
                <w:sz w:val="21"/>
                <w:szCs w:val="21"/>
              </w:rPr>
            </w:pPr>
            <w:r w:rsidRPr="00280684">
              <w:rPr>
                <w:sz w:val="21"/>
                <w:szCs w:val="21"/>
              </w:rPr>
              <w:t>t=0.325</w:t>
            </w:r>
          </w:p>
        </w:tc>
        <w:tc>
          <w:tcPr>
            <w:tcW w:w="527" w:type="pct"/>
            <w:shd w:val="clear" w:color="auto" w:fill="auto"/>
            <w:vAlign w:val="center"/>
          </w:tcPr>
          <w:p w14:paraId="0029290C" w14:textId="77777777" w:rsidR="008136EE" w:rsidRPr="00280684" w:rsidRDefault="008136EE" w:rsidP="005504BF">
            <w:pPr>
              <w:spacing w:line="240" w:lineRule="auto"/>
              <w:ind w:left="-57" w:right="-57" w:firstLine="0"/>
              <w:jc w:val="center"/>
              <w:rPr>
                <w:sz w:val="21"/>
                <w:szCs w:val="21"/>
              </w:rPr>
            </w:pPr>
            <w:r w:rsidRPr="00280684">
              <w:rPr>
                <w:sz w:val="21"/>
                <w:szCs w:val="21"/>
              </w:rPr>
              <w:t>0.746</w:t>
            </w:r>
          </w:p>
        </w:tc>
      </w:tr>
      <w:tr w:rsidR="008136EE" w:rsidRPr="00280684" w14:paraId="789E0D7E" w14:textId="77777777" w:rsidTr="006F0285">
        <w:trPr>
          <w:jc w:val="center"/>
        </w:trPr>
        <w:tc>
          <w:tcPr>
            <w:tcW w:w="1519" w:type="pct"/>
            <w:shd w:val="clear" w:color="auto" w:fill="auto"/>
            <w:vAlign w:val="center"/>
          </w:tcPr>
          <w:p w14:paraId="2DDEDA14"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PT (seconds)</w:t>
            </w:r>
          </w:p>
        </w:tc>
        <w:tc>
          <w:tcPr>
            <w:tcW w:w="580" w:type="pct"/>
            <w:gridSpan w:val="2"/>
            <w:shd w:val="clear" w:color="auto" w:fill="auto"/>
            <w:vAlign w:val="center"/>
          </w:tcPr>
          <w:p w14:paraId="5960EA96" w14:textId="77777777" w:rsidR="008136EE" w:rsidRPr="003770FE" w:rsidRDefault="008136EE" w:rsidP="005504BF">
            <w:pPr>
              <w:tabs>
                <w:tab w:val="right" w:pos="6804"/>
              </w:tabs>
              <w:autoSpaceDE w:val="0"/>
              <w:autoSpaceDN w:val="0"/>
              <w:adjustRightInd w:val="0"/>
              <w:spacing w:line="240" w:lineRule="auto"/>
              <w:ind w:left="-57" w:right="-57" w:firstLine="0"/>
              <w:jc w:val="center"/>
              <w:rPr>
                <w:sz w:val="22"/>
                <w:szCs w:val="22"/>
              </w:rPr>
            </w:pPr>
            <w:r w:rsidRPr="003770FE">
              <w:rPr>
                <w:sz w:val="22"/>
                <w:szCs w:val="22"/>
              </w:rPr>
              <w:t>M±SD</w:t>
            </w:r>
          </w:p>
        </w:tc>
        <w:tc>
          <w:tcPr>
            <w:tcW w:w="911" w:type="pct"/>
            <w:shd w:val="clear" w:color="auto" w:fill="auto"/>
            <w:vAlign w:val="center"/>
          </w:tcPr>
          <w:p w14:paraId="7614549B" w14:textId="77777777" w:rsidR="008136EE" w:rsidRPr="00280684" w:rsidRDefault="008136EE" w:rsidP="005504BF">
            <w:pPr>
              <w:spacing w:line="240" w:lineRule="auto"/>
              <w:ind w:left="-57" w:right="-57" w:firstLine="0"/>
              <w:jc w:val="center"/>
              <w:rPr>
                <w:sz w:val="21"/>
                <w:szCs w:val="21"/>
              </w:rPr>
            </w:pPr>
            <w:r w:rsidRPr="00280684">
              <w:rPr>
                <w:sz w:val="21"/>
                <w:szCs w:val="21"/>
              </w:rPr>
              <w:t>12.97±0.60</w:t>
            </w:r>
          </w:p>
        </w:tc>
        <w:tc>
          <w:tcPr>
            <w:tcW w:w="893" w:type="pct"/>
            <w:shd w:val="clear" w:color="auto" w:fill="auto"/>
            <w:vAlign w:val="center"/>
          </w:tcPr>
          <w:p w14:paraId="04FEAF87" w14:textId="77777777" w:rsidR="008136EE" w:rsidRPr="00280684" w:rsidRDefault="008136EE" w:rsidP="005504BF">
            <w:pPr>
              <w:spacing w:line="240" w:lineRule="auto"/>
              <w:ind w:left="-57" w:right="-57" w:firstLine="0"/>
              <w:jc w:val="center"/>
              <w:rPr>
                <w:sz w:val="21"/>
                <w:szCs w:val="21"/>
              </w:rPr>
            </w:pPr>
            <w:r w:rsidRPr="00280684">
              <w:rPr>
                <w:sz w:val="21"/>
                <w:szCs w:val="21"/>
              </w:rPr>
              <w:t>12.97±0.60</w:t>
            </w:r>
          </w:p>
        </w:tc>
        <w:tc>
          <w:tcPr>
            <w:tcW w:w="570" w:type="pct"/>
            <w:shd w:val="clear" w:color="auto" w:fill="auto"/>
            <w:vAlign w:val="center"/>
          </w:tcPr>
          <w:p w14:paraId="39A09334" w14:textId="77777777" w:rsidR="008136EE" w:rsidRPr="00280684" w:rsidRDefault="008136EE" w:rsidP="005504BF">
            <w:pPr>
              <w:spacing w:line="240" w:lineRule="auto"/>
              <w:ind w:left="-57" w:right="-57" w:firstLine="0"/>
              <w:jc w:val="center"/>
              <w:rPr>
                <w:sz w:val="21"/>
                <w:szCs w:val="21"/>
              </w:rPr>
            </w:pPr>
            <w:r w:rsidRPr="00280684">
              <w:rPr>
                <w:sz w:val="21"/>
                <w:szCs w:val="21"/>
              </w:rPr>
              <w:t>t=0.052</w:t>
            </w:r>
          </w:p>
        </w:tc>
        <w:tc>
          <w:tcPr>
            <w:tcW w:w="527" w:type="pct"/>
            <w:shd w:val="clear" w:color="auto" w:fill="auto"/>
            <w:vAlign w:val="center"/>
          </w:tcPr>
          <w:p w14:paraId="603BFE77" w14:textId="77777777" w:rsidR="008136EE" w:rsidRPr="00280684" w:rsidRDefault="008136EE" w:rsidP="005504BF">
            <w:pPr>
              <w:spacing w:line="240" w:lineRule="auto"/>
              <w:ind w:left="-57" w:right="-57" w:firstLine="0"/>
              <w:jc w:val="center"/>
              <w:rPr>
                <w:sz w:val="21"/>
                <w:szCs w:val="21"/>
              </w:rPr>
            </w:pPr>
            <w:r w:rsidRPr="00280684">
              <w:rPr>
                <w:sz w:val="21"/>
                <w:szCs w:val="21"/>
              </w:rPr>
              <w:t>0.959</w:t>
            </w:r>
          </w:p>
        </w:tc>
      </w:tr>
      <w:tr w:rsidR="008136EE" w:rsidRPr="00280684" w14:paraId="3125495C" w14:textId="77777777" w:rsidTr="006F0285">
        <w:trPr>
          <w:jc w:val="center"/>
        </w:trPr>
        <w:tc>
          <w:tcPr>
            <w:tcW w:w="2099" w:type="pct"/>
            <w:gridSpan w:val="3"/>
            <w:shd w:val="clear" w:color="auto" w:fill="auto"/>
            <w:vAlign w:val="center"/>
          </w:tcPr>
          <w:p w14:paraId="62789B0D" w14:textId="77777777" w:rsidR="008136EE" w:rsidRPr="003770FE" w:rsidRDefault="008136EE" w:rsidP="005504BF">
            <w:pPr>
              <w:tabs>
                <w:tab w:val="right" w:pos="6804"/>
              </w:tabs>
              <w:autoSpaceDE w:val="0"/>
              <w:autoSpaceDN w:val="0"/>
              <w:adjustRightInd w:val="0"/>
              <w:spacing w:line="240" w:lineRule="auto"/>
              <w:ind w:left="-57" w:right="-57" w:firstLine="0"/>
              <w:jc w:val="left"/>
              <w:rPr>
                <w:sz w:val="22"/>
                <w:szCs w:val="22"/>
              </w:rPr>
            </w:pPr>
            <w:r w:rsidRPr="003770FE">
              <w:rPr>
                <w:sz w:val="22"/>
                <w:szCs w:val="22"/>
              </w:rPr>
              <w:t>Positive H. pylori Ab. N (%)</w:t>
            </w:r>
          </w:p>
        </w:tc>
        <w:tc>
          <w:tcPr>
            <w:tcW w:w="911" w:type="pct"/>
            <w:shd w:val="clear" w:color="auto" w:fill="auto"/>
            <w:vAlign w:val="center"/>
          </w:tcPr>
          <w:p w14:paraId="47E11A5D" w14:textId="77777777" w:rsidR="008136EE" w:rsidRPr="00280684" w:rsidRDefault="008136EE" w:rsidP="005504BF">
            <w:pPr>
              <w:spacing w:line="240" w:lineRule="auto"/>
              <w:ind w:left="-57" w:right="-57" w:hanging="14"/>
              <w:jc w:val="center"/>
              <w:rPr>
                <w:sz w:val="22"/>
                <w:szCs w:val="22"/>
                <w:lang w:val="it-IT"/>
              </w:rPr>
            </w:pPr>
            <w:r w:rsidRPr="00280684">
              <w:rPr>
                <w:sz w:val="22"/>
                <w:szCs w:val="22"/>
              </w:rPr>
              <w:t>39(65.0%)</w:t>
            </w:r>
          </w:p>
        </w:tc>
        <w:tc>
          <w:tcPr>
            <w:tcW w:w="893" w:type="pct"/>
            <w:shd w:val="clear" w:color="auto" w:fill="auto"/>
            <w:vAlign w:val="center"/>
          </w:tcPr>
          <w:p w14:paraId="21BD370E" w14:textId="77777777" w:rsidR="008136EE" w:rsidRPr="00280684" w:rsidRDefault="008136EE" w:rsidP="005504BF">
            <w:pPr>
              <w:spacing w:line="240" w:lineRule="auto"/>
              <w:ind w:left="-57" w:right="-57" w:firstLine="0"/>
              <w:jc w:val="center"/>
              <w:rPr>
                <w:sz w:val="22"/>
                <w:szCs w:val="22"/>
                <w:lang w:val="it-IT"/>
              </w:rPr>
            </w:pPr>
            <w:r w:rsidRPr="00280684">
              <w:rPr>
                <w:sz w:val="22"/>
                <w:szCs w:val="22"/>
              </w:rPr>
              <w:t>19(31.7%)</w:t>
            </w:r>
          </w:p>
        </w:tc>
        <w:tc>
          <w:tcPr>
            <w:tcW w:w="570" w:type="pct"/>
            <w:shd w:val="clear" w:color="auto" w:fill="auto"/>
            <w:vAlign w:val="center"/>
          </w:tcPr>
          <w:p w14:paraId="72F5E2AF" w14:textId="77777777" w:rsidR="008136EE" w:rsidRPr="00280684" w:rsidRDefault="008136EE" w:rsidP="005504BF">
            <w:pPr>
              <w:spacing w:line="240" w:lineRule="auto"/>
              <w:ind w:left="-57" w:right="-57" w:firstLine="0"/>
              <w:jc w:val="center"/>
              <w:rPr>
                <w:sz w:val="22"/>
                <w:szCs w:val="22"/>
              </w:rPr>
            </w:pPr>
            <w:r w:rsidRPr="00280684">
              <w:rPr>
                <w:sz w:val="22"/>
                <w:szCs w:val="22"/>
              </w:rPr>
              <w:t>X</w:t>
            </w:r>
            <w:r w:rsidRPr="00280684">
              <w:rPr>
                <w:sz w:val="22"/>
                <w:szCs w:val="22"/>
                <w:vertAlign w:val="superscript"/>
              </w:rPr>
              <w:t>2</w:t>
            </w:r>
            <w:r w:rsidRPr="00280684">
              <w:rPr>
                <w:sz w:val="22"/>
                <w:szCs w:val="22"/>
                <w:vertAlign w:val="subscript"/>
              </w:rPr>
              <w:t>ChS</w:t>
            </w:r>
            <w:r w:rsidRPr="00280684">
              <w:rPr>
                <w:sz w:val="22"/>
                <w:szCs w:val="22"/>
              </w:rPr>
              <w:t>= 13.348</w:t>
            </w:r>
          </w:p>
        </w:tc>
        <w:tc>
          <w:tcPr>
            <w:tcW w:w="527" w:type="pct"/>
            <w:shd w:val="clear" w:color="auto" w:fill="auto"/>
            <w:vAlign w:val="center"/>
          </w:tcPr>
          <w:p w14:paraId="5E06422B" w14:textId="77777777" w:rsidR="008136EE" w:rsidRPr="00280684" w:rsidRDefault="008136EE" w:rsidP="005504BF">
            <w:pPr>
              <w:spacing w:line="240" w:lineRule="auto"/>
              <w:ind w:left="-57" w:right="-57" w:firstLine="0"/>
              <w:jc w:val="center"/>
              <w:rPr>
                <w:sz w:val="22"/>
                <w:szCs w:val="22"/>
              </w:rPr>
            </w:pPr>
            <w:r w:rsidRPr="00280684">
              <w:rPr>
                <w:sz w:val="22"/>
                <w:szCs w:val="22"/>
              </w:rPr>
              <w:t>&lt;0.001</w:t>
            </w:r>
            <w:r w:rsidRPr="00280684">
              <w:rPr>
                <w:sz w:val="22"/>
                <w:szCs w:val="22"/>
                <w:vertAlign w:val="superscript"/>
              </w:rPr>
              <w:t>*</w:t>
            </w:r>
          </w:p>
        </w:tc>
      </w:tr>
      <w:tr w:rsidR="008136EE" w:rsidRPr="00280684" w14:paraId="4C8A91A9" w14:textId="77777777" w:rsidTr="006F0285">
        <w:trPr>
          <w:jc w:val="center"/>
        </w:trPr>
        <w:tc>
          <w:tcPr>
            <w:tcW w:w="1548" w:type="pct"/>
            <w:gridSpan w:val="2"/>
            <w:shd w:val="clear" w:color="auto" w:fill="auto"/>
            <w:vAlign w:val="center"/>
          </w:tcPr>
          <w:p w14:paraId="7E7C0AD0" w14:textId="77777777"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H. pylori Ab. level (&gt;1.1 u/ml)</w:t>
            </w:r>
          </w:p>
        </w:tc>
        <w:tc>
          <w:tcPr>
            <w:tcW w:w="551" w:type="pct"/>
            <w:shd w:val="clear" w:color="auto" w:fill="auto"/>
            <w:vAlign w:val="center"/>
          </w:tcPr>
          <w:p w14:paraId="77B7B6D5" w14:textId="77777777" w:rsidR="008136EE" w:rsidRPr="003770FE" w:rsidRDefault="008136EE" w:rsidP="005504BF">
            <w:pPr>
              <w:tabs>
                <w:tab w:val="right" w:pos="6804"/>
              </w:tabs>
              <w:autoSpaceDE w:val="0"/>
              <w:autoSpaceDN w:val="0"/>
              <w:adjustRightInd w:val="0"/>
              <w:spacing w:line="240" w:lineRule="auto"/>
              <w:ind w:firstLine="0"/>
              <w:jc w:val="center"/>
              <w:rPr>
                <w:sz w:val="22"/>
                <w:szCs w:val="22"/>
              </w:rPr>
            </w:pPr>
            <w:r w:rsidRPr="003770FE">
              <w:rPr>
                <w:sz w:val="22"/>
                <w:szCs w:val="22"/>
              </w:rPr>
              <w:t>M±SD</w:t>
            </w:r>
          </w:p>
        </w:tc>
        <w:tc>
          <w:tcPr>
            <w:tcW w:w="911" w:type="pct"/>
            <w:shd w:val="clear" w:color="auto" w:fill="auto"/>
            <w:vAlign w:val="center"/>
          </w:tcPr>
          <w:p w14:paraId="5DEE1186" w14:textId="77777777" w:rsidR="008136EE" w:rsidRPr="00280684" w:rsidRDefault="008136EE" w:rsidP="005504BF">
            <w:pPr>
              <w:spacing w:line="240" w:lineRule="auto"/>
              <w:ind w:left="-57" w:right="-57" w:firstLine="0"/>
              <w:jc w:val="center"/>
              <w:rPr>
                <w:sz w:val="22"/>
                <w:szCs w:val="22"/>
              </w:rPr>
            </w:pPr>
            <w:r w:rsidRPr="00280684">
              <w:rPr>
                <w:sz w:val="22"/>
                <w:szCs w:val="22"/>
              </w:rPr>
              <w:t>3.06±1.20</w:t>
            </w:r>
          </w:p>
        </w:tc>
        <w:tc>
          <w:tcPr>
            <w:tcW w:w="893" w:type="pct"/>
            <w:shd w:val="clear" w:color="auto" w:fill="auto"/>
            <w:vAlign w:val="center"/>
          </w:tcPr>
          <w:p w14:paraId="11231D2C" w14:textId="77777777" w:rsidR="008136EE" w:rsidRPr="00280684" w:rsidRDefault="008136EE" w:rsidP="005504BF">
            <w:pPr>
              <w:spacing w:line="240" w:lineRule="auto"/>
              <w:ind w:left="-57" w:right="-57" w:firstLine="0"/>
              <w:jc w:val="center"/>
              <w:rPr>
                <w:sz w:val="22"/>
                <w:szCs w:val="22"/>
              </w:rPr>
            </w:pPr>
            <w:r w:rsidRPr="00280684">
              <w:rPr>
                <w:sz w:val="22"/>
                <w:szCs w:val="22"/>
              </w:rPr>
              <w:t>2.85± 91</w:t>
            </w:r>
          </w:p>
        </w:tc>
        <w:tc>
          <w:tcPr>
            <w:tcW w:w="570" w:type="pct"/>
            <w:shd w:val="clear" w:color="auto" w:fill="auto"/>
            <w:vAlign w:val="center"/>
          </w:tcPr>
          <w:p w14:paraId="0B22CC26" w14:textId="77777777" w:rsidR="008136EE" w:rsidRPr="00280684" w:rsidRDefault="008136EE" w:rsidP="005504BF">
            <w:pPr>
              <w:spacing w:line="240" w:lineRule="auto"/>
              <w:ind w:left="-57" w:right="-57" w:firstLine="0"/>
              <w:jc w:val="center"/>
              <w:rPr>
                <w:sz w:val="22"/>
                <w:szCs w:val="22"/>
              </w:rPr>
            </w:pPr>
            <w:r w:rsidRPr="00280684">
              <w:rPr>
                <w:sz w:val="22"/>
                <w:szCs w:val="22"/>
              </w:rPr>
              <w:t>t=0.653</w:t>
            </w:r>
          </w:p>
        </w:tc>
        <w:tc>
          <w:tcPr>
            <w:tcW w:w="527" w:type="pct"/>
            <w:shd w:val="clear" w:color="auto" w:fill="auto"/>
            <w:vAlign w:val="center"/>
          </w:tcPr>
          <w:p w14:paraId="50FE72E5" w14:textId="77777777" w:rsidR="008136EE" w:rsidRPr="00280684" w:rsidRDefault="008136EE" w:rsidP="005504BF">
            <w:pPr>
              <w:spacing w:line="240" w:lineRule="auto"/>
              <w:ind w:left="-57" w:right="-57" w:firstLine="0"/>
              <w:jc w:val="center"/>
              <w:rPr>
                <w:sz w:val="22"/>
                <w:szCs w:val="22"/>
              </w:rPr>
            </w:pPr>
            <w:r w:rsidRPr="00280684">
              <w:rPr>
                <w:sz w:val="22"/>
                <w:szCs w:val="22"/>
              </w:rPr>
              <w:t>0.516</w:t>
            </w:r>
          </w:p>
        </w:tc>
      </w:tr>
      <w:tr w:rsidR="008136EE" w:rsidRPr="00280684" w14:paraId="68F44F13" w14:textId="77777777" w:rsidTr="006F0285">
        <w:trPr>
          <w:jc w:val="center"/>
        </w:trPr>
        <w:tc>
          <w:tcPr>
            <w:tcW w:w="2099" w:type="pct"/>
            <w:gridSpan w:val="3"/>
            <w:tcBorders>
              <w:bottom w:val="single" w:sz="4" w:space="0" w:color="000000"/>
            </w:tcBorders>
            <w:shd w:val="clear" w:color="auto" w:fill="auto"/>
            <w:vAlign w:val="center"/>
          </w:tcPr>
          <w:p w14:paraId="7B02CB65" w14:textId="31FE7BF3" w:rsidR="008136EE" w:rsidRPr="003770FE" w:rsidRDefault="008136EE" w:rsidP="005504BF">
            <w:pPr>
              <w:tabs>
                <w:tab w:val="right" w:pos="6804"/>
              </w:tabs>
              <w:autoSpaceDE w:val="0"/>
              <w:autoSpaceDN w:val="0"/>
              <w:adjustRightInd w:val="0"/>
              <w:spacing w:line="240" w:lineRule="auto"/>
              <w:ind w:firstLine="0"/>
              <w:jc w:val="left"/>
              <w:rPr>
                <w:sz w:val="22"/>
                <w:szCs w:val="22"/>
              </w:rPr>
            </w:pPr>
            <w:r w:rsidRPr="003770FE">
              <w:rPr>
                <w:sz w:val="22"/>
                <w:szCs w:val="22"/>
              </w:rPr>
              <w:t>Positive H. pylori Ag in stools</w:t>
            </w:r>
          </w:p>
        </w:tc>
        <w:tc>
          <w:tcPr>
            <w:tcW w:w="911" w:type="pct"/>
            <w:tcBorders>
              <w:bottom w:val="single" w:sz="4" w:space="0" w:color="000000"/>
            </w:tcBorders>
            <w:shd w:val="clear" w:color="auto" w:fill="auto"/>
            <w:vAlign w:val="center"/>
          </w:tcPr>
          <w:p w14:paraId="3541DB14" w14:textId="77777777" w:rsidR="008136EE" w:rsidRPr="00280684" w:rsidRDefault="008136EE" w:rsidP="005504BF">
            <w:pPr>
              <w:spacing w:line="240" w:lineRule="auto"/>
              <w:ind w:left="-57" w:right="-57" w:firstLine="0"/>
              <w:jc w:val="center"/>
              <w:rPr>
                <w:sz w:val="22"/>
                <w:szCs w:val="22"/>
              </w:rPr>
            </w:pPr>
            <w:r w:rsidRPr="00280684">
              <w:rPr>
                <w:sz w:val="22"/>
                <w:szCs w:val="22"/>
                <w:lang w:val="en-GB" w:eastAsia="ja-JP"/>
              </w:rPr>
              <w:t>24(40.0%)</w:t>
            </w:r>
          </w:p>
        </w:tc>
        <w:tc>
          <w:tcPr>
            <w:tcW w:w="893" w:type="pct"/>
            <w:tcBorders>
              <w:bottom w:val="single" w:sz="4" w:space="0" w:color="000000"/>
            </w:tcBorders>
            <w:shd w:val="clear" w:color="auto" w:fill="auto"/>
            <w:vAlign w:val="center"/>
          </w:tcPr>
          <w:p w14:paraId="3A7E4BA2" w14:textId="77777777" w:rsidR="008136EE" w:rsidRPr="00280684" w:rsidRDefault="008136EE" w:rsidP="005504BF">
            <w:pPr>
              <w:spacing w:line="240" w:lineRule="auto"/>
              <w:ind w:left="-57" w:right="-57" w:firstLine="0"/>
              <w:jc w:val="center"/>
              <w:rPr>
                <w:sz w:val="22"/>
                <w:szCs w:val="22"/>
              </w:rPr>
            </w:pPr>
            <w:r w:rsidRPr="00280684">
              <w:rPr>
                <w:sz w:val="22"/>
                <w:szCs w:val="22"/>
                <w:lang w:val="en-GB" w:eastAsia="ja-JP"/>
              </w:rPr>
              <w:t>35 (58.3%)</w:t>
            </w:r>
          </w:p>
        </w:tc>
        <w:tc>
          <w:tcPr>
            <w:tcW w:w="570" w:type="pct"/>
            <w:tcBorders>
              <w:bottom w:val="single" w:sz="4" w:space="0" w:color="000000"/>
            </w:tcBorders>
            <w:shd w:val="clear" w:color="auto" w:fill="auto"/>
            <w:vAlign w:val="center"/>
          </w:tcPr>
          <w:p w14:paraId="1A2856A0" w14:textId="77777777" w:rsidR="008136EE" w:rsidRPr="00280684" w:rsidRDefault="008136EE" w:rsidP="005504BF">
            <w:pPr>
              <w:spacing w:line="240" w:lineRule="auto"/>
              <w:ind w:left="-57" w:right="-57" w:firstLine="0"/>
              <w:jc w:val="center"/>
              <w:rPr>
                <w:sz w:val="22"/>
                <w:szCs w:val="22"/>
              </w:rPr>
            </w:pPr>
            <w:r w:rsidRPr="00280684">
              <w:rPr>
                <w:sz w:val="22"/>
                <w:szCs w:val="22"/>
              </w:rPr>
              <w:t>X</w:t>
            </w:r>
            <w:r w:rsidRPr="00280684">
              <w:rPr>
                <w:sz w:val="22"/>
                <w:szCs w:val="22"/>
                <w:vertAlign w:val="superscript"/>
              </w:rPr>
              <w:t>2</w:t>
            </w:r>
            <w:r w:rsidRPr="00280684">
              <w:rPr>
                <w:sz w:val="22"/>
                <w:szCs w:val="22"/>
                <w:vertAlign w:val="subscript"/>
              </w:rPr>
              <w:t>ChS</w:t>
            </w:r>
            <w:r w:rsidRPr="00280684">
              <w:rPr>
                <w:sz w:val="22"/>
                <w:szCs w:val="22"/>
              </w:rPr>
              <w:t>= 4.034</w:t>
            </w:r>
          </w:p>
        </w:tc>
        <w:tc>
          <w:tcPr>
            <w:tcW w:w="527" w:type="pct"/>
            <w:tcBorders>
              <w:bottom w:val="single" w:sz="4" w:space="0" w:color="000000"/>
            </w:tcBorders>
            <w:shd w:val="clear" w:color="auto" w:fill="auto"/>
            <w:vAlign w:val="center"/>
          </w:tcPr>
          <w:p w14:paraId="18900AA0" w14:textId="77777777" w:rsidR="008136EE" w:rsidRPr="00280684" w:rsidRDefault="008136EE" w:rsidP="006F0285">
            <w:pPr>
              <w:keepNext/>
              <w:spacing w:line="240" w:lineRule="auto"/>
              <w:ind w:left="-57" w:right="-57" w:firstLine="0"/>
              <w:jc w:val="center"/>
              <w:rPr>
                <w:sz w:val="22"/>
                <w:szCs w:val="22"/>
              </w:rPr>
            </w:pPr>
            <w:r w:rsidRPr="00280684">
              <w:rPr>
                <w:sz w:val="22"/>
                <w:szCs w:val="22"/>
              </w:rPr>
              <w:t>0.045*</w:t>
            </w:r>
          </w:p>
        </w:tc>
      </w:tr>
    </w:tbl>
    <w:p w14:paraId="7DC020F9" w14:textId="77777777" w:rsidR="006F0285" w:rsidRPr="006F0285" w:rsidRDefault="006F0285" w:rsidP="006F0285">
      <w:pPr>
        <w:pStyle w:val="BodyText"/>
        <w:spacing w:line="360" w:lineRule="auto"/>
        <w:ind w:right="26" w:firstLine="720"/>
        <w:rPr>
          <w:b/>
          <w:bCs/>
          <w:color w:val="4F81BD" w:themeColor="accent1"/>
          <w:sz w:val="18"/>
          <w:szCs w:val="18"/>
        </w:rPr>
      </w:pPr>
      <w:r w:rsidRPr="006F0285">
        <w:rPr>
          <w:b/>
          <w:bCs/>
          <w:color w:val="4F81BD" w:themeColor="accent1"/>
          <w:sz w:val="18"/>
          <w:szCs w:val="18"/>
        </w:rPr>
        <w:t>* Significant at p-value &lt;0.05</w:t>
      </w:r>
    </w:p>
    <w:p w14:paraId="238108D7" w14:textId="1E08A2FA" w:rsidR="00986D06" w:rsidRDefault="007866E5" w:rsidP="0087250B">
      <w:pPr>
        <w:pStyle w:val="BodyText"/>
        <w:spacing w:line="360" w:lineRule="auto"/>
        <w:ind w:right="26" w:firstLine="720"/>
        <w:jc w:val="both"/>
        <w:rPr>
          <w:rFonts w:asciiTheme="majorBidi" w:hAnsiTheme="majorBidi" w:cstheme="majorBidi"/>
          <w:color w:val="000000" w:themeColor="text1"/>
          <w:sz w:val="24"/>
          <w:szCs w:val="24"/>
        </w:rPr>
      </w:pPr>
      <w:r>
        <w:rPr>
          <w:rFonts w:asciiTheme="majorBidi" w:hAnsiTheme="majorBidi" w:cstheme="majorBidi"/>
          <w:sz w:val="24"/>
          <w:szCs w:val="24"/>
        </w:rPr>
        <w:t>Regarding</w:t>
      </w:r>
      <w:r w:rsidR="00D17EC6">
        <w:rPr>
          <w:rFonts w:asciiTheme="majorBidi" w:hAnsiTheme="majorBidi" w:cstheme="majorBidi"/>
          <w:color w:val="000000" w:themeColor="text1"/>
          <w:sz w:val="24"/>
          <w:szCs w:val="24"/>
        </w:rPr>
        <w:t xml:space="preserve"> H. pylori status, group 1 showed a significantly higher number of patients with positive H pylori antibodies (p &lt;0.001)</w:t>
      </w:r>
      <w:r>
        <w:rPr>
          <w:rFonts w:asciiTheme="majorBidi" w:hAnsiTheme="majorBidi" w:cstheme="majorBidi"/>
          <w:color w:val="000000" w:themeColor="text1"/>
          <w:sz w:val="24"/>
          <w:szCs w:val="24"/>
        </w:rPr>
        <w:t>. However,</w:t>
      </w:r>
      <w:r w:rsidR="00FE1C9F" w:rsidRPr="0028068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both groups had no statistical difference in antibody levels</w:t>
      </w:r>
      <w:r w:rsidR="00327027" w:rsidRPr="00280684">
        <w:rPr>
          <w:rFonts w:asciiTheme="majorBidi" w:hAnsiTheme="majorBidi" w:cstheme="majorBidi"/>
          <w:color w:val="000000" w:themeColor="text1"/>
          <w:sz w:val="24"/>
          <w:szCs w:val="24"/>
        </w:rPr>
        <w:t xml:space="preserve"> (p: 0.516). Group </w:t>
      </w:r>
      <w:r w:rsidR="00327027" w:rsidRPr="00D17EC6">
        <w:rPr>
          <w:rFonts w:asciiTheme="majorBidi" w:hAnsiTheme="majorBidi" w:cstheme="majorBidi"/>
          <w:color w:val="000000" w:themeColor="text1"/>
          <w:sz w:val="24"/>
          <w:szCs w:val="24"/>
        </w:rPr>
        <w:t xml:space="preserve">2 revealed </w:t>
      </w:r>
      <w:r w:rsidR="0081365B" w:rsidRPr="00D17EC6">
        <w:rPr>
          <w:rFonts w:asciiTheme="majorBidi" w:hAnsiTheme="majorBidi" w:cstheme="majorBidi"/>
          <w:color w:val="000000" w:themeColor="text1"/>
          <w:sz w:val="24"/>
          <w:szCs w:val="24"/>
        </w:rPr>
        <w:t xml:space="preserve">a considerably higher value of h pylori </w:t>
      </w:r>
      <w:r w:rsidR="00D17EC6" w:rsidRPr="00D17EC6">
        <w:rPr>
          <w:rFonts w:asciiTheme="majorBidi" w:hAnsiTheme="majorBidi" w:cstheme="majorBidi"/>
          <w:color w:val="000000" w:themeColor="text1"/>
          <w:sz w:val="24"/>
          <w:szCs w:val="24"/>
        </w:rPr>
        <w:t>infection (</w:t>
      </w:r>
      <w:r w:rsidR="00327027" w:rsidRPr="00D17EC6">
        <w:rPr>
          <w:rFonts w:asciiTheme="majorBidi" w:hAnsiTheme="majorBidi" w:cstheme="majorBidi"/>
          <w:color w:val="000000" w:themeColor="text1"/>
          <w:sz w:val="24"/>
          <w:szCs w:val="24"/>
        </w:rPr>
        <w:t>positive H pylori Ag in stool</w:t>
      </w:r>
      <w:r w:rsidR="0081365B">
        <w:rPr>
          <w:rFonts w:asciiTheme="majorBidi" w:hAnsiTheme="majorBidi" w:cstheme="majorBidi"/>
          <w:color w:val="000000" w:themeColor="text1"/>
          <w:sz w:val="24"/>
          <w:szCs w:val="24"/>
        </w:rPr>
        <w:t>)</w:t>
      </w:r>
      <w:r w:rsidR="00327027" w:rsidRPr="00280684">
        <w:rPr>
          <w:rFonts w:asciiTheme="majorBidi" w:hAnsiTheme="majorBidi" w:cstheme="majorBidi"/>
          <w:color w:val="000000" w:themeColor="text1"/>
          <w:sz w:val="24"/>
          <w:szCs w:val="24"/>
        </w:rPr>
        <w:t xml:space="preserve"> (p: 0.045)</w:t>
      </w:r>
      <w:r w:rsidR="0087250B">
        <w:rPr>
          <w:rFonts w:asciiTheme="majorBidi" w:hAnsiTheme="majorBidi" w:cstheme="majorBidi"/>
          <w:color w:val="000000" w:themeColor="text1"/>
          <w:sz w:val="24"/>
          <w:szCs w:val="24"/>
        </w:rPr>
        <w:t>.</w:t>
      </w:r>
    </w:p>
    <w:p w14:paraId="5855A588" w14:textId="40D4CA72" w:rsidR="00476353" w:rsidRDefault="00327027" w:rsidP="009022DE">
      <w:pPr>
        <w:pStyle w:val="BodyText"/>
        <w:spacing w:line="360" w:lineRule="auto"/>
        <w:ind w:right="26" w:firstLine="720"/>
        <w:jc w:val="both"/>
        <w:rPr>
          <w:rFonts w:asciiTheme="majorBidi" w:hAnsiTheme="majorBidi" w:cstheme="majorBidi"/>
          <w:color w:val="000000" w:themeColor="text1"/>
          <w:sz w:val="24"/>
          <w:szCs w:val="24"/>
        </w:rPr>
      </w:pPr>
      <w:r w:rsidRPr="00280684">
        <w:rPr>
          <w:rFonts w:asciiTheme="majorBidi" w:hAnsiTheme="majorBidi" w:cstheme="majorBidi"/>
          <w:color w:val="000000" w:themeColor="text1"/>
          <w:sz w:val="24"/>
          <w:szCs w:val="24"/>
        </w:rPr>
        <w:t xml:space="preserve">Patients in group 1 were classified </w:t>
      </w:r>
      <w:r w:rsidR="008329CC">
        <w:rPr>
          <w:rFonts w:asciiTheme="majorBidi" w:hAnsiTheme="majorBidi" w:cstheme="majorBidi"/>
          <w:color w:val="000000" w:themeColor="text1"/>
          <w:sz w:val="24"/>
          <w:szCs w:val="24"/>
        </w:rPr>
        <w:t>into three subgroups based on US evidence of the severity of steatosis</w:t>
      </w:r>
      <w:r w:rsidRPr="00280684">
        <w:rPr>
          <w:rFonts w:asciiTheme="majorBidi" w:hAnsiTheme="majorBidi" w:cstheme="majorBidi"/>
          <w:sz w:val="24"/>
          <w:szCs w:val="24"/>
        </w:rPr>
        <w:t xml:space="preserve">: </w:t>
      </w:r>
      <w:r w:rsidRPr="00280684">
        <w:rPr>
          <w:rFonts w:asciiTheme="majorBidi" w:hAnsiTheme="majorBidi" w:cstheme="majorBidi"/>
          <w:color w:val="000000" w:themeColor="text1"/>
          <w:sz w:val="24"/>
          <w:szCs w:val="24"/>
        </w:rPr>
        <w:t>thirty-two patients had grade 1 NAFLD, twenty-five patients had grade 2 NAFLD</w:t>
      </w:r>
      <w:r w:rsidR="00D17EC6">
        <w:rPr>
          <w:rFonts w:asciiTheme="majorBidi" w:hAnsiTheme="majorBidi" w:cstheme="majorBidi"/>
          <w:color w:val="000000" w:themeColor="text1"/>
          <w:sz w:val="24"/>
          <w:szCs w:val="24"/>
        </w:rPr>
        <w:t>,</w:t>
      </w:r>
      <w:r w:rsidRPr="00280684">
        <w:rPr>
          <w:rFonts w:asciiTheme="majorBidi" w:hAnsiTheme="majorBidi" w:cstheme="majorBidi"/>
          <w:color w:val="000000" w:themeColor="text1"/>
          <w:sz w:val="24"/>
          <w:szCs w:val="24"/>
        </w:rPr>
        <w:t xml:space="preserve"> and three patients had grade 3 NAFLD. </w:t>
      </w:r>
      <w:r w:rsidR="00050DB2" w:rsidRPr="00280684">
        <w:rPr>
          <w:rFonts w:asciiTheme="majorBidi" w:hAnsiTheme="majorBidi" w:cstheme="majorBidi"/>
          <w:color w:val="000000" w:themeColor="text1"/>
          <w:sz w:val="24"/>
          <w:szCs w:val="24"/>
        </w:rPr>
        <w:t>N</w:t>
      </w:r>
      <w:r w:rsidRPr="00280684">
        <w:rPr>
          <w:rFonts w:asciiTheme="majorBidi" w:hAnsiTheme="majorBidi" w:cstheme="majorBidi"/>
          <w:color w:val="000000" w:themeColor="text1"/>
          <w:sz w:val="24"/>
          <w:szCs w:val="24"/>
        </w:rPr>
        <w:t xml:space="preserve">o statistically significant difference </w:t>
      </w:r>
      <w:r w:rsidR="00D17EC6">
        <w:rPr>
          <w:rFonts w:asciiTheme="majorBidi" w:hAnsiTheme="majorBidi" w:cstheme="majorBidi"/>
          <w:color w:val="000000" w:themeColor="text1"/>
          <w:sz w:val="24"/>
          <w:szCs w:val="24"/>
        </w:rPr>
        <w:t xml:space="preserve">was </w:t>
      </w:r>
      <w:r w:rsidR="00050DB2" w:rsidRPr="00280684">
        <w:rPr>
          <w:rFonts w:asciiTheme="majorBidi" w:hAnsiTheme="majorBidi" w:cstheme="majorBidi"/>
          <w:color w:val="000000" w:themeColor="text1"/>
          <w:sz w:val="24"/>
          <w:szCs w:val="24"/>
        </w:rPr>
        <w:t xml:space="preserve">found </w:t>
      </w:r>
      <w:r w:rsidRPr="00280684">
        <w:rPr>
          <w:rFonts w:asciiTheme="majorBidi" w:hAnsiTheme="majorBidi" w:cstheme="majorBidi"/>
          <w:color w:val="000000" w:themeColor="text1"/>
          <w:sz w:val="24"/>
          <w:szCs w:val="24"/>
        </w:rPr>
        <w:t>among the three groups regarding age, sex, smoking status, or physical activity levels (p: 0.587, 0.830, 0.590, 0.193</w:t>
      </w:r>
      <w:r w:rsidR="00D17EC6">
        <w:rPr>
          <w:rFonts w:asciiTheme="majorBidi" w:hAnsiTheme="majorBidi" w:cstheme="majorBidi"/>
          <w:color w:val="000000" w:themeColor="text1"/>
          <w:sz w:val="24"/>
          <w:szCs w:val="24"/>
        </w:rPr>
        <w:t>,</w:t>
      </w:r>
      <w:r w:rsidRPr="00280684">
        <w:rPr>
          <w:rFonts w:asciiTheme="majorBidi" w:hAnsiTheme="majorBidi" w:cstheme="majorBidi"/>
          <w:color w:val="000000" w:themeColor="text1"/>
          <w:sz w:val="24"/>
          <w:szCs w:val="24"/>
        </w:rPr>
        <w:t xml:space="preserve"> respectively).</w:t>
      </w:r>
      <w:r w:rsidR="00986D06" w:rsidRPr="00280684">
        <w:rPr>
          <w:rFonts w:asciiTheme="majorBidi" w:hAnsiTheme="majorBidi" w:cstheme="majorBidi"/>
          <w:color w:val="000000" w:themeColor="text1"/>
          <w:sz w:val="24"/>
          <w:szCs w:val="24"/>
        </w:rPr>
        <w:t xml:space="preserve"> </w:t>
      </w:r>
    </w:p>
    <w:p w14:paraId="3406692C" w14:textId="0BE678A5" w:rsidR="009D2E3D" w:rsidRPr="009D2E3D" w:rsidRDefault="009D2E3D" w:rsidP="009D2E3D">
      <w:pPr>
        <w:pStyle w:val="Caption"/>
        <w:keepNext/>
      </w:pPr>
      <w:r>
        <w:t>Table 5.</w:t>
      </w:r>
      <w:r w:rsidRPr="009D2E3D">
        <w:rPr>
          <w:color w:val="auto"/>
          <w:sz w:val="24"/>
          <w:szCs w:val="24"/>
        </w:rPr>
        <w:t xml:space="preserve"> </w:t>
      </w:r>
      <w:r w:rsidRPr="009D2E3D">
        <w:t>Comparison of demographic and laboratory parameters among NAFLD subgroups</w:t>
      </w:r>
    </w:p>
    <w:tbl>
      <w:tblPr>
        <w:tblW w:w="5000" w:type="pct"/>
        <w:jc w:val="center"/>
        <w:tblLook w:val="04A0" w:firstRow="1" w:lastRow="0" w:firstColumn="1" w:lastColumn="0" w:noHBand="0" w:noVBand="1"/>
        <w:tblCaption w:val="Table 5: Comparison of demographic and laboratory parameters among NAFLD subgroups"/>
      </w:tblPr>
      <w:tblGrid>
        <w:gridCol w:w="1104"/>
        <w:gridCol w:w="1328"/>
        <w:gridCol w:w="1626"/>
        <w:gridCol w:w="1701"/>
        <w:gridCol w:w="1776"/>
        <w:gridCol w:w="691"/>
        <w:gridCol w:w="800"/>
      </w:tblGrid>
      <w:tr w:rsidR="009D2E3D" w:rsidRPr="00280684" w14:paraId="741FE493" w14:textId="77777777" w:rsidTr="006F0285">
        <w:trPr>
          <w:trHeight w:val="300"/>
          <w:jc w:val="center"/>
        </w:trPr>
        <w:tc>
          <w:tcPr>
            <w:tcW w:w="1636" w:type="pct"/>
            <w:gridSpan w:val="2"/>
            <w:tcBorders>
              <w:top w:val="single" w:sz="4" w:space="0" w:color="000000"/>
              <w:bottom w:val="single" w:sz="4" w:space="0" w:color="000000"/>
            </w:tcBorders>
            <w:shd w:val="clear" w:color="auto" w:fill="auto"/>
          </w:tcPr>
          <w:p w14:paraId="5621E00F" w14:textId="77777777" w:rsidR="009D2E3D" w:rsidRPr="00280684" w:rsidRDefault="009D2E3D" w:rsidP="005504BF">
            <w:pPr>
              <w:spacing w:line="276" w:lineRule="auto"/>
              <w:ind w:left="-57" w:right="-57" w:firstLine="0"/>
              <w:jc w:val="left"/>
              <w:rPr>
                <w:kern w:val="2"/>
                <w:sz w:val="20"/>
                <w:szCs w:val="20"/>
                <w:lang w:eastAsia="ja-JP"/>
                <w14:ligatures w14:val="standardContextual"/>
              </w:rPr>
            </w:pPr>
          </w:p>
        </w:tc>
        <w:tc>
          <w:tcPr>
            <w:tcW w:w="703" w:type="pct"/>
            <w:tcBorders>
              <w:top w:val="single" w:sz="4" w:space="0" w:color="000000"/>
              <w:bottom w:val="single" w:sz="4" w:space="0" w:color="000000"/>
            </w:tcBorders>
            <w:shd w:val="clear" w:color="auto" w:fill="auto"/>
            <w:noWrap/>
            <w:vAlign w:val="center"/>
            <w:hideMark/>
          </w:tcPr>
          <w:p w14:paraId="6C9D8FB0" w14:textId="77777777" w:rsidR="009D2E3D" w:rsidRPr="00280684" w:rsidRDefault="009D2E3D" w:rsidP="005504BF">
            <w:pPr>
              <w:tabs>
                <w:tab w:val="right" w:pos="6804"/>
              </w:tabs>
              <w:autoSpaceDE w:val="0"/>
              <w:autoSpaceDN w:val="0"/>
              <w:adjustRightInd w:val="0"/>
              <w:spacing w:line="276" w:lineRule="auto"/>
              <w:ind w:left="-57" w:right="-57" w:firstLine="0"/>
              <w:jc w:val="center"/>
              <w:rPr>
                <w:b/>
                <w:bCs/>
                <w:sz w:val="20"/>
                <w:szCs w:val="20"/>
              </w:rPr>
            </w:pPr>
            <w:r w:rsidRPr="00280684">
              <w:rPr>
                <w:b/>
                <w:bCs/>
                <w:sz w:val="20"/>
                <w:szCs w:val="20"/>
              </w:rPr>
              <w:t>Grade I NAFLD</w:t>
            </w:r>
          </w:p>
          <w:p w14:paraId="739E56E2" w14:textId="77777777" w:rsidR="009D2E3D" w:rsidRPr="00280684" w:rsidRDefault="009D2E3D" w:rsidP="005504BF">
            <w:pPr>
              <w:tabs>
                <w:tab w:val="right" w:pos="6804"/>
              </w:tabs>
              <w:autoSpaceDE w:val="0"/>
              <w:autoSpaceDN w:val="0"/>
              <w:adjustRightInd w:val="0"/>
              <w:spacing w:line="276" w:lineRule="auto"/>
              <w:ind w:left="-57" w:right="-57" w:firstLine="0"/>
              <w:jc w:val="center"/>
              <w:rPr>
                <w:b/>
                <w:bCs/>
                <w:sz w:val="20"/>
                <w:szCs w:val="20"/>
              </w:rPr>
            </w:pPr>
            <w:r w:rsidRPr="00280684">
              <w:rPr>
                <w:b/>
                <w:bCs/>
                <w:sz w:val="20"/>
                <w:szCs w:val="20"/>
              </w:rPr>
              <w:t>(N=32)</w:t>
            </w:r>
          </w:p>
        </w:tc>
        <w:tc>
          <w:tcPr>
            <w:tcW w:w="796" w:type="pct"/>
            <w:tcBorders>
              <w:top w:val="single" w:sz="4" w:space="0" w:color="000000"/>
              <w:bottom w:val="single" w:sz="4" w:space="0" w:color="000000"/>
            </w:tcBorders>
            <w:shd w:val="clear" w:color="auto" w:fill="auto"/>
            <w:noWrap/>
            <w:vAlign w:val="center"/>
            <w:hideMark/>
          </w:tcPr>
          <w:p w14:paraId="1C78175C" w14:textId="77777777" w:rsidR="009D2E3D" w:rsidRPr="00280684" w:rsidRDefault="009D2E3D" w:rsidP="005504BF">
            <w:pPr>
              <w:tabs>
                <w:tab w:val="right" w:pos="6804"/>
              </w:tabs>
              <w:autoSpaceDE w:val="0"/>
              <w:autoSpaceDN w:val="0"/>
              <w:adjustRightInd w:val="0"/>
              <w:spacing w:line="276" w:lineRule="auto"/>
              <w:ind w:left="-57" w:right="-57" w:firstLine="0"/>
              <w:jc w:val="center"/>
              <w:rPr>
                <w:b/>
                <w:bCs/>
                <w:sz w:val="20"/>
                <w:szCs w:val="20"/>
              </w:rPr>
            </w:pPr>
            <w:r w:rsidRPr="00280684">
              <w:rPr>
                <w:b/>
                <w:bCs/>
                <w:sz w:val="20"/>
                <w:szCs w:val="20"/>
              </w:rPr>
              <w:t>Grade II NAFLD</w:t>
            </w:r>
          </w:p>
          <w:p w14:paraId="4624F69E" w14:textId="77777777" w:rsidR="009D2E3D" w:rsidRPr="00280684" w:rsidRDefault="009D2E3D" w:rsidP="005504BF">
            <w:pPr>
              <w:tabs>
                <w:tab w:val="right" w:pos="6804"/>
              </w:tabs>
              <w:autoSpaceDE w:val="0"/>
              <w:autoSpaceDN w:val="0"/>
              <w:adjustRightInd w:val="0"/>
              <w:spacing w:line="276" w:lineRule="auto"/>
              <w:ind w:left="-57" w:right="-57" w:firstLine="0"/>
              <w:jc w:val="center"/>
              <w:rPr>
                <w:b/>
                <w:bCs/>
                <w:sz w:val="20"/>
                <w:szCs w:val="20"/>
              </w:rPr>
            </w:pPr>
            <w:r w:rsidRPr="00280684">
              <w:rPr>
                <w:b/>
                <w:bCs/>
                <w:sz w:val="20"/>
                <w:szCs w:val="20"/>
              </w:rPr>
              <w:t>(N=25)</w:t>
            </w:r>
          </w:p>
        </w:tc>
        <w:tc>
          <w:tcPr>
            <w:tcW w:w="827" w:type="pct"/>
            <w:tcBorders>
              <w:top w:val="single" w:sz="4" w:space="0" w:color="000000"/>
              <w:bottom w:val="single" w:sz="4" w:space="0" w:color="000000"/>
            </w:tcBorders>
            <w:shd w:val="clear" w:color="auto" w:fill="auto"/>
            <w:noWrap/>
            <w:vAlign w:val="center"/>
            <w:hideMark/>
          </w:tcPr>
          <w:p w14:paraId="1315EF35" w14:textId="77777777" w:rsidR="009D2E3D" w:rsidRPr="00280684" w:rsidRDefault="009D2E3D" w:rsidP="005504BF">
            <w:pPr>
              <w:tabs>
                <w:tab w:val="right" w:pos="6804"/>
              </w:tabs>
              <w:autoSpaceDE w:val="0"/>
              <w:autoSpaceDN w:val="0"/>
              <w:adjustRightInd w:val="0"/>
              <w:spacing w:line="276" w:lineRule="auto"/>
              <w:ind w:left="-57" w:right="-57" w:firstLine="0"/>
              <w:jc w:val="center"/>
              <w:rPr>
                <w:b/>
                <w:bCs/>
                <w:sz w:val="20"/>
                <w:szCs w:val="20"/>
              </w:rPr>
            </w:pPr>
            <w:r w:rsidRPr="00280684">
              <w:rPr>
                <w:b/>
                <w:bCs/>
                <w:sz w:val="20"/>
                <w:szCs w:val="20"/>
              </w:rPr>
              <w:t>Grade III NAFLD</w:t>
            </w:r>
          </w:p>
          <w:p w14:paraId="4B8675A2" w14:textId="77777777" w:rsidR="009D2E3D" w:rsidRPr="00280684" w:rsidRDefault="009D2E3D" w:rsidP="005504BF">
            <w:pPr>
              <w:tabs>
                <w:tab w:val="right" w:pos="6804"/>
              </w:tabs>
              <w:autoSpaceDE w:val="0"/>
              <w:autoSpaceDN w:val="0"/>
              <w:adjustRightInd w:val="0"/>
              <w:spacing w:line="276" w:lineRule="auto"/>
              <w:ind w:left="-57" w:right="-57" w:firstLine="0"/>
              <w:jc w:val="center"/>
              <w:rPr>
                <w:b/>
                <w:bCs/>
                <w:sz w:val="20"/>
                <w:szCs w:val="20"/>
              </w:rPr>
            </w:pPr>
            <w:r w:rsidRPr="00280684">
              <w:rPr>
                <w:b/>
                <w:bCs/>
                <w:sz w:val="20"/>
                <w:szCs w:val="20"/>
              </w:rPr>
              <w:t>(N=3)</w:t>
            </w:r>
          </w:p>
        </w:tc>
        <w:tc>
          <w:tcPr>
            <w:tcW w:w="623" w:type="pct"/>
            <w:tcBorders>
              <w:top w:val="single" w:sz="4" w:space="0" w:color="000000"/>
              <w:bottom w:val="single" w:sz="4" w:space="0" w:color="000000"/>
            </w:tcBorders>
            <w:shd w:val="clear" w:color="auto" w:fill="auto"/>
            <w:vAlign w:val="center"/>
            <w:hideMark/>
          </w:tcPr>
          <w:p w14:paraId="005B963B" w14:textId="77777777" w:rsidR="009D2E3D" w:rsidRPr="00280684" w:rsidRDefault="009D2E3D" w:rsidP="005504BF">
            <w:pPr>
              <w:tabs>
                <w:tab w:val="right" w:pos="6804"/>
              </w:tabs>
              <w:autoSpaceDE w:val="0"/>
              <w:autoSpaceDN w:val="0"/>
              <w:adjustRightInd w:val="0"/>
              <w:spacing w:line="276" w:lineRule="auto"/>
              <w:ind w:left="-57" w:right="-57" w:firstLine="0"/>
              <w:jc w:val="center"/>
              <w:rPr>
                <w:b/>
                <w:bCs/>
                <w:sz w:val="20"/>
                <w:szCs w:val="20"/>
              </w:rPr>
            </w:pPr>
            <w:r w:rsidRPr="00280684">
              <w:rPr>
                <w:b/>
                <w:bCs/>
                <w:sz w:val="20"/>
                <w:szCs w:val="20"/>
              </w:rPr>
              <w:t>Test</w:t>
            </w:r>
          </w:p>
        </w:tc>
        <w:tc>
          <w:tcPr>
            <w:tcW w:w="415" w:type="pct"/>
            <w:tcBorders>
              <w:top w:val="single" w:sz="4" w:space="0" w:color="000000"/>
            </w:tcBorders>
            <w:shd w:val="clear" w:color="auto" w:fill="auto"/>
            <w:vAlign w:val="center"/>
            <w:hideMark/>
          </w:tcPr>
          <w:p w14:paraId="549F08C2" w14:textId="77777777" w:rsidR="009D2E3D" w:rsidRPr="00280684" w:rsidRDefault="009D2E3D" w:rsidP="005504BF">
            <w:pPr>
              <w:tabs>
                <w:tab w:val="right" w:pos="6804"/>
              </w:tabs>
              <w:autoSpaceDE w:val="0"/>
              <w:autoSpaceDN w:val="0"/>
              <w:adjustRightInd w:val="0"/>
              <w:spacing w:line="276" w:lineRule="auto"/>
              <w:ind w:left="-57" w:right="-57" w:firstLine="0"/>
              <w:jc w:val="center"/>
              <w:rPr>
                <w:b/>
                <w:bCs/>
                <w:sz w:val="20"/>
                <w:szCs w:val="20"/>
              </w:rPr>
            </w:pPr>
            <w:r w:rsidRPr="00280684">
              <w:rPr>
                <w:b/>
                <w:bCs/>
                <w:sz w:val="20"/>
                <w:szCs w:val="20"/>
              </w:rPr>
              <w:t>p</w:t>
            </w:r>
          </w:p>
        </w:tc>
      </w:tr>
      <w:tr w:rsidR="009D2E3D" w:rsidRPr="00280684" w14:paraId="7BD8B6FD" w14:textId="77777777" w:rsidTr="006F0285">
        <w:trPr>
          <w:trHeight w:val="315"/>
          <w:jc w:val="center"/>
        </w:trPr>
        <w:tc>
          <w:tcPr>
            <w:tcW w:w="5000" w:type="pct"/>
            <w:gridSpan w:val="7"/>
            <w:tcBorders>
              <w:top w:val="single" w:sz="4" w:space="0" w:color="000000"/>
            </w:tcBorders>
            <w:shd w:val="pct15" w:color="auto" w:fill="auto"/>
            <w:vAlign w:val="center"/>
          </w:tcPr>
          <w:p w14:paraId="0690CB6D" w14:textId="77777777" w:rsidR="009D2E3D" w:rsidRPr="00280684" w:rsidRDefault="009D2E3D" w:rsidP="005504BF">
            <w:pPr>
              <w:pStyle w:val="ListParagraph"/>
              <w:numPr>
                <w:ilvl w:val="0"/>
                <w:numId w:val="5"/>
              </w:numPr>
              <w:spacing w:line="240" w:lineRule="auto"/>
              <w:ind w:right="-58"/>
              <w:jc w:val="left"/>
              <w:rPr>
                <w:b/>
                <w:bCs/>
                <w:sz w:val="21"/>
                <w:szCs w:val="21"/>
              </w:rPr>
            </w:pPr>
            <w:r w:rsidRPr="00280684">
              <w:rPr>
                <w:b/>
                <w:bCs/>
                <w:sz w:val="21"/>
                <w:szCs w:val="21"/>
              </w:rPr>
              <w:t>Clinical parameters:</w:t>
            </w:r>
          </w:p>
        </w:tc>
      </w:tr>
      <w:tr w:rsidR="009D2E3D" w:rsidRPr="00280684" w14:paraId="5C84C70E" w14:textId="77777777" w:rsidTr="006F0285">
        <w:trPr>
          <w:trHeight w:val="315"/>
          <w:jc w:val="center"/>
        </w:trPr>
        <w:tc>
          <w:tcPr>
            <w:tcW w:w="1190" w:type="pct"/>
            <w:shd w:val="clear" w:color="auto" w:fill="auto"/>
            <w:vAlign w:val="center"/>
          </w:tcPr>
          <w:p w14:paraId="43F0F010" w14:textId="77777777" w:rsidR="009D2E3D" w:rsidRPr="00280684" w:rsidRDefault="009D2E3D" w:rsidP="005504BF">
            <w:pPr>
              <w:tabs>
                <w:tab w:val="right" w:pos="6804"/>
              </w:tabs>
              <w:autoSpaceDE w:val="0"/>
              <w:autoSpaceDN w:val="0"/>
              <w:adjustRightInd w:val="0"/>
              <w:spacing w:line="240" w:lineRule="auto"/>
              <w:ind w:left="-57" w:right="-58" w:firstLine="0"/>
              <w:jc w:val="left"/>
              <w:rPr>
                <w:b/>
                <w:bCs/>
                <w:sz w:val="21"/>
                <w:szCs w:val="21"/>
              </w:rPr>
            </w:pPr>
            <w:r w:rsidRPr="00280684">
              <w:rPr>
                <w:b/>
                <w:bCs/>
                <w:sz w:val="21"/>
                <w:szCs w:val="21"/>
              </w:rPr>
              <w:t>Age (years)</w:t>
            </w:r>
          </w:p>
        </w:tc>
        <w:tc>
          <w:tcPr>
            <w:tcW w:w="446" w:type="pct"/>
            <w:shd w:val="clear" w:color="auto" w:fill="auto"/>
            <w:noWrap/>
            <w:vAlign w:val="center"/>
          </w:tcPr>
          <w:p w14:paraId="0D365BE0" w14:textId="77777777" w:rsidR="009D2E3D" w:rsidRPr="00280684" w:rsidRDefault="009D2E3D" w:rsidP="005504BF">
            <w:pPr>
              <w:tabs>
                <w:tab w:val="right" w:pos="6804"/>
              </w:tabs>
              <w:autoSpaceDE w:val="0"/>
              <w:autoSpaceDN w:val="0"/>
              <w:adjustRightInd w:val="0"/>
              <w:spacing w:line="240" w:lineRule="auto"/>
              <w:ind w:left="-57" w:right="-58" w:hanging="29"/>
              <w:jc w:val="left"/>
              <w:rPr>
                <w:b/>
                <w:bCs/>
                <w:sz w:val="21"/>
                <w:szCs w:val="21"/>
              </w:rPr>
            </w:pPr>
            <w:r w:rsidRPr="00280684">
              <w:rPr>
                <w:b/>
                <w:bCs/>
                <w:sz w:val="21"/>
                <w:szCs w:val="21"/>
              </w:rPr>
              <w:t>M±SD</w:t>
            </w:r>
          </w:p>
        </w:tc>
        <w:tc>
          <w:tcPr>
            <w:tcW w:w="703" w:type="pct"/>
            <w:shd w:val="clear" w:color="auto" w:fill="auto"/>
            <w:noWrap/>
          </w:tcPr>
          <w:p w14:paraId="796F4D7B"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rPr>
              <w:t>29.41±4.38</w:t>
            </w:r>
          </w:p>
        </w:tc>
        <w:tc>
          <w:tcPr>
            <w:tcW w:w="796" w:type="pct"/>
            <w:shd w:val="clear" w:color="auto" w:fill="auto"/>
            <w:noWrap/>
          </w:tcPr>
          <w:p w14:paraId="3DFC4EDC" w14:textId="77777777" w:rsidR="009D2E3D" w:rsidRPr="00280684" w:rsidRDefault="009D2E3D" w:rsidP="005504BF">
            <w:pPr>
              <w:spacing w:line="240" w:lineRule="auto"/>
              <w:ind w:left="-46" w:right="-58" w:hanging="11"/>
              <w:jc w:val="center"/>
              <w:rPr>
                <w:sz w:val="21"/>
                <w:szCs w:val="21"/>
                <w:lang w:val="en-GB" w:eastAsia="ja-JP"/>
              </w:rPr>
            </w:pPr>
            <w:r w:rsidRPr="00280684">
              <w:rPr>
                <w:sz w:val="21"/>
                <w:szCs w:val="21"/>
              </w:rPr>
              <w:t>30.12±4.60</w:t>
            </w:r>
          </w:p>
        </w:tc>
        <w:tc>
          <w:tcPr>
            <w:tcW w:w="827" w:type="pct"/>
            <w:shd w:val="clear" w:color="auto" w:fill="auto"/>
            <w:noWrap/>
          </w:tcPr>
          <w:p w14:paraId="136A2C69"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rPr>
              <w:t>32.00±5.57</w:t>
            </w:r>
          </w:p>
        </w:tc>
        <w:tc>
          <w:tcPr>
            <w:tcW w:w="623" w:type="pct"/>
            <w:shd w:val="clear" w:color="auto" w:fill="auto"/>
          </w:tcPr>
          <w:p w14:paraId="6B366D7E"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rPr>
              <w:t>F = 0.538</w:t>
            </w:r>
          </w:p>
        </w:tc>
        <w:tc>
          <w:tcPr>
            <w:tcW w:w="415" w:type="pct"/>
            <w:shd w:val="clear" w:color="auto" w:fill="auto"/>
          </w:tcPr>
          <w:p w14:paraId="22136134" w14:textId="77777777" w:rsidR="009D2E3D" w:rsidRPr="00280684" w:rsidRDefault="009D2E3D" w:rsidP="005504BF">
            <w:pPr>
              <w:spacing w:line="240" w:lineRule="auto"/>
              <w:ind w:left="-57" w:right="-58" w:hanging="29"/>
              <w:jc w:val="center"/>
              <w:rPr>
                <w:sz w:val="21"/>
                <w:szCs w:val="21"/>
                <w:lang w:val="en-GB" w:eastAsia="ja-JP"/>
              </w:rPr>
            </w:pPr>
            <w:r w:rsidRPr="00280684">
              <w:rPr>
                <w:sz w:val="21"/>
                <w:szCs w:val="21"/>
              </w:rPr>
              <w:t>0.587</w:t>
            </w:r>
          </w:p>
        </w:tc>
      </w:tr>
      <w:tr w:rsidR="009D2E3D" w:rsidRPr="00280684" w14:paraId="424C35E9" w14:textId="77777777" w:rsidTr="006F0285">
        <w:trPr>
          <w:trHeight w:val="315"/>
          <w:jc w:val="center"/>
        </w:trPr>
        <w:tc>
          <w:tcPr>
            <w:tcW w:w="1190" w:type="pct"/>
            <w:vMerge w:val="restart"/>
            <w:shd w:val="clear" w:color="auto" w:fill="auto"/>
            <w:vAlign w:val="center"/>
          </w:tcPr>
          <w:p w14:paraId="6CD542A5" w14:textId="77777777" w:rsidR="009D2E3D" w:rsidRPr="00280684" w:rsidRDefault="009D2E3D" w:rsidP="005504BF">
            <w:pPr>
              <w:tabs>
                <w:tab w:val="right" w:pos="6804"/>
              </w:tabs>
              <w:autoSpaceDE w:val="0"/>
              <w:autoSpaceDN w:val="0"/>
              <w:adjustRightInd w:val="0"/>
              <w:spacing w:line="276" w:lineRule="auto"/>
              <w:ind w:left="-57" w:right="-57" w:hanging="29"/>
              <w:jc w:val="left"/>
              <w:rPr>
                <w:b/>
                <w:bCs/>
                <w:sz w:val="20"/>
                <w:szCs w:val="20"/>
              </w:rPr>
            </w:pPr>
            <w:r w:rsidRPr="00280684">
              <w:rPr>
                <w:b/>
                <w:bCs/>
                <w:sz w:val="21"/>
                <w:szCs w:val="21"/>
              </w:rPr>
              <w:t>Sex</w:t>
            </w:r>
          </w:p>
        </w:tc>
        <w:tc>
          <w:tcPr>
            <w:tcW w:w="446" w:type="pct"/>
            <w:shd w:val="clear" w:color="auto" w:fill="auto"/>
            <w:noWrap/>
            <w:vAlign w:val="center"/>
          </w:tcPr>
          <w:p w14:paraId="4C6A969F" w14:textId="77777777" w:rsidR="009D2E3D" w:rsidRPr="00280684" w:rsidRDefault="009D2E3D" w:rsidP="005504BF">
            <w:pPr>
              <w:tabs>
                <w:tab w:val="right" w:pos="6804"/>
              </w:tabs>
              <w:autoSpaceDE w:val="0"/>
              <w:autoSpaceDN w:val="0"/>
              <w:adjustRightInd w:val="0"/>
              <w:spacing w:line="240" w:lineRule="auto"/>
              <w:ind w:left="-57" w:right="-58" w:hanging="29"/>
              <w:jc w:val="left"/>
              <w:rPr>
                <w:b/>
                <w:bCs/>
                <w:sz w:val="21"/>
                <w:szCs w:val="21"/>
              </w:rPr>
            </w:pPr>
            <w:r w:rsidRPr="00280684">
              <w:rPr>
                <w:b/>
                <w:bCs/>
                <w:sz w:val="21"/>
                <w:szCs w:val="21"/>
              </w:rPr>
              <w:t>Female</w:t>
            </w:r>
          </w:p>
        </w:tc>
        <w:tc>
          <w:tcPr>
            <w:tcW w:w="703" w:type="pct"/>
            <w:shd w:val="clear" w:color="auto" w:fill="auto"/>
            <w:noWrap/>
          </w:tcPr>
          <w:p w14:paraId="30213425"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13 (40.6%)</w:t>
            </w:r>
          </w:p>
        </w:tc>
        <w:tc>
          <w:tcPr>
            <w:tcW w:w="796" w:type="pct"/>
            <w:shd w:val="clear" w:color="auto" w:fill="auto"/>
            <w:noWrap/>
          </w:tcPr>
          <w:p w14:paraId="04DA35E1"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12(48.0%)</w:t>
            </w:r>
          </w:p>
        </w:tc>
        <w:tc>
          <w:tcPr>
            <w:tcW w:w="827" w:type="pct"/>
            <w:shd w:val="clear" w:color="auto" w:fill="auto"/>
            <w:noWrap/>
          </w:tcPr>
          <w:p w14:paraId="4251A253"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1 (33.3%)</w:t>
            </w:r>
          </w:p>
        </w:tc>
        <w:tc>
          <w:tcPr>
            <w:tcW w:w="623" w:type="pct"/>
            <w:vMerge w:val="restart"/>
            <w:shd w:val="clear" w:color="auto" w:fill="auto"/>
            <w:vAlign w:val="center"/>
          </w:tcPr>
          <w:p w14:paraId="50CD1CB9"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0.558</w:t>
            </w:r>
          </w:p>
        </w:tc>
        <w:tc>
          <w:tcPr>
            <w:tcW w:w="415" w:type="pct"/>
            <w:vMerge w:val="restart"/>
            <w:shd w:val="clear" w:color="auto" w:fill="auto"/>
            <w:vAlign w:val="center"/>
          </w:tcPr>
          <w:p w14:paraId="67D3C57D" w14:textId="77777777" w:rsidR="009D2E3D" w:rsidRPr="00280684" w:rsidRDefault="009D2E3D" w:rsidP="005504BF">
            <w:pPr>
              <w:spacing w:line="240" w:lineRule="auto"/>
              <w:ind w:left="-57" w:right="-58" w:hanging="29"/>
              <w:jc w:val="center"/>
              <w:rPr>
                <w:sz w:val="21"/>
                <w:szCs w:val="21"/>
                <w:lang w:val="en-GB" w:eastAsia="ja-JP"/>
              </w:rPr>
            </w:pPr>
            <w:r w:rsidRPr="00280684">
              <w:rPr>
                <w:sz w:val="21"/>
                <w:szCs w:val="21"/>
                <w:lang w:val="en-GB" w:eastAsia="ja-JP"/>
              </w:rPr>
              <w:t>0.830</w:t>
            </w:r>
          </w:p>
        </w:tc>
      </w:tr>
      <w:tr w:rsidR="009D2E3D" w:rsidRPr="00280684" w14:paraId="53AED49D" w14:textId="77777777" w:rsidTr="006F0285">
        <w:trPr>
          <w:trHeight w:val="315"/>
          <w:jc w:val="center"/>
        </w:trPr>
        <w:tc>
          <w:tcPr>
            <w:tcW w:w="1190" w:type="pct"/>
            <w:vMerge/>
            <w:shd w:val="clear" w:color="auto" w:fill="auto"/>
            <w:vAlign w:val="center"/>
          </w:tcPr>
          <w:p w14:paraId="00BCFBE6" w14:textId="77777777" w:rsidR="009D2E3D" w:rsidRPr="00280684" w:rsidRDefault="009D2E3D" w:rsidP="005504BF">
            <w:pPr>
              <w:tabs>
                <w:tab w:val="right" w:pos="6804"/>
              </w:tabs>
              <w:autoSpaceDE w:val="0"/>
              <w:autoSpaceDN w:val="0"/>
              <w:adjustRightInd w:val="0"/>
              <w:spacing w:line="276" w:lineRule="auto"/>
              <w:ind w:left="-57" w:right="-57" w:hanging="29"/>
              <w:jc w:val="left"/>
              <w:rPr>
                <w:b/>
                <w:bCs/>
                <w:sz w:val="20"/>
                <w:szCs w:val="20"/>
              </w:rPr>
            </w:pPr>
          </w:p>
        </w:tc>
        <w:tc>
          <w:tcPr>
            <w:tcW w:w="446" w:type="pct"/>
            <w:shd w:val="clear" w:color="auto" w:fill="auto"/>
            <w:noWrap/>
            <w:vAlign w:val="center"/>
          </w:tcPr>
          <w:p w14:paraId="6D184845" w14:textId="77777777" w:rsidR="009D2E3D" w:rsidRPr="00280684" w:rsidRDefault="009D2E3D" w:rsidP="005504BF">
            <w:pPr>
              <w:tabs>
                <w:tab w:val="right" w:pos="6804"/>
              </w:tabs>
              <w:autoSpaceDE w:val="0"/>
              <w:autoSpaceDN w:val="0"/>
              <w:adjustRightInd w:val="0"/>
              <w:spacing w:line="240" w:lineRule="auto"/>
              <w:ind w:left="-57" w:right="-58" w:hanging="29"/>
              <w:jc w:val="left"/>
              <w:rPr>
                <w:b/>
                <w:bCs/>
                <w:sz w:val="21"/>
                <w:szCs w:val="21"/>
              </w:rPr>
            </w:pPr>
            <w:r w:rsidRPr="00280684">
              <w:rPr>
                <w:b/>
                <w:bCs/>
                <w:sz w:val="21"/>
                <w:szCs w:val="21"/>
              </w:rPr>
              <w:t>Male</w:t>
            </w:r>
          </w:p>
        </w:tc>
        <w:tc>
          <w:tcPr>
            <w:tcW w:w="703" w:type="pct"/>
            <w:shd w:val="clear" w:color="auto" w:fill="auto"/>
            <w:noWrap/>
          </w:tcPr>
          <w:p w14:paraId="5799753A"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19 (59.4%)</w:t>
            </w:r>
          </w:p>
        </w:tc>
        <w:tc>
          <w:tcPr>
            <w:tcW w:w="796" w:type="pct"/>
            <w:shd w:val="clear" w:color="auto" w:fill="auto"/>
            <w:noWrap/>
          </w:tcPr>
          <w:p w14:paraId="353328AF"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13(52.0%)</w:t>
            </w:r>
          </w:p>
        </w:tc>
        <w:tc>
          <w:tcPr>
            <w:tcW w:w="827" w:type="pct"/>
            <w:shd w:val="clear" w:color="auto" w:fill="auto"/>
            <w:noWrap/>
          </w:tcPr>
          <w:p w14:paraId="06AC89A9"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2 (66.7%)</w:t>
            </w:r>
          </w:p>
        </w:tc>
        <w:tc>
          <w:tcPr>
            <w:tcW w:w="623" w:type="pct"/>
            <w:vMerge/>
            <w:shd w:val="clear" w:color="auto" w:fill="auto"/>
            <w:vAlign w:val="center"/>
          </w:tcPr>
          <w:p w14:paraId="2429C1D5" w14:textId="77777777" w:rsidR="009D2E3D" w:rsidRPr="00280684" w:rsidRDefault="009D2E3D" w:rsidP="005504BF">
            <w:pPr>
              <w:spacing w:line="240" w:lineRule="auto"/>
              <w:ind w:left="-57" w:right="-58" w:hanging="14"/>
              <w:jc w:val="center"/>
              <w:rPr>
                <w:sz w:val="21"/>
                <w:szCs w:val="21"/>
                <w:lang w:val="en-GB" w:eastAsia="ja-JP"/>
              </w:rPr>
            </w:pPr>
          </w:p>
        </w:tc>
        <w:tc>
          <w:tcPr>
            <w:tcW w:w="415" w:type="pct"/>
            <w:vMerge/>
            <w:shd w:val="clear" w:color="auto" w:fill="auto"/>
            <w:vAlign w:val="center"/>
          </w:tcPr>
          <w:p w14:paraId="70FDCD03" w14:textId="77777777" w:rsidR="009D2E3D" w:rsidRPr="00280684" w:rsidRDefault="009D2E3D" w:rsidP="005504BF">
            <w:pPr>
              <w:spacing w:line="240" w:lineRule="auto"/>
              <w:ind w:left="-57" w:right="-58"/>
              <w:jc w:val="center"/>
              <w:rPr>
                <w:sz w:val="21"/>
                <w:szCs w:val="21"/>
                <w:lang w:val="en-GB" w:eastAsia="ja-JP"/>
              </w:rPr>
            </w:pPr>
          </w:p>
        </w:tc>
      </w:tr>
      <w:tr w:rsidR="009D2E3D" w:rsidRPr="00280684" w14:paraId="2AB03237" w14:textId="77777777" w:rsidTr="006F0285">
        <w:trPr>
          <w:trHeight w:val="315"/>
          <w:jc w:val="center"/>
        </w:trPr>
        <w:tc>
          <w:tcPr>
            <w:tcW w:w="1190" w:type="pct"/>
            <w:shd w:val="clear" w:color="auto" w:fill="auto"/>
            <w:vAlign w:val="center"/>
          </w:tcPr>
          <w:p w14:paraId="751F73DB" w14:textId="77777777" w:rsidR="009D2E3D" w:rsidRPr="00280684" w:rsidRDefault="009D2E3D" w:rsidP="005504BF">
            <w:pPr>
              <w:tabs>
                <w:tab w:val="right" w:pos="6804"/>
              </w:tabs>
              <w:autoSpaceDE w:val="0"/>
              <w:autoSpaceDN w:val="0"/>
              <w:adjustRightInd w:val="0"/>
              <w:spacing w:line="240" w:lineRule="auto"/>
              <w:ind w:left="-57" w:right="-58" w:firstLine="0"/>
              <w:jc w:val="left"/>
              <w:rPr>
                <w:b/>
                <w:bCs/>
                <w:sz w:val="20"/>
                <w:szCs w:val="20"/>
              </w:rPr>
            </w:pPr>
            <w:r w:rsidRPr="00280684">
              <w:rPr>
                <w:b/>
                <w:bCs/>
                <w:sz w:val="20"/>
                <w:szCs w:val="20"/>
              </w:rPr>
              <w:t>Co-morbidities</w:t>
            </w:r>
          </w:p>
        </w:tc>
        <w:tc>
          <w:tcPr>
            <w:tcW w:w="446" w:type="pct"/>
            <w:shd w:val="clear" w:color="auto" w:fill="auto"/>
            <w:noWrap/>
            <w:vAlign w:val="center"/>
          </w:tcPr>
          <w:p w14:paraId="52AC9D2E" w14:textId="77777777" w:rsidR="009D2E3D" w:rsidRPr="00280684" w:rsidRDefault="009D2E3D" w:rsidP="005504BF">
            <w:pPr>
              <w:tabs>
                <w:tab w:val="right" w:pos="6804"/>
              </w:tabs>
              <w:autoSpaceDE w:val="0"/>
              <w:autoSpaceDN w:val="0"/>
              <w:adjustRightInd w:val="0"/>
              <w:spacing w:line="240" w:lineRule="auto"/>
              <w:ind w:left="-57" w:right="-58" w:hanging="29"/>
              <w:jc w:val="left"/>
              <w:rPr>
                <w:b/>
                <w:bCs/>
                <w:sz w:val="21"/>
                <w:szCs w:val="21"/>
              </w:rPr>
            </w:pPr>
            <w:r w:rsidRPr="00280684">
              <w:rPr>
                <w:b/>
                <w:bCs/>
                <w:sz w:val="21"/>
                <w:szCs w:val="21"/>
              </w:rPr>
              <w:t>HTN</w:t>
            </w:r>
          </w:p>
        </w:tc>
        <w:tc>
          <w:tcPr>
            <w:tcW w:w="703" w:type="pct"/>
            <w:shd w:val="clear" w:color="auto" w:fill="auto"/>
            <w:noWrap/>
          </w:tcPr>
          <w:p w14:paraId="4316DB08"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4 (12.5%)</w:t>
            </w:r>
          </w:p>
        </w:tc>
        <w:tc>
          <w:tcPr>
            <w:tcW w:w="796" w:type="pct"/>
            <w:shd w:val="clear" w:color="auto" w:fill="auto"/>
            <w:noWrap/>
          </w:tcPr>
          <w:p w14:paraId="5EDD9C45"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7(28.0%)</w:t>
            </w:r>
          </w:p>
        </w:tc>
        <w:tc>
          <w:tcPr>
            <w:tcW w:w="827" w:type="pct"/>
            <w:shd w:val="clear" w:color="auto" w:fill="auto"/>
            <w:noWrap/>
          </w:tcPr>
          <w:p w14:paraId="76C0DF26"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 xml:space="preserve">2 (66.7%) </w:t>
            </w:r>
          </w:p>
        </w:tc>
        <w:tc>
          <w:tcPr>
            <w:tcW w:w="623" w:type="pct"/>
            <w:shd w:val="clear" w:color="auto" w:fill="auto"/>
          </w:tcPr>
          <w:p w14:paraId="603DBE12"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5.386</w:t>
            </w:r>
          </w:p>
        </w:tc>
        <w:tc>
          <w:tcPr>
            <w:tcW w:w="415" w:type="pct"/>
            <w:shd w:val="clear" w:color="auto" w:fill="auto"/>
          </w:tcPr>
          <w:p w14:paraId="3BB1AFC0" w14:textId="77777777" w:rsidR="009D2E3D" w:rsidRPr="00280684" w:rsidRDefault="009D2E3D" w:rsidP="005504BF">
            <w:pPr>
              <w:spacing w:line="240" w:lineRule="auto"/>
              <w:ind w:left="-57" w:right="-58" w:hanging="29"/>
              <w:jc w:val="center"/>
              <w:rPr>
                <w:sz w:val="21"/>
                <w:szCs w:val="21"/>
                <w:lang w:val="en-GB" w:eastAsia="ja-JP"/>
              </w:rPr>
            </w:pPr>
            <w:r w:rsidRPr="00280684">
              <w:rPr>
                <w:sz w:val="21"/>
                <w:szCs w:val="21"/>
                <w:lang w:val="en-GB" w:eastAsia="ja-JP"/>
              </w:rPr>
              <w:t>0.049*</w:t>
            </w:r>
          </w:p>
        </w:tc>
      </w:tr>
      <w:tr w:rsidR="009D2E3D" w:rsidRPr="00280684" w14:paraId="407EDC61" w14:textId="77777777" w:rsidTr="006F0285">
        <w:trPr>
          <w:trHeight w:val="315"/>
          <w:jc w:val="center"/>
        </w:trPr>
        <w:tc>
          <w:tcPr>
            <w:tcW w:w="1636" w:type="pct"/>
            <w:gridSpan w:val="2"/>
            <w:shd w:val="clear" w:color="auto" w:fill="auto"/>
            <w:vAlign w:val="center"/>
          </w:tcPr>
          <w:p w14:paraId="44833D2D" w14:textId="77777777" w:rsidR="009D2E3D" w:rsidRPr="00280684" w:rsidRDefault="009D2E3D" w:rsidP="005504BF">
            <w:pPr>
              <w:tabs>
                <w:tab w:val="right" w:pos="6804"/>
              </w:tabs>
              <w:autoSpaceDE w:val="0"/>
              <w:autoSpaceDN w:val="0"/>
              <w:adjustRightInd w:val="0"/>
              <w:spacing w:line="240" w:lineRule="auto"/>
              <w:ind w:left="-57" w:right="-58" w:firstLine="0"/>
              <w:jc w:val="left"/>
              <w:rPr>
                <w:b/>
                <w:bCs/>
                <w:sz w:val="21"/>
                <w:szCs w:val="21"/>
              </w:rPr>
            </w:pPr>
            <w:r w:rsidRPr="00280684">
              <w:rPr>
                <w:b/>
                <w:bCs/>
                <w:sz w:val="21"/>
                <w:szCs w:val="21"/>
              </w:rPr>
              <w:t>Smoking</w:t>
            </w:r>
          </w:p>
        </w:tc>
        <w:tc>
          <w:tcPr>
            <w:tcW w:w="703" w:type="pct"/>
            <w:shd w:val="clear" w:color="auto" w:fill="auto"/>
            <w:noWrap/>
          </w:tcPr>
          <w:p w14:paraId="79CEAEFA"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12 (37.5%)</w:t>
            </w:r>
          </w:p>
        </w:tc>
        <w:tc>
          <w:tcPr>
            <w:tcW w:w="796" w:type="pct"/>
            <w:shd w:val="clear" w:color="auto" w:fill="auto"/>
            <w:noWrap/>
          </w:tcPr>
          <w:p w14:paraId="091B9F8A"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6(24.0%)</w:t>
            </w:r>
          </w:p>
        </w:tc>
        <w:tc>
          <w:tcPr>
            <w:tcW w:w="827" w:type="pct"/>
            <w:shd w:val="clear" w:color="auto" w:fill="auto"/>
            <w:noWrap/>
          </w:tcPr>
          <w:p w14:paraId="03C42836"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1 (33.3%)</w:t>
            </w:r>
          </w:p>
        </w:tc>
        <w:tc>
          <w:tcPr>
            <w:tcW w:w="623" w:type="pct"/>
            <w:shd w:val="clear" w:color="auto" w:fill="auto"/>
          </w:tcPr>
          <w:p w14:paraId="17474024"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1.368</w:t>
            </w:r>
          </w:p>
        </w:tc>
        <w:tc>
          <w:tcPr>
            <w:tcW w:w="415" w:type="pct"/>
            <w:shd w:val="clear" w:color="auto" w:fill="auto"/>
          </w:tcPr>
          <w:p w14:paraId="2374521D" w14:textId="77777777" w:rsidR="009D2E3D" w:rsidRPr="00280684" w:rsidRDefault="009D2E3D" w:rsidP="005504BF">
            <w:pPr>
              <w:spacing w:line="240" w:lineRule="auto"/>
              <w:ind w:left="-57" w:right="-58" w:hanging="29"/>
              <w:jc w:val="center"/>
              <w:rPr>
                <w:sz w:val="21"/>
                <w:szCs w:val="21"/>
                <w:lang w:val="en-GB" w:eastAsia="ja-JP"/>
              </w:rPr>
            </w:pPr>
            <w:r w:rsidRPr="00280684">
              <w:rPr>
                <w:sz w:val="21"/>
                <w:szCs w:val="21"/>
                <w:lang w:val="en-GB" w:eastAsia="ja-JP"/>
              </w:rPr>
              <w:t>0.590</w:t>
            </w:r>
          </w:p>
        </w:tc>
      </w:tr>
      <w:tr w:rsidR="009D2E3D" w:rsidRPr="00280684" w14:paraId="34636365" w14:textId="77777777" w:rsidTr="006F0285">
        <w:trPr>
          <w:trHeight w:val="315"/>
          <w:jc w:val="center"/>
        </w:trPr>
        <w:tc>
          <w:tcPr>
            <w:tcW w:w="1636" w:type="pct"/>
            <w:gridSpan w:val="2"/>
            <w:shd w:val="clear" w:color="auto" w:fill="auto"/>
            <w:vAlign w:val="center"/>
          </w:tcPr>
          <w:p w14:paraId="5DD957C4" w14:textId="77777777" w:rsidR="009D2E3D" w:rsidRPr="00280684" w:rsidRDefault="009D2E3D" w:rsidP="005504BF">
            <w:pPr>
              <w:tabs>
                <w:tab w:val="right" w:pos="6804"/>
              </w:tabs>
              <w:autoSpaceDE w:val="0"/>
              <w:autoSpaceDN w:val="0"/>
              <w:adjustRightInd w:val="0"/>
              <w:spacing w:line="240" w:lineRule="auto"/>
              <w:ind w:left="-57" w:right="-58" w:firstLine="0"/>
              <w:jc w:val="left"/>
              <w:rPr>
                <w:b/>
                <w:bCs/>
                <w:sz w:val="21"/>
                <w:szCs w:val="21"/>
              </w:rPr>
            </w:pPr>
            <w:r w:rsidRPr="00280684">
              <w:rPr>
                <w:b/>
                <w:bCs/>
                <w:sz w:val="21"/>
                <w:szCs w:val="21"/>
              </w:rPr>
              <w:t>Physical activity level</w:t>
            </w:r>
          </w:p>
        </w:tc>
        <w:tc>
          <w:tcPr>
            <w:tcW w:w="703" w:type="pct"/>
            <w:shd w:val="clear" w:color="auto" w:fill="auto"/>
            <w:noWrap/>
          </w:tcPr>
          <w:p w14:paraId="7608F4EF"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8 (25.0%)</w:t>
            </w:r>
          </w:p>
        </w:tc>
        <w:tc>
          <w:tcPr>
            <w:tcW w:w="796" w:type="pct"/>
            <w:shd w:val="clear" w:color="auto" w:fill="auto"/>
            <w:noWrap/>
          </w:tcPr>
          <w:p w14:paraId="50A962E5"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2(8.0%)</w:t>
            </w:r>
          </w:p>
        </w:tc>
        <w:tc>
          <w:tcPr>
            <w:tcW w:w="827" w:type="pct"/>
            <w:shd w:val="clear" w:color="auto" w:fill="auto"/>
            <w:noWrap/>
          </w:tcPr>
          <w:p w14:paraId="0D43BE97"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1 (33.3%)</w:t>
            </w:r>
          </w:p>
        </w:tc>
        <w:tc>
          <w:tcPr>
            <w:tcW w:w="623" w:type="pct"/>
            <w:shd w:val="clear" w:color="auto" w:fill="auto"/>
          </w:tcPr>
          <w:p w14:paraId="7AF360B2" w14:textId="77777777" w:rsidR="009D2E3D" w:rsidRPr="00280684" w:rsidRDefault="009D2E3D" w:rsidP="005504BF">
            <w:pPr>
              <w:spacing w:line="240" w:lineRule="auto"/>
              <w:ind w:left="-57" w:right="-58" w:hanging="14"/>
              <w:jc w:val="center"/>
              <w:rPr>
                <w:sz w:val="21"/>
                <w:szCs w:val="21"/>
                <w:lang w:val="en-GB" w:eastAsia="ja-JP"/>
              </w:rPr>
            </w:pPr>
            <w:r w:rsidRPr="00280684">
              <w:rPr>
                <w:sz w:val="21"/>
                <w:szCs w:val="21"/>
                <w:lang w:val="en-GB" w:eastAsia="ja-JP"/>
              </w:rPr>
              <w:t>3.612</w:t>
            </w:r>
          </w:p>
        </w:tc>
        <w:tc>
          <w:tcPr>
            <w:tcW w:w="415" w:type="pct"/>
            <w:shd w:val="clear" w:color="auto" w:fill="auto"/>
          </w:tcPr>
          <w:p w14:paraId="65D1958E" w14:textId="77777777" w:rsidR="009D2E3D" w:rsidRPr="00280684" w:rsidRDefault="009D2E3D" w:rsidP="005504BF">
            <w:pPr>
              <w:spacing w:line="240" w:lineRule="auto"/>
              <w:ind w:left="-57" w:right="-58" w:hanging="29"/>
              <w:jc w:val="center"/>
              <w:rPr>
                <w:sz w:val="21"/>
                <w:szCs w:val="21"/>
                <w:lang w:val="en-GB" w:eastAsia="ja-JP"/>
              </w:rPr>
            </w:pPr>
            <w:r w:rsidRPr="00280684">
              <w:rPr>
                <w:sz w:val="21"/>
                <w:szCs w:val="21"/>
                <w:lang w:val="en-GB" w:eastAsia="ja-JP"/>
              </w:rPr>
              <w:t>0.193</w:t>
            </w:r>
          </w:p>
        </w:tc>
      </w:tr>
      <w:tr w:rsidR="009D2E3D" w:rsidRPr="00280684" w14:paraId="79272D58" w14:textId="77777777" w:rsidTr="006F0285">
        <w:trPr>
          <w:trHeight w:val="315"/>
          <w:jc w:val="center"/>
        </w:trPr>
        <w:tc>
          <w:tcPr>
            <w:tcW w:w="5000" w:type="pct"/>
            <w:gridSpan w:val="7"/>
            <w:shd w:val="pct15" w:color="auto" w:fill="auto"/>
            <w:vAlign w:val="center"/>
          </w:tcPr>
          <w:p w14:paraId="63E8E85D" w14:textId="77777777" w:rsidR="009D2E3D" w:rsidRPr="00280684" w:rsidRDefault="009D2E3D" w:rsidP="005504BF">
            <w:pPr>
              <w:pStyle w:val="ListParagraph"/>
              <w:numPr>
                <w:ilvl w:val="0"/>
                <w:numId w:val="5"/>
              </w:numPr>
              <w:spacing w:line="240" w:lineRule="auto"/>
              <w:ind w:right="-58"/>
              <w:jc w:val="left"/>
              <w:rPr>
                <w:sz w:val="21"/>
                <w:szCs w:val="21"/>
                <w:lang w:val="en-GB" w:eastAsia="ja-JP"/>
              </w:rPr>
            </w:pPr>
            <w:r w:rsidRPr="00280684">
              <w:rPr>
                <w:b/>
                <w:bCs/>
                <w:sz w:val="21"/>
                <w:szCs w:val="21"/>
              </w:rPr>
              <w:t>Laboratory parameters:</w:t>
            </w:r>
          </w:p>
        </w:tc>
      </w:tr>
      <w:tr w:rsidR="009D2E3D" w:rsidRPr="00280684" w14:paraId="1C671586" w14:textId="77777777" w:rsidTr="006F0285">
        <w:trPr>
          <w:trHeight w:val="315"/>
          <w:jc w:val="center"/>
        </w:trPr>
        <w:tc>
          <w:tcPr>
            <w:tcW w:w="1190" w:type="pct"/>
            <w:shd w:val="clear" w:color="auto" w:fill="auto"/>
            <w:vAlign w:val="center"/>
            <w:hideMark/>
          </w:tcPr>
          <w:p w14:paraId="6F0388F2"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FBG (mg/dl)</w:t>
            </w:r>
          </w:p>
        </w:tc>
        <w:tc>
          <w:tcPr>
            <w:tcW w:w="446" w:type="pct"/>
            <w:shd w:val="clear" w:color="auto" w:fill="auto"/>
            <w:noWrap/>
            <w:vAlign w:val="center"/>
            <w:hideMark/>
          </w:tcPr>
          <w:p w14:paraId="75A98F0B"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04E17ED4"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88.00 ± 7.66</w:t>
            </w:r>
          </w:p>
        </w:tc>
        <w:tc>
          <w:tcPr>
            <w:tcW w:w="796" w:type="pct"/>
            <w:shd w:val="clear" w:color="auto" w:fill="auto"/>
            <w:noWrap/>
            <w:vAlign w:val="center"/>
            <w:hideMark/>
          </w:tcPr>
          <w:p w14:paraId="59CB38CC"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90.28 ± 7.96</w:t>
            </w:r>
          </w:p>
        </w:tc>
        <w:tc>
          <w:tcPr>
            <w:tcW w:w="827" w:type="pct"/>
            <w:shd w:val="clear" w:color="auto" w:fill="auto"/>
            <w:noWrap/>
            <w:vAlign w:val="center"/>
            <w:hideMark/>
          </w:tcPr>
          <w:p w14:paraId="644EC346"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95.00 ± 7.55</w:t>
            </w:r>
          </w:p>
        </w:tc>
        <w:tc>
          <w:tcPr>
            <w:tcW w:w="623" w:type="pct"/>
            <w:shd w:val="clear" w:color="auto" w:fill="auto"/>
            <w:vAlign w:val="center"/>
            <w:hideMark/>
          </w:tcPr>
          <w:p w14:paraId="3CA6341D"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1.449</w:t>
            </w:r>
          </w:p>
        </w:tc>
        <w:tc>
          <w:tcPr>
            <w:tcW w:w="415" w:type="pct"/>
            <w:shd w:val="clear" w:color="auto" w:fill="auto"/>
            <w:vAlign w:val="center"/>
            <w:hideMark/>
          </w:tcPr>
          <w:p w14:paraId="4F2A14A6"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0.243</w:t>
            </w:r>
          </w:p>
        </w:tc>
      </w:tr>
      <w:tr w:rsidR="009D2E3D" w:rsidRPr="00280684" w14:paraId="3854E29E" w14:textId="77777777" w:rsidTr="006F0285">
        <w:trPr>
          <w:trHeight w:val="235"/>
          <w:jc w:val="center"/>
        </w:trPr>
        <w:tc>
          <w:tcPr>
            <w:tcW w:w="1190" w:type="pct"/>
            <w:shd w:val="clear" w:color="auto" w:fill="auto"/>
            <w:vAlign w:val="center"/>
            <w:hideMark/>
          </w:tcPr>
          <w:p w14:paraId="39B17AC4"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HbA</w:t>
            </w:r>
            <w:r w:rsidRPr="003770FE">
              <w:rPr>
                <w:sz w:val="20"/>
                <w:szCs w:val="20"/>
                <w:vertAlign w:val="subscript"/>
              </w:rPr>
              <w:t>1c</w:t>
            </w:r>
            <w:r w:rsidRPr="003770FE">
              <w:rPr>
                <w:sz w:val="20"/>
                <w:szCs w:val="20"/>
              </w:rPr>
              <w:t xml:space="preserve"> (%)</w:t>
            </w:r>
          </w:p>
        </w:tc>
        <w:tc>
          <w:tcPr>
            <w:tcW w:w="446" w:type="pct"/>
            <w:shd w:val="clear" w:color="auto" w:fill="auto"/>
            <w:noWrap/>
            <w:vAlign w:val="center"/>
            <w:hideMark/>
          </w:tcPr>
          <w:p w14:paraId="68BF76CF"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143DD997"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5.92 ± 0.31</w:t>
            </w:r>
          </w:p>
        </w:tc>
        <w:tc>
          <w:tcPr>
            <w:tcW w:w="796" w:type="pct"/>
            <w:shd w:val="clear" w:color="auto" w:fill="auto"/>
            <w:noWrap/>
            <w:vAlign w:val="center"/>
            <w:hideMark/>
          </w:tcPr>
          <w:p w14:paraId="23D12909"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5.84 ± 0.33</w:t>
            </w:r>
          </w:p>
        </w:tc>
        <w:tc>
          <w:tcPr>
            <w:tcW w:w="827" w:type="pct"/>
            <w:shd w:val="clear" w:color="auto" w:fill="auto"/>
            <w:noWrap/>
            <w:vAlign w:val="center"/>
            <w:hideMark/>
          </w:tcPr>
          <w:p w14:paraId="2A1FF412"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6.00 ± 0.20</w:t>
            </w:r>
          </w:p>
        </w:tc>
        <w:tc>
          <w:tcPr>
            <w:tcW w:w="623" w:type="pct"/>
            <w:shd w:val="clear" w:color="auto" w:fill="auto"/>
            <w:vAlign w:val="center"/>
            <w:hideMark/>
          </w:tcPr>
          <w:p w14:paraId="26E31A0D"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0.649</w:t>
            </w:r>
          </w:p>
        </w:tc>
        <w:tc>
          <w:tcPr>
            <w:tcW w:w="415" w:type="pct"/>
            <w:shd w:val="clear" w:color="auto" w:fill="auto"/>
            <w:vAlign w:val="center"/>
            <w:hideMark/>
          </w:tcPr>
          <w:p w14:paraId="716B3172"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0.526</w:t>
            </w:r>
          </w:p>
        </w:tc>
      </w:tr>
      <w:tr w:rsidR="009D2E3D" w:rsidRPr="00280684" w14:paraId="4F76C731" w14:textId="77777777" w:rsidTr="006F0285">
        <w:trPr>
          <w:trHeight w:val="315"/>
          <w:jc w:val="center"/>
        </w:trPr>
        <w:tc>
          <w:tcPr>
            <w:tcW w:w="1190" w:type="pct"/>
            <w:shd w:val="clear" w:color="auto" w:fill="auto"/>
            <w:vAlign w:val="center"/>
          </w:tcPr>
          <w:p w14:paraId="2B869926"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Insulin level (</w:t>
            </w:r>
            <w:proofErr w:type="spellStart"/>
            <w:r w:rsidRPr="003770FE">
              <w:rPr>
                <w:sz w:val="20"/>
                <w:szCs w:val="20"/>
              </w:rPr>
              <w:t>miu</w:t>
            </w:r>
            <w:proofErr w:type="spellEnd"/>
            <w:r w:rsidRPr="003770FE">
              <w:rPr>
                <w:sz w:val="20"/>
                <w:szCs w:val="20"/>
              </w:rPr>
              <w:t>/ml)</w:t>
            </w:r>
          </w:p>
        </w:tc>
        <w:tc>
          <w:tcPr>
            <w:tcW w:w="446" w:type="pct"/>
            <w:shd w:val="clear" w:color="auto" w:fill="auto"/>
            <w:noWrap/>
            <w:vAlign w:val="center"/>
          </w:tcPr>
          <w:p w14:paraId="65AE00CC"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Median [IQR]</w:t>
            </w:r>
          </w:p>
        </w:tc>
        <w:tc>
          <w:tcPr>
            <w:tcW w:w="703" w:type="pct"/>
            <w:shd w:val="clear" w:color="auto" w:fill="auto"/>
            <w:noWrap/>
            <w:vAlign w:val="center"/>
          </w:tcPr>
          <w:p w14:paraId="5F618293"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9.02</w:t>
            </w:r>
          </w:p>
          <w:p w14:paraId="3ADB33E5"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[7.10-14.23]</w:t>
            </w:r>
          </w:p>
        </w:tc>
        <w:tc>
          <w:tcPr>
            <w:tcW w:w="796" w:type="pct"/>
            <w:shd w:val="clear" w:color="auto" w:fill="auto"/>
            <w:noWrap/>
            <w:vAlign w:val="center"/>
          </w:tcPr>
          <w:p w14:paraId="0662A0A7"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9.05</w:t>
            </w:r>
          </w:p>
          <w:p w14:paraId="10B9CC96"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[5.47-16.30]</w:t>
            </w:r>
          </w:p>
        </w:tc>
        <w:tc>
          <w:tcPr>
            <w:tcW w:w="827" w:type="pct"/>
            <w:shd w:val="clear" w:color="auto" w:fill="auto"/>
            <w:noWrap/>
            <w:vAlign w:val="center"/>
          </w:tcPr>
          <w:p w14:paraId="42EA4685"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13.76</w:t>
            </w:r>
          </w:p>
          <w:p w14:paraId="30A046B7"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[10.33- 20.42]</w:t>
            </w:r>
          </w:p>
        </w:tc>
        <w:tc>
          <w:tcPr>
            <w:tcW w:w="623" w:type="pct"/>
            <w:shd w:val="clear" w:color="auto" w:fill="auto"/>
            <w:vAlign w:val="center"/>
          </w:tcPr>
          <w:p w14:paraId="0FC5B1A0"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Z= 1.791</w:t>
            </w:r>
          </w:p>
        </w:tc>
        <w:tc>
          <w:tcPr>
            <w:tcW w:w="415" w:type="pct"/>
            <w:shd w:val="clear" w:color="auto" w:fill="auto"/>
            <w:vAlign w:val="center"/>
          </w:tcPr>
          <w:p w14:paraId="2E3C041E"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0.408</w:t>
            </w:r>
          </w:p>
        </w:tc>
      </w:tr>
      <w:tr w:rsidR="009D2E3D" w:rsidRPr="00280684" w14:paraId="40D177D2" w14:textId="77777777" w:rsidTr="006F0285">
        <w:trPr>
          <w:trHeight w:val="315"/>
          <w:jc w:val="center"/>
        </w:trPr>
        <w:tc>
          <w:tcPr>
            <w:tcW w:w="1190" w:type="pct"/>
            <w:shd w:val="clear" w:color="auto" w:fill="auto"/>
            <w:vAlign w:val="center"/>
            <w:hideMark/>
          </w:tcPr>
          <w:p w14:paraId="1AC489E8"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HOMA-IR</w:t>
            </w:r>
          </w:p>
        </w:tc>
        <w:tc>
          <w:tcPr>
            <w:tcW w:w="446" w:type="pct"/>
            <w:shd w:val="clear" w:color="auto" w:fill="auto"/>
            <w:noWrap/>
            <w:vAlign w:val="center"/>
            <w:hideMark/>
          </w:tcPr>
          <w:p w14:paraId="00EB3A5D"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Median [IQR]</w:t>
            </w:r>
          </w:p>
        </w:tc>
        <w:tc>
          <w:tcPr>
            <w:tcW w:w="703" w:type="pct"/>
            <w:shd w:val="clear" w:color="auto" w:fill="auto"/>
            <w:noWrap/>
            <w:vAlign w:val="center"/>
            <w:hideMark/>
          </w:tcPr>
          <w:p w14:paraId="5B2AB449"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2.00</w:t>
            </w:r>
          </w:p>
          <w:p w14:paraId="10533EB3"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[1.60 - 3.05]</w:t>
            </w:r>
          </w:p>
        </w:tc>
        <w:tc>
          <w:tcPr>
            <w:tcW w:w="796" w:type="pct"/>
            <w:shd w:val="clear" w:color="auto" w:fill="auto"/>
            <w:noWrap/>
            <w:vAlign w:val="center"/>
            <w:hideMark/>
          </w:tcPr>
          <w:p w14:paraId="6499005D"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2.20</w:t>
            </w:r>
          </w:p>
          <w:p w14:paraId="5CAFD77C"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[1.20 - 3.50]</w:t>
            </w:r>
          </w:p>
        </w:tc>
        <w:tc>
          <w:tcPr>
            <w:tcW w:w="827" w:type="pct"/>
            <w:shd w:val="clear" w:color="auto" w:fill="auto"/>
            <w:noWrap/>
            <w:vAlign w:val="center"/>
            <w:hideMark/>
          </w:tcPr>
          <w:p w14:paraId="60EA98DF"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3.00</w:t>
            </w:r>
          </w:p>
          <w:p w14:paraId="22F78146"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[2.40 - 5.10]</w:t>
            </w:r>
          </w:p>
        </w:tc>
        <w:tc>
          <w:tcPr>
            <w:tcW w:w="623" w:type="pct"/>
            <w:shd w:val="clear" w:color="auto" w:fill="auto"/>
            <w:vAlign w:val="center"/>
            <w:hideMark/>
          </w:tcPr>
          <w:p w14:paraId="0C27213E"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Z= 2.408</w:t>
            </w:r>
          </w:p>
        </w:tc>
        <w:tc>
          <w:tcPr>
            <w:tcW w:w="415" w:type="pct"/>
            <w:shd w:val="clear" w:color="auto" w:fill="auto"/>
            <w:vAlign w:val="center"/>
            <w:hideMark/>
          </w:tcPr>
          <w:p w14:paraId="5432ED96"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0.300</w:t>
            </w:r>
          </w:p>
        </w:tc>
      </w:tr>
      <w:tr w:rsidR="009D2E3D" w:rsidRPr="00280684" w14:paraId="065AEA95" w14:textId="77777777" w:rsidTr="006F0285">
        <w:trPr>
          <w:trHeight w:val="315"/>
          <w:jc w:val="center"/>
        </w:trPr>
        <w:tc>
          <w:tcPr>
            <w:tcW w:w="1190" w:type="pct"/>
            <w:shd w:val="clear" w:color="auto" w:fill="auto"/>
            <w:vAlign w:val="center"/>
            <w:hideMark/>
          </w:tcPr>
          <w:p w14:paraId="3EEE9572"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Cholesterol (mg/dl)</w:t>
            </w:r>
          </w:p>
        </w:tc>
        <w:tc>
          <w:tcPr>
            <w:tcW w:w="446" w:type="pct"/>
            <w:shd w:val="clear" w:color="auto" w:fill="auto"/>
            <w:noWrap/>
            <w:vAlign w:val="center"/>
            <w:hideMark/>
          </w:tcPr>
          <w:p w14:paraId="61E80E4E"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1E79A2A6"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182.94 ± 24.46</w:t>
            </w:r>
          </w:p>
        </w:tc>
        <w:tc>
          <w:tcPr>
            <w:tcW w:w="796" w:type="pct"/>
            <w:shd w:val="clear" w:color="auto" w:fill="auto"/>
            <w:noWrap/>
            <w:vAlign w:val="center"/>
            <w:hideMark/>
          </w:tcPr>
          <w:p w14:paraId="3B618BC1"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181.24± 22.40</w:t>
            </w:r>
          </w:p>
        </w:tc>
        <w:tc>
          <w:tcPr>
            <w:tcW w:w="827" w:type="pct"/>
            <w:shd w:val="clear" w:color="auto" w:fill="auto"/>
            <w:noWrap/>
            <w:vAlign w:val="center"/>
            <w:hideMark/>
          </w:tcPr>
          <w:p w14:paraId="283B2F99"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206.67± 28.15</w:t>
            </w:r>
          </w:p>
        </w:tc>
        <w:tc>
          <w:tcPr>
            <w:tcW w:w="623" w:type="pct"/>
            <w:shd w:val="clear" w:color="auto" w:fill="auto"/>
            <w:vAlign w:val="center"/>
            <w:hideMark/>
          </w:tcPr>
          <w:p w14:paraId="019DDB2D"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 1.548</w:t>
            </w:r>
          </w:p>
        </w:tc>
        <w:tc>
          <w:tcPr>
            <w:tcW w:w="415" w:type="pct"/>
            <w:shd w:val="clear" w:color="auto" w:fill="auto"/>
            <w:vAlign w:val="center"/>
            <w:hideMark/>
          </w:tcPr>
          <w:p w14:paraId="1FEDF19E"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0.221</w:t>
            </w:r>
          </w:p>
        </w:tc>
      </w:tr>
      <w:tr w:rsidR="009D2E3D" w:rsidRPr="00280684" w14:paraId="75D8802C" w14:textId="77777777" w:rsidTr="006F0285">
        <w:trPr>
          <w:trHeight w:val="315"/>
          <w:jc w:val="center"/>
        </w:trPr>
        <w:tc>
          <w:tcPr>
            <w:tcW w:w="1190" w:type="pct"/>
            <w:shd w:val="clear" w:color="auto" w:fill="auto"/>
            <w:vAlign w:val="center"/>
            <w:hideMark/>
          </w:tcPr>
          <w:p w14:paraId="68E60D3D"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TG. (mg/dl)</w:t>
            </w:r>
          </w:p>
        </w:tc>
        <w:tc>
          <w:tcPr>
            <w:tcW w:w="446" w:type="pct"/>
            <w:shd w:val="clear" w:color="auto" w:fill="auto"/>
            <w:noWrap/>
            <w:vAlign w:val="center"/>
            <w:hideMark/>
          </w:tcPr>
          <w:p w14:paraId="5C96BAB5"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1D85964F"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122.53± 28.85c</w:t>
            </w:r>
          </w:p>
        </w:tc>
        <w:tc>
          <w:tcPr>
            <w:tcW w:w="796" w:type="pct"/>
            <w:shd w:val="clear" w:color="auto" w:fill="auto"/>
            <w:noWrap/>
            <w:vAlign w:val="center"/>
            <w:hideMark/>
          </w:tcPr>
          <w:p w14:paraId="28E42566"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128.92± 29.23c</w:t>
            </w:r>
          </w:p>
        </w:tc>
        <w:tc>
          <w:tcPr>
            <w:tcW w:w="827" w:type="pct"/>
            <w:shd w:val="clear" w:color="auto" w:fill="auto"/>
            <w:noWrap/>
            <w:vAlign w:val="center"/>
            <w:hideMark/>
          </w:tcPr>
          <w:p w14:paraId="537B8595"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178.33</w:t>
            </w:r>
          </w:p>
          <w:p w14:paraId="44C08291"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 21.39 a, b</w:t>
            </w:r>
          </w:p>
        </w:tc>
        <w:tc>
          <w:tcPr>
            <w:tcW w:w="623" w:type="pct"/>
            <w:shd w:val="clear" w:color="auto" w:fill="auto"/>
            <w:vAlign w:val="center"/>
            <w:hideMark/>
          </w:tcPr>
          <w:p w14:paraId="285DBB8F"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5.178</w:t>
            </w:r>
          </w:p>
        </w:tc>
        <w:tc>
          <w:tcPr>
            <w:tcW w:w="415" w:type="pct"/>
            <w:shd w:val="clear" w:color="auto" w:fill="auto"/>
            <w:vAlign w:val="center"/>
            <w:hideMark/>
          </w:tcPr>
          <w:p w14:paraId="2EF13059"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0.009*</w:t>
            </w:r>
          </w:p>
        </w:tc>
      </w:tr>
      <w:tr w:rsidR="009D2E3D" w:rsidRPr="00280684" w14:paraId="312664C8" w14:textId="77777777" w:rsidTr="006F0285">
        <w:trPr>
          <w:trHeight w:val="315"/>
          <w:jc w:val="center"/>
        </w:trPr>
        <w:tc>
          <w:tcPr>
            <w:tcW w:w="1190" w:type="pct"/>
            <w:shd w:val="clear" w:color="auto" w:fill="auto"/>
            <w:vAlign w:val="center"/>
            <w:hideMark/>
          </w:tcPr>
          <w:p w14:paraId="0DBA20E2"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HDL-C (mg/dl)</w:t>
            </w:r>
          </w:p>
        </w:tc>
        <w:tc>
          <w:tcPr>
            <w:tcW w:w="446" w:type="pct"/>
            <w:shd w:val="clear" w:color="auto" w:fill="auto"/>
            <w:noWrap/>
            <w:vAlign w:val="center"/>
            <w:hideMark/>
          </w:tcPr>
          <w:p w14:paraId="388C2C2F"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7487D5BF"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50.19±9.02</w:t>
            </w:r>
          </w:p>
        </w:tc>
        <w:tc>
          <w:tcPr>
            <w:tcW w:w="796" w:type="pct"/>
            <w:shd w:val="clear" w:color="auto" w:fill="auto"/>
            <w:noWrap/>
            <w:vAlign w:val="center"/>
            <w:hideMark/>
          </w:tcPr>
          <w:p w14:paraId="1A1FF5F4"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49.84±8.59</w:t>
            </w:r>
          </w:p>
        </w:tc>
        <w:tc>
          <w:tcPr>
            <w:tcW w:w="827" w:type="pct"/>
            <w:shd w:val="clear" w:color="auto" w:fill="auto"/>
            <w:noWrap/>
            <w:vAlign w:val="center"/>
            <w:hideMark/>
          </w:tcPr>
          <w:p w14:paraId="572B44F7"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56.33±10.60</w:t>
            </w:r>
          </w:p>
        </w:tc>
        <w:tc>
          <w:tcPr>
            <w:tcW w:w="623" w:type="pct"/>
            <w:shd w:val="clear" w:color="auto" w:fill="auto"/>
            <w:vAlign w:val="center"/>
            <w:hideMark/>
          </w:tcPr>
          <w:p w14:paraId="3201A1D5"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0.724</w:t>
            </w:r>
          </w:p>
        </w:tc>
        <w:tc>
          <w:tcPr>
            <w:tcW w:w="415" w:type="pct"/>
            <w:shd w:val="clear" w:color="auto" w:fill="auto"/>
            <w:vAlign w:val="center"/>
            <w:hideMark/>
          </w:tcPr>
          <w:p w14:paraId="03AA23A7"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0.489</w:t>
            </w:r>
          </w:p>
        </w:tc>
      </w:tr>
      <w:tr w:rsidR="009D2E3D" w:rsidRPr="00280684" w14:paraId="63AC080D" w14:textId="77777777" w:rsidTr="006F0285">
        <w:trPr>
          <w:trHeight w:val="315"/>
          <w:jc w:val="center"/>
        </w:trPr>
        <w:tc>
          <w:tcPr>
            <w:tcW w:w="1190" w:type="pct"/>
            <w:shd w:val="clear" w:color="auto" w:fill="auto"/>
            <w:vAlign w:val="center"/>
            <w:hideMark/>
          </w:tcPr>
          <w:p w14:paraId="28F51F74"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LDL-C (mg/dl)</w:t>
            </w:r>
          </w:p>
        </w:tc>
        <w:tc>
          <w:tcPr>
            <w:tcW w:w="446" w:type="pct"/>
            <w:shd w:val="clear" w:color="auto" w:fill="auto"/>
            <w:noWrap/>
            <w:vAlign w:val="center"/>
            <w:hideMark/>
          </w:tcPr>
          <w:p w14:paraId="5EC473F7"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31A1A7DE"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108.16±22.61</w:t>
            </w:r>
          </w:p>
        </w:tc>
        <w:tc>
          <w:tcPr>
            <w:tcW w:w="796" w:type="pct"/>
            <w:shd w:val="clear" w:color="auto" w:fill="auto"/>
            <w:noWrap/>
            <w:vAlign w:val="center"/>
            <w:hideMark/>
          </w:tcPr>
          <w:p w14:paraId="21B1C106"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116.08± 26.20</w:t>
            </w:r>
          </w:p>
        </w:tc>
        <w:tc>
          <w:tcPr>
            <w:tcW w:w="827" w:type="pct"/>
            <w:shd w:val="clear" w:color="auto" w:fill="auto"/>
            <w:noWrap/>
            <w:vAlign w:val="center"/>
            <w:hideMark/>
          </w:tcPr>
          <w:p w14:paraId="3B46C0B2"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103.00± 45.57</w:t>
            </w:r>
          </w:p>
        </w:tc>
        <w:tc>
          <w:tcPr>
            <w:tcW w:w="623" w:type="pct"/>
            <w:shd w:val="clear" w:color="auto" w:fill="auto"/>
            <w:vAlign w:val="center"/>
            <w:hideMark/>
          </w:tcPr>
          <w:p w14:paraId="245B4B60"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0.854</w:t>
            </w:r>
          </w:p>
        </w:tc>
        <w:tc>
          <w:tcPr>
            <w:tcW w:w="415" w:type="pct"/>
            <w:shd w:val="clear" w:color="auto" w:fill="auto"/>
            <w:vAlign w:val="center"/>
            <w:hideMark/>
          </w:tcPr>
          <w:p w14:paraId="5D676C21"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0.431</w:t>
            </w:r>
          </w:p>
        </w:tc>
      </w:tr>
      <w:tr w:rsidR="009D2E3D" w:rsidRPr="00280684" w14:paraId="71A14225" w14:textId="77777777" w:rsidTr="006F0285">
        <w:trPr>
          <w:trHeight w:val="315"/>
          <w:jc w:val="center"/>
        </w:trPr>
        <w:tc>
          <w:tcPr>
            <w:tcW w:w="1190" w:type="pct"/>
            <w:shd w:val="clear" w:color="auto" w:fill="auto"/>
            <w:vAlign w:val="center"/>
            <w:hideMark/>
          </w:tcPr>
          <w:p w14:paraId="59BDC14C"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ALT (u/l)</w:t>
            </w:r>
          </w:p>
        </w:tc>
        <w:tc>
          <w:tcPr>
            <w:tcW w:w="446" w:type="pct"/>
            <w:shd w:val="clear" w:color="auto" w:fill="auto"/>
            <w:noWrap/>
            <w:vAlign w:val="center"/>
            <w:hideMark/>
          </w:tcPr>
          <w:p w14:paraId="5FAD73FF"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1C47F35A"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31.19±11.33c</w:t>
            </w:r>
          </w:p>
        </w:tc>
        <w:tc>
          <w:tcPr>
            <w:tcW w:w="796" w:type="pct"/>
            <w:shd w:val="clear" w:color="auto" w:fill="auto"/>
            <w:noWrap/>
            <w:vAlign w:val="center"/>
            <w:hideMark/>
          </w:tcPr>
          <w:p w14:paraId="0F4F84E3"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28.60± 10.11c</w:t>
            </w:r>
          </w:p>
        </w:tc>
        <w:tc>
          <w:tcPr>
            <w:tcW w:w="827" w:type="pct"/>
            <w:shd w:val="clear" w:color="auto" w:fill="auto"/>
            <w:noWrap/>
            <w:vAlign w:val="center"/>
            <w:hideMark/>
          </w:tcPr>
          <w:p w14:paraId="78A9ACFD"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37.33±0.58 a, b</w:t>
            </w:r>
          </w:p>
        </w:tc>
        <w:tc>
          <w:tcPr>
            <w:tcW w:w="623" w:type="pct"/>
            <w:shd w:val="clear" w:color="auto" w:fill="auto"/>
            <w:vAlign w:val="center"/>
            <w:hideMark/>
          </w:tcPr>
          <w:p w14:paraId="205E4C6A"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 37.303</w:t>
            </w:r>
          </w:p>
        </w:tc>
        <w:tc>
          <w:tcPr>
            <w:tcW w:w="415" w:type="pct"/>
            <w:shd w:val="clear" w:color="auto" w:fill="auto"/>
            <w:vAlign w:val="center"/>
            <w:hideMark/>
          </w:tcPr>
          <w:p w14:paraId="5CA64490"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&lt;0.001*</w:t>
            </w:r>
          </w:p>
        </w:tc>
      </w:tr>
      <w:tr w:rsidR="009D2E3D" w:rsidRPr="00280684" w14:paraId="1CCB2718" w14:textId="77777777" w:rsidTr="006F0285">
        <w:trPr>
          <w:trHeight w:val="315"/>
          <w:jc w:val="center"/>
        </w:trPr>
        <w:tc>
          <w:tcPr>
            <w:tcW w:w="1190" w:type="pct"/>
            <w:shd w:val="clear" w:color="auto" w:fill="auto"/>
            <w:vAlign w:val="center"/>
            <w:hideMark/>
          </w:tcPr>
          <w:p w14:paraId="52736C9E"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AST (u/l)</w:t>
            </w:r>
          </w:p>
        </w:tc>
        <w:tc>
          <w:tcPr>
            <w:tcW w:w="446" w:type="pct"/>
            <w:shd w:val="clear" w:color="auto" w:fill="auto"/>
            <w:noWrap/>
            <w:vAlign w:val="center"/>
            <w:hideMark/>
          </w:tcPr>
          <w:p w14:paraId="311AC7E2"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Median [IQR]</w:t>
            </w:r>
          </w:p>
        </w:tc>
        <w:tc>
          <w:tcPr>
            <w:tcW w:w="703" w:type="pct"/>
            <w:shd w:val="clear" w:color="auto" w:fill="auto"/>
            <w:noWrap/>
            <w:vAlign w:val="center"/>
            <w:hideMark/>
          </w:tcPr>
          <w:p w14:paraId="6B7304D0"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27.00</w:t>
            </w:r>
          </w:p>
          <w:p w14:paraId="368C85FE"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[24.00-33.50]</w:t>
            </w:r>
          </w:p>
        </w:tc>
        <w:tc>
          <w:tcPr>
            <w:tcW w:w="796" w:type="pct"/>
            <w:shd w:val="clear" w:color="auto" w:fill="auto"/>
            <w:noWrap/>
            <w:vAlign w:val="center"/>
            <w:hideMark/>
          </w:tcPr>
          <w:p w14:paraId="47FD2070"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24.00</w:t>
            </w:r>
          </w:p>
          <w:p w14:paraId="54D2473F"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[21.00- 28.00]</w:t>
            </w:r>
          </w:p>
        </w:tc>
        <w:tc>
          <w:tcPr>
            <w:tcW w:w="827" w:type="pct"/>
            <w:shd w:val="clear" w:color="auto" w:fill="auto"/>
            <w:noWrap/>
            <w:vAlign w:val="center"/>
            <w:hideMark/>
          </w:tcPr>
          <w:p w14:paraId="22041E92"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22.00</w:t>
            </w:r>
          </w:p>
          <w:p w14:paraId="131582FC"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[12.00- 38.00]</w:t>
            </w:r>
          </w:p>
        </w:tc>
        <w:tc>
          <w:tcPr>
            <w:tcW w:w="623" w:type="pct"/>
            <w:shd w:val="clear" w:color="auto" w:fill="auto"/>
            <w:vAlign w:val="center"/>
            <w:hideMark/>
          </w:tcPr>
          <w:p w14:paraId="3B4EBD03"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Z = 3.410</w:t>
            </w:r>
          </w:p>
        </w:tc>
        <w:tc>
          <w:tcPr>
            <w:tcW w:w="415" w:type="pct"/>
            <w:shd w:val="clear" w:color="auto" w:fill="auto"/>
            <w:vAlign w:val="center"/>
            <w:hideMark/>
          </w:tcPr>
          <w:p w14:paraId="56B5F029"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0.182</w:t>
            </w:r>
          </w:p>
        </w:tc>
      </w:tr>
      <w:tr w:rsidR="009D2E3D" w:rsidRPr="00280684" w14:paraId="479A3948" w14:textId="77777777" w:rsidTr="006F0285">
        <w:trPr>
          <w:trHeight w:val="315"/>
          <w:jc w:val="center"/>
        </w:trPr>
        <w:tc>
          <w:tcPr>
            <w:tcW w:w="1190" w:type="pct"/>
            <w:shd w:val="clear" w:color="auto" w:fill="auto"/>
            <w:vAlign w:val="center"/>
            <w:hideMark/>
          </w:tcPr>
          <w:p w14:paraId="38A78129"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PT (seconds)</w:t>
            </w:r>
          </w:p>
        </w:tc>
        <w:tc>
          <w:tcPr>
            <w:tcW w:w="446" w:type="pct"/>
            <w:shd w:val="clear" w:color="auto" w:fill="auto"/>
            <w:noWrap/>
            <w:vAlign w:val="center"/>
            <w:hideMark/>
          </w:tcPr>
          <w:p w14:paraId="0D12D9A4"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27341097"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12.99±0.68</w:t>
            </w:r>
          </w:p>
        </w:tc>
        <w:tc>
          <w:tcPr>
            <w:tcW w:w="796" w:type="pct"/>
            <w:shd w:val="clear" w:color="auto" w:fill="auto"/>
            <w:noWrap/>
            <w:vAlign w:val="center"/>
            <w:hideMark/>
          </w:tcPr>
          <w:p w14:paraId="136D4A8C"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12.91±0.46</w:t>
            </w:r>
          </w:p>
        </w:tc>
        <w:tc>
          <w:tcPr>
            <w:tcW w:w="827" w:type="pct"/>
            <w:shd w:val="clear" w:color="auto" w:fill="auto"/>
            <w:noWrap/>
            <w:vAlign w:val="center"/>
            <w:hideMark/>
          </w:tcPr>
          <w:p w14:paraId="62D1A098"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13.33±0.81</w:t>
            </w:r>
          </w:p>
        </w:tc>
        <w:tc>
          <w:tcPr>
            <w:tcW w:w="623" w:type="pct"/>
            <w:shd w:val="clear" w:color="auto" w:fill="auto"/>
            <w:vAlign w:val="center"/>
            <w:hideMark/>
          </w:tcPr>
          <w:p w14:paraId="1F0AC8DA"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0.697</w:t>
            </w:r>
          </w:p>
        </w:tc>
        <w:tc>
          <w:tcPr>
            <w:tcW w:w="415" w:type="pct"/>
            <w:shd w:val="clear" w:color="auto" w:fill="auto"/>
            <w:vAlign w:val="center"/>
            <w:hideMark/>
          </w:tcPr>
          <w:p w14:paraId="7BC820AB"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0.502</w:t>
            </w:r>
          </w:p>
        </w:tc>
      </w:tr>
      <w:tr w:rsidR="009D2E3D" w:rsidRPr="00280684" w14:paraId="5203D2D5" w14:textId="77777777" w:rsidTr="006F0285">
        <w:trPr>
          <w:trHeight w:val="315"/>
          <w:jc w:val="center"/>
        </w:trPr>
        <w:tc>
          <w:tcPr>
            <w:tcW w:w="1190" w:type="pct"/>
            <w:shd w:val="clear" w:color="auto" w:fill="auto"/>
            <w:vAlign w:val="center"/>
            <w:hideMark/>
          </w:tcPr>
          <w:p w14:paraId="02944E0F"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INR</w:t>
            </w:r>
          </w:p>
        </w:tc>
        <w:tc>
          <w:tcPr>
            <w:tcW w:w="446" w:type="pct"/>
            <w:shd w:val="clear" w:color="auto" w:fill="auto"/>
            <w:noWrap/>
            <w:vAlign w:val="center"/>
            <w:hideMark/>
          </w:tcPr>
          <w:p w14:paraId="0E835332"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5F1B4C0D"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1.20 ± 0.08</w:t>
            </w:r>
          </w:p>
        </w:tc>
        <w:tc>
          <w:tcPr>
            <w:tcW w:w="796" w:type="pct"/>
            <w:shd w:val="clear" w:color="auto" w:fill="auto"/>
            <w:noWrap/>
            <w:vAlign w:val="center"/>
            <w:hideMark/>
          </w:tcPr>
          <w:p w14:paraId="354189FB"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1.18±0.09</w:t>
            </w:r>
          </w:p>
        </w:tc>
        <w:tc>
          <w:tcPr>
            <w:tcW w:w="827" w:type="pct"/>
            <w:shd w:val="clear" w:color="auto" w:fill="auto"/>
            <w:noWrap/>
            <w:vAlign w:val="center"/>
            <w:hideMark/>
          </w:tcPr>
          <w:p w14:paraId="2E57344E"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1.20 ± 0.04</w:t>
            </w:r>
          </w:p>
        </w:tc>
        <w:tc>
          <w:tcPr>
            <w:tcW w:w="623" w:type="pct"/>
            <w:shd w:val="clear" w:color="auto" w:fill="auto"/>
            <w:vAlign w:val="center"/>
            <w:hideMark/>
          </w:tcPr>
          <w:p w14:paraId="627E712C"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0.240</w:t>
            </w:r>
          </w:p>
        </w:tc>
        <w:tc>
          <w:tcPr>
            <w:tcW w:w="415" w:type="pct"/>
            <w:shd w:val="clear" w:color="auto" w:fill="auto"/>
            <w:vAlign w:val="center"/>
            <w:hideMark/>
          </w:tcPr>
          <w:p w14:paraId="27C880D9"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0.788</w:t>
            </w:r>
          </w:p>
        </w:tc>
      </w:tr>
      <w:tr w:rsidR="009D2E3D" w:rsidRPr="00280684" w14:paraId="43375D72" w14:textId="77777777" w:rsidTr="006F0285">
        <w:trPr>
          <w:trHeight w:val="315"/>
          <w:jc w:val="center"/>
        </w:trPr>
        <w:tc>
          <w:tcPr>
            <w:tcW w:w="1190" w:type="pct"/>
            <w:shd w:val="clear" w:color="auto" w:fill="auto"/>
            <w:vAlign w:val="center"/>
            <w:hideMark/>
          </w:tcPr>
          <w:p w14:paraId="77BC1296"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Albumin (g/dl)</w:t>
            </w:r>
          </w:p>
        </w:tc>
        <w:tc>
          <w:tcPr>
            <w:tcW w:w="446" w:type="pct"/>
            <w:shd w:val="clear" w:color="auto" w:fill="auto"/>
            <w:noWrap/>
            <w:vAlign w:val="center"/>
            <w:hideMark/>
          </w:tcPr>
          <w:p w14:paraId="05220333"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04E17500"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3.93±0.23</w:t>
            </w:r>
          </w:p>
        </w:tc>
        <w:tc>
          <w:tcPr>
            <w:tcW w:w="796" w:type="pct"/>
            <w:shd w:val="clear" w:color="auto" w:fill="auto"/>
            <w:noWrap/>
            <w:vAlign w:val="center"/>
            <w:hideMark/>
          </w:tcPr>
          <w:p w14:paraId="585240B0"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3.87±0.18</w:t>
            </w:r>
          </w:p>
        </w:tc>
        <w:tc>
          <w:tcPr>
            <w:tcW w:w="827" w:type="pct"/>
            <w:shd w:val="clear" w:color="auto" w:fill="auto"/>
            <w:noWrap/>
            <w:vAlign w:val="center"/>
            <w:hideMark/>
          </w:tcPr>
          <w:p w14:paraId="668888E9"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3.97±0.15</w:t>
            </w:r>
          </w:p>
        </w:tc>
        <w:tc>
          <w:tcPr>
            <w:tcW w:w="623" w:type="pct"/>
            <w:shd w:val="clear" w:color="auto" w:fill="auto"/>
            <w:vAlign w:val="center"/>
            <w:hideMark/>
          </w:tcPr>
          <w:p w14:paraId="1EF93ED8"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0.633</w:t>
            </w:r>
          </w:p>
        </w:tc>
        <w:tc>
          <w:tcPr>
            <w:tcW w:w="415" w:type="pct"/>
            <w:shd w:val="clear" w:color="auto" w:fill="auto"/>
            <w:vAlign w:val="center"/>
            <w:hideMark/>
          </w:tcPr>
          <w:p w14:paraId="5AECA308"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0.535</w:t>
            </w:r>
          </w:p>
        </w:tc>
      </w:tr>
      <w:tr w:rsidR="009D2E3D" w:rsidRPr="00280684" w14:paraId="2E754392" w14:textId="77777777" w:rsidTr="006F0285">
        <w:trPr>
          <w:trHeight w:val="315"/>
          <w:jc w:val="center"/>
        </w:trPr>
        <w:tc>
          <w:tcPr>
            <w:tcW w:w="1190" w:type="pct"/>
            <w:shd w:val="clear" w:color="auto" w:fill="auto"/>
            <w:vAlign w:val="center"/>
            <w:hideMark/>
          </w:tcPr>
          <w:p w14:paraId="3E08BBB3" w14:textId="77777777" w:rsidR="009D2E3D" w:rsidRPr="003770FE" w:rsidRDefault="009D2E3D" w:rsidP="005504BF">
            <w:pPr>
              <w:tabs>
                <w:tab w:val="right" w:pos="6804"/>
              </w:tabs>
              <w:autoSpaceDE w:val="0"/>
              <w:autoSpaceDN w:val="0"/>
              <w:adjustRightInd w:val="0"/>
              <w:spacing w:line="276" w:lineRule="auto"/>
              <w:ind w:left="-57" w:right="-57" w:hanging="29"/>
              <w:jc w:val="left"/>
              <w:rPr>
                <w:sz w:val="20"/>
                <w:szCs w:val="20"/>
              </w:rPr>
            </w:pPr>
            <w:r w:rsidRPr="003770FE">
              <w:rPr>
                <w:sz w:val="20"/>
                <w:szCs w:val="20"/>
              </w:rPr>
              <w:t>Bilirubin (mg/dl)</w:t>
            </w:r>
          </w:p>
        </w:tc>
        <w:tc>
          <w:tcPr>
            <w:tcW w:w="446" w:type="pct"/>
            <w:shd w:val="clear" w:color="auto" w:fill="auto"/>
            <w:noWrap/>
            <w:vAlign w:val="center"/>
            <w:hideMark/>
          </w:tcPr>
          <w:p w14:paraId="7015A155" w14:textId="77777777" w:rsidR="009D2E3D" w:rsidRPr="003770FE" w:rsidRDefault="009D2E3D" w:rsidP="005504BF">
            <w:pPr>
              <w:tabs>
                <w:tab w:val="right" w:pos="6804"/>
              </w:tabs>
              <w:autoSpaceDE w:val="0"/>
              <w:autoSpaceDN w:val="0"/>
              <w:adjustRightInd w:val="0"/>
              <w:spacing w:line="276" w:lineRule="auto"/>
              <w:ind w:left="-57" w:right="-57" w:hanging="29"/>
              <w:jc w:val="center"/>
              <w:rPr>
                <w:sz w:val="20"/>
                <w:szCs w:val="20"/>
              </w:rPr>
            </w:pPr>
            <w:r w:rsidRPr="003770FE">
              <w:rPr>
                <w:sz w:val="20"/>
                <w:szCs w:val="20"/>
              </w:rPr>
              <w:t>M±SD</w:t>
            </w:r>
          </w:p>
        </w:tc>
        <w:tc>
          <w:tcPr>
            <w:tcW w:w="703" w:type="pct"/>
            <w:shd w:val="clear" w:color="auto" w:fill="auto"/>
            <w:noWrap/>
            <w:vAlign w:val="center"/>
            <w:hideMark/>
          </w:tcPr>
          <w:p w14:paraId="08DB3BE2"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0.46±0.12</w:t>
            </w:r>
          </w:p>
        </w:tc>
        <w:tc>
          <w:tcPr>
            <w:tcW w:w="796" w:type="pct"/>
            <w:shd w:val="clear" w:color="auto" w:fill="auto"/>
            <w:noWrap/>
            <w:vAlign w:val="center"/>
            <w:hideMark/>
          </w:tcPr>
          <w:p w14:paraId="5D950645"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0.39±0.07</w:t>
            </w:r>
          </w:p>
        </w:tc>
        <w:tc>
          <w:tcPr>
            <w:tcW w:w="827" w:type="pct"/>
            <w:shd w:val="clear" w:color="auto" w:fill="auto"/>
            <w:noWrap/>
            <w:vAlign w:val="center"/>
            <w:hideMark/>
          </w:tcPr>
          <w:p w14:paraId="391E759C"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0.47±0.06</w:t>
            </w:r>
          </w:p>
        </w:tc>
        <w:tc>
          <w:tcPr>
            <w:tcW w:w="623" w:type="pct"/>
            <w:shd w:val="clear" w:color="auto" w:fill="auto"/>
            <w:vAlign w:val="center"/>
            <w:hideMark/>
          </w:tcPr>
          <w:p w14:paraId="6092B4C4"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F= 3.081</w:t>
            </w:r>
          </w:p>
        </w:tc>
        <w:tc>
          <w:tcPr>
            <w:tcW w:w="415" w:type="pct"/>
            <w:shd w:val="clear" w:color="auto" w:fill="auto"/>
            <w:vAlign w:val="center"/>
            <w:hideMark/>
          </w:tcPr>
          <w:p w14:paraId="772DADE6"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0.054</w:t>
            </w:r>
          </w:p>
        </w:tc>
      </w:tr>
      <w:tr w:rsidR="009D2E3D" w:rsidRPr="00280684" w14:paraId="30C98929" w14:textId="77777777" w:rsidTr="006F0285">
        <w:trPr>
          <w:trHeight w:val="315"/>
          <w:jc w:val="center"/>
        </w:trPr>
        <w:tc>
          <w:tcPr>
            <w:tcW w:w="1636" w:type="pct"/>
            <w:gridSpan w:val="2"/>
            <w:shd w:val="clear" w:color="auto" w:fill="auto"/>
            <w:vAlign w:val="center"/>
          </w:tcPr>
          <w:p w14:paraId="63AE0AFC" w14:textId="77777777" w:rsidR="009D2E3D" w:rsidRPr="003770FE" w:rsidRDefault="009D2E3D" w:rsidP="005504BF">
            <w:pPr>
              <w:tabs>
                <w:tab w:val="right" w:pos="6804"/>
              </w:tabs>
              <w:autoSpaceDE w:val="0"/>
              <w:autoSpaceDN w:val="0"/>
              <w:adjustRightInd w:val="0"/>
              <w:spacing w:line="240" w:lineRule="auto"/>
              <w:ind w:left="-57" w:right="-57" w:firstLine="0"/>
              <w:rPr>
                <w:sz w:val="22"/>
                <w:szCs w:val="22"/>
              </w:rPr>
            </w:pPr>
            <w:r w:rsidRPr="003770FE">
              <w:rPr>
                <w:sz w:val="22"/>
                <w:szCs w:val="22"/>
              </w:rPr>
              <w:t>Positive H. pylori Ab. N (%)</w:t>
            </w:r>
          </w:p>
        </w:tc>
        <w:tc>
          <w:tcPr>
            <w:tcW w:w="703" w:type="pct"/>
            <w:shd w:val="clear" w:color="auto" w:fill="auto"/>
            <w:noWrap/>
            <w:vAlign w:val="center"/>
          </w:tcPr>
          <w:p w14:paraId="26E8424F"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20 (62.5%)</w:t>
            </w:r>
          </w:p>
        </w:tc>
        <w:tc>
          <w:tcPr>
            <w:tcW w:w="796" w:type="pct"/>
            <w:shd w:val="clear" w:color="auto" w:fill="auto"/>
            <w:noWrap/>
            <w:vAlign w:val="center"/>
          </w:tcPr>
          <w:p w14:paraId="3744A598"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17(68.0%)</w:t>
            </w:r>
          </w:p>
        </w:tc>
        <w:tc>
          <w:tcPr>
            <w:tcW w:w="827" w:type="pct"/>
            <w:shd w:val="clear" w:color="auto" w:fill="auto"/>
            <w:noWrap/>
            <w:vAlign w:val="center"/>
          </w:tcPr>
          <w:p w14:paraId="5F918A57"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2(66.7%)</w:t>
            </w:r>
          </w:p>
        </w:tc>
        <w:tc>
          <w:tcPr>
            <w:tcW w:w="623" w:type="pct"/>
            <w:shd w:val="clear" w:color="auto" w:fill="auto"/>
            <w:vAlign w:val="center"/>
          </w:tcPr>
          <w:p w14:paraId="6D750870"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sz w:val="21"/>
                <w:szCs w:val="21"/>
              </w:rPr>
              <w:t>X</w:t>
            </w:r>
            <w:r w:rsidRPr="00280684">
              <w:rPr>
                <w:sz w:val="21"/>
                <w:szCs w:val="21"/>
                <w:vertAlign w:val="superscript"/>
              </w:rPr>
              <w:t>2</w:t>
            </w:r>
            <w:r w:rsidRPr="00280684">
              <w:rPr>
                <w:sz w:val="21"/>
                <w:szCs w:val="21"/>
                <w:vertAlign w:val="subscript"/>
              </w:rPr>
              <w:t>FFH</w:t>
            </w:r>
            <w:r w:rsidRPr="00280684">
              <w:rPr>
                <w:kern w:val="2"/>
                <w:sz w:val="20"/>
                <w:szCs w:val="20"/>
                <w14:ligatures w14:val="standardContextual"/>
              </w:rPr>
              <w:t xml:space="preserve"> = 0.374</w:t>
            </w:r>
          </w:p>
        </w:tc>
        <w:tc>
          <w:tcPr>
            <w:tcW w:w="415" w:type="pct"/>
            <w:shd w:val="clear" w:color="auto" w:fill="auto"/>
            <w:vAlign w:val="center"/>
          </w:tcPr>
          <w:p w14:paraId="3DD1B2EA" w14:textId="77777777" w:rsidR="009D2E3D" w:rsidRPr="00280684" w:rsidRDefault="009D2E3D" w:rsidP="005504BF">
            <w:pPr>
              <w:spacing w:line="276" w:lineRule="auto"/>
              <w:ind w:left="-57" w:right="-57" w:firstLine="0"/>
              <w:jc w:val="center"/>
              <w:rPr>
                <w:kern w:val="2"/>
                <w:sz w:val="20"/>
                <w:szCs w:val="20"/>
                <w14:ligatures w14:val="standardContextual"/>
              </w:rPr>
            </w:pPr>
            <w:r w:rsidRPr="00280684">
              <w:rPr>
                <w:kern w:val="2"/>
                <w:sz w:val="20"/>
                <w:szCs w:val="20"/>
                <w14:ligatures w14:val="standardContextual"/>
              </w:rPr>
              <w:t>0.901</w:t>
            </w:r>
          </w:p>
        </w:tc>
      </w:tr>
      <w:tr w:rsidR="009D2E3D" w:rsidRPr="00280684" w14:paraId="7F5AFA33" w14:textId="77777777" w:rsidTr="006F0285">
        <w:trPr>
          <w:trHeight w:val="315"/>
          <w:jc w:val="center"/>
        </w:trPr>
        <w:tc>
          <w:tcPr>
            <w:tcW w:w="1636" w:type="pct"/>
            <w:gridSpan w:val="2"/>
            <w:tcBorders>
              <w:bottom w:val="single" w:sz="4" w:space="0" w:color="000000"/>
            </w:tcBorders>
            <w:shd w:val="clear" w:color="auto" w:fill="auto"/>
            <w:vAlign w:val="center"/>
          </w:tcPr>
          <w:p w14:paraId="3E9FAEAE" w14:textId="77777777" w:rsidR="009D2E3D" w:rsidRPr="003770FE" w:rsidRDefault="009D2E3D" w:rsidP="005504BF">
            <w:pPr>
              <w:tabs>
                <w:tab w:val="right" w:pos="6804"/>
              </w:tabs>
              <w:autoSpaceDE w:val="0"/>
              <w:autoSpaceDN w:val="0"/>
              <w:adjustRightInd w:val="0"/>
              <w:spacing w:line="240" w:lineRule="auto"/>
              <w:ind w:left="-57" w:right="-57" w:firstLine="0"/>
              <w:rPr>
                <w:sz w:val="21"/>
                <w:szCs w:val="21"/>
              </w:rPr>
            </w:pPr>
            <w:r w:rsidRPr="003770FE">
              <w:rPr>
                <w:sz w:val="22"/>
                <w:szCs w:val="22"/>
              </w:rPr>
              <w:t>Positive H. pylori Ag in stool</w:t>
            </w:r>
            <w:r w:rsidRPr="003770FE">
              <w:rPr>
                <w:sz w:val="21"/>
                <w:szCs w:val="21"/>
              </w:rPr>
              <w:t xml:space="preserve"> N (%)</w:t>
            </w:r>
          </w:p>
        </w:tc>
        <w:tc>
          <w:tcPr>
            <w:tcW w:w="703" w:type="pct"/>
            <w:tcBorders>
              <w:bottom w:val="single" w:sz="4" w:space="0" w:color="000000"/>
            </w:tcBorders>
            <w:shd w:val="clear" w:color="auto" w:fill="auto"/>
            <w:noWrap/>
            <w:vAlign w:val="center"/>
          </w:tcPr>
          <w:p w14:paraId="0EFD1950" w14:textId="77777777" w:rsidR="009D2E3D" w:rsidRPr="00280684" w:rsidRDefault="009D2E3D" w:rsidP="005504BF">
            <w:pPr>
              <w:spacing w:line="240" w:lineRule="auto"/>
              <w:ind w:left="-57" w:right="-57" w:firstLine="16"/>
              <w:jc w:val="center"/>
              <w:rPr>
                <w:rFonts w:eastAsiaTheme="minorEastAsia"/>
                <w:sz w:val="22"/>
                <w:szCs w:val="22"/>
                <w:lang w:val="en-GB" w:eastAsia="ja-JP"/>
              </w:rPr>
            </w:pPr>
            <w:r w:rsidRPr="00280684">
              <w:rPr>
                <w:rFonts w:eastAsiaTheme="minorEastAsia"/>
                <w:sz w:val="22"/>
                <w:szCs w:val="22"/>
                <w:lang w:val="en-GB" w:eastAsia="ja-JP"/>
              </w:rPr>
              <w:t>12 (37.5%)</w:t>
            </w:r>
          </w:p>
        </w:tc>
        <w:tc>
          <w:tcPr>
            <w:tcW w:w="796" w:type="pct"/>
            <w:tcBorders>
              <w:bottom w:val="single" w:sz="4" w:space="0" w:color="000000"/>
            </w:tcBorders>
            <w:shd w:val="clear" w:color="auto" w:fill="auto"/>
            <w:noWrap/>
            <w:vAlign w:val="center"/>
          </w:tcPr>
          <w:p w14:paraId="1EC0CC36" w14:textId="77777777" w:rsidR="009D2E3D" w:rsidRPr="00280684" w:rsidRDefault="009D2E3D" w:rsidP="005504BF">
            <w:pPr>
              <w:spacing w:line="240" w:lineRule="auto"/>
              <w:ind w:left="-57" w:right="-57" w:firstLine="16"/>
              <w:jc w:val="center"/>
              <w:rPr>
                <w:rFonts w:eastAsiaTheme="minorEastAsia"/>
                <w:sz w:val="22"/>
                <w:szCs w:val="22"/>
                <w:lang w:val="en-GB" w:eastAsia="ja-JP"/>
              </w:rPr>
            </w:pPr>
            <w:r w:rsidRPr="00280684">
              <w:rPr>
                <w:rFonts w:eastAsiaTheme="minorEastAsia"/>
                <w:sz w:val="22"/>
                <w:szCs w:val="22"/>
                <w:lang w:val="en-GB" w:eastAsia="ja-JP"/>
              </w:rPr>
              <w:t>11 (44.0%)</w:t>
            </w:r>
          </w:p>
        </w:tc>
        <w:tc>
          <w:tcPr>
            <w:tcW w:w="827" w:type="pct"/>
            <w:tcBorders>
              <w:bottom w:val="single" w:sz="4" w:space="0" w:color="000000"/>
            </w:tcBorders>
            <w:shd w:val="clear" w:color="auto" w:fill="auto"/>
            <w:noWrap/>
            <w:vAlign w:val="center"/>
          </w:tcPr>
          <w:p w14:paraId="6566E54B" w14:textId="77777777" w:rsidR="009D2E3D" w:rsidRPr="00280684" w:rsidRDefault="009D2E3D" w:rsidP="005504BF">
            <w:pPr>
              <w:spacing w:line="240" w:lineRule="auto"/>
              <w:ind w:left="-57" w:right="-57" w:firstLine="16"/>
              <w:jc w:val="center"/>
              <w:rPr>
                <w:rFonts w:eastAsiaTheme="minorEastAsia"/>
                <w:sz w:val="22"/>
                <w:szCs w:val="22"/>
                <w:lang w:val="en-GB" w:eastAsia="ja-JP"/>
              </w:rPr>
            </w:pPr>
            <w:r w:rsidRPr="00280684">
              <w:rPr>
                <w:rFonts w:eastAsiaTheme="minorEastAsia"/>
                <w:sz w:val="22"/>
                <w:szCs w:val="22"/>
                <w:lang w:val="en-GB" w:eastAsia="ja-JP"/>
              </w:rPr>
              <w:t>1(33.3%)</w:t>
            </w:r>
          </w:p>
        </w:tc>
        <w:tc>
          <w:tcPr>
            <w:tcW w:w="623" w:type="pct"/>
            <w:tcBorders>
              <w:bottom w:val="single" w:sz="4" w:space="0" w:color="000000"/>
            </w:tcBorders>
            <w:shd w:val="clear" w:color="auto" w:fill="auto"/>
            <w:vAlign w:val="center"/>
          </w:tcPr>
          <w:p w14:paraId="3777587F" w14:textId="77777777" w:rsidR="009D2E3D" w:rsidRPr="00280684" w:rsidRDefault="009D2E3D" w:rsidP="005504BF">
            <w:pPr>
              <w:spacing w:line="240" w:lineRule="auto"/>
              <w:ind w:left="-57" w:right="-57" w:firstLine="16"/>
              <w:jc w:val="center"/>
              <w:rPr>
                <w:rFonts w:eastAsiaTheme="minorEastAsia"/>
                <w:sz w:val="22"/>
                <w:szCs w:val="22"/>
                <w:lang w:val="en-GB" w:eastAsia="ja-JP"/>
              </w:rPr>
            </w:pPr>
            <w:r w:rsidRPr="00280684">
              <w:rPr>
                <w:rFonts w:eastAsiaTheme="minorEastAsia"/>
                <w:sz w:val="22"/>
                <w:szCs w:val="22"/>
                <w:lang w:val="en-GB" w:eastAsia="ja-JP"/>
              </w:rPr>
              <w:t>0.449</w:t>
            </w:r>
          </w:p>
        </w:tc>
        <w:tc>
          <w:tcPr>
            <w:tcW w:w="415" w:type="pct"/>
            <w:tcBorders>
              <w:bottom w:val="single" w:sz="4" w:space="0" w:color="000000"/>
            </w:tcBorders>
            <w:shd w:val="clear" w:color="auto" w:fill="auto"/>
            <w:vAlign w:val="center"/>
          </w:tcPr>
          <w:p w14:paraId="788AC957" w14:textId="77777777" w:rsidR="009D2E3D" w:rsidRPr="00280684" w:rsidRDefault="009D2E3D" w:rsidP="003770FE">
            <w:pPr>
              <w:keepNext/>
              <w:spacing w:line="240" w:lineRule="auto"/>
              <w:ind w:left="-57" w:right="-57" w:firstLine="16"/>
              <w:jc w:val="center"/>
              <w:rPr>
                <w:rFonts w:eastAsiaTheme="minorEastAsia"/>
                <w:sz w:val="22"/>
                <w:szCs w:val="22"/>
                <w:lang w:val="en-GB" w:eastAsia="ja-JP"/>
              </w:rPr>
            </w:pPr>
            <w:r w:rsidRPr="00280684">
              <w:rPr>
                <w:rFonts w:eastAsiaTheme="minorEastAsia"/>
                <w:sz w:val="22"/>
                <w:szCs w:val="22"/>
                <w:lang w:val="en-GB" w:eastAsia="ja-JP"/>
              </w:rPr>
              <w:t>0.906</w:t>
            </w:r>
          </w:p>
        </w:tc>
      </w:tr>
    </w:tbl>
    <w:p w14:paraId="73221F02" w14:textId="77777777" w:rsidR="003770FE" w:rsidRPr="003770FE" w:rsidRDefault="003770FE" w:rsidP="003770FE">
      <w:pPr>
        <w:pStyle w:val="BodyText"/>
        <w:ind w:right="26" w:firstLine="720"/>
        <w:rPr>
          <w:b/>
          <w:bCs/>
          <w:color w:val="4F81BD" w:themeColor="accent1"/>
          <w:sz w:val="18"/>
          <w:szCs w:val="18"/>
          <w:lang w:val="en-GB"/>
        </w:rPr>
      </w:pPr>
      <w:r w:rsidRPr="003770FE">
        <w:rPr>
          <w:b/>
          <w:bCs/>
          <w:color w:val="4F81BD" w:themeColor="accent1"/>
          <w:sz w:val="18"/>
          <w:szCs w:val="18"/>
          <w:lang w:val="en-GB"/>
        </w:rPr>
        <w:t xml:space="preserve">* Significant at p-value &lt;0.05. </w:t>
      </w:r>
    </w:p>
    <w:p w14:paraId="7F0C8057" w14:textId="77777777" w:rsidR="003770FE" w:rsidRPr="003770FE" w:rsidRDefault="003770FE" w:rsidP="003770FE">
      <w:pPr>
        <w:pStyle w:val="BodyText"/>
        <w:ind w:right="26" w:firstLine="720"/>
        <w:rPr>
          <w:b/>
          <w:bCs/>
          <w:color w:val="4F81BD" w:themeColor="accent1"/>
          <w:sz w:val="18"/>
          <w:szCs w:val="18"/>
        </w:rPr>
      </w:pPr>
      <w:r w:rsidRPr="003770FE">
        <w:rPr>
          <w:b/>
          <w:bCs/>
          <w:color w:val="4F81BD" w:themeColor="accent1"/>
          <w:sz w:val="18"/>
          <w:szCs w:val="18"/>
        </w:rPr>
        <w:t>X</w:t>
      </w:r>
      <w:r w:rsidRPr="003770FE">
        <w:rPr>
          <w:b/>
          <w:bCs/>
          <w:color w:val="4F81BD" w:themeColor="accent1"/>
          <w:sz w:val="18"/>
          <w:szCs w:val="18"/>
          <w:vertAlign w:val="superscript"/>
        </w:rPr>
        <w:t>2</w:t>
      </w:r>
      <w:r w:rsidRPr="003770FE">
        <w:rPr>
          <w:b/>
          <w:bCs/>
          <w:color w:val="4F81BD" w:themeColor="accent1"/>
          <w:sz w:val="18"/>
          <w:szCs w:val="18"/>
          <w:vertAlign w:val="subscript"/>
        </w:rPr>
        <w:t>FFH</w:t>
      </w:r>
      <w:r w:rsidRPr="003770FE">
        <w:rPr>
          <w:b/>
          <w:bCs/>
          <w:color w:val="4F81BD" w:themeColor="accent1"/>
          <w:sz w:val="18"/>
          <w:szCs w:val="18"/>
        </w:rPr>
        <w:t>: Fisher-Freeman-Halton exact test</w:t>
      </w:r>
    </w:p>
    <w:p w14:paraId="283CF500" w14:textId="1C62DF43" w:rsidR="00327027" w:rsidRPr="00280684" w:rsidRDefault="00327027" w:rsidP="005D470E">
      <w:pPr>
        <w:pStyle w:val="BodyText"/>
        <w:spacing w:line="360" w:lineRule="auto"/>
        <w:ind w:right="26" w:firstLine="720"/>
        <w:jc w:val="both"/>
        <w:rPr>
          <w:rFonts w:asciiTheme="majorBidi" w:hAnsiTheme="majorBidi" w:cstheme="majorBidi"/>
          <w:sz w:val="24"/>
          <w:szCs w:val="24"/>
        </w:rPr>
      </w:pPr>
      <w:r w:rsidRPr="00280684">
        <w:rPr>
          <w:rFonts w:asciiTheme="majorBidi" w:hAnsiTheme="majorBidi" w:cstheme="majorBidi"/>
          <w:color w:val="000000" w:themeColor="text1"/>
          <w:sz w:val="24"/>
          <w:szCs w:val="24"/>
        </w:rPr>
        <w:t xml:space="preserve">There was no statistically significant difference between the three NAFLD subgroups regarding the number of patients with positive H. pylori Ag in </w:t>
      </w:r>
      <w:r w:rsidR="00D17EC6">
        <w:rPr>
          <w:rFonts w:asciiTheme="majorBidi" w:hAnsiTheme="majorBidi" w:cstheme="majorBidi"/>
          <w:color w:val="000000" w:themeColor="text1"/>
          <w:sz w:val="24"/>
          <w:szCs w:val="24"/>
        </w:rPr>
        <w:t xml:space="preserve">the stool or the </w:t>
      </w:r>
      <w:r w:rsidRPr="00280684">
        <w:rPr>
          <w:rFonts w:asciiTheme="majorBidi" w:hAnsiTheme="majorBidi" w:cstheme="majorBidi"/>
          <w:color w:val="000000" w:themeColor="text1"/>
          <w:sz w:val="24"/>
          <w:szCs w:val="24"/>
        </w:rPr>
        <w:t>number of patients with positive H pylori Ab (p: 0.906 and 0.901</w:t>
      </w:r>
      <w:r w:rsidR="00D17EC6">
        <w:rPr>
          <w:rFonts w:asciiTheme="majorBidi" w:hAnsiTheme="majorBidi" w:cstheme="majorBidi"/>
          <w:color w:val="000000" w:themeColor="text1"/>
          <w:sz w:val="24"/>
          <w:szCs w:val="24"/>
        </w:rPr>
        <w:t>,</w:t>
      </w:r>
      <w:r w:rsidRPr="00280684">
        <w:rPr>
          <w:rFonts w:asciiTheme="majorBidi" w:hAnsiTheme="majorBidi" w:cstheme="majorBidi"/>
          <w:color w:val="000000" w:themeColor="text1"/>
          <w:sz w:val="24"/>
          <w:szCs w:val="24"/>
        </w:rPr>
        <w:t xml:space="preserve"> respectively). Laboratory parameters among NAFLD sub-groups</w:t>
      </w:r>
      <w:r w:rsidR="00986D06" w:rsidRPr="00280684">
        <w:rPr>
          <w:rFonts w:asciiTheme="majorBidi" w:hAnsiTheme="majorBidi" w:cstheme="majorBidi"/>
          <w:color w:val="000000" w:themeColor="text1"/>
          <w:sz w:val="24"/>
          <w:szCs w:val="24"/>
        </w:rPr>
        <w:t xml:space="preserve"> showed that group III had significantly higher </w:t>
      </w:r>
      <w:r w:rsidR="00D17EC6">
        <w:rPr>
          <w:rFonts w:asciiTheme="majorBidi" w:hAnsiTheme="majorBidi" w:cstheme="majorBidi"/>
          <w:color w:val="000000" w:themeColor="text1"/>
          <w:sz w:val="24"/>
          <w:szCs w:val="24"/>
        </w:rPr>
        <w:t>values for TG and ALT (p: 0.009 and &lt; 0.001,</w:t>
      </w:r>
      <w:r w:rsidRPr="00280684">
        <w:rPr>
          <w:rFonts w:asciiTheme="majorBidi" w:hAnsiTheme="majorBidi" w:cstheme="majorBidi"/>
          <w:color w:val="000000" w:themeColor="text1"/>
          <w:sz w:val="24"/>
          <w:szCs w:val="24"/>
        </w:rPr>
        <w:t xml:space="preserve"> respectively).</w:t>
      </w:r>
      <w:r w:rsidR="00986D06" w:rsidRPr="00280684">
        <w:rPr>
          <w:rFonts w:asciiTheme="majorBidi" w:hAnsiTheme="majorBidi" w:cstheme="majorBidi"/>
          <w:color w:val="000000" w:themeColor="text1"/>
          <w:sz w:val="24"/>
          <w:szCs w:val="24"/>
        </w:rPr>
        <w:t xml:space="preserve"> </w:t>
      </w:r>
      <w:r w:rsidRPr="00280684">
        <w:rPr>
          <w:rFonts w:asciiTheme="majorBidi" w:hAnsiTheme="majorBidi" w:cstheme="majorBidi"/>
          <w:color w:val="000000" w:themeColor="text1"/>
          <w:sz w:val="24"/>
          <w:szCs w:val="24"/>
        </w:rPr>
        <w:t>No statistica</w:t>
      </w:r>
      <w:r w:rsidR="00986D06" w:rsidRPr="00280684">
        <w:rPr>
          <w:rFonts w:asciiTheme="majorBidi" w:hAnsiTheme="majorBidi" w:cstheme="majorBidi"/>
          <w:color w:val="000000" w:themeColor="text1"/>
          <w:sz w:val="24"/>
          <w:szCs w:val="24"/>
        </w:rPr>
        <w:t>lly significant difference was found for other parameters.</w:t>
      </w:r>
      <w:r w:rsidR="009022DE" w:rsidRPr="00280684">
        <w:rPr>
          <w:rFonts w:asciiTheme="majorBidi" w:hAnsiTheme="majorBidi" w:cstheme="majorBidi"/>
          <w:color w:val="000000" w:themeColor="text1"/>
          <w:sz w:val="24"/>
          <w:szCs w:val="24"/>
        </w:rPr>
        <w:t xml:space="preserve"> </w:t>
      </w:r>
      <w:r w:rsidRPr="00280684">
        <w:rPr>
          <w:rFonts w:asciiTheme="majorBidi" w:hAnsiTheme="majorBidi" w:cstheme="majorBidi"/>
          <w:sz w:val="24"/>
          <w:szCs w:val="24"/>
        </w:rPr>
        <w:t xml:space="preserve">There was a statistically significant positive correlation between </w:t>
      </w:r>
      <w:r w:rsidR="00D17EC6">
        <w:rPr>
          <w:rFonts w:asciiTheme="majorBidi" w:hAnsiTheme="majorBidi" w:cstheme="majorBidi"/>
          <w:sz w:val="24"/>
          <w:szCs w:val="24"/>
        </w:rPr>
        <w:t xml:space="preserve">the </w:t>
      </w:r>
      <w:r w:rsidRPr="00280684">
        <w:rPr>
          <w:rFonts w:asciiTheme="majorBidi" w:hAnsiTheme="majorBidi" w:cstheme="majorBidi"/>
          <w:sz w:val="24"/>
          <w:szCs w:val="24"/>
        </w:rPr>
        <w:t>severity of steatosis by US (grading) and BMI, ALT, and AST levels</w:t>
      </w:r>
      <w:r w:rsidR="007866E5">
        <w:rPr>
          <w:rFonts w:asciiTheme="majorBidi" w:hAnsiTheme="majorBidi" w:cstheme="majorBidi"/>
          <w:sz w:val="24"/>
          <w:szCs w:val="24"/>
        </w:rPr>
        <w:t>,</w:t>
      </w:r>
      <w:r w:rsidRPr="00280684">
        <w:rPr>
          <w:rFonts w:asciiTheme="majorBidi" w:hAnsiTheme="majorBidi" w:cstheme="majorBidi"/>
          <w:sz w:val="24"/>
          <w:szCs w:val="24"/>
        </w:rPr>
        <w:t xml:space="preserve"> with </w:t>
      </w:r>
      <w:r w:rsidR="00D17EC6">
        <w:rPr>
          <w:rFonts w:asciiTheme="majorBidi" w:hAnsiTheme="majorBidi" w:cstheme="majorBidi"/>
          <w:sz w:val="24"/>
          <w:szCs w:val="24"/>
        </w:rPr>
        <w:t xml:space="preserve">a </w:t>
      </w:r>
      <w:r w:rsidRPr="00280684">
        <w:rPr>
          <w:rFonts w:asciiTheme="majorBidi" w:hAnsiTheme="majorBidi" w:cstheme="majorBidi"/>
          <w:sz w:val="24"/>
          <w:szCs w:val="24"/>
        </w:rPr>
        <w:t>non-significant correlation with other parameters</w:t>
      </w:r>
      <w:r w:rsidR="009022DE" w:rsidRPr="00280684">
        <w:rPr>
          <w:rFonts w:asciiTheme="majorBidi" w:hAnsiTheme="majorBidi" w:cstheme="majorBidi"/>
          <w:sz w:val="24"/>
          <w:szCs w:val="24"/>
        </w:rPr>
        <w:t>).</w:t>
      </w:r>
    </w:p>
    <w:p w14:paraId="49577CED" w14:textId="0786F96C" w:rsidR="009D2E3D" w:rsidRDefault="009D2E3D" w:rsidP="006F0285">
      <w:pPr>
        <w:pStyle w:val="Caption"/>
        <w:keepNext/>
      </w:pPr>
      <w:r>
        <w:t xml:space="preserve">Table </w:t>
      </w:r>
      <w:r w:rsidR="0087250B">
        <w:t>6</w:t>
      </w:r>
      <w:r>
        <w:t xml:space="preserve">. </w:t>
      </w:r>
      <w:r w:rsidRPr="009D2E3D">
        <w:t>Correlation of NAFLD grade (by US) with various parameters.</w:t>
      </w:r>
    </w:p>
    <w:tbl>
      <w:tblPr>
        <w:tblW w:w="5000" w:type="pct"/>
        <w:jc w:val="center"/>
        <w:tblCellMar>
          <w:left w:w="0" w:type="dxa"/>
          <w:right w:w="0" w:type="dxa"/>
        </w:tblCellMar>
        <w:tblLook w:val="0000" w:firstRow="0" w:lastRow="0" w:firstColumn="0" w:lastColumn="0" w:noHBand="0" w:noVBand="0"/>
        <w:tblCaption w:val="Table 6: Correlation of NAFLD grade (by US) with various parameters."/>
      </w:tblPr>
      <w:tblGrid>
        <w:gridCol w:w="6083"/>
        <w:gridCol w:w="1441"/>
        <w:gridCol w:w="1502"/>
      </w:tblGrid>
      <w:tr w:rsidR="009D2E3D" w:rsidRPr="00280684" w14:paraId="7CEF2D6F" w14:textId="77777777" w:rsidTr="006F0285">
        <w:trPr>
          <w:cantSplit/>
          <w:trHeight w:val="20"/>
          <w:jc w:val="center"/>
        </w:trPr>
        <w:tc>
          <w:tcPr>
            <w:tcW w:w="3370" w:type="pct"/>
            <w:vMerge w:val="restart"/>
            <w:tcBorders>
              <w:top w:val="single" w:sz="4" w:space="0" w:color="000000"/>
            </w:tcBorders>
            <w:shd w:val="clear" w:color="auto" w:fill="auto"/>
          </w:tcPr>
          <w:p w14:paraId="3FCEDB30" w14:textId="77777777" w:rsidR="009D2E3D" w:rsidRPr="00280684" w:rsidRDefault="009D2E3D" w:rsidP="005504BF">
            <w:pPr>
              <w:spacing w:line="276" w:lineRule="auto"/>
              <w:ind w:left="-57" w:right="-57" w:firstLine="0"/>
              <w:jc w:val="left"/>
              <w:rPr>
                <w:kern w:val="2"/>
                <w:sz w:val="20"/>
                <w:szCs w:val="20"/>
                <w:lang w:val="en-GB" w:eastAsia="ja-JP"/>
                <w14:ligatures w14:val="standardContextual"/>
              </w:rPr>
            </w:pPr>
          </w:p>
          <w:p w14:paraId="7DBBA6C9" w14:textId="77777777" w:rsidR="009D2E3D" w:rsidRPr="00280684" w:rsidRDefault="009D2E3D" w:rsidP="005504BF">
            <w:pPr>
              <w:spacing w:line="276" w:lineRule="auto"/>
              <w:ind w:left="-57" w:right="-57" w:firstLine="0"/>
              <w:jc w:val="left"/>
              <w:rPr>
                <w:kern w:val="2"/>
                <w:sz w:val="20"/>
                <w:szCs w:val="20"/>
                <w:lang w:val="en-GB" w:eastAsia="ja-JP"/>
                <w14:ligatures w14:val="standardContextual"/>
              </w:rPr>
            </w:pPr>
          </w:p>
        </w:tc>
        <w:tc>
          <w:tcPr>
            <w:tcW w:w="1630" w:type="pct"/>
            <w:gridSpan w:val="2"/>
            <w:tcBorders>
              <w:top w:val="single" w:sz="4" w:space="0" w:color="000000"/>
            </w:tcBorders>
            <w:shd w:val="clear" w:color="auto" w:fill="auto"/>
          </w:tcPr>
          <w:p w14:paraId="22FA71DF" w14:textId="77777777" w:rsidR="009D2E3D" w:rsidRPr="00280684" w:rsidRDefault="009D2E3D" w:rsidP="005504BF">
            <w:pPr>
              <w:tabs>
                <w:tab w:val="right" w:pos="6804"/>
              </w:tabs>
              <w:autoSpaceDE w:val="0"/>
              <w:autoSpaceDN w:val="0"/>
              <w:adjustRightInd w:val="0"/>
              <w:spacing w:line="312" w:lineRule="auto"/>
              <w:ind w:left="-57" w:right="-57" w:hanging="29"/>
              <w:jc w:val="center"/>
              <w:rPr>
                <w:b/>
                <w:bCs/>
                <w:sz w:val="22"/>
                <w:szCs w:val="22"/>
              </w:rPr>
            </w:pPr>
            <w:r w:rsidRPr="00280684">
              <w:rPr>
                <w:b/>
                <w:bCs/>
                <w:sz w:val="22"/>
                <w:szCs w:val="22"/>
              </w:rPr>
              <w:t>NAFLD grading</w:t>
            </w:r>
          </w:p>
        </w:tc>
      </w:tr>
      <w:tr w:rsidR="009D2E3D" w:rsidRPr="00280684" w14:paraId="6C8EDA36" w14:textId="77777777" w:rsidTr="006F0285">
        <w:trPr>
          <w:cantSplit/>
          <w:trHeight w:val="64"/>
          <w:jc w:val="center"/>
        </w:trPr>
        <w:tc>
          <w:tcPr>
            <w:tcW w:w="3370" w:type="pct"/>
            <w:vMerge/>
            <w:shd w:val="clear" w:color="auto" w:fill="auto"/>
          </w:tcPr>
          <w:p w14:paraId="7EAEE8B7" w14:textId="77777777" w:rsidR="009D2E3D" w:rsidRPr="00280684" w:rsidRDefault="009D2E3D" w:rsidP="005504BF">
            <w:pPr>
              <w:tabs>
                <w:tab w:val="right" w:pos="6804"/>
              </w:tabs>
              <w:autoSpaceDE w:val="0"/>
              <w:autoSpaceDN w:val="0"/>
              <w:adjustRightInd w:val="0"/>
              <w:spacing w:line="312" w:lineRule="auto"/>
              <w:ind w:left="-57" w:right="-57" w:hanging="29"/>
              <w:jc w:val="center"/>
              <w:rPr>
                <w:b/>
                <w:bCs/>
                <w:sz w:val="22"/>
                <w:szCs w:val="22"/>
              </w:rPr>
            </w:pPr>
          </w:p>
        </w:tc>
        <w:tc>
          <w:tcPr>
            <w:tcW w:w="798" w:type="pct"/>
            <w:shd w:val="clear" w:color="auto" w:fill="auto"/>
            <w:vAlign w:val="center"/>
          </w:tcPr>
          <w:p w14:paraId="1722BC2E" w14:textId="77777777" w:rsidR="009D2E3D" w:rsidRPr="00280684" w:rsidRDefault="009D2E3D" w:rsidP="005504BF">
            <w:pPr>
              <w:tabs>
                <w:tab w:val="right" w:pos="6804"/>
              </w:tabs>
              <w:autoSpaceDE w:val="0"/>
              <w:autoSpaceDN w:val="0"/>
              <w:adjustRightInd w:val="0"/>
              <w:spacing w:line="312" w:lineRule="auto"/>
              <w:ind w:left="-57" w:right="-57" w:hanging="29"/>
              <w:jc w:val="center"/>
              <w:rPr>
                <w:b/>
                <w:bCs/>
                <w:sz w:val="22"/>
                <w:szCs w:val="22"/>
              </w:rPr>
            </w:pPr>
            <w:r w:rsidRPr="00280684">
              <w:rPr>
                <w:b/>
                <w:bCs/>
                <w:sz w:val="22"/>
                <w:szCs w:val="22"/>
              </w:rPr>
              <w:t>r</w:t>
            </w:r>
          </w:p>
        </w:tc>
        <w:tc>
          <w:tcPr>
            <w:tcW w:w="832" w:type="pct"/>
            <w:shd w:val="clear" w:color="auto" w:fill="auto"/>
            <w:vAlign w:val="center"/>
          </w:tcPr>
          <w:p w14:paraId="2A99E264" w14:textId="77777777" w:rsidR="009D2E3D" w:rsidRPr="00280684" w:rsidRDefault="009D2E3D" w:rsidP="005504BF">
            <w:pPr>
              <w:tabs>
                <w:tab w:val="right" w:pos="6804"/>
              </w:tabs>
              <w:autoSpaceDE w:val="0"/>
              <w:autoSpaceDN w:val="0"/>
              <w:adjustRightInd w:val="0"/>
              <w:spacing w:line="312" w:lineRule="auto"/>
              <w:ind w:left="-57" w:right="-57" w:hanging="29"/>
              <w:jc w:val="center"/>
              <w:rPr>
                <w:b/>
                <w:bCs/>
                <w:sz w:val="22"/>
                <w:szCs w:val="22"/>
              </w:rPr>
            </w:pPr>
            <w:r w:rsidRPr="00280684">
              <w:rPr>
                <w:b/>
                <w:bCs/>
                <w:sz w:val="22"/>
                <w:szCs w:val="22"/>
              </w:rPr>
              <w:t xml:space="preserve">p </w:t>
            </w:r>
          </w:p>
        </w:tc>
      </w:tr>
      <w:tr w:rsidR="009D2E3D" w:rsidRPr="00280684" w14:paraId="3EB79994" w14:textId="77777777" w:rsidTr="006F0285">
        <w:trPr>
          <w:cantSplit/>
          <w:trHeight w:val="64"/>
          <w:jc w:val="center"/>
        </w:trPr>
        <w:tc>
          <w:tcPr>
            <w:tcW w:w="3370" w:type="pct"/>
            <w:tcBorders>
              <w:top w:val="single" w:sz="4" w:space="0" w:color="000000"/>
            </w:tcBorders>
            <w:shd w:val="clear" w:color="auto" w:fill="auto"/>
          </w:tcPr>
          <w:p w14:paraId="3F563930"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Age</w:t>
            </w:r>
          </w:p>
        </w:tc>
        <w:tc>
          <w:tcPr>
            <w:tcW w:w="798" w:type="pct"/>
            <w:tcBorders>
              <w:top w:val="single" w:sz="4" w:space="0" w:color="000000"/>
            </w:tcBorders>
            <w:shd w:val="clear" w:color="auto" w:fill="auto"/>
            <w:vAlign w:val="center"/>
          </w:tcPr>
          <w:p w14:paraId="69DCABBE"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0.128</w:t>
            </w:r>
          </w:p>
        </w:tc>
        <w:tc>
          <w:tcPr>
            <w:tcW w:w="832" w:type="pct"/>
            <w:tcBorders>
              <w:top w:val="single" w:sz="4" w:space="0" w:color="000000"/>
            </w:tcBorders>
            <w:shd w:val="clear" w:color="auto" w:fill="auto"/>
            <w:vAlign w:val="center"/>
          </w:tcPr>
          <w:p w14:paraId="51B598E6"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0.329</w:t>
            </w:r>
          </w:p>
        </w:tc>
      </w:tr>
      <w:tr w:rsidR="009D2E3D" w:rsidRPr="00280684" w14:paraId="1B48D4DC" w14:textId="77777777" w:rsidTr="006F0285">
        <w:trPr>
          <w:cantSplit/>
          <w:jc w:val="center"/>
        </w:trPr>
        <w:tc>
          <w:tcPr>
            <w:tcW w:w="3370" w:type="pct"/>
            <w:shd w:val="clear" w:color="auto" w:fill="auto"/>
          </w:tcPr>
          <w:p w14:paraId="248B9D6E"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BMI</w:t>
            </w:r>
          </w:p>
        </w:tc>
        <w:tc>
          <w:tcPr>
            <w:tcW w:w="798" w:type="pct"/>
            <w:shd w:val="clear" w:color="auto" w:fill="auto"/>
            <w:vAlign w:val="center"/>
          </w:tcPr>
          <w:p w14:paraId="1B23568F"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0.628</w:t>
            </w:r>
          </w:p>
        </w:tc>
        <w:tc>
          <w:tcPr>
            <w:tcW w:w="832" w:type="pct"/>
            <w:shd w:val="clear" w:color="auto" w:fill="auto"/>
            <w:vAlign w:val="center"/>
          </w:tcPr>
          <w:p w14:paraId="35BC7E5F"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&lt;0.001*</w:t>
            </w:r>
          </w:p>
        </w:tc>
      </w:tr>
      <w:tr w:rsidR="009D2E3D" w:rsidRPr="00280684" w14:paraId="48E44946" w14:textId="77777777" w:rsidTr="006F0285">
        <w:trPr>
          <w:cantSplit/>
          <w:jc w:val="center"/>
        </w:trPr>
        <w:tc>
          <w:tcPr>
            <w:tcW w:w="3370" w:type="pct"/>
            <w:shd w:val="clear" w:color="auto" w:fill="auto"/>
          </w:tcPr>
          <w:p w14:paraId="541AC74D"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WHR</w:t>
            </w:r>
          </w:p>
        </w:tc>
        <w:tc>
          <w:tcPr>
            <w:tcW w:w="798" w:type="pct"/>
            <w:shd w:val="clear" w:color="auto" w:fill="auto"/>
            <w:vAlign w:val="center"/>
          </w:tcPr>
          <w:p w14:paraId="225CA479"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0.172</w:t>
            </w:r>
          </w:p>
        </w:tc>
        <w:tc>
          <w:tcPr>
            <w:tcW w:w="832" w:type="pct"/>
            <w:shd w:val="clear" w:color="auto" w:fill="auto"/>
            <w:vAlign w:val="center"/>
          </w:tcPr>
          <w:p w14:paraId="571E8515"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0.190</w:t>
            </w:r>
          </w:p>
        </w:tc>
      </w:tr>
      <w:tr w:rsidR="009D2E3D" w:rsidRPr="00280684" w14:paraId="0DCC651E" w14:textId="77777777" w:rsidTr="006F0285">
        <w:trPr>
          <w:cantSplit/>
          <w:jc w:val="center"/>
        </w:trPr>
        <w:tc>
          <w:tcPr>
            <w:tcW w:w="3370" w:type="pct"/>
            <w:shd w:val="clear" w:color="auto" w:fill="auto"/>
          </w:tcPr>
          <w:p w14:paraId="78DBE9AD"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Insulin level</w:t>
            </w:r>
          </w:p>
        </w:tc>
        <w:tc>
          <w:tcPr>
            <w:tcW w:w="798" w:type="pct"/>
            <w:shd w:val="clear" w:color="auto" w:fill="auto"/>
            <w:vAlign w:val="center"/>
          </w:tcPr>
          <w:p w14:paraId="27A09D97"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0.038</w:t>
            </w:r>
          </w:p>
        </w:tc>
        <w:tc>
          <w:tcPr>
            <w:tcW w:w="832" w:type="pct"/>
            <w:shd w:val="clear" w:color="auto" w:fill="auto"/>
            <w:vAlign w:val="center"/>
          </w:tcPr>
          <w:p w14:paraId="57CA7A8D"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0.770</w:t>
            </w:r>
          </w:p>
        </w:tc>
      </w:tr>
      <w:tr w:rsidR="009D2E3D" w:rsidRPr="00280684" w14:paraId="10D475F4" w14:textId="77777777" w:rsidTr="006F0285">
        <w:trPr>
          <w:cantSplit/>
          <w:jc w:val="center"/>
        </w:trPr>
        <w:tc>
          <w:tcPr>
            <w:tcW w:w="3370" w:type="pct"/>
            <w:shd w:val="clear" w:color="auto" w:fill="auto"/>
          </w:tcPr>
          <w:p w14:paraId="754FE6F8"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FBG</w:t>
            </w:r>
          </w:p>
        </w:tc>
        <w:tc>
          <w:tcPr>
            <w:tcW w:w="798" w:type="pct"/>
            <w:shd w:val="clear" w:color="auto" w:fill="auto"/>
            <w:vAlign w:val="center"/>
          </w:tcPr>
          <w:p w14:paraId="155CA558"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0.200</w:t>
            </w:r>
          </w:p>
        </w:tc>
        <w:tc>
          <w:tcPr>
            <w:tcW w:w="832" w:type="pct"/>
            <w:shd w:val="clear" w:color="auto" w:fill="auto"/>
            <w:vAlign w:val="center"/>
          </w:tcPr>
          <w:p w14:paraId="1E3FCE27"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0.125</w:t>
            </w:r>
          </w:p>
        </w:tc>
      </w:tr>
      <w:tr w:rsidR="009D2E3D" w:rsidRPr="00280684" w14:paraId="54656667" w14:textId="77777777" w:rsidTr="006F0285">
        <w:trPr>
          <w:cantSplit/>
          <w:jc w:val="center"/>
        </w:trPr>
        <w:tc>
          <w:tcPr>
            <w:tcW w:w="3370" w:type="pct"/>
            <w:shd w:val="clear" w:color="auto" w:fill="auto"/>
          </w:tcPr>
          <w:p w14:paraId="41BDC591"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HBA1c</w:t>
            </w:r>
          </w:p>
        </w:tc>
        <w:tc>
          <w:tcPr>
            <w:tcW w:w="798" w:type="pct"/>
            <w:shd w:val="clear" w:color="auto" w:fill="auto"/>
            <w:vAlign w:val="center"/>
          </w:tcPr>
          <w:p w14:paraId="285120CC"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-0.067</w:t>
            </w:r>
          </w:p>
        </w:tc>
        <w:tc>
          <w:tcPr>
            <w:tcW w:w="832" w:type="pct"/>
            <w:shd w:val="clear" w:color="auto" w:fill="auto"/>
            <w:vAlign w:val="center"/>
          </w:tcPr>
          <w:p w14:paraId="4B63F2C6" w14:textId="77777777" w:rsidR="009D2E3D" w:rsidRPr="00280684" w:rsidRDefault="009D2E3D" w:rsidP="005504BF">
            <w:pPr>
              <w:spacing w:line="312" w:lineRule="auto"/>
              <w:ind w:firstLine="30"/>
              <w:jc w:val="center"/>
              <w:rPr>
                <w:color w:val="000000"/>
                <w:sz w:val="22"/>
                <w:szCs w:val="22"/>
                <w:rtl/>
              </w:rPr>
            </w:pPr>
            <w:r w:rsidRPr="00280684">
              <w:rPr>
                <w:color w:val="000000"/>
                <w:sz w:val="22"/>
                <w:szCs w:val="22"/>
              </w:rPr>
              <w:t>0.609</w:t>
            </w:r>
          </w:p>
        </w:tc>
      </w:tr>
      <w:tr w:rsidR="009D2E3D" w:rsidRPr="00280684" w14:paraId="6DB3A867" w14:textId="77777777" w:rsidTr="006F0285">
        <w:trPr>
          <w:cantSplit/>
          <w:jc w:val="center"/>
        </w:trPr>
        <w:tc>
          <w:tcPr>
            <w:tcW w:w="3370" w:type="pct"/>
            <w:shd w:val="clear" w:color="auto" w:fill="auto"/>
          </w:tcPr>
          <w:p w14:paraId="51165A67"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HOMA-IR</w:t>
            </w:r>
          </w:p>
        </w:tc>
        <w:tc>
          <w:tcPr>
            <w:tcW w:w="798" w:type="pct"/>
            <w:shd w:val="clear" w:color="auto" w:fill="auto"/>
            <w:vAlign w:val="center"/>
          </w:tcPr>
          <w:p w14:paraId="61970B37"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0.053</w:t>
            </w:r>
          </w:p>
        </w:tc>
        <w:tc>
          <w:tcPr>
            <w:tcW w:w="832" w:type="pct"/>
            <w:shd w:val="clear" w:color="auto" w:fill="auto"/>
            <w:vAlign w:val="center"/>
          </w:tcPr>
          <w:p w14:paraId="7A962919"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0.686</w:t>
            </w:r>
          </w:p>
        </w:tc>
      </w:tr>
      <w:tr w:rsidR="009D2E3D" w:rsidRPr="00280684" w14:paraId="5E241CE3" w14:textId="77777777" w:rsidTr="006F0285">
        <w:trPr>
          <w:cantSplit/>
          <w:jc w:val="center"/>
        </w:trPr>
        <w:tc>
          <w:tcPr>
            <w:tcW w:w="3370" w:type="pct"/>
            <w:shd w:val="clear" w:color="auto" w:fill="auto"/>
          </w:tcPr>
          <w:p w14:paraId="20506F3B"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Cholesterol</w:t>
            </w:r>
          </w:p>
        </w:tc>
        <w:tc>
          <w:tcPr>
            <w:tcW w:w="798" w:type="pct"/>
            <w:shd w:val="clear" w:color="auto" w:fill="auto"/>
            <w:vAlign w:val="center"/>
          </w:tcPr>
          <w:p w14:paraId="48C7EEFE"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0.027</w:t>
            </w:r>
          </w:p>
        </w:tc>
        <w:tc>
          <w:tcPr>
            <w:tcW w:w="832" w:type="pct"/>
            <w:shd w:val="clear" w:color="auto" w:fill="auto"/>
            <w:vAlign w:val="center"/>
          </w:tcPr>
          <w:p w14:paraId="392867D5"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0.840</w:t>
            </w:r>
          </w:p>
        </w:tc>
      </w:tr>
      <w:tr w:rsidR="009D2E3D" w:rsidRPr="00280684" w14:paraId="402D2737" w14:textId="77777777" w:rsidTr="006F0285">
        <w:trPr>
          <w:cantSplit/>
          <w:jc w:val="center"/>
        </w:trPr>
        <w:tc>
          <w:tcPr>
            <w:tcW w:w="3370" w:type="pct"/>
            <w:shd w:val="clear" w:color="auto" w:fill="auto"/>
          </w:tcPr>
          <w:p w14:paraId="2A750762"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TG</w:t>
            </w:r>
          </w:p>
        </w:tc>
        <w:tc>
          <w:tcPr>
            <w:tcW w:w="798" w:type="pct"/>
            <w:shd w:val="clear" w:color="auto" w:fill="auto"/>
            <w:vAlign w:val="center"/>
          </w:tcPr>
          <w:p w14:paraId="66A9090D"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0.093</w:t>
            </w:r>
          </w:p>
        </w:tc>
        <w:tc>
          <w:tcPr>
            <w:tcW w:w="832" w:type="pct"/>
            <w:shd w:val="clear" w:color="auto" w:fill="auto"/>
            <w:vAlign w:val="center"/>
          </w:tcPr>
          <w:p w14:paraId="7DCD1860"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0.478</w:t>
            </w:r>
          </w:p>
        </w:tc>
      </w:tr>
      <w:tr w:rsidR="009D2E3D" w:rsidRPr="00280684" w14:paraId="2CA11002" w14:textId="77777777" w:rsidTr="006F0285">
        <w:trPr>
          <w:cantSplit/>
          <w:jc w:val="center"/>
        </w:trPr>
        <w:tc>
          <w:tcPr>
            <w:tcW w:w="3370" w:type="pct"/>
            <w:shd w:val="clear" w:color="auto" w:fill="auto"/>
          </w:tcPr>
          <w:p w14:paraId="1F464B10"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HDL-C</w:t>
            </w:r>
          </w:p>
        </w:tc>
        <w:tc>
          <w:tcPr>
            <w:tcW w:w="798" w:type="pct"/>
            <w:shd w:val="clear" w:color="auto" w:fill="auto"/>
            <w:vAlign w:val="center"/>
          </w:tcPr>
          <w:p w14:paraId="66BA75BC"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0.069</w:t>
            </w:r>
          </w:p>
        </w:tc>
        <w:tc>
          <w:tcPr>
            <w:tcW w:w="832" w:type="pct"/>
            <w:shd w:val="clear" w:color="auto" w:fill="auto"/>
            <w:vAlign w:val="center"/>
          </w:tcPr>
          <w:p w14:paraId="1A438DBB"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0.602</w:t>
            </w:r>
          </w:p>
        </w:tc>
      </w:tr>
      <w:tr w:rsidR="009D2E3D" w:rsidRPr="00280684" w14:paraId="650EC42C" w14:textId="77777777" w:rsidTr="006F0285">
        <w:trPr>
          <w:cantSplit/>
          <w:jc w:val="center"/>
        </w:trPr>
        <w:tc>
          <w:tcPr>
            <w:tcW w:w="3370" w:type="pct"/>
            <w:shd w:val="clear" w:color="auto" w:fill="auto"/>
          </w:tcPr>
          <w:p w14:paraId="39EFE4BC"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LDL-C</w:t>
            </w:r>
          </w:p>
        </w:tc>
        <w:tc>
          <w:tcPr>
            <w:tcW w:w="798" w:type="pct"/>
            <w:shd w:val="clear" w:color="auto" w:fill="auto"/>
            <w:vAlign w:val="center"/>
          </w:tcPr>
          <w:p w14:paraId="4326C921"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0.169</w:t>
            </w:r>
          </w:p>
        </w:tc>
        <w:tc>
          <w:tcPr>
            <w:tcW w:w="832" w:type="pct"/>
            <w:shd w:val="clear" w:color="auto" w:fill="auto"/>
            <w:vAlign w:val="center"/>
          </w:tcPr>
          <w:p w14:paraId="41FEBFBE"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0.198</w:t>
            </w:r>
          </w:p>
        </w:tc>
      </w:tr>
      <w:tr w:rsidR="009D2E3D" w:rsidRPr="00280684" w14:paraId="60A3799A" w14:textId="77777777" w:rsidTr="006F0285">
        <w:trPr>
          <w:cantSplit/>
          <w:jc w:val="center"/>
        </w:trPr>
        <w:tc>
          <w:tcPr>
            <w:tcW w:w="3370" w:type="pct"/>
            <w:shd w:val="clear" w:color="auto" w:fill="auto"/>
          </w:tcPr>
          <w:p w14:paraId="0288B843"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H. pylori Ab</w:t>
            </w:r>
          </w:p>
        </w:tc>
        <w:tc>
          <w:tcPr>
            <w:tcW w:w="798" w:type="pct"/>
            <w:shd w:val="clear" w:color="auto" w:fill="auto"/>
            <w:vAlign w:val="center"/>
          </w:tcPr>
          <w:p w14:paraId="52118182"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0.128</w:t>
            </w:r>
          </w:p>
        </w:tc>
        <w:tc>
          <w:tcPr>
            <w:tcW w:w="832" w:type="pct"/>
            <w:shd w:val="clear" w:color="auto" w:fill="auto"/>
            <w:vAlign w:val="center"/>
          </w:tcPr>
          <w:p w14:paraId="04A247A7"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0.438</w:t>
            </w:r>
          </w:p>
        </w:tc>
      </w:tr>
      <w:tr w:rsidR="009D2E3D" w:rsidRPr="00280684" w14:paraId="02C735F4" w14:textId="77777777" w:rsidTr="006F0285">
        <w:trPr>
          <w:cantSplit/>
          <w:jc w:val="center"/>
        </w:trPr>
        <w:tc>
          <w:tcPr>
            <w:tcW w:w="3370" w:type="pct"/>
            <w:shd w:val="clear" w:color="auto" w:fill="auto"/>
          </w:tcPr>
          <w:p w14:paraId="7A7D0207"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ALT</w:t>
            </w:r>
          </w:p>
        </w:tc>
        <w:tc>
          <w:tcPr>
            <w:tcW w:w="798" w:type="pct"/>
            <w:shd w:val="clear" w:color="auto" w:fill="auto"/>
            <w:vAlign w:val="center"/>
          </w:tcPr>
          <w:p w14:paraId="28C3B4C4"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0.647</w:t>
            </w:r>
          </w:p>
        </w:tc>
        <w:tc>
          <w:tcPr>
            <w:tcW w:w="832" w:type="pct"/>
            <w:shd w:val="clear" w:color="auto" w:fill="auto"/>
            <w:vAlign w:val="center"/>
          </w:tcPr>
          <w:p w14:paraId="76FA7E2B"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&lt;0.001*</w:t>
            </w:r>
          </w:p>
        </w:tc>
      </w:tr>
      <w:tr w:rsidR="009D2E3D" w:rsidRPr="00280684" w14:paraId="1CA4D771" w14:textId="77777777" w:rsidTr="006F0285">
        <w:trPr>
          <w:cantSplit/>
          <w:jc w:val="center"/>
        </w:trPr>
        <w:tc>
          <w:tcPr>
            <w:tcW w:w="3370" w:type="pct"/>
            <w:shd w:val="clear" w:color="auto" w:fill="auto"/>
          </w:tcPr>
          <w:p w14:paraId="2F6D8EB5"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AST</w:t>
            </w:r>
          </w:p>
        </w:tc>
        <w:tc>
          <w:tcPr>
            <w:tcW w:w="798" w:type="pct"/>
            <w:shd w:val="clear" w:color="auto" w:fill="auto"/>
            <w:vAlign w:val="center"/>
          </w:tcPr>
          <w:p w14:paraId="19089106"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0.704</w:t>
            </w:r>
          </w:p>
        </w:tc>
        <w:tc>
          <w:tcPr>
            <w:tcW w:w="832" w:type="pct"/>
            <w:shd w:val="clear" w:color="auto" w:fill="auto"/>
            <w:vAlign w:val="center"/>
          </w:tcPr>
          <w:p w14:paraId="78B0406F"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&lt;0.001*</w:t>
            </w:r>
          </w:p>
        </w:tc>
      </w:tr>
      <w:tr w:rsidR="009D2E3D" w:rsidRPr="00280684" w14:paraId="44CB1D52" w14:textId="77777777" w:rsidTr="006F0285">
        <w:trPr>
          <w:cantSplit/>
          <w:jc w:val="center"/>
        </w:trPr>
        <w:tc>
          <w:tcPr>
            <w:tcW w:w="3370" w:type="pct"/>
            <w:shd w:val="clear" w:color="auto" w:fill="auto"/>
          </w:tcPr>
          <w:p w14:paraId="7AE9B9ED"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 xml:space="preserve">PT </w:t>
            </w:r>
          </w:p>
        </w:tc>
        <w:tc>
          <w:tcPr>
            <w:tcW w:w="798" w:type="pct"/>
            <w:shd w:val="clear" w:color="auto" w:fill="auto"/>
            <w:vAlign w:val="center"/>
          </w:tcPr>
          <w:p w14:paraId="738EBBEB"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-0.034</w:t>
            </w:r>
          </w:p>
        </w:tc>
        <w:tc>
          <w:tcPr>
            <w:tcW w:w="832" w:type="pct"/>
            <w:shd w:val="clear" w:color="auto" w:fill="auto"/>
            <w:vAlign w:val="center"/>
          </w:tcPr>
          <w:p w14:paraId="45CC2C45"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0.797</w:t>
            </w:r>
          </w:p>
        </w:tc>
      </w:tr>
      <w:tr w:rsidR="009D2E3D" w:rsidRPr="00280684" w14:paraId="7796535A" w14:textId="77777777" w:rsidTr="006F0285">
        <w:trPr>
          <w:cantSplit/>
          <w:jc w:val="center"/>
        </w:trPr>
        <w:tc>
          <w:tcPr>
            <w:tcW w:w="3370" w:type="pct"/>
            <w:shd w:val="clear" w:color="auto" w:fill="auto"/>
          </w:tcPr>
          <w:p w14:paraId="3F30ACDA"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INR</w:t>
            </w:r>
          </w:p>
        </w:tc>
        <w:tc>
          <w:tcPr>
            <w:tcW w:w="798" w:type="pct"/>
            <w:shd w:val="clear" w:color="auto" w:fill="auto"/>
            <w:vAlign w:val="center"/>
          </w:tcPr>
          <w:p w14:paraId="49640DC6"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-0.113</w:t>
            </w:r>
          </w:p>
        </w:tc>
        <w:tc>
          <w:tcPr>
            <w:tcW w:w="832" w:type="pct"/>
            <w:shd w:val="clear" w:color="auto" w:fill="auto"/>
            <w:vAlign w:val="center"/>
          </w:tcPr>
          <w:p w14:paraId="1E7131F5"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0.392</w:t>
            </w:r>
          </w:p>
        </w:tc>
      </w:tr>
      <w:tr w:rsidR="009D2E3D" w:rsidRPr="00280684" w14:paraId="656FE029" w14:textId="77777777" w:rsidTr="006F0285">
        <w:trPr>
          <w:cantSplit/>
          <w:jc w:val="center"/>
        </w:trPr>
        <w:tc>
          <w:tcPr>
            <w:tcW w:w="3370" w:type="pct"/>
            <w:shd w:val="clear" w:color="auto" w:fill="auto"/>
          </w:tcPr>
          <w:p w14:paraId="5D088B3F"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S. albumin</w:t>
            </w:r>
          </w:p>
        </w:tc>
        <w:tc>
          <w:tcPr>
            <w:tcW w:w="798" w:type="pct"/>
            <w:shd w:val="clear" w:color="auto" w:fill="auto"/>
            <w:vAlign w:val="center"/>
          </w:tcPr>
          <w:p w14:paraId="2BD2CAED"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-0.104</w:t>
            </w:r>
          </w:p>
        </w:tc>
        <w:tc>
          <w:tcPr>
            <w:tcW w:w="832" w:type="pct"/>
            <w:shd w:val="clear" w:color="auto" w:fill="auto"/>
            <w:vAlign w:val="center"/>
          </w:tcPr>
          <w:p w14:paraId="50BFB42C"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0.431</w:t>
            </w:r>
          </w:p>
        </w:tc>
      </w:tr>
      <w:tr w:rsidR="009D2E3D" w:rsidRPr="00280684" w14:paraId="6E3DDDE1" w14:textId="77777777" w:rsidTr="006F0285">
        <w:trPr>
          <w:cantSplit/>
          <w:jc w:val="center"/>
        </w:trPr>
        <w:tc>
          <w:tcPr>
            <w:tcW w:w="3370" w:type="pct"/>
            <w:shd w:val="clear" w:color="auto" w:fill="auto"/>
          </w:tcPr>
          <w:p w14:paraId="0FF77F7B"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T. bilirubin</w:t>
            </w:r>
          </w:p>
        </w:tc>
        <w:tc>
          <w:tcPr>
            <w:tcW w:w="798" w:type="pct"/>
            <w:shd w:val="clear" w:color="auto" w:fill="auto"/>
            <w:vAlign w:val="center"/>
          </w:tcPr>
          <w:p w14:paraId="24E24B75"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-0.185</w:t>
            </w:r>
          </w:p>
        </w:tc>
        <w:tc>
          <w:tcPr>
            <w:tcW w:w="832" w:type="pct"/>
            <w:shd w:val="clear" w:color="auto" w:fill="auto"/>
            <w:vAlign w:val="center"/>
          </w:tcPr>
          <w:p w14:paraId="18757CB5"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0.157</w:t>
            </w:r>
          </w:p>
        </w:tc>
      </w:tr>
      <w:tr w:rsidR="009D2E3D" w:rsidRPr="00280684" w14:paraId="1B39263A" w14:textId="77777777" w:rsidTr="006F0285">
        <w:trPr>
          <w:cantSplit/>
          <w:jc w:val="center"/>
        </w:trPr>
        <w:tc>
          <w:tcPr>
            <w:tcW w:w="3370" w:type="pct"/>
            <w:shd w:val="clear" w:color="auto" w:fill="auto"/>
          </w:tcPr>
          <w:p w14:paraId="5675EE6F"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SBP</w:t>
            </w:r>
          </w:p>
        </w:tc>
        <w:tc>
          <w:tcPr>
            <w:tcW w:w="798" w:type="pct"/>
            <w:shd w:val="clear" w:color="auto" w:fill="auto"/>
            <w:vAlign w:val="center"/>
          </w:tcPr>
          <w:p w14:paraId="0548EF2C"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0.191</w:t>
            </w:r>
          </w:p>
        </w:tc>
        <w:tc>
          <w:tcPr>
            <w:tcW w:w="832" w:type="pct"/>
            <w:shd w:val="clear" w:color="auto" w:fill="auto"/>
            <w:vAlign w:val="center"/>
          </w:tcPr>
          <w:p w14:paraId="5A0C0C1A"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0.143</w:t>
            </w:r>
          </w:p>
        </w:tc>
      </w:tr>
      <w:tr w:rsidR="009D2E3D" w:rsidRPr="00280684" w14:paraId="014BA80B" w14:textId="77777777" w:rsidTr="006F0285">
        <w:trPr>
          <w:cantSplit/>
          <w:jc w:val="center"/>
        </w:trPr>
        <w:tc>
          <w:tcPr>
            <w:tcW w:w="3370" w:type="pct"/>
            <w:tcBorders>
              <w:top w:val="single" w:sz="4" w:space="0" w:color="000000"/>
            </w:tcBorders>
            <w:shd w:val="clear" w:color="auto" w:fill="auto"/>
          </w:tcPr>
          <w:p w14:paraId="7A7C3E4E"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DBP</w:t>
            </w:r>
          </w:p>
        </w:tc>
        <w:tc>
          <w:tcPr>
            <w:tcW w:w="798" w:type="pct"/>
            <w:tcBorders>
              <w:top w:val="single" w:sz="4" w:space="0" w:color="000000"/>
            </w:tcBorders>
            <w:shd w:val="clear" w:color="auto" w:fill="auto"/>
            <w:vAlign w:val="center"/>
          </w:tcPr>
          <w:p w14:paraId="0B6F423B"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0.073</w:t>
            </w:r>
          </w:p>
        </w:tc>
        <w:tc>
          <w:tcPr>
            <w:tcW w:w="832" w:type="pct"/>
            <w:tcBorders>
              <w:top w:val="single" w:sz="4" w:space="0" w:color="000000"/>
            </w:tcBorders>
            <w:shd w:val="clear" w:color="auto" w:fill="auto"/>
            <w:vAlign w:val="center"/>
          </w:tcPr>
          <w:p w14:paraId="464C89B4"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0.581</w:t>
            </w:r>
          </w:p>
        </w:tc>
      </w:tr>
      <w:tr w:rsidR="009D2E3D" w:rsidRPr="00280684" w14:paraId="3E74A2F0" w14:textId="77777777" w:rsidTr="006F0285">
        <w:trPr>
          <w:cantSplit/>
          <w:jc w:val="center"/>
        </w:trPr>
        <w:tc>
          <w:tcPr>
            <w:tcW w:w="3370" w:type="pct"/>
            <w:shd w:val="clear" w:color="auto" w:fill="auto"/>
          </w:tcPr>
          <w:p w14:paraId="4E7A65D1"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Frequency of fast-food meals per week</w:t>
            </w:r>
          </w:p>
        </w:tc>
        <w:tc>
          <w:tcPr>
            <w:tcW w:w="798" w:type="pct"/>
            <w:shd w:val="clear" w:color="auto" w:fill="auto"/>
            <w:vAlign w:val="center"/>
          </w:tcPr>
          <w:p w14:paraId="48A0E921"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-0.170</w:t>
            </w:r>
          </w:p>
        </w:tc>
        <w:tc>
          <w:tcPr>
            <w:tcW w:w="832" w:type="pct"/>
            <w:shd w:val="clear" w:color="auto" w:fill="auto"/>
            <w:vAlign w:val="center"/>
          </w:tcPr>
          <w:p w14:paraId="601C7300"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0.193</w:t>
            </w:r>
          </w:p>
        </w:tc>
      </w:tr>
      <w:tr w:rsidR="009D2E3D" w:rsidRPr="00280684" w14:paraId="7239AD8E" w14:textId="77777777" w:rsidTr="006F0285">
        <w:trPr>
          <w:cantSplit/>
          <w:jc w:val="center"/>
        </w:trPr>
        <w:tc>
          <w:tcPr>
            <w:tcW w:w="3370" w:type="pct"/>
            <w:tcBorders>
              <w:bottom w:val="single" w:sz="4" w:space="0" w:color="000000"/>
            </w:tcBorders>
            <w:shd w:val="clear" w:color="auto" w:fill="auto"/>
          </w:tcPr>
          <w:p w14:paraId="1B9BA629" w14:textId="77777777" w:rsidR="009D2E3D" w:rsidRPr="00280684" w:rsidRDefault="009D2E3D" w:rsidP="005504BF">
            <w:pPr>
              <w:tabs>
                <w:tab w:val="right" w:pos="6804"/>
              </w:tabs>
              <w:autoSpaceDE w:val="0"/>
              <w:autoSpaceDN w:val="0"/>
              <w:adjustRightInd w:val="0"/>
              <w:spacing w:line="312" w:lineRule="auto"/>
              <w:ind w:left="229" w:firstLine="0"/>
              <w:rPr>
                <w:b/>
                <w:bCs/>
                <w:sz w:val="22"/>
                <w:szCs w:val="22"/>
              </w:rPr>
            </w:pPr>
            <w:r w:rsidRPr="00280684">
              <w:rPr>
                <w:b/>
                <w:bCs/>
                <w:sz w:val="22"/>
                <w:szCs w:val="22"/>
              </w:rPr>
              <w:t xml:space="preserve">Daily vegetable and fruit portion </w:t>
            </w:r>
          </w:p>
        </w:tc>
        <w:tc>
          <w:tcPr>
            <w:tcW w:w="798" w:type="pct"/>
            <w:tcBorders>
              <w:bottom w:val="single" w:sz="4" w:space="0" w:color="000000"/>
            </w:tcBorders>
            <w:shd w:val="clear" w:color="auto" w:fill="auto"/>
            <w:vAlign w:val="center"/>
          </w:tcPr>
          <w:p w14:paraId="3D42259F" w14:textId="77777777" w:rsidR="009D2E3D" w:rsidRPr="00280684" w:rsidRDefault="009D2E3D" w:rsidP="005504BF">
            <w:pPr>
              <w:spacing w:line="312" w:lineRule="auto"/>
              <w:ind w:firstLine="30"/>
              <w:jc w:val="center"/>
              <w:rPr>
                <w:color w:val="000000"/>
                <w:sz w:val="22"/>
                <w:szCs w:val="22"/>
              </w:rPr>
            </w:pPr>
            <w:r w:rsidRPr="00280684">
              <w:rPr>
                <w:color w:val="000000"/>
                <w:sz w:val="22"/>
                <w:szCs w:val="22"/>
              </w:rPr>
              <w:t>-0.011</w:t>
            </w:r>
          </w:p>
        </w:tc>
        <w:tc>
          <w:tcPr>
            <w:tcW w:w="832" w:type="pct"/>
            <w:tcBorders>
              <w:bottom w:val="single" w:sz="4" w:space="0" w:color="000000"/>
            </w:tcBorders>
            <w:shd w:val="clear" w:color="auto" w:fill="auto"/>
            <w:vAlign w:val="center"/>
          </w:tcPr>
          <w:p w14:paraId="2DAA1D7A" w14:textId="77777777" w:rsidR="009D2E3D" w:rsidRPr="00280684" w:rsidRDefault="009D2E3D" w:rsidP="006F0285">
            <w:pPr>
              <w:keepNext/>
              <w:spacing w:line="312" w:lineRule="auto"/>
              <w:ind w:firstLine="30"/>
              <w:jc w:val="center"/>
              <w:rPr>
                <w:color w:val="000000"/>
                <w:sz w:val="22"/>
                <w:szCs w:val="22"/>
              </w:rPr>
            </w:pPr>
            <w:r w:rsidRPr="00280684">
              <w:rPr>
                <w:color w:val="000000"/>
                <w:sz w:val="22"/>
                <w:szCs w:val="22"/>
              </w:rPr>
              <w:t>0.934</w:t>
            </w:r>
          </w:p>
        </w:tc>
      </w:tr>
    </w:tbl>
    <w:p w14:paraId="1F753294" w14:textId="77777777" w:rsidR="006F0285" w:rsidRPr="006F0285" w:rsidRDefault="006F0285" w:rsidP="006F0285">
      <w:pPr>
        <w:spacing w:line="360" w:lineRule="auto"/>
        <w:rPr>
          <w:b/>
          <w:bCs/>
          <w:color w:val="4F81BD" w:themeColor="accent1"/>
          <w:sz w:val="18"/>
          <w:szCs w:val="18"/>
          <w:lang w:val="en-GB"/>
        </w:rPr>
      </w:pPr>
      <w:r w:rsidRPr="006F0285">
        <w:rPr>
          <w:b/>
          <w:bCs/>
          <w:color w:val="4F81BD" w:themeColor="accent1"/>
          <w:sz w:val="18"/>
          <w:szCs w:val="18"/>
          <w:lang w:val="en-GB"/>
        </w:rPr>
        <w:t xml:space="preserve">* Significant at p-value &lt;0.05. </w:t>
      </w:r>
    </w:p>
    <w:p w14:paraId="6E221C9F" w14:textId="77777777" w:rsidR="006F0285" w:rsidRPr="006F0285" w:rsidRDefault="006F0285" w:rsidP="006F0285">
      <w:pPr>
        <w:spacing w:line="360" w:lineRule="auto"/>
        <w:rPr>
          <w:b/>
          <w:bCs/>
          <w:color w:val="4F81BD" w:themeColor="accent1"/>
          <w:sz w:val="18"/>
          <w:szCs w:val="18"/>
        </w:rPr>
      </w:pPr>
      <w:r w:rsidRPr="006F0285">
        <w:rPr>
          <w:b/>
          <w:bCs/>
          <w:color w:val="4F81BD" w:themeColor="accent1"/>
          <w:sz w:val="18"/>
          <w:szCs w:val="18"/>
          <w:lang w:val="en-GB"/>
        </w:rPr>
        <w:t>*</w:t>
      </w:r>
      <w:r w:rsidRPr="006F0285">
        <w:rPr>
          <w:b/>
          <w:bCs/>
          <w:color w:val="4F81BD" w:themeColor="accent1"/>
          <w:sz w:val="18"/>
          <w:szCs w:val="18"/>
        </w:rPr>
        <w:t>*r: coefficient of Spearman’s rank-order correlation. It indicates a direct correlation if positive (increased measurement with increased NAFLD grading) and an inverse correlation if negative (decreased measurement with increased NAFLD grading). Strength of correlation: r&lt;0.3 is weak, r&gt;0.3 and &lt;0.7 is moderate, and r&gt;0.7 is strong (regardless of the sign).</w:t>
      </w:r>
    </w:p>
    <w:p w14:paraId="458FD31F" w14:textId="77777777" w:rsidR="009C6E03" w:rsidRPr="00280684" w:rsidRDefault="009C6E03" w:rsidP="009C6E03">
      <w:pPr>
        <w:spacing w:line="360" w:lineRule="auto"/>
      </w:pPr>
    </w:p>
    <w:p w14:paraId="39A32919" w14:textId="77777777" w:rsidR="00FA28D0" w:rsidRPr="00280684" w:rsidRDefault="00FA28D0" w:rsidP="00EF6E69">
      <w:pPr>
        <w:pStyle w:val="Heading2"/>
        <w:ind w:firstLine="0"/>
      </w:pPr>
      <w:r w:rsidRPr="00280684">
        <w:t>Discussion</w:t>
      </w:r>
    </w:p>
    <w:p w14:paraId="436C7FF2" w14:textId="08FA48EE" w:rsidR="008134E5" w:rsidRPr="00280684" w:rsidRDefault="008134E5" w:rsidP="00B35F69">
      <w:pPr>
        <w:spacing w:line="360" w:lineRule="auto"/>
        <w:ind w:firstLine="562"/>
      </w:pPr>
      <w:r w:rsidRPr="00280684">
        <w:t xml:space="preserve">In the present study, no significant differences were observed between the NAFLD and control groups </w:t>
      </w:r>
      <w:r w:rsidR="00D17EC6">
        <w:t>concerning</w:t>
      </w:r>
      <w:r w:rsidRPr="00280684">
        <w:t xml:space="preserve"> age, sex, or smoking status</w:t>
      </w:r>
      <w:r w:rsidR="00FF20AC">
        <w:t xml:space="preserve"> (p=0.060, 0.464, and 0.055, respectively) nor among NAFLD subgroups. The control group showed significantly higher values regarding physical activity (p=0.039</w:t>
      </w:r>
      <w:r w:rsidR="009022DE" w:rsidRPr="00280684">
        <w:t>). To ensure good health, s</w:t>
      </w:r>
      <w:r w:rsidR="001F59AE" w:rsidRPr="00280684">
        <w:t xml:space="preserve">ome studies recommend that adults </w:t>
      </w:r>
      <w:r w:rsidR="009022DE" w:rsidRPr="00280684">
        <w:t xml:space="preserve">have </w:t>
      </w:r>
      <w:r w:rsidR="001F59AE" w:rsidRPr="00280684">
        <w:t>at least 150 to 300 minutes per week of moderate-intensity exercise, 75 to 150 minutes per week of vigorous-intensity aerobic physical activity, or a combination of both</w:t>
      </w:r>
      <w:r w:rsidR="00D17EC6">
        <w:t>.</w:t>
      </w:r>
      <w:r w:rsidR="009022DE" w:rsidRPr="00280684">
        <w:t xml:space="preserve"> </w:t>
      </w:r>
      <w:r w:rsidR="009022DE" w:rsidRPr="00280684">
        <w:fldChar w:fldCharType="begin"/>
      </w:r>
      <w:r w:rsidR="009022DE" w:rsidRPr="00280684">
        <w:instrText xml:space="preserve"> ADDIN EN.CITE &lt;EndNote&gt;&lt;Cite&gt;&lt;Author&gt;Piercy&lt;/Author&gt;&lt;Year&gt;2018&lt;/Year&gt;&lt;RecNum&gt;1029&lt;/RecNum&gt;&lt;DisplayText&gt;[21]&lt;/DisplayText&gt;&lt;record&gt;&lt;rec-number&gt;1029&lt;/rec-number&gt;&lt;foreign-keys&gt;&lt;key app="EN" db-id="eea2xtwzjdwsaxeez0o5er2bfrwv5zazp0p2" timestamp="1708469677"&gt;1029&lt;/key&gt;&lt;/foreign-keys&gt;&lt;ref-type name="Journal Article"&gt;17&lt;/ref-type&gt;&lt;contributors&gt;&lt;authors&gt;&lt;author&gt;Piercy, Katrina L&lt;/author&gt;&lt;author&gt;Troiano, Richard P&lt;/author&gt;&lt;author&gt;Ballard, Rachel M&lt;/author&gt;&lt;author&gt;Carlson, Susan A&lt;/author&gt;&lt;author&gt;Fulton, Janet E&lt;/author&gt;&lt;author&gt;Galuska, Deborah A&lt;/author&gt;&lt;author&gt;George, Stephanie M&lt;/author&gt;&lt;author&gt;Olson, Richard D&lt;/author&gt;&lt;/authors&gt;&lt;/contributors&gt;&lt;titles&gt;&lt;title&gt;The physical activity guidelines for Americans&lt;/title&gt;&lt;secondary-title&gt;Jama&lt;/secondary-title&gt;&lt;/titles&gt;&lt;periodical&gt;&lt;full-title&gt;Jama&lt;/full-title&gt;&lt;/periodical&gt;&lt;pages&gt;2020-2028&lt;/pages&gt;&lt;volume&gt;320&lt;/volume&gt;&lt;number&gt;19&lt;/number&gt;&lt;dates&gt;&lt;year&gt;2018&lt;/year&gt;&lt;/dates&gt;&lt;isbn&gt;0098-7484&lt;/isbn&gt;&lt;urls&gt;&lt;/urls&gt;&lt;/record&gt;&lt;/Cite&gt;&lt;/EndNote&gt;</w:instrText>
      </w:r>
      <w:r w:rsidR="009022DE" w:rsidRPr="00280684">
        <w:fldChar w:fldCharType="separate"/>
      </w:r>
      <w:r w:rsidR="009022DE" w:rsidRPr="00280684">
        <w:rPr>
          <w:noProof/>
        </w:rPr>
        <w:t>[</w:t>
      </w:r>
      <w:hyperlink w:anchor="_ENREF_21" w:tooltip="Piercy, 2018 #1029" w:history="1">
        <w:r w:rsidR="00B35F69" w:rsidRPr="00280684">
          <w:rPr>
            <w:noProof/>
          </w:rPr>
          <w:t>21</w:t>
        </w:r>
      </w:hyperlink>
      <w:r w:rsidR="009022DE" w:rsidRPr="00280684">
        <w:rPr>
          <w:noProof/>
        </w:rPr>
        <w:t>]</w:t>
      </w:r>
      <w:r w:rsidR="009022DE" w:rsidRPr="00280684">
        <w:fldChar w:fldCharType="end"/>
      </w:r>
      <w:r w:rsidR="00D17EC6">
        <w:t>The frequency of fast-food meals was statistically significantly higher in the NAFLD group</w:t>
      </w:r>
      <w:r w:rsidR="007866E5">
        <w:t>. At the same time,</w:t>
      </w:r>
      <w:r w:rsidR="00D17EC6">
        <w:t xml:space="preserve"> the daily vegetable and fruit portion per week was statistically lower in the NAFLD group compared to the control. This was evaluated by asking about the daily intake of portions of vegetables and fruit per day and the </w:t>
      </w:r>
      <w:r w:rsidRPr="00280684">
        <w:t>frequency of fast-food meals per week for each group.</w:t>
      </w:r>
    </w:p>
    <w:p w14:paraId="347534EA" w14:textId="4E9B6498" w:rsidR="008134E5" w:rsidRPr="00280684" w:rsidRDefault="00D17EC6" w:rsidP="00B35F69">
      <w:pPr>
        <w:spacing w:line="360" w:lineRule="auto"/>
        <w:ind w:firstLine="540"/>
        <w:rPr>
          <w:vertAlign w:val="superscript"/>
        </w:rPr>
      </w:pPr>
      <w:r>
        <w:t>The most common clinical symptoms in the patient group were heartburn (76.7%), epigastric pain (75.0%),</w:t>
      </w:r>
      <w:r w:rsidR="001958FB" w:rsidRPr="00280684">
        <w:t xml:space="preserve"> and reflux (70.0%). </w:t>
      </w:r>
      <w:proofErr w:type="spellStart"/>
      <w:r w:rsidR="008134E5" w:rsidRPr="00280684">
        <w:rPr>
          <w:b/>
          <w:bCs/>
          <w:i/>
          <w:iCs/>
        </w:rPr>
        <w:t>Werdmuller</w:t>
      </w:r>
      <w:proofErr w:type="spellEnd"/>
      <w:r w:rsidR="008134E5" w:rsidRPr="00280684">
        <w:rPr>
          <w:b/>
          <w:bCs/>
          <w:i/>
          <w:iCs/>
        </w:rPr>
        <w:t xml:space="preserve"> et al.</w:t>
      </w:r>
      <w:r w:rsidR="001F59AE" w:rsidRPr="00280684">
        <w:rPr>
          <w:b/>
          <w:bCs/>
          <w:i/>
          <w:iCs/>
        </w:rPr>
        <w:t xml:space="preserve"> </w:t>
      </w:r>
      <w:r w:rsidR="008134E5" w:rsidRPr="00280684">
        <w:fldChar w:fldCharType="begin"/>
      </w:r>
      <w:r w:rsidR="00D64F11" w:rsidRPr="00280684">
        <w:instrText xml:space="preserve"> ADDIN EN.CITE &lt;EndNote&gt;&lt;Cite&gt;&lt;Author&gt;Werdmuller&lt;/Author&gt;&lt;Year&gt;2000&lt;/Year&gt;&lt;RecNum&gt;2451&lt;/RecNum&gt;&lt;DisplayText&gt;[22]&lt;/DisplayText&gt;&lt;record&gt;&lt;rec-number&gt;2451&lt;/rec-number&gt;&lt;foreign-keys&gt;&lt;key app="EN" db-id="ftdeprx0ptvtxbefrrl5r9xrvps9d9vrpaat"&gt;2451&lt;/key&gt;&lt;/foreign-keys&gt;&lt;ref-type name="Journal Article"&gt;17&lt;/ref-type&gt;&lt;contributors&gt;&lt;authors&gt;&lt;author&gt;Werdmuller, Bibi Fm&lt;/author&gt;&lt;author&gt;Putten, Toon Bmm Van Der&lt;/author&gt;&lt;author&gt;Balk, Ton G&lt;/author&gt;&lt;author&gt;Lamers, Cornelius Bhw&lt;/author&gt;&lt;author&gt;Loffeld, Ruud Jlf&lt;/author&gt;&lt;/authors&gt;&lt;/contributors&gt;&lt;titles&gt;&lt;title&gt;Clinical presentation of Helicobacter pylori</w:instrText>
      </w:r>
      <w:r w:rsidR="00D64F11" w:rsidRPr="00280684">
        <w:rPr>
          <w:rFonts w:ascii="Cambria Math" w:hAnsi="Cambria Math" w:cs="Cambria Math"/>
        </w:rPr>
        <w:instrText>‐</w:instrText>
      </w:r>
      <w:r w:rsidR="00D64F11" w:rsidRPr="00280684">
        <w:instrText>positive and</w:instrText>
      </w:r>
      <w:r w:rsidR="00D64F11" w:rsidRPr="00280684">
        <w:rPr>
          <w:rFonts w:ascii="Cambria Math" w:hAnsi="Cambria Math" w:cs="Cambria Math"/>
        </w:rPr>
        <w:instrText>‐</w:instrText>
      </w:r>
      <w:r w:rsidR="00D64F11" w:rsidRPr="00280684">
        <w:instrText>negative functional dyspepsia&lt;/title&gt;&lt;secondary-title&gt;Journal of gastroenterology and hepatology&lt;/secondary-title&gt;&lt;/titles&gt;&lt;periodical&gt;&lt;full-title&gt;J Gastroenterol Hepatol&lt;/full-title&gt;&lt;abbr-1&gt;Journal of gastroenterology and hepatology&lt;/abbr-1&gt;&lt;/periodical&gt;&lt;pages&gt;498-502&lt;/pages&gt;&lt;volume&gt;15&lt;/volume&gt;&lt;number&gt;5&lt;/number&gt;&lt;dates&gt;&lt;year&gt;2000&lt;/year&gt;&lt;/dates&gt;&lt;isbn&gt;0815-9319&lt;/isbn&gt;&lt;urls&gt;&lt;/urls&gt;&lt;/record&gt;&lt;/Cite&gt;&lt;/EndNote&gt;</w:instrText>
      </w:r>
      <w:r w:rsidR="008134E5" w:rsidRPr="00280684">
        <w:fldChar w:fldCharType="separate"/>
      </w:r>
      <w:r w:rsidR="00D64F11" w:rsidRPr="00280684">
        <w:rPr>
          <w:noProof/>
        </w:rPr>
        <w:t>[</w:t>
      </w:r>
      <w:hyperlink w:anchor="_ENREF_22" w:tooltip="Werdmuller, 2000 #2451" w:history="1">
        <w:r w:rsidR="00B35F69" w:rsidRPr="00280684">
          <w:rPr>
            <w:noProof/>
          </w:rPr>
          <w:t>22</w:t>
        </w:r>
      </w:hyperlink>
      <w:r w:rsidR="00D64F11" w:rsidRPr="00280684">
        <w:rPr>
          <w:noProof/>
        </w:rPr>
        <w:t>]</w:t>
      </w:r>
      <w:r w:rsidR="008134E5" w:rsidRPr="00280684">
        <w:fldChar w:fldCharType="end"/>
      </w:r>
      <w:r w:rsidR="008134E5" w:rsidRPr="00280684">
        <w:t xml:space="preserve"> </w:t>
      </w:r>
      <w:proofErr w:type="spellStart"/>
      <w:r>
        <w:t>Almobarak</w:t>
      </w:r>
      <w:proofErr w:type="spellEnd"/>
      <w:r>
        <w:t xml:space="preserve"> et al. found similar results concerning gastrointestinal symptoms in H. pylori patients. Our study found a positive correlation between higher BMI, WHR, and the incidence of NAFLD</w:t>
      </w:r>
      <w:r w:rsidR="008134E5" w:rsidRPr="00280684">
        <w:rPr>
          <w:b/>
          <w:bCs/>
          <w:i/>
          <w:iCs/>
        </w:rPr>
        <w:t>.</w:t>
      </w:r>
      <w:r w:rsidR="001958FB" w:rsidRPr="00280684">
        <w:rPr>
          <w:b/>
          <w:bCs/>
          <w:i/>
          <w:iCs/>
        </w:rPr>
        <w:t xml:space="preserve"> </w:t>
      </w:r>
      <w:r w:rsidR="001958FB" w:rsidRPr="00280684">
        <w:fldChar w:fldCharType="begin"/>
      </w:r>
      <w:r w:rsidR="001958FB" w:rsidRPr="00280684">
        <w:instrText xml:space="preserve"> ADDIN EN.CITE &lt;EndNote&gt;&lt;Cite&gt;&lt;Author&gt;Almobarak&lt;/Author&gt;&lt;Year&gt;2014&lt;/Year&gt;&lt;RecNum&gt;1834&lt;/RecNum&gt;&lt;DisplayText&gt;[23]&lt;/DisplayText&gt;&lt;record&gt;&lt;rec-number&gt;1834&lt;/rec-number&gt;&lt;foreign-keys&gt;&lt;key app="EN" db-id="ftdeprx0ptvtxbefrrl5r9xrvps9d9vrpaat"&gt;1834&lt;/key&gt;&lt;/foreign-keys&gt;&lt;ref-type name="Journal Article"&gt;17&lt;/ref-type&gt;&lt;contributors&gt;&lt;authors&gt;&lt;author&gt;Almobarak, Ahmed O&lt;/author&gt;&lt;author&gt;Barakat, Salma&lt;/author&gt;&lt;author&gt;Khalifa, Mai H&lt;/author&gt;&lt;author&gt;Elhoweris, Mohamed H&lt;/author&gt;&lt;author&gt;Elhassan, Tayseer M&lt;/author&gt;&lt;author&gt;Ahmed, Mohamed H&lt;/author&gt;&lt;/authors&gt;&lt;/contributors&gt;&lt;titles&gt;&lt;title&gt;Non alcoholic fatty liver disease (NAFLD) in a Sudanese population: What is the prevalence and risk factors?&lt;/title&gt;&lt;secondary-title&gt;Arab journal of gastroenterology&lt;/secondary-title&gt;&lt;/titles&gt;&lt;periodical&gt;&lt;full-title&gt;Arab journal of gastroenterology&lt;/full-title&gt;&lt;/periodical&gt;&lt;pages&gt;12-15&lt;/pages&gt;&lt;volume&gt;15&lt;/volume&gt;&lt;number&gt;1&lt;/number&gt;&lt;dates&gt;&lt;year&gt;2014&lt;/year&gt;&lt;/dates&gt;&lt;isbn&gt;1687-1979&lt;/isbn&gt;&lt;urls&gt;&lt;/urls&gt;&lt;/record&gt;&lt;/Cite&gt;&lt;/EndNote&gt;</w:instrText>
      </w:r>
      <w:r w:rsidR="001958FB" w:rsidRPr="00280684">
        <w:fldChar w:fldCharType="separate"/>
      </w:r>
      <w:r w:rsidR="001958FB" w:rsidRPr="00280684">
        <w:rPr>
          <w:noProof/>
        </w:rPr>
        <w:t>[</w:t>
      </w:r>
      <w:hyperlink w:anchor="_ENREF_23" w:tooltip="Almobarak, 2014 #1834" w:history="1">
        <w:r w:rsidR="00B35F69" w:rsidRPr="00280684">
          <w:rPr>
            <w:noProof/>
          </w:rPr>
          <w:t>23</w:t>
        </w:r>
      </w:hyperlink>
      <w:r w:rsidR="001958FB" w:rsidRPr="00280684">
        <w:rPr>
          <w:noProof/>
        </w:rPr>
        <w:t>]</w:t>
      </w:r>
      <w:r w:rsidR="001958FB" w:rsidRPr="00280684">
        <w:fldChar w:fldCharType="end"/>
      </w:r>
      <w:proofErr w:type="spellStart"/>
      <w:r>
        <w:rPr>
          <w:b/>
          <w:bCs/>
          <w:i/>
          <w:iCs/>
        </w:rPr>
        <w:t>Okushin</w:t>
      </w:r>
      <w:proofErr w:type="spellEnd"/>
      <w:r>
        <w:rPr>
          <w:b/>
          <w:bCs/>
          <w:i/>
          <w:iCs/>
        </w:rPr>
        <w:t xml:space="preserve"> et al. </w:t>
      </w:r>
      <w:r w:rsidRPr="008B3FC3">
        <w:t xml:space="preserve">found that BMI is linked to NAFLD, with a significant </w:t>
      </w:r>
      <w:r w:rsidR="002060F1" w:rsidRPr="008B3FC3">
        <w:t>relationship</w:t>
      </w:r>
      <w:r>
        <w:rPr>
          <w:b/>
          <w:bCs/>
          <w:i/>
          <w:iCs/>
        </w:rPr>
        <w:t xml:space="preserve"> (p= 0.05)</w:t>
      </w:r>
      <w:r w:rsidR="008134E5" w:rsidRPr="00280684">
        <w:rPr>
          <w:b/>
          <w:bCs/>
          <w:i/>
          <w:iCs/>
        </w:rPr>
        <w:t>.</w:t>
      </w:r>
      <w:r w:rsidR="001F59AE" w:rsidRPr="00280684">
        <w:rPr>
          <w:b/>
          <w:bCs/>
          <w:i/>
          <w:iCs/>
        </w:rPr>
        <w:t xml:space="preserve"> </w:t>
      </w:r>
      <w:r w:rsidR="008134E5" w:rsidRPr="00280684">
        <w:fldChar w:fldCharType="begin"/>
      </w:r>
      <w:r w:rsidR="00D64F11" w:rsidRPr="00280684">
        <w:instrText xml:space="preserve"> ADDIN EN.CITE &lt;EndNote&gt;&lt;Cite&gt;&lt;Author&gt;Okushin&lt;/Author&gt;&lt;Year&gt;2015&lt;/Year&gt;&lt;RecNum&gt;1835&lt;/RecNum&gt;&lt;DisplayText&gt;[24]&lt;/DisplayText&gt;&lt;record&gt;&lt;rec-number&gt;1835&lt;/rec-number&gt;&lt;foreign-keys&gt;&lt;key app="EN" db-id="ftdeprx0ptvtxbefrrl5r9xrvps9d9vrpaat"&gt;1835&lt;/key&gt;&lt;/foreign-keys&gt;&lt;ref-type name="Journal Article"&gt;17&lt;/ref-type&gt;&lt;contributors&gt;&lt;authors&gt;&lt;author&gt;Okushin, Kazuya&lt;/author&gt;&lt;author&gt;Takahashi, Yu&lt;/author&gt;&lt;author&gt;Yamamichi, Nobutake&lt;/author&gt;&lt;author&gt;Shimamoto, Takeshi&lt;/author&gt;&lt;author&gt;Enooku, Kenichiro&lt;/author&gt;&lt;author&gt;Fujinaga, Hidetaka&lt;/author&gt;&lt;author&gt;Tsutsumi, Takeya&lt;/author&gt;&lt;author&gt;Shintani, Yoshizumi&lt;/author&gt;&lt;author&gt;Sakaguchi, Yoshiki&lt;/author&gt;&lt;author&gt;Ono, Satoshi&lt;/author&gt;&lt;/authors&gt;&lt;/contributors&gt;&lt;titles&gt;&lt;title&gt;Helicobacter pylori infection is not associated with fatty liver disease including non-alcoholic fatty liver disease: a large-scale cross-sectional study in Japan&lt;/title&gt;&lt;secondary-title&gt;BMC gastroenterology&lt;/secondary-title&gt;&lt;/titles&gt;&lt;periodical&gt;&lt;full-title&gt;BMC gastroenterology&lt;/full-title&gt;&lt;/periodical&gt;&lt;pages&gt;1-10&lt;/pages&gt;&lt;volume&gt;15&lt;/volume&gt;&lt;number&gt;1&lt;/number&gt;&lt;dates&gt;&lt;year&gt;2015&lt;/year&gt;&lt;/dates&gt;&lt;isbn&gt;1471-230X&lt;/isbn&gt;&lt;urls&gt;&lt;/urls&gt;&lt;/record&gt;&lt;/Cite&gt;&lt;/EndNote&gt;</w:instrText>
      </w:r>
      <w:r w:rsidR="008134E5" w:rsidRPr="00280684">
        <w:fldChar w:fldCharType="separate"/>
      </w:r>
      <w:r w:rsidR="00D64F11" w:rsidRPr="00280684">
        <w:rPr>
          <w:noProof/>
        </w:rPr>
        <w:t>[</w:t>
      </w:r>
      <w:hyperlink w:anchor="_ENREF_24" w:tooltip="Okushin, 2015 #1835" w:history="1">
        <w:r w:rsidR="00B35F69" w:rsidRPr="00280684">
          <w:rPr>
            <w:noProof/>
          </w:rPr>
          <w:t>24</w:t>
        </w:r>
      </w:hyperlink>
      <w:r w:rsidR="00D64F11" w:rsidRPr="00280684">
        <w:rPr>
          <w:noProof/>
        </w:rPr>
        <w:t>]</w:t>
      </w:r>
      <w:r w:rsidR="008134E5" w:rsidRPr="00280684">
        <w:fldChar w:fldCharType="end"/>
      </w:r>
      <w:r w:rsidR="008134E5" w:rsidRPr="00280684">
        <w:t xml:space="preserve"> </w:t>
      </w:r>
      <w:r>
        <w:t>They concluded</w:t>
      </w:r>
      <w:r w:rsidR="008134E5" w:rsidRPr="00280684">
        <w:t xml:space="preserve"> that BMI was linked to NAFLD</w:t>
      </w:r>
      <w:r w:rsidR="001958FB" w:rsidRPr="00280684">
        <w:t xml:space="preserve"> (their study included 13,737 participants)</w:t>
      </w:r>
      <w:r w:rsidR="008134E5" w:rsidRPr="00280684">
        <w:t>.</w:t>
      </w:r>
      <w:r w:rsidR="008134E5" w:rsidRPr="00280684">
        <w:rPr>
          <w:vertAlign w:val="superscript"/>
        </w:rPr>
        <w:t xml:space="preserve"> </w:t>
      </w:r>
    </w:p>
    <w:p w14:paraId="0F7BD239" w14:textId="2861E4EC" w:rsidR="002B2755" w:rsidRPr="00280684" w:rsidRDefault="001F59AE" w:rsidP="00B35F69">
      <w:pPr>
        <w:spacing w:line="360" w:lineRule="auto"/>
        <w:ind w:firstLine="562"/>
        <w:rPr>
          <w:vertAlign w:val="superscript"/>
        </w:rPr>
      </w:pPr>
      <w:r w:rsidRPr="00280684">
        <w:t xml:space="preserve">The NAFLD group exhibited higher mean SBP and DBP </w:t>
      </w:r>
      <w:r w:rsidR="00D17EC6">
        <w:t>than</w:t>
      </w:r>
      <w:r w:rsidRPr="00280684">
        <w:t xml:space="preserve"> the control group. Additionally, there was a notable discrepancy between NAFLD subgroups in terms of hypertension (HTN) prevalence, with an increasing incidence correlating with higher NAFLD grading. These results are consistent with those reported in a study conducted by </w:t>
      </w:r>
      <w:proofErr w:type="spellStart"/>
      <w:r w:rsidRPr="00280684">
        <w:rPr>
          <w:b/>
          <w:bCs/>
          <w:i/>
          <w:iCs/>
        </w:rPr>
        <w:t>Pardhe</w:t>
      </w:r>
      <w:proofErr w:type="spellEnd"/>
      <w:r w:rsidRPr="00280684">
        <w:rPr>
          <w:b/>
          <w:bCs/>
          <w:i/>
          <w:iCs/>
        </w:rPr>
        <w:t xml:space="preserve"> et al.</w:t>
      </w:r>
      <w:r w:rsidRPr="00280684">
        <w:t xml:space="preserve"> </w:t>
      </w:r>
      <w:r w:rsidR="00DE37B0" w:rsidRPr="00280684">
        <w:fldChar w:fldCharType="begin"/>
      </w:r>
      <w:r w:rsidR="00DE37B0" w:rsidRPr="00280684">
        <w:instrText xml:space="preserve"> ADDIN EN.CITE &lt;EndNote&gt;&lt;Cite&gt;&lt;Author&gt;Pardhe&lt;/Author&gt;&lt;Year&gt;2018&lt;/Year&gt;&lt;RecNum&gt;2478&lt;/RecNum&gt;&lt;DisplayText&gt;[25]&lt;/DisplayText&gt;&lt;record&gt;&lt;rec-number&gt;2478&lt;/rec-number&gt;&lt;foreign-keys&gt;&lt;key app="EN" db-id="ftdeprx0ptvtxbefrrl5r9xrvps9d9vrpaat"&gt;2478&lt;/key&gt;&lt;/foreign-keys&gt;&lt;ref-type name="Journal Article"&gt;17&lt;/ref-type&gt;&lt;contributors&gt;&lt;authors&gt;&lt;author&gt;Pardhe, Bashu Dev&lt;/author&gt;&lt;author&gt;Shakya, Shreena&lt;/author&gt;&lt;author&gt;Bhetwal, Anjeela&lt;/author&gt;&lt;author&gt;Mathias, Jennifer&lt;/author&gt;&lt;author&gt;Khanal, Puspa Raj&lt;/author&gt;&lt;author&gt;Pandit, Roshan&lt;/author&gt;&lt;author&gt;Shakya, Jyotsna&lt;/author&gt;&lt;author&gt;Joshi, Hari Om&lt;/author&gt;&lt;author&gt;Marahatta, Sujan Babu&lt;/author&gt;&lt;/authors&gt;&lt;/contributors&gt;&lt;titles&gt;&lt;title&gt;Metabolic syndrome and biochemical changes among non-alcoholic fatty liver disease patients attending a tertiary care hospital of Nepal&lt;/title&gt;&lt;secondary-title&gt;BMC gastroenterology&lt;/secondary-title&gt;&lt;/titles&gt;&lt;periodical&gt;&lt;full-title&gt;BMC gastroenterology&lt;/full-title&gt;&lt;/periodical&gt;&lt;pages&gt;1-8&lt;/pages&gt;&lt;volume&gt;18&lt;/volume&gt;&lt;dates&gt;&lt;year&gt;2018&lt;/year&gt;&lt;/dates&gt;&lt;urls&gt;&lt;/urls&gt;&lt;/record&gt;&lt;/Cite&gt;&lt;/EndNote&gt;</w:instrText>
      </w:r>
      <w:r w:rsidR="00DE37B0" w:rsidRPr="00280684">
        <w:fldChar w:fldCharType="separate"/>
      </w:r>
      <w:r w:rsidR="00DE37B0" w:rsidRPr="00280684">
        <w:rPr>
          <w:noProof/>
        </w:rPr>
        <w:t>[</w:t>
      </w:r>
      <w:hyperlink w:anchor="_ENREF_25" w:tooltip="Pardhe, 2018 #2478" w:history="1">
        <w:r w:rsidR="00B35F69" w:rsidRPr="00280684">
          <w:rPr>
            <w:noProof/>
          </w:rPr>
          <w:t>25</w:t>
        </w:r>
      </w:hyperlink>
      <w:r w:rsidR="00DE37B0" w:rsidRPr="00280684">
        <w:rPr>
          <w:noProof/>
        </w:rPr>
        <w:t>]</w:t>
      </w:r>
      <w:r w:rsidR="00DE37B0" w:rsidRPr="00280684">
        <w:fldChar w:fldCharType="end"/>
      </w:r>
      <w:r w:rsidR="007866E5">
        <w:t>.</w:t>
      </w:r>
      <w:r w:rsidRPr="00280684">
        <w:t xml:space="preserve"> Our study revealed a significant difference between the NAFLD and control groups </w:t>
      </w:r>
      <w:r w:rsidR="00D17EC6">
        <w:t>regarding</w:t>
      </w:r>
      <w:r w:rsidRPr="00280684">
        <w:t xml:space="preserve"> HbA</w:t>
      </w:r>
      <w:r w:rsidRPr="00280684">
        <w:rPr>
          <w:vertAlign w:val="subscript"/>
        </w:rPr>
        <w:t>1c</w:t>
      </w:r>
      <w:r w:rsidRPr="00280684">
        <w:t xml:space="preserve"> and </w:t>
      </w:r>
      <w:r w:rsidR="00296190" w:rsidRPr="00280684">
        <w:t>FBG</w:t>
      </w:r>
      <w:r w:rsidRPr="00280684">
        <w:t xml:space="preserve"> levels. While HOMA-IR and fasting insulin values were elevated in NAFLD patients compared to controls, this disparity did not reach statistical significance. </w:t>
      </w:r>
      <w:r w:rsidR="00D17EC6">
        <w:t>Other studies corroborated the observation of elevated HbA1c among NAFLD patients without diabetes mellitus.</w:t>
      </w:r>
      <w:r w:rsidR="00296190" w:rsidRPr="00280684">
        <w:t xml:space="preserve"> </w:t>
      </w:r>
      <w:r w:rsidR="008134E5" w:rsidRPr="00280684">
        <w:fldChar w:fldCharType="begin"/>
      </w:r>
      <w:r w:rsidR="00DE37B0" w:rsidRPr="00280684">
        <w:instrText xml:space="preserve"> ADDIN EN.CITE &lt;EndNote&gt;&lt;Cite&gt;&lt;Author&gt;Baeg&lt;/Author&gt;&lt;Year&gt;2016&lt;/Year&gt;&lt;RecNum&gt;1843&lt;/RecNum&gt;&lt;DisplayText&gt;[26]&lt;/DisplayText&gt;&lt;record&gt;&lt;rec-number&gt;1843&lt;/rec-number&gt;&lt;foreign-keys&gt;&lt;key app="EN" db-id="ftdeprx0ptvtxbefrrl5r9xrvps9d9vrpaat"&gt;1843&lt;/key&gt;&lt;/foreign-keys&gt;&lt;ref-type name="Journal Article"&gt;17&lt;/ref-type&gt;&lt;contributors&gt;&lt;authors&gt;&lt;author&gt;Baeg, Myong Ki&lt;/author&gt;&lt;author&gt;Yoon, Seung Kew&lt;/author&gt;&lt;author&gt;Ko, Sun-Hye&lt;/author&gt;&lt;author&gt;Noh, Yong-Sun&lt;/author&gt;&lt;author&gt;Lee, In-Seok&lt;/author&gt;&lt;author&gt;Choi, Myung-Gyu&lt;/author&gt;&lt;/authors&gt;&lt;/contributors&gt;&lt;titles&gt;&lt;title&gt;Helicobacter pylori infection is not associated with nonalcoholic fatty liver disease&lt;/title&gt;&lt;secondary-title&gt;World journal of gastroenterology&lt;/secondary-title&gt;&lt;/titles&gt;&lt;periodical&gt;&lt;full-title&gt;World journal of gastroenterology&lt;/full-title&gt;&lt;abbr-1&gt;World J Gastroenterol&lt;/abbr-1&gt;&lt;/periodical&gt;&lt;pages&gt;2592&lt;/pages&gt;&lt;volume&gt;22&lt;/volume&gt;&lt;number&gt;8&lt;/number&gt;&lt;dates&gt;&lt;year&gt;2016&lt;/year&gt;&lt;/dates&gt;&lt;urls&gt;&lt;/urls&gt;&lt;/record&gt;&lt;/Cite&gt;&lt;/EndNote&gt;</w:instrText>
      </w:r>
      <w:r w:rsidR="008134E5" w:rsidRPr="00280684">
        <w:fldChar w:fldCharType="separate"/>
      </w:r>
      <w:r w:rsidR="00DE37B0" w:rsidRPr="00280684">
        <w:rPr>
          <w:noProof/>
        </w:rPr>
        <w:t>[</w:t>
      </w:r>
      <w:hyperlink w:anchor="_ENREF_26" w:tooltip="Baeg, 2016 #1843" w:history="1">
        <w:r w:rsidR="00B35F69" w:rsidRPr="00280684">
          <w:rPr>
            <w:noProof/>
          </w:rPr>
          <w:t>26</w:t>
        </w:r>
      </w:hyperlink>
      <w:r w:rsidR="00DE37B0" w:rsidRPr="00280684">
        <w:rPr>
          <w:noProof/>
        </w:rPr>
        <w:t>]</w:t>
      </w:r>
      <w:r w:rsidR="008134E5" w:rsidRPr="00280684">
        <w:fldChar w:fldCharType="end"/>
      </w:r>
      <w:r w:rsidR="00296190" w:rsidRPr="00280684">
        <w:t>.</w:t>
      </w:r>
      <w:r w:rsidR="008134E5" w:rsidRPr="00280684">
        <w:rPr>
          <w:vertAlign w:val="superscript"/>
        </w:rPr>
        <w:t xml:space="preserve"> </w:t>
      </w:r>
    </w:p>
    <w:p w14:paraId="1C3C86B0" w14:textId="41EB6A98" w:rsidR="002B2755" w:rsidRPr="00280684" w:rsidRDefault="001F59AE" w:rsidP="00B35F69">
      <w:pPr>
        <w:spacing w:line="360" w:lineRule="auto"/>
        <w:ind w:firstLine="562"/>
        <w:rPr>
          <w:color w:val="000000" w:themeColor="text1"/>
        </w:rPr>
      </w:pPr>
      <w:r w:rsidRPr="00280684">
        <w:rPr>
          <w:b/>
          <w:bCs/>
          <w:i/>
          <w:iCs/>
        </w:rPr>
        <w:t>Tanaka et al.</w:t>
      </w:r>
      <w:r w:rsidR="00296190" w:rsidRPr="00280684">
        <w:rPr>
          <w:b/>
          <w:bCs/>
          <w:i/>
          <w:iCs/>
        </w:rPr>
        <w:t xml:space="preserve"> </w:t>
      </w:r>
      <w:r w:rsidR="00DE37B0" w:rsidRPr="00280684">
        <w:fldChar w:fldCharType="begin"/>
      </w:r>
      <w:r w:rsidR="00DE37B0" w:rsidRPr="00280684">
        <w:instrText xml:space="preserve"> ADDIN EN.CITE &lt;EndNote&gt;&lt;Cite&gt;&lt;Author&gt;Tanaka&lt;/Author&gt;&lt;Year&gt;2019&lt;/Year&gt;&lt;RecNum&gt;2479&lt;/RecNum&gt;&lt;DisplayText&gt;[27]&lt;/DisplayText&gt;&lt;record&gt;&lt;rec-number&gt;2479&lt;/rec-number&gt;&lt;foreign-keys&gt;&lt;key app="EN" db-id="ftdeprx0ptvtxbefrrl5r9xrvps9d9vrpaat"&gt;2479&lt;/key&gt;&lt;/foreign-keys&gt;&lt;ref-type name="Journal Article"&gt;17&lt;/ref-type&gt;&lt;contributors&gt;&lt;authors&gt;&lt;author&gt;Tanaka, Kenichi&lt;/author&gt;&lt;author&gt;Takahashi, Hirokazu&lt;/author&gt;&lt;author&gt;Hyogo, Hideyuki&lt;/author&gt;&lt;author&gt;Ono, Masafumi&lt;/author&gt;&lt;author&gt;Oza, Noriko&lt;/author&gt;&lt;author&gt;Kitajima, Yoichiro&lt;/author&gt;&lt;author&gt;Kawanaka, Miwa&lt;/author&gt;&lt;author&gt;Chayama, Kazuaki&lt;/author&gt;&lt;author&gt;Saibara, Toshiji&lt;/author&gt;&lt;author&gt;Anzai, Keizo&lt;/author&gt;&lt;/authors&gt;&lt;/contributors&gt;&lt;titles&gt;&lt;title&gt;Epidemiological survey of hemoglobin A1c and liver fibrosis in a general population with non</w:instrText>
      </w:r>
      <w:r w:rsidR="00DE37B0" w:rsidRPr="00280684">
        <w:rPr>
          <w:rFonts w:ascii="Cambria Math" w:hAnsi="Cambria Math" w:cs="Cambria Math"/>
        </w:rPr>
        <w:instrText>‐</w:instrText>
      </w:r>
      <w:r w:rsidR="00DE37B0" w:rsidRPr="00280684">
        <w:instrText>alcoholic fatty liver disease&lt;/title&gt;&lt;secondary-title&gt;Hepatology Research&lt;/secondary-title&gt;&lt;/titles&gt;&lt;periodical&gt;&lt;full-title&gt;Hepatology Research&lt;/full-title&gt;&lt;/periodical&gt;&lt;pages&gt;296-303&lt;/pages&gt;&lt;volume&gt;49&lt;/volume&gt;&lt;number&gt;3&lt;/number&gt;&lt;dates&gt;&lt;year&gt;2019&lt;/year&gt;&lt;/dates&gt;&lt;isbn&gt;1386-6346&lt;/isbn&gt;&lt;urls&gt;&lt;/urls&gt;&lt;/record&gt;&lt;/Cite&gt;&lt;/EndNote&gt;</w:instrText>
      </w:r>
      <w:r w:rsidR="00DE37B0" w:rsidRPr="00280684">
        <w:fldChar w:fldCharType="separate"/>
      </w:r>
      <w:r w:rsidR="00DE37B0" w:rsidRPr="00280684">
        <w:rPr>
          <w:noProof/>
        </w:rPr>
        <w:t>[</w:t>
      </w:r>
      <w:hyperlink w:anchor="_ENREF_27" w:tooltip="Tanaka, 2019 #2479" w:history="1">
        <w:r w:rsidR="00B35F69" w:rsidRPr="00280684">
          <w:rPr>
            <w:noProof/>
          </w:rPr>
          <w:t>27</w:t>
        </w:r>
      </w:hyperlink>
      <w:r w:rsidR="00DE37B0" w:rsidRPr="00280684">
        <w:rPr>
          <w:noProof/>
        </w:rPr>
        <w:t>]</w:t>
      </w:r>
      <w:r w:rsidR="00DE37B0" w:rsidRPr="00280684">
        <w:fldChar w:fldCharType="end"/>
      </w:r>
      <w:r w:rsidRPr="00280684">
        <w:t xml:space="preserve"> illustrated that the prevalence of NAFLD rose with glycemia, reaching an HbA</w:t>
      </w:r>
      <w:r w:rsidRPr="00280684">
        <w:rPr>
          <w:vertAlign w:val="subscript"/>
        </w:rPr>
        <w:t xml:space="preserve">1c </w:t>
      </w:r>
      <w:r w:rsidRPr="00280684">
        <w:t>level of 8.0%. However</w:t>
      </w:r>
      <w:r w:rsidR="00D17EC6">
        <w:t xml:space="preserve">, </w:t>
      </w:r>
      <w:r w:rsidR="007866E5">
        <w:t>our study observed no significant difference between the two groups concerning insulin levels and HOMA-IR</w:t>
      </w:r>
      <w:r w:rsidRPr="00280684">
        <w:t xml:space="preserve">. </w:t>
      </w:r>
      <w:r w:rsidR="008134E5" w:rsidRPr="00280684">
        <w:t xml:space="preserve">In contrast, </w:t>
      </w:r>
      <w:r w:rsidRPr="00280684">
        <w:t xml:space="preserve">in </w:t>
      </w:r>
      <w:r w:rsidR="00476353">
        <w:t>their</w:t>
      </w:r>
      <w:r w:rsidRPr="00280684">
        <w:t xml:space="preserve"> </w:t>
      </w:r>
      <w:r w:rsidR="00D17EC6">
        <w:t>research</w:t>
      </w:r>
      <w:r w:rsidRPr="00280684">
        <w:t xml:space="preserve">, </w:t>
      </w:r>
      <w:r w:rsidRPr="00280684">
        <w:rPr>
          <w:b/>
          <w:bCs/>
          <w:i/>
          <w:iCs/>
        </w:rPr>
        <w:t>Novakovic et al.</w:t>
      </w:r>
      <w:r w:rsidRPr="00280684">
        <w:t xml:space="preserve"> </w:t>
      </w:r>
      <w:r w:rsidR="00DE37B0" w:rsidRPr="00280684">
        <w:fldChar w:fldCharType="begin"/>
      </w:r>
      <w:r w:rsidR="00DE37B0" w:rsidRPr="00280684">
        <w:instrText xml:space="preserve"> ADDIN EN.CITE &lt;EndNote&gt;&lt;Cite&gt;&lt;Author&gt;Novakovic&lt;/Author&gt;&lt;Year&gt;2014&lt;/Year&gt;&lt;RecNum&gt;2480&lt;/RecNum&gt;&lt;DisplayText&gt;[28]&lt;/DisplayText&gt;&lt;record&gt;&lt;rec-number&gt;2480&lt;/rec-number&gt;&lt;foreign-keys&gt;&lt;key app="EN" db-id="ftdeprx0ptvtxbefrrl5r9xrvps9d9vrpaat"&gt;2480&lt;/key&gt;&lt;/foreign-keys&gt;&lt;ref-type name="Journal Article"&gt;17&lt;/ref-type&gt;&lt;contributors&gt;&lt;authors&gt;&lt;author&gt;Novakovic, Tatjana&lt;/author&gt;&lt;author&gt;Mekic, Mevludin&lt;/author&gt;&lt;author&gt;Smilic, Ljiljana&lt;/author&gt;&lt;author&gt;Smilic, Tanja&lt;/author&gt;&lt;author&gt;Inić-Kostic, Biljana&lt;/author&gt;&lt;author&gt;Jovicevic, Ljiljana&lt;/author&gt;&lt;author&gt;Mirkovic, Zlatica&lt;/author&gt;&lt;author&gt;Milinic, Srbislava&lt;/author&gt;&lt;/authors&gt;&lt;/contributors&gt;&lt;titles&gt;&lt;title&gt;Anthropometric and biochemical characteristics of patients with nonalcoholic fatty liver diagnosed by non-invasive diagnostic methods&lt;/title&gt;&lt;secondary-title&gt;Medical Archives&lt;/secondary-title&gt;&lt;/titles&gt;&lt;periodical&gt;&lt;full-title&gt;Medical Archives&lt;/full-title&gt;&lt;/periodical&gt;&lt;pages&gt;22-6&lt;/pages&gt;&lt;volume&gt;68&lt;/volume&gt;&lt;number&gt;1&lt;/number&gt;&lt;dates&gt;&lt;year&gt;2014&lt;/year&gt;&lt;/dates&gt;&lt;urls&gt;&lt;/urls&gt;&lt;/record&gt;&lt;/Cite&gt;&lt;/EndNote&gt;</w:instrText>
      </w:r>
      <w:r w:rsidR="00DE37B0" w:rsidRPr="00280684">
        <w:fldChar w:fldCharType="separate"/>
      </w:r>
      <w:r w:rsidR="00DE37B0" w:rsidRPr="00280684">
        <w:rPr>
          <w:noProof/>
        </w:rPr>
        <w:t>[</w:t>
      </w:r>
      <w:hyperlink w:anchor="_ENREF_28" w:tooltip="Novakovic, 2014 #2480" w:history="1">
        <w:r w:rsidR="00B35F69" w:rsidRPr="00280684">
          <w:rPr>
            <w:noProof/>
          </w:rPr>
          <w:t>28</w:t>
        </w:r>
      </w:hyperlink>
      <w:r w:rsidR="00DE37B0" w:rsidRPr="00280684">
        <w:rPr>
          <w:noProof/>
        </w:rPr>
        <w:t>]</w:t>
      </w:r>
      <w:r w:rsidR="00DE37B0" w:rsidRPr="00280684">
        <w:fldChar w:fldCharType="end"/>
      </w:r>
      <w:r w:rsidRPr="00280684">
        <w:t xml:space="preserve"> identified </w:t>
      </w:r>
      <w:r w:rsidR="00476353">
        <w:t>an essential</w:t>
      </w:r>
      <w:r w:rsidRPr="00280684">
        <w:t xml:space="preserve"> difference between the NAFLD group and controls </w:t>
      </w:r>
      <w:r w:rsidR="00D17EC6">
        <w:t>regarding</w:t>
      </w:r>
      <w:r w:rsidRPr="00280684">
        <w:t xml:space="preserve"> fasting insulin levels and HOMA-IR. Additionally, he noted a statistically significant difference between both groups concerning fasting insulin levels. </w:t>
      </w:r>
      <w:r w:rsidR="007866E5">
        <w:t>Our study</w:t>
      </w:r>
      <w:r w:rsidR="008134E5" w:rsidRPr="00280684">
        <w:t xml:space="preserve"> found that serum cholesterol and LDL-</w:t>
      </w:r>
      <w:r w:rsidR="00921377" w:rsidRPr="00280684">
        <w:t>C</w:t>
      </w:r>
      <w:r w:rsidR="008134E5" w:rsidRPr="00280684">
        <w:t xml:space="preserve"> were </w:t>
      </w:r>
      <w:r w:rsidR="008134E5" w:rsidRPr="00280684">
        <w:rPr>
          <w:color w:val="000000" w:themeColor="text1"/>
        </w:rPr>
        <w:t>significantly higher in</w:t>
      </w:r>
      <w:r w:rsidR="00F67EEA" w:rsidRPr="00280684">
        <w:rPr>
          <w:color w:val="000000" w:themeColor="text1"/>
        </w:rPr>
        <w:t xml:space="preserve"> </w:t>
      </w:r>
      <w:r w:rsidR="00D17EC6">
        <w:rPr>
          <w:color w:val="000000" w:themeColor="text1"/>
        </w:rPr>
        <w:t>the NAFLD group (p= 0.007 and 0.001, respectively)</w:t>
      </w:r>
      <w:r w:rsidR="007866E5">
        <w:rPr>
          <w:color w:val="000000" w:themeColor="text1"/>
        </w:rPr>
        <w:t>. At the same time,</w:t>
      </w:r>
      <w:r w:rsidR="00D17EC6">
        <w:rPr>
          <w:color w:val="000000" w:themeColor="text1"/>
        </w:rPr>
        <w:t xml:space="preserve"> TG and HDL-C were not statistically different (p= 0.064 and 0.631,</w:t>
      </w:r>
      <w:r w:rsidR="008134E5" w:rsidRPr="00280684">
        <w:rPr>
          <w:color w:val="000000" w:themeColor="text1"/>
        </w:rPr>
        <w:t xml:space="preserve"> respectively). </w:t>
      </w:r>
      <w:proofErr w:type="spellStart"/>
      <w:r w:rsidR="008134E5" w:rsidRPr="00280684">
        <w:rPr>
          <w:b/>
          <w:bCs/>
          <w:i/>
          <w:iCs/>
          <w:color w:val="000000" w:themeColor="text1"/>
        </w:rPr>
        <w:t>Cuenza</w:t>
      </w:r>
      <w:proofErr w:type="spellEnd"/>
      <w:r w:rsidR="008134E5" w:rsidRPr="00280684">
        <w:rPr>
          <w:b/>
          <w:bCs/>
          <w:i/>
          <w:iCs/>
          <w:color w:val="000000" w:themeColor="text1"/>
        </w:rPr>
        <w:t xml:space="preserve"> et al.</w:t>
      </w:r>
      <w:r w:rsidR="00921377" w:rsidRPr="00280684">
        <w:rPr>
          <w:b/>
          <w:bCs/>
          <w:i/>
          <w:iCs/>
          <w:color w:val="000000" w:themeColor="text1"/>
        </w:rPr>
        <w:t xml:space="preserve"> </w:t>
      </w:r>
      <w:r w:rsidR="00921377" w:rsidRPr="00280684">
        <w:rPr>
          <w:color w:val="000000" w:themeColor="text1"/>
        </w:rPr>
        <w:fldChar w:fldCharType="begin"/>
      </w:r>
      <w:r w:rsidR="00DE37B0" w:rsidRPr="00280684">
        <w:rPr>
          <w:color w:val="000000" w:themeColor="text1"/>
        </w:rPr>
        <w:instrText xml:space="preserve"> ADDIN EN.CITE &lt;EndNote&gt;&lt;Cite&gt;&lt;Author&gt;Cuenza&lt;/Author&gt;&lt;Year&gt;2017&lt;/Year&gt;&lt;RecNum&gt;1020&lt;/RecNum&gt;&lt;DisplayText&gt;[29]&lt;/DisplayText&gt;&lt;record&gt;&lt;rec-number&gt;1020&lt;/rec-number&gt;&lt;foreign-keys&gt;&lt;key app="EN" db-id="eea2xtwzjdwsaxeez0o5er2bfrwv5zazp0p2" timestamp="1708123500"&gt;1020&lt;/key&gt;&lt;/foreign-keys&gt;&lt;ref-type name="Journal Article"&gt;17&lt;/ref-type&gt;&lt;contributors&gt;&lt;authors&gt;&lt;author&gt;Cuenza, Lucky R&lt;/author&gt;&lt;author&gt;Razon, Tamara Louise J&lt;/author&gt;&lt;author&gt;Dayrit, Juan Carlo&lt;/author&gt;&lt;/authors&gt;&lt;/contributors&gt;&lt;titles&gt;&lt;title&gt;Correlation between severity of ultrasonographic nonalcoholic fatty liver disease and cardiometabolic risk among Filipino wellness patients&lt;/title&gt;&lt;secondary-title&gt;Journal of cardiovascular and thoracic research&lt;/secondary-title&gt;&lt;/titles&gt;&lt;periodical&gt;&lt;full-title&gt;Journal of cardiovascular and thoracic research&lt;/full-title&gt;&lt;/periodical&gt;&lt;pages&gt;85&lt;/pages&gt;&lt;volume&gt;9&lt;/volume&gt;&lt;number&gt;2&lt;/number&gt;&lt;dates&gt;&lt;year&gt;2017&lt;/year&gt;&lt;/dates&gt;&lt;urls&gt;&lt;/urls&gt;&lt;/record&gt;&lt;/Cite&gt;&lt;/EndNote&gt;</w:instrText>
      </w:r>
      <w:r w:rsidR="00921377" w:rsidRPr="00280684">
        <w:rPr>
          <w:color w:val="000000" w:themeColor="text1"/>
        </w:rPr>
        <w:fldChar w:fldCharType="separate"/>
      </w:r>
      <w:r w:rsidR="00DE37B0" w:rsidRPr="00280684">
        <w:rPr>
          <w:noProof/>
          <w:color w:val="000000" w:themeColor="text1"/>
        </w:rPr>
        <w:t>[</w:t>
      </w:r>
      <w:hyperlink w:anchor="_ENREF_29" w:tooltip="Cuenza, 2017 #1020" w:history="1">
        <w:r w:rsidR="00B35F69" w:rsidRPr="00280684">
          <w:rPr>
            <w:noProof/>
            <w:color w:val="000000" w:themeColor="text1"/>
          </w:rPr>
          <w:t>29</w:t>
        </w:r>
      </w:hyperlink>
      <w:r w:rsidR="00DE37B0" w:rsidRPr="00280684">
        <w:rPr>
          <w:noProof/>
          <w:color w:val="000000" w:themeColor="text1"/>
        </w:rPr>
        <w:t>]</w:t>
      </w:r>
      <w:r w:rsidR="00921377" w:rsidRPr="00280684">
        <w:rPr>
          <w:color w:val="000000" w:themeColor="text1"/>
        </w:rPr>
        <w:fldChar w:fldCharType="end"/>
      </w:r>
      <w:r w:rsidR="008134E5" w:rsidRPr="00280684">
        <w:rPr>
          <w:b/>
          <w:bCs/>
          <w:color w:val="000000" w:themeColor="text1"/>
        </w:rPr>
        <w:t xml:space="preserve"> </w:t>
      </w:r>
      <w:r w:rsidR="008134E5" w:rsidRPr="00280684">
        <w:rPr>
          <w:color w:val="000000" w:themeColor="text1"/>
        </w:rPr>
        <w:t>found that mean LDL</w:t>
      </w:r>
      <w:r w:rsidR="00921377" w:rsidRPr="00280684">
        <w:rPr>
          <w:color w:val="000000" w:themeColor="text1"/>
        </w:rPr>
        <w:t>-C</w:t>
      </w:r>
      <w:r w:rsidR="008134E5" w:rsidRPr="00280684">
        <w:rPr>
          <w:color w:val="000000" w:themeColor="text1"/>
        </w:rPr>
        <w:t xml:space="preserve"> and cholesterol were higher </w:t>
      </w:r>
      <w:r w:rsidR="00921377" w:rsidRPr="00280684">
        <w:rPr>
          <w:color w:val="000000" w:themeColor="text1"/>
        </w:rPr>
        <w:t xml:space="preserve">in patients with </w:t>
      </w:r>
      <w:r w:rsidR="008134E5" w:rsidRPr="00280684">
        <w:rPr>
          <w:color w:val="000000" w:themeColor="text1"/>
        </w:rPr>
        <w:t xml:space="preserve">NAFLD subjects. </w:t>
      </w:r>
      <w:proofErr w:type="spellStart"/>
      <w:r w:rsidR="008134E5" w:rsidRPr="00280684">
        <w:rPr>
          <w:b/>
          <w:bCs/>
          <w:i/>
          <w:iCs/>
          <w:color w:val="000000" w:themeColor="text1"/>
        </w:rPr>
        <w:t>Pardhe</w:t>
      </w:r>
      <w:proofErr w:type="spellEnd"/>
      <w:r w:rsidR="008134E5" w:rsidRPr="00280684">
        <w:rPr>
          <w:b/>
          <w:bCs/>
          <w:i/>
          <w:iCs/>
          <w:color w:val="000000" w:themeColor="text1"/>
        </w:rPr>
        <w:t xml:space="preserve"> et al.</w:t>
      </w:r>
      <w:r w:rsidR="00476353">
        <w:rPr>
          <w:b/>
          <w:bCs/>
          <w:i/>
          <w:iCs/>
          <w:color w:val="000000" w:themeColor="text1"/>
        </w:rPr>
        <w:t xml:space="preserve"> [25] </w:t>
      </w:r>
      <w:r w:rsidR="00D17EC6">
        <w:rPr>
          <w:color w:val="000000" w:themeColor="text1"/>
        </w:rPr>
        <w:t>found significant differences between the NAFLD group and the controls regarding serum cholesterol, TG, LDL-C, and HDL-C. Serum albumin had a significantly higher value in the control group than in the NAFLD group</w:t>
      </w:r>
      <w:r w:rsidR="007866E5">
        <w:rPr>
          <w:color w:val="000000" w:themeColor="text1"/>
        </w:rPr>
        <w:t>. Still, the two groups had no significant difference regarding bilirubin levels, PT, and INR</w:t>
      </w:r>
      <w:r w:rsidR="008134E5" w:rsidRPr="00280684">
        <w:rPr>
          <w:color w:val="000000" w:themeColor="text1"/>
        </w:rPr>
        <w:t xml:space="preserve">. </w:t>
      </w:r>
    </w:p>
    <w:p w14:paraId="5907C755" w14:textId="769D4452" w:rsidR="00944617" w:rsidRPr="00280684" w:rsidRDefault="00D17EC6" w:rsidP="00B35F69">
      <w:pPr>
        <w:spacing w:line="360" w:lineRule="auto"/>
      </w:pPr>
      <w:r>
        <w:rPr>
          <w:color w:val="000000" w:themeColor="text1"/>
        </w:rPr>
        <w:t>ALT and AST were significantly higher in NAFLD patients than in</w:t>
      </w:r>
      <w:r w:rsidR="008134E5" w:rsidRPr="00280684">
        <w:rPr>
          <w:color w:val="000000" w:themeColor="text1"/>
        </w:rPr>
        <w:t xml:space="preserve"> the control group. Also, there </w:t>
      </w:r>
      <w:r>
        <w:rPr>
          <w:color w:val="000000" w:themeColor="text1"/>
        </w:rPr>
        <w:t>was a significant difference between NAFLD subgroups as regards both ALT and TG (p &lt;0.001 and 0.009,</w:t>
      </w:r>
      <w:r w:rsidR="00921377" w:rsidRPr="00280684">
        <w:t xml:space="preserve"> respectively</w:t>
      </w:r>
      <w:r w:rsidR="008134E5" w:rsidRPr="00280684">
        <w:t>)</w:t>
      </w:r>
      <w:r w:rsidR="007866E5">
        <w:t>,</w:t>
      </w:r>
      <w:r w:rsidR="008134E5" w:rsidRPr="00280684">
        <w:t xml:space="preserve"> with no significant differences regarding other laboratory parameters.</w:t>
      </w:r>
      <w:r w:rsidR="002B2755" w:rsidRPr="00280684">
        <w:t xml:space="preserve"> </w:t>
      </w:r>
      <w:proofErr w:type="spellStart"/>
      <w:r w:rsidR="008134E5" w:rsidRPr="00280684">
        <w:rPr>
          <w:b/>
          <w:bCs/>
          <w:i/>
          <w:iCs/>
        </w:rPr>
        <w:t>Paschos</w:t>
      </w:r>
      <w:proofErr w:type="spellEnd"/>
      <w:r w:rsidR="008134E5" w:rsidRPr="00280684">
        <w:rPr>
          <w:b/>
          <w:bCs/>
          <w:i/>
          <w:iCs/>
        </w:rPr>
        <w:t xml:space="preserve"> et al</w:t>
      </w:r>
      <w:r w:rsidR="00921377" w:rsidRPr="00280684">
        <w:rPr>
          <w:b/>
          <w:bCs/>
          <w:i/>
          <w:iCs/>
        </w:rPr>
        <w:t xml:space="preserve"> </w:t>
      </w:r>
      <w:r w:rsidR="00921377" w:rsidRPr="00280684">
        <w:rPr>
          <w:b/>
          <w:bCs/>
        </w:rPr>
        <w:fldChar w:fldCharType="begin"/>
      </w:r>
      <w:r w:rsidR="00DE37B0" w:rsidRPr="00280684">
        <w:rPr>
          <w:b/>
          <w:bCs/>
        </w:rPr>
        <w:instrText xml:space="preserve"> ADDIN EN.CITE &lt;EndNote&gt;&lt;Cite&gt;&lt;Author&gt;Paschos&lt;/Author&gt;&lt;Year&gt;2009&lt;/Year&gt;&lt;RecNum&gt;27&lt;/RecNum&gt;&lt;DisplayText&gt;[30]&lt;/DisplayText&gt;&lt;record&gt;&lt;rec-number&gt;27&lt;/rec-number&gt;&lt;foreign-keys&gt;&lt;key app="EN" db-id="vaepdff93ef5z9etfsmx02zipwwzpe0rztzd" timestamp="1698792161"&gt;27&lt;/key&gt;&lt;/foreign-keys&gt;&lt;ref-type name="Journal Article"&gt;17&lt;/ref-type&gt;&lt;contributors&gt;&lt;authors&gt;&lt;author&gt;Paschos, P&lt;/author&gt;&lt;author&gt;Paletas, Konstantinos&lt;/author&gt;&lt;/authors&gt;&lt;/contributors&gt;&lt;titles&gt;&lt;title&gt;Non alcoholic fatty liver disease and metabolic syndrome&lt;/title&gt;&lt;secondary-title&gt;Hippokratia&lt;/secondary-title&gt;&lt;/titles&gt;&lt;periodical&gt;&lt;full-title&gt;Hippokratia&lt;/full-title&gt;&lt;/periodical&gt;&lt;pages&gt;9&lt;/pages&gt;&lt;volume&gt;13&lt;/volume&gt;&lt;number&gt;1&lt;/number&gt;&lt;dates&gt;&lt;year&gt;2009&lt;/year&gt;&lt;/dates&gt;&lt;urls&gt;&lt;/urls&gt;&lt;/record&gt;&lt;/Cite&gt;&lt;/EndNote&gt;</w:instrText>
      </w:r>
      <w:r w:rsidR="00921377" w:rsidRPr="00280684">
        <w:rPr>
          <w:b/>
          <w:bCs/>
        </w:rPr>
        <w:fldChar w:fldCharType="separate"/>
      </w:r>
      <w:r w:rsidR="00DE37B0" w:rsidRPr="00280684">
        <w:rPr>
          <w:b/>
          <w:bCs/>
          <w:noProof/>
        </w:rPr>
        <w:t>[</w:t>
      </w:r>
      <w:hyperlink w:anchor="_ENREF_30" w:tooltip="Paschos, 2009 #27" w:history="1">
        <w:r w:rsidR="00B35F69" w:rsidRPr="00280684">
          <w:rPr>
            <w:b/>
            <w:bCs/>
            <w:noProof/>
          </w:rPr>
          <w:t>30</w:t>
        </w:r>
      </w:hyperlink>
      <w:r w:rsidR="00DE37B0" w:rsidRPr="00280684">
        <w:rPr>
          <w:b/>
          <w:bCs/>
          <w:noProof/>
        </w:rPr>
        <w:t>]</w:t>
      </w:r>
      <w:r w:rsidR="00921377" w:rsidRPr="00280684">
        <w:rPr>
          <w:b/>
          <w:bCs/>
        </w:rPr>
        <w:fldChar w:fldCharType="end"/>
      </w:r>
      <w:r w:rsidR="007866E5">
        <w:rPr>
          <w:b/>
          <w:bCs/>
        </w:rPr>
        <w:t xml:space="preserve"> </w:t>
      </w:r>
      <w:r w:rsidR="007866E5" w:rsidRPr="0087250B">
        <w:t>found that</w:t>
      </w:r>
      <w:r w:rsidR="007866E5">
        <w:rPr>
          <w:b/>
          <w:bCs/>
        </w:rPr>
        <w:t xml:space="preserve"> </w:t>
      </w:r>
      <w:r w:rsidR="008134E5" w:rsidRPr="00280684">
        <w:t>elevated serum AST and ALT values were the primary laboratory abnormalities in NAFLD patients. They also noticed that ALT levels are higher than AST levels. Elevated liver enzyme levels, particularly ALT, may serve as predictors for diabetes and NAFLD</w:t>
      </w:r>
      <w:r w:rsidR="007866E5">
        <w:t>.</w:t>
      </w:r>
      <w:r w:rsidR="00944617" w:rsidRPr="00280684">
        <w:t xml:space="preserve"> </w:t>
      </w:r>
      <w:r w:rsidR="00944617" w:rsidRPr="00280684">
        <w:fldChar w:fldCharType="begin"/>
      </w:r>
      <w:r w:rsidR="00DE37B0" w:rsidRPr="00280684">
        <w:instrText xml:space="preserve"> ADDIN EN.CITE &lt;EndNote&gt;&lt;Cite&gt;&lt;Author&gt;Wong&lt;/Author&gt;&lt;Year&gt;2008&lt;/Year&gt;&lt;RecNum&gt;353&lt;/RecNum&gt;&lt;DisplayText&gt;[31]&lt;/DisplayText&gt;&lt;record&gt;&lt;rec-number&gt;353&lt;/rec-number&gt;&lt;foreign-keys&gt;&lt;key app="EN" db-id="eea2xtwzjdwsaxeez0o5er2bfrwv5zazp0p2" timestamp="1698791397"&gt;353&lt;/key&gt;&lt;/foreign-keys&gt;&lt;ref-type name="Journal Article"&gt;17&lt;/ref-type&gt;&lt;contributors&gt;&lt;authors&gt;&lt;author&gt;Wong, Charlene A&lt;/author&gt;&lt;author&gt;Araneta, Maria Rosario G&lt;/author&gt;&lt;author&gt;Barrett-Connor, Elizabeth&lt;/author&gt;&lt;author&gt;Alcaraz, John&lt;/author&gt;&lt;author&gt;Castañeda, Donna&lt;/author&gt;&lt;author&gt;Macera, Carol&lt;/author&gt;&lt;/authors&gt;&lt;/contributors&gt;&lt;titles&gt;&lt;title&gt;Probable NAFLD, by ALT levels, and diabetes among Filipino-American Women&lt;/title&gt;&lt;secondary-title&gt;Diabetes research and clinical practice&lt;/secondary-title&gt;&lt;/titles&gt;&lt;periodical&gt;&lt;full-title&gt;Diabetes research and clinical practice&lt;/full-title&gt;&lt;/periodical&gt;&lt;pages&gt;133-140&lt;/pages&gt;&lt;volume&gt;79&lt;/volume&gt;&lt;number&gt;1&lt;/number&gt;&lt;dates&gt;&lt;year&gt;2008&lt;/year&gt;&lt;/dates&gt;&lt;isbn&gt;0168-8227&lt;/isbn&gt;&lt;urls&gt;&lt;/urls&gt;&lt;/record&gt;&lt;/Cite&gt;&lt;/EndNote&gt;</w:instrText>
      </w:r>
      <w:r w:rsidR="00944617" w:rsidRPr="00280684">
        <w:fldChar w:fldCharType="separate"/>
      </w:r>
      <w:r w:rsidR="00DE37B0" w:rsidRPr="00280684">
        <w:rPr>
          <w:noProof/>
        </w:rPr>
        <w:t>[</w:t>
      </w:r>
      <w:hyperlink w:anchor="_ENREF_31" w:tooltip="Wong, 2008 #353" w:history="1">
        <w:r w:rsidR="00B35F69" w:rsidRPr="00280684">
          <w:rPr>
            <w:noProof/>
          </w:rPr>
          <w:t>31</w:t>
        </w:r>
      </w:hyperlink>
      <w:r w:rsidR="00DE37B0" w:rsidRPr="00280684">
        <w:rPr>
          <w:noProof/>
        </w:rPr>
        <w:t>]</w:t>
      </w:r>
      <w:r w:rsidR="00944617" w:rsidRPr="00280684">
        <w:fldChar w:fldCharType="end"/>
      </w:r>
      <w:r w:rsidR="008134E5" w:rsidRPr="00280684">
        <w:t xml:space="preserve">. </w:t>
      </w:r>
    </w:p>
    <w:p w14:paraId="1A76E6F7" w14:textId="5431F572" w:rsidR="008134E5" w:rsidRPr="00280684" w:rsidRDefault="001F59AE" w:rsidP="00B35F69">
      <w:pPr>
        <w:spacing w:line="360" w:lineRule="auto"/>
        <w:rPr>
          <w:vertAlign w:val="superscript"/>
        </w:rPr>
      </w:pPr>
      <w:r w:rsidRPr="00280684">
        <w:t xml:space="preserve">H. pylori infection may contribute to the development of NAFLD. </w:t>
      </w:r>
      <w:r w:rsidR="00D17EC6">
        <w:t>Our study</w:t>
      </w:r>
      <w:r w:rsidRPr="00280684">
        <w:t xml:space="preserve"> observed that the NAFLD group had a significantly higher prevalence of H. pylori infection (p&lt;0.001). However, a cross-sectional study conducted in Japan</w:t>
      </w:r>
      <w:r w:rsidR="00944617" w:rsidRPr="00280684">
        <w:t xml:space="preserve"> found no </w:t>
      </w:r>
      <w:r w:rsidRPr="00280684">
        <w:t xml:space="preserve">association between H. pylori infection and NAFLD. </w:t>
      </w:r>
      <w:r w:rsidR="00A77635">
        <w:t>Notably,</w:t>
      </w:r>
      <w:r w:rsidRPr="00280684">
        <w:t xml:space="preserve"> this study included asymptomatic individuals and utilized ultrasonography to define NAFLD</w:t>
      </w:r>
      <w:r w:rsidR="00944617" w:rsidRPr="00280684">
        <w:t xml:space="preserve"> </w:t>
      </w:r>
      <w:r w:rsidR="00944617" w:rsidRPr="00280684">
        <w:fldChar w:fldCharType="begin"/>
      </w:r>
      <w:r w:rsidR="00944617" w:rsidRPr="00280684">
        <w:instrText xml:space="preserve"> ADDIN EN.CITE &lt;EndNote&gt;&lt;Cite&gt;&lt;Author&gt;Okushin&lt;/Author&gt;&lt;Year&gt;2015&lt;/Year&gt;&lt;RecNum&gt;1835&lt;/RecNum&gt;&lt;DisplayText&gt;[24]&lt;/DisplayText&gt;&lt;record&gt;&lt;rec-number&gt;1835&lt;/rec-number&gt;&lt;foreign-keys&gt;&lt;key app="EN" db-id="ftdeprx0ptvtxbefrrl5r9xrvps9d9vrpaat"&gt;1835&lt;/key&gt;&lt;/foreign-keys&gt;&lt;ref-type name="Journal Article"&gt;17&lt;/ref-type&gt;&lt;contributors&gt;&lt;authors&gt;&lt;author&gt;Okushin, Kazuya&lt;/author&gt;&lt;author&gt;Takahashi, Yu&lt;/author&gt;&lt;author&gt;Yamamichi, Nobutake&lt;/author&gt;&lt;author&gt;Shimamoto, Takeshi&lt;/author&gt;&lt;author&gt;Enooku, Kenichiro&lt;/author&gt;&lt;author&gt;Fujinaga, Hidetaka&lt;/author&gt;&lt;author&gt;Tsutsumi, Takeya&lt;/author&gt;&lt;author&gt;Shintani, Yoshizumi&lt;/author&gt;&lt;author&gt;Sakaguchi, Yoshiki&lt;/author&gt;&lt;author&gt;Ono, Satoshi&lt;/author&gt;&lt;/authors&gt;&lt;/contributors&gt;&lt;titles&gt;&lt;title&gt;Helicobacter pylori infection is not associated with fatty liver disease including non-alcoholic fatty liver disease: a large-scale cross-sectional study in Japan&lt;/title&gt;&lt;secondary-title&gt;BMC gastroenterology&lt;/secondary-title&gt;&lt;/titles&gt;&lt;periodical&gt;&lt;full-title&gt;BMC gastroenterology&lt;/full-title&gt;&lt;/periodical&gt;&lt;pages&gt;1-10&lt;/pages&gt;&lt;volume&gt;15&lt;/volume&gt;&lt;number&gt;1&lt;/number&gt;&lt;dates&gt;&lt;year&gt;2015&lt;/year&gt;&lt;/dates&gt;&lt;isbn&gt;1471-230X&lt;/isbn&gt;&lt;urls&gt;&lt;/urls&gt;&lt;/record&gt;&lt;/Cite&gt;&lt;/EndNote&gt;</w:instrText>
      </w:r>
      <w:r w:rsidR="00944617" w:rsidRPr="00280684">
        <w:fldChar w:fldCharType="separate"/>
      </w:r>
      <w:r w:rsidR="00944617" w:rsidRPr="00280684">
        <w:rPr>
          <w:noProof/>
        </w:rPr>
        <w:t>[</w:t>
      </w:r>
      <w:hyperlink w:anchor="_ENREF_24" w:tooltip="Okushin, 2015 #1835" w:history="1">
        <w:r w:rsidR="00B35F69" w:rsidRPr="00280684">
          <w:rPr>
            <w:noProof/>
          </w:rPr>
          <w:t>24</w:t>
        </w:r>
      </w:hyperlink>
      <w:r w:rsidR="00944617" w:rsidRPr="00280684">
        <w:rPr>
          <w:noProof/>
        </w:rPr>
        <w:t>]</w:t>
      </w:r>
      <w:r w:rsidR="00944617" w:rsidRPr="00280684">
        <w:fldChar w:fldCharType="end"/>
      </w:r>
      <w:r w:rsidRPr="00280684">
        <w:t xml:space="preserve">. </w:t>
      </w:r>
    </w:p>
    <w:p w14:paraId="5E875876" w14:textId="03786FCE" w:rsidR="008134E5" w:rsidRPr="00280684" w:rsidRDefault="00E0543F" w:rsidP="00B35F69">
      <w:pPr>
        <w:spacing w:line="360" w:lineRule="auto"/>
        <w:ind w:firstLine="562"/>
      </w:pPr>
      <w:r w:rsidRPr="00280684">
        <w:t>A meta-analysis</w:t>
      </w:r>
      <w:r w:rsidR="00944617" w:rsidRPr="00280684">
        <w:t xml:space="preserve"> (</w:t>
      </w:r>
      <w:r w:rsidRPr="00280684">
        <w:t xml:space="preserve">which included </w:t>
      </w:r>
      <w:r w:rsidR="00944617" w:rsidRPr="00280684">
        <w:t xml:space="preserve">over 80.000 </w:t>
      </w:r>
      <w:r w:rsidRPr="00280684">
        <w:t>middle-aged individuals of Asian descent</w:t>
      </w:r>
      <w:r w:rsidR="00944617" w:rsidRPr="00280684">
        <w:t>)</w:t>
      </w:r>
      <w:r w:rsidRPr="00280684">
        <w:t xml:space="preserve"> concluded that H. pylori infection is linked to a slightly elevated risk of both existing and new cases of NAFLD</w:t>
      </w:r>
      <w:r w:rsidR="00D17EC6">
        <w:t>.</w:t>
      </w:r>
      <w:r w:rsidR="00944617" w:rsidRPr="00280684">
        <w:t xml:space="preserve"> </w:t>
      </w:r>
      <w:r w:rsidR="008134E5" w:rsidRPr="00280684">
        <w:fldChar w:fldCharType="begin"/>
      </w:r>
      <w:r w:rsidR="00DE37B0" w:rsidRPr="00280684">
        <w:instrText xml:space="preserve"> ADDIN EN.CITE &lt;EndNote&gt;&lt;Cite&gt;&lt;Author&gt;Mantovani&lt;/Author&gt;&lt;Year&gt;2019&lt;/Year&gt;&lt;RecNum&gt;1837&lt;/RecNum&gt;&lt;DisplayText&gt;[32]&lt;/DisplayText&gt;&lt;record&gt;&lt;rec-number&gt;1837&lt;/rec-number&gt;&lt;foreign-keys&gt;&lt;key app="EN" db-id="ftdeprx0ptvtxbefrrl5r9xrvps9d9vrpaat"&gt;1837&lt;/key&gt;&lt;/foreign-keys&gt;&lt;ref-type name="Journal Article"&gt;17&lt;/ref-type&gt;&lt;contributors&gt;&lt;authors&gt;&lt;author&gt;Mantovani, Alessandro&lt;/author&gt;&lt;author&gt;Turino, Teresa&lt;/author&gt;&lt;author&gt;Altomari, Anna&lt;/author&gt;&lt;author&gt;Lonardo, Amedeo&lt;/author&gt;&lt;author&gt;Zoppini, Giacomo&lt;/author&gt;&lt;author&gt;Valenti, Luca&lt;/author&gt;&lt;author&gt;Tilg, Herbert&lt;/author&gt;&lt;author&gt;Byrne, Christopher D&lt;/author&gt;&lt;author&gt;Targher, Giovanni&lt;/author&gt;&lt;/authors&gt;&lt;/contributors&gt;&lt;titles&gt;&lt;title&gt;Association between Helicobacter pylori infection and risk of nonalcoholic fatty liver disease: an updated meta-analysis&lt;/title&gt;&lt;secondary-title&gt;Metabolism&lt;/secondary-title&gt;&lt;/titles&gt;&lt;periodical&gt;&lt;full-title&gt;Metabolism&lt;/full-title&gt;&lt;/periodical&gt;&lt;pages&gt;56-65&lt;/pages&gt;&lt;volume&gt;96&lt;/volume&gt;&lt;dates&gt;&lt;year&gt;2019&lt;/year&gt;&lt;/dates&gt;&lt;isbn&gt;0026-0495&lt;/isbn&gt;&lt;urls&gt;&lt;/urls&gt;&lt;/record&gt;&lt;/Cite&gt;&lt;Cite&gt;&lt;Author&gt;Mantovani&lt;/Author&gt;&lt;Year&gt;2019&lt;/Year&gt;&lt;RecNum&gt;1837&lt;/RecNum&gt;&lt;record&gt;&lt;rec-number&gt;1837&lt;/rec-number&gt;&lt;foreign-keys&gt;&lt;key app="EN" db-id="ftdeprx0ptvtxbefrrl5r9xrvps9d9vrpaat"&gt;1837&lt;/key&gt;&lt;/foreign-keys&gt;&lt;ref-type name="Journal Article"&gt;17&lt;/ref-type&gt;&lt;contributors&gt;&lt;authors&gt;&lt;author&gt;Mantovani, Alessandro&lt;/author&gt;&lt;author&gt;Turino, Teresa&lt;/author&gt;&lt;author&gt;Altomari, Anna&lt;/author&gt;&lt;author&gt;Lonardo, Amedeo&lt;/author&gt;&lt;author&gt;Zoppini, Giacomo&lt;/author&gt;&lt;author&gt;Valenti, Luca&lt;/author&gt;&lt;author&gt;Tilg, Herbert&lt;/author&gt;&lt;author&gt;Byrne, Christopher D&lt;/author&gt;&lt;author&gt;Targher, Giovanni&lt;/author&gt;&lt;/authors&gt;&lt;/contributors&gt;&lt;titles&gt;&lt;title&gt;Association between Helicobacter pylori infection and risk of nonalcoholic fatty liver disease: an updated meta-analysis&lt;/title&gt;&lt;secondary-title&gt;Metabolism&lt;/secondary-title&gt;&lt;/titles&gt;&lt;periodical&gt;&lt;full-title&gt;Metabolism&lt;/full-title&gt;&lt;/periodical&gt;&lt;pages&gt;56-65&lt;/pages&gt;&lt;volume&gt;96&lt;/volume&gt;&lt;dates&gt;&lt;year&gt;2019&lt;/year&gt;&lt;/dates&gt;&lt;isbn&gt;0026-0495&lt;/isbn&gt;&lt;urls&gt;&lt;/urls&gt;&lt;/record&gt;&lt;/Cite&gt;&lt;/EndNote&gt;</w:instrText>
      </w:r>
      <w:r w:rsidR="008134E5" w:rsidRPr="00280684">
        <w:fldChar w:fldCharType="separate"/>
      </w:r>
      <w:r w:rsidR="00DE37B0" w:rsidRPr="00280684">
        <w:rPr>
          <w:noProof/>
        </w:rPr>
        <w:t>[</w:t>
      </w:r>
      <w:hyperlink w:anchor="_ENREF_32" w:tooltip="Mantovani, 2019 #1837" w:history="1">
        <w:r w:rsidR="00B35F69" w:rsidRPr="00280684">
          <w:rPr>
            <w:noProof/>
          </w:rPr>
          <w:t>32</w:t>
        </w:r>
      </w:hyperlink>
      <w:r w:rsidR="00DE37B0" w:rsidRPr="00280684">
        <w:rPr>
          <w:noProof/>
        </w:rPr>
        <w:t>]</w:t>
      </w:r>
      <w:r w:rsidR="008134E5" w:rsidRPr="00280684">
        <w:fldChar w:fldCharType="end"/>
      </w:r>
      <w:r w:rsidR="00DE37B0" w:rsidRPr="00280684">
        <w:t xml:space="preserve">. The </w:t>
      </w:r>
      <w:r w:rsidR="00D17EC6">
        <w:t>findings above</w:t>
      </w:r>
      <w:r w:rsidR="00DE37B0" w:rsidRPr="00280684">
        <w:t xml:space="preserve"> were reaffirmed in another meta-analysis</w:t>
      </w:r>
      <w:r w:rsidR="00D17EC6">
        <w:t>.</w:t>
      </w:r>
      <w:r w:rsidR="00DE37B0" w:rsidRPr="00280684">
        <w:t xml:space="preserve"> </w:t>
      </w:r>
      <w:r w:rsidR="008134E5" w:rsidRPr="00280684">
        <w:fldChar w:fldCharType="begin"/>
      </w:r>
      <w:r w:rsidR="00DE37B0" w:rsidRPr="00280684">
        <w:instrText xml:space="preserve"> ADDIN EN.CITE &lt;EndNote&gt;&lt;Cite&gt;&lt;Author&gt;Wijarnpreecha&lt;/Author&gt;&lt;Year&gt;2018&lt;/Year&gt;&lt;RecNum&gt;374&lt;/RecNum&gt;&lt;DisplayText&gt;[33]&lt;/DisplayText&gt;&lt;record&gt;&lt;rec-number&gt;374&lt;/rec-number&gt;&lt;foreign-keys&gt;&lt;key app="EN" db-id="eea2xtwzjdwsaxeez0o5er2bfrwv5zazp0p2" timestamp="1701170004"&gt;374&lt;/key&gt;&lt;/foreign-keys&gt;&lt;ref-type name="Journal Article"&gt;17&lt;/ref-type&gt;&lt;contributors&gt;&lt;authors&gt;&lt;author&gt;Wijarnpreecha, Karn&lt;/author&gt;&lt;author&gt;Thongprayoon, Charat&lt;/author&gt;&lt;author&gt;Panjawatanan, Panadeekarn&lt;/author&gt;&lt;author&gt;Manatsathit, Wuttiporn&lt;/author&gt;&lt;author&gt;Jaruvongvanich, Veeravich&lt;/author&gt;&lt;author&gt;Ungprasert, Patompong&lt;/author&gt;&lt;/authors&gt;&lt;/contributors&gt;&lt;titles&gt;&lt;title&gt;Helicobacter pylori and risk of nonalcoholic fatty liver disease: a systematic review and meta-analysis&lt;/title&gt;&lt;secondary-title&gt;Journal of clinical gastroenterology&lt;/secondary-title&gt;&lt;/titles&gt;&lt;periodical&gt;&lt;full-title&gt;Journal of clinical gastroenterology&lt;/full-title&gt;&lt;/periodical&gt;&lt;pages&gt;386-391&lt;/pages&gt;&lt;volume&gt;52&lt;/volume&gt;&lt;number&gt;5&lt;/number&gt;&lt;dates&gt;&lt;year&gt;2018&lt;/year&gt;&lt;/dates&gt;&lt;isbn&gt;0192-0790&lt;/isbn&gt;&lt;urls&gt;&lt;/urls&gt;&lt;/record&gt;&lt;/Cite&gt;&lt;/EndNote&gt;</w:instrText>
      </w:r>
      <w:r w:rsidR="008134E5" w:rsidRPr="00280684">
        <w:fldChar w:fldCharType="separate"/>
      </w:r>
      <w:r w:rsidR="00DE37B0" w:rsidRPr="00280684">
        <w:rPr>
          <w:noProof/>
        </w:rPr>
        <w:t>[</w:t>
      </w:r>
      <w:hyperlink w:anchor="_ENREF_33" w:tooltip="Wijarnpreecha, 2018 #374" w:history="1">
        <w:r w:rsidR="00B35F69" w:rsidRPr="00280684">
          <w:rPr>
            <w:noProof/>
          </w:rPr>
          <w:t>33</w:t>
        </w:r>
      </w:hyperlink>
      <w:r w:rsidR="00DE37B0" w:rsidRPr="00280684">
        <w:rPr>
          <w:noProof/>
        </w:rPr>
        <w:t>]</w:t>
      </w:r>
      <w:r w:rsidR="008134E5" w:rsidRPr="00280684">
        <w:fldChar w:fldCharType="end"/>
      </w:r>
      <w:r w:rsidR="00DE37B0" w:rsidRPr="00280684">
        <w:t>.</w:t>
      </w:r>
      <w:r w:rsidR="008134E5" w:rsidRPr="00280684">
        <w:t xml:space="preserve"> </w:t>
      </w:r>
      <w:r w:rsidRPr="00280684">
        <w:t>In a cross-sectional study conducted in Japan, a notable association was found between H. pylori seropositivity and metabolic syndrome. Subsequent regression analysis unveiled a significant relationship between H. pylori seropositivity and elevated LDL cholesterol, decreased HDL cholesterol, and higher systolic blood pressure levels</w:t>
      </w:r>
      <w:r w:rsidR="00D17EC6">
        <w:t>.</w:t>
      </w:r>
      <w:r w:rsidR="00DE37B0" w:rsidRPr="00280684">
        <w:t xml:space="preserve"> </w:t>
      </w:r>
      <w:r w:rsidR="00DE37B0" w:rsidRPr="00280684">
        <w:fldChar w:fldCharType="begin"/>
      </w:r>
      <w:r w:rsidR="00DE37B0" w:rsidRPr="00280684">
        <w:instrText xml:space="preserve"> ADDIN EN.CITE &lt;EndNote&gt;&lt;Cite&gt;&lt;Author&gt;Gunji&lt;/Author&gt;&lt;Year&gt;2008&lt;/Year&gt;&lt;RecNum&gt;386&lt;/RecNum&gt;&lt;DisplayText&gt;[34]&lt;/DisplayText&gt;&lt;record&gt;&lt;rec-number&gt;386&lt;/rec-number&gt;&lt;foreign-keys&gt;&lt;key app="EN" db-id="eea2xtwzjdwsaxeez0o5er2bfrwv5zazp0p2" timestamp="1701173865"&gt;386&lt;/key&gt;&lt;/foreign-keys&gt;&lt;ref-type name="Journal Article"&gt;17&lt;/ref-type&gt;&lt;contributors&gt;&lt;authors&gt;&lt;author&gt;Gunji, Toshiaki&lt;/author&gt;&lt;author&gt;Matsuhashi, Nobuyuki&lt;/author&gt;&lt;author&gt;Sato, Hajime&lt;/author&gt;&lt;author&gt;Fujibayashi, Kazutoshi&lt;/author&gt;&lt;author&gt;Okumura, Mitsue&lt;/author&gt;&lt;author&gt;Sasabe, Noriko&lt;/author&gt;&lt;author&gt;Urabe, Akio&lt;/author&gt;&lt;/authors&gt;&lt;/contributors&gt;&lt;titles&gt;&lt;title&gt;Helicobacter pylori infection is significantly associated with metabolic syndrome in the Japanese population&lt;/title&gt;&lt;secondary-title&gt;Official journal of the American College of Gastroenterology| ACG&lt;/secondary-title&gt;&lt;/titles&gt;&lt;periodical&gt;&lt;full-title&gt;Official journal of the American College of Gastroenterology| ACG&lt;/full-title&gt;&lt;/periodical&gt;&lt;pages&gt;3005-3010&lt;/pages&gt;&lt;volume&gt;103&lt;/volume&gt;&lt;number&gt;12&lt;/number&gt;&lt;dates&gt;&lt;year&gt;2008&lt;/year&gt;&lt;/dates&gt;&lt;isbn&gt;0002-9270&lt;/isbn&gt;&lt;urls&gt;&lt;/urls&gt;&lt;/record&gt;&lt;/Cite&gt;&lt;/EndNote&gt;</w:instrText>
      </w:r>
      <w:r w:rsidR="00DE37B0" w:rsidRPr="00280684">
        <w:fldChar w:fldCharType="separate"/>
      </w:r>
      <w:r w:rsidR="00DE37B0" w:rsidRPr="00280684">
        <w:rPr>
          <w:noProof/>
        </w:rPr>
        <w:t>[</w:t>
      </w:r>
      <w:hyperlink w:anchor="_ENREF_34" w:tooltip="Gunji, 2008 #386" w:history="1">
        <w:r w:rsidR="00B35F69" w:rsidRPr="00280684">
          <w:rPr>
            <w:noProof/>
          </w:rPr>
          <w:t>34</w:t>
        </w:r>
      </w:hyperlink>
      <w:r w:rsidR="00DE37B0" w:rsidRPr="00280684">
        <w:rPr>
          <w:noProof/>
        </w:rPr>
        <w:t>]</w:t>
      </w:r>
      <w:r w:rsidR="00DE37B0" w:rsidRPr="00280684">
        <w:fldChar w:fldCharType="end"/>
      </w:r>
      <w:r w:rsidRPr="00280684">
        <w:t xml:space="preserve">. </w:t>
      </w:r>
    </w:p>
    <w:p w14:paraId="095992B1" w14:textId="2DE3BFA4" w:rsidR="008134E5" w:rsidRDefault="00267D5C" w:rsidP="00B35F69">
      <w:pPr>
        <w:spacing w:line="360" w:lineRule="auto"/>
        <w:ind w:firstLine="562"/>
      </w:pPr>
      <w:r w:rsidRPr="00280684">
        <w:t>A study found no association between H. pylori infection and NAFLD</w:t>
      </w:r>
      <w:r w:rsidR="00D17EC6">
        <w:t>.</w:t>
      </w:r>
      <w:r w:rsidRPr="00280684">
        <w:t xml:space="preserve"> </w:t>
      </w:r>
      <w:r w:rsidRPr="00280684">
        <w:fldChar w:fldCharType="begin"/>
      </w:r>
      <w:r w:rsidRPr="00280684">
        <w:instrText xml:space="preserve"> ADDIN EN.CITE &lt;EndNote&gt;&lt;Cite&gt;&lt;Author&gt;Mohammadifard&lt;/Author&gt;&lt;Year&gt;2019&lt;/Year&gt;&lt;RecNum&gt;1836&lt;/RecNum&gt;&lt;DisplayText&gt;[35]&lt;/DisplayText&gt;&lt;record&gt;&lt;rec-number&gt;1836&lt;/rec-number&gt;&lt;foreign-keys&gt;&lt;key app="EN" db-id="ftdeprx0ptvtxbefrrl5r9xrvps9d9vrpaat"&gt;1836&lt;/key&gt;&lt;/foreign-keys&gt;&lt;ref-type name="Journal Article"&gt;17&lt;/ref-type&gt;&lt;contributors&gt;&lt;authors&gt;&lt;author&gt;Mohammadifard, Mahyar&lt;/author&gt;&lt;author&gt;Saremi, Zeinab&lt;/author&gt;&lt;author&gt;Rastgoo, Mahboobe&lt;/author&gt;&lt;author&gt;Akbari, Ehsan&lt;/author&gt;&lt;/authors&gt;&lt;/contributors&gt;&lt;titles&gt;&lt;title&gt;Relevance between helicobacter pylori infection and non-alcoholic fatty liver disease in Birjand, Iran&lt;/title&gt;&lt;secondary-title&gt;Journal of medicine and life&lt;/secondary-title&gt;&lt;/titles&gt;&lt;periodical&gt;&lt;full-title&gt;Journal of medicine and life&lt;/full-title&gt;&lt;/periodical&gt;&lt;pages&gt;168&lt;/pages&gt;&lt;volume&gt;12&lt;/volume&gt;&lt;number&gt;2&lt;/number&gt;&lt;dates&gt;&lt;year&gt;2019&lt;/year&gt;&lt;/dates&gt;&lt;urls&gt;&lt;/urls&gt;&lt;/record&gt;&lt;/Cite&gt;&lt;/EndNote&gt;</w:instrText>
      </w:r>
      <w:r w:rsidRPr="00280684">
        <w:fldChar w:fldCharType="separate"/>
      </w:r>
      <w:r w:rsidRPr="00280684">
        <w:rPr>
          <w:noProof/>
        </w:rPr>
        <w:t>[</w:t>
      </w:r>
      <w:hyperlink w:anchor="_ENREF_35" w:tooltip="Mohammadifard, 2019 #1836" w:history="1">
        <w:r w:rsidR="00B35F69" w:rsidRPr="00280684">
          <w:rPr>
            <w:noProof/>
          </w:rPr>
          <w:t>35</w:t>
        </w:r>
      </w:hyperlink>
      <w:r w:rsidRPr="00280684">
        <w:rPr>
          <w:noProof/>
        </w:rPr>
        <w:t>]</w:t>
      </w:r>
      <w:r w:rsidRPr="00280684">
        <w:fldChar w:fldCharType="end"/>
      </w:r>
      <w:r w:rsidRPr="00280684">
        <w:t xml:space="preserve">. The defined H. pylori infection </w:t>
      </w:r>
      <w:r w:rsidR="00D17EC6">
        <w:t xml:space="preserve">is </w:t>
      </w:r>
      <w:r w:rsidRPr="00280684">
        <w:t xml:space="preserve">based on the positivity of both H. pylori Abs and H. pylori Ag in stool. In addition, </w:t>
      </w:r>
      <w:r w:rsidR="00D17EC6">
        <w:t xml:space="preserve">the patient and control group had no gastrointestinal symptoms; in contrast to our cohort, the </w:t>
      </w:r>
      <w:r w:rsidRPr="00280684">
        <w:t xml:space="preserve">patient group had gastrointestinal symptoms. </w:t>
      </w:r>
      <w:r w:rsidR="008134E5" w:rsidRPr="00280684">
        <w:rPr>
          <w:b/>
          <w:bCs/>
          <w:i/>
          <w:iCs/>
        </w:rPr>
        <w:t>Baeg et al.</w:t>
      </w:r>
      <w:r w:rsidRPr="00280684">
        <w:rPr>
          <w:b/>
          <w:bCs/>
          <w:i/>
          <w:iCs/>
        </w:rPr>
        <w:t xml:space="preserve"> </w:t>
      </w:r>
      <w:r w:rsidRPr="00280684">
        <w:rPr>
          <w:b/>
          <w:bCs/>
        </w:rPr>
        <w:fldChar w:fldCharType="begin"/>
      </w:r>
      <w:r w:rsidRPr="00280684">
        <w:rPr>
          <w:b/>
          <w:bCs/>
        </w:rPr>
        <w:instrText xml:space="preserve"> ADDIN EN.CITE &lt;EndNote&gt;&lt;Cite&gt;&lt;Author&gt;Baeg&lt;/Author&gt;&lt;Year&gt;2016&lt;/Year&gt;&lt;RecNum&gt;1843&lt;/RecNum&gt;&lt;DisplayText&gt;[26]&lt;/DisplayText&gt;&lt;record&gt;&lt;rec-number&gt;1843&lt;/rec-number&gt;&lt;foreign-keys&gt;&lt;key app="EN" db-id="ftdeprx0ptvtxbefrrl5r9xrvps9d9vrpaat"&gt;1843&lt;/key&gt;&lt;/foreign-keys&gt;&lt;ref-type name="Journal Article"&gt;17&lt;/ref-type&gt;&lt;contributors&gt;&lt;authors&gt;&lt;author&gt;Baeg, Myong Ki&lt;/author&gt;&lt;author&gt;Yoon, Seung Kew&lt;/author&gt;&lt;author&gt;Ko, Sun-Hye&lt;/author&gt;&lt;author&gt;Noh, Yong-Sun&lt;/author&gt;&lt;author&gt;Lee, In-Seok&lt;/author&gt;&lt;author&gt;Choi, Myung-Gyu&lt;/author&gt;&lt;/authors&gt;&lt;/contributors&gt;&lt;titles&gt;&lt;title&gt;Helicobacter pylori infection is not associated with nonalcoholic fatty liver disease&lt;/title&gt;&lt;secondary-title&gt;World journal of gastroenterology&lt;/secondary-title&gt;&lt;/titles&gt;&lt;periodical&gt;&lt;full-title&gt;World journal of gastroenterology&lt;/full-title&gt;&lt;abbr-1&gt;World J Gastroenterol&lt;/abbr-1&gt;&lt;/periodical&gt;&lt;pages&gt;2592&lt;/pages&gt;&lt;volume&gt;22&lt;/volume&gt;&lt;number&gt;8&lt;/number&gt;&lt;dates&gt;&lt;year&gt;2016&lt;/year&gt;&lt;/dates&gt;&lt;urls&gt;&lt;/urls&gt;&lt;/record&gt;&lt;/Cite&gt;&lt;/EndNote&gt;</w:instrText>
      </w:r>
      <w:r w:rsidRPr="00280684">
        <w:rPr>
          <w:b/>
          <w:bCs/>
        </w:rPr>
        <w:fldChar w:fldCharType="separate"/>
      </w:r>
      <w:r w:rsidRPr="00280684">
        <w:rPr>
          <w:b/>
          <w:bCs/>
          <w:noProof/>
        </w:rPr>
        <w:t>[</w:t>
      </w:r>
      <w:hyperlink w:anchor="_ENREF_26" w:tooltip="Baeg, 2016 #1843" w:history="1">
        <w:r w:rsidR="00B35F69" w:rsidRPr="00280684">
          <w:rPr>
            <w:b/>
            <w:bCs/>
            <w:noProof/>
          </w:rPr>
          <w:t>26</w:t>
        </w:r>
      </w:hyperlink>
      <w:r w:rsidRPr="00280684">
        <w:rPr>
          <w:b/>
          <w:bCs/>
          <w:noProof/>
        </w:rPr>
        <w:t>]</w:t>
      </w:r>
      <w:r w:rsidRPr="00280684">
        <w:rPr>
          <w:b/>
          <w:bCs/>
        </w:rPr>
        <w:fldChar w:fldCharType="end"/>
      </w:r>
      <w:r w:rsidR="008134E5" w:rsidRPr="00280684">
        <w:rPr>
          <w:b/>
          <w:bCs/>
          <w:i/>
          <w:iCs/>
        </w:rPr>
        <w:t>,</w:t>
      </w:r>
      <w:r w:rsidR="008134E5" w:rsidRPr="00280684">
        <w:rPr>
          <w:b/>
          <w:bCs/>
        </w:rPr>
        <w:t xml:space="preserve"> </w:t>
      </w:r>
      <w:r w:rsidR="008134E5" w:rsidRPr="00280684">
        <w:t xml:space="preserve">found that H. pylori infection is not a risk factor for NAFLD. NAFLD was diagnosed if hepatic steatosis index &gt; 36 or ALD liver fat score &gt; -0.640). There was no statistically significant difference among NAFLD subgroups regarding the number of patients with positive H pylori Ag in </w:t>
      </w:r>
      <w:r w:rsidR="00D17EC6">
        <w:t xml:space="preserve">the stool or the </w:t>
      </w:r>
      <w:r w:rsidR="008134E5" w:rsidRPr="00280684">
        <w:t>number of patients with positive H pylori Ab</w:t>
      </w:r>
      <w:r w:rsidRPr="00280684">
        <w:t>s.</w:t>
      </w:r>
      <w:r w:rsidR="008134E5" w:rsidRPr="00280684">
        <w:t xml:space="preserve"> (p: 0.906 and 0.901</w:t>
      </w:r>
      <w:r w:rsidR="00D17EC6">
        <w:t>,</w:t>
      </w:r>
      <w:r w:rsidR="008134E5" w:rsidRPr="00280684">
        <w:t xml:space="preserve"> respectively). The study revealed a positive correlation between </w:t>
      </w:r>
      <w:r w:rsidR="00D17EC6">
        <w:t>NAFLD severity and elevated BMI, ALT, and AST levels</w:t>
      </w:r>
      <w:r w:rsidR="008134E5" w:rsidRPr="00280684">
        <w:t>.</w:t>
      </w:r>
    </w:p>
    <w:p w14:paraId="7C76844B" w14:textId="77777777" w:rsidR="005D470E" w:rsidRPr="00280684" w:rsidRDefault="005D470E" w:rsidP="005D470E">
      <w:pPr>
        <w:pStyle w:val="Heading2"/>
        <w:ind w:firstLine="0"/>
      </w:pPr>
      <w:r w:rsidRPr="00280684">
        <w:t>Study limitations</w:t>
      </w:r>
    </w:p>
    <w:p w14:paraId="69BE21F0" w14:textId="77777777" w:rsidR="005D470E" w:rsidRDefault="005D470E" w:rsidP="005D470E">
      <w:pPr>
        <w:spacing w:line="360" w:lineRule="auto"/>
        <w:ind w:left="90" w:firstLine="630"/>
        <w:rPr>
          <w:strike/>
        </w:rPr>
      </w:pPr>
      <w:r w:rsidRPr="00280684">
        <w:t>Further studies involving larger cohorts of patients and longer durations are necessary to establish the potential connections between NAFLD, H. pylori infection, dyslipidemia, and IR in NAFLD patients.</w:t>
      </w:r>
      <w:r w:rsidRPr="00280684">
        <w:rPr>
          <w:strike/>
        </w:rPr>
        <w:t xml:space="preserve"> </w:t>
      </w:r>
    </w:p>
    <w:p w14:paraId="439FBE43" w14:textId="77777777" w:rsidR="005D470E" w:rsidRPr="00280684" w:rsidRDefault="005D470E" w:rsidP="00B35F69">
      <w:pPr>
        <w:spacing w:line="360" w:lineRule="auto"/>
        <w:ind w:firstLine="562"/>
      </w:pPr>
    </w:p>
    <w:p w14:paraId="332E81BF" w14:textId="77777777" w:rsidR="005E35B3" w:rsidRPr="00280684" w:rsidRDefault="005E35B3" w:rsidP="001F59AE">
      <w:pPr>
        <w:spacing w:line="360" w:lineRule="auto"/>
        <w:ind w:firstLine="0"/>
        <w:rPr>
          <w:b/>
          <w:bCs/>
        </w:rPr>
      </w:pPr>
      <w:r w:rsidRPr="00280684">
        <w:rPr>
          <w:b/>
          <w:bCs/>
        </w:rPr>
        <w:t>Conclusion</w:t>
      </w:r>
    </w:p>
    <w:p w14:paraId="1A3457CD" w14:textId="3D059385" w:rsidR="00113EF3" w:rsidRPr="00280684" w:rsidRDefault="001F59AE" w:rsidP="00267D5C">
      <w:pPr>
        <w:pStyle w:val="ListParagraph"/>
        <w:spacing w:line="360" w:lineRule="auto"/>
        <w:ind w:left="90" w:firstLine="630"/>
        <w:contextualSpacing w:val="0"/>
      </w:pPr>
      <w:r w:rsidRPr="00280684">
        <w:t xml:space="preserve">In </w:t>
      </w:r>
      <w:r w:rsidR="00267D5C" w:rsidRPr="00280684">
        <w:t>the</w:t>
      </w:r>
      <w:r w:rsidRPr="00280684">
        <w:t xml:space="preserve"> current study, we observed that obese patients with NAFLD had a significantly higher prevalence of positive H. pylori </w:t>
      </w:r>
      <w:r w:rsidR="00267D5C" w:rsidRPr="00280684">
        <w:t>Abs</w:t>
      </w:r>
      <w:r w:rsidRPr="00280684">
        <w:t xml:space="preserve"> and a </w:t>
      </w:r>
      <w:r w:rsidR="00D17EC6">
        <w:t>substantially</w:t>
      </w:r>
      <w:r w:rsidRPr="00280684">
        <w:t xml:space="preserve"> lower prevalence of positive H. pylori antigen in stool compared to the control group. Additionally, they exhibited higher levels of HbA</w:t>
      </w:r>
      <w:r w:rsidRPr="00280684">
        <w:rPr>
          <w:vertAlign w:val="subscript"/>
        </w:rPr>
        <w:t>1c</w:t>
      </w:r>
      <w:r w:rsidRPr="00280684">
        <w:t xml:space="preserve"> and HOMA-IR compared to the control group, along with a higher incidence of dyslipidemia, which suggests a potential link between dyslipidemia and NAFLD. Furthermore, the severity of steatosis detected by ultrasound was significantly and positively correlated with age, BMI, ALT, and AST levels.</w:t>
      </w:r>
    </w:p>
    <w:p w14:paraId="65191E06" w14:textId="77777777" w:rsidR="001F59AE" w:rsidRPr="00280684" w:rsidRDefault="001F59AE" w:rsidP="001F59AE">
      <w:pPr>
        <w:pStyle w:val="Heading2"/>
        <w:ind w:firstLine="0"/>
      </w:pPr>
    </w:p>
    <w:p w14:paraId="5CDB94B8" w14:textId="77777777" w:rsidR="00121922" w:rsidRPr="00121922" w:rsidRDefault="00121922" w:rsidP="00121922">
      <w:pPr>
        <w:spacing w:after="160" w:line="240" w:lineRule="auto"/>
        <w:ind w:firstLine="0"/>
        <w:jc w:val="lowKashida"/>
        <w:rPr>
          <w:rFonts w:ascii="Times New Roman" w:eastAsia="Calibri" w:hAnsi="Times New Roman" w:cs="Times New Roman"/>
          <w:b/>
          <w:bCs/>
          <w:lang w:bidi="ar-SA"/>
        </w:rPr>
      </w:pPr>
      <w:r w:rsidRPr="00121922">
        <w:rPr>
          <w:rFonts w:ascii="Times New Roman" w:eastAsia="Calibri" w:hAnsi="Times New Roman" w:cs="Times New Roman"/>
          <w:b/>
          <w:bCs/>
          <w:lang w:bidi="ar-SA"/>
        </w:rPr>
        <w:t>Footnotes.</w:t>
      </w:r>
    </w:p>
    <w:p w14:paraId="6EE53733" w14:textId="7E97912D" w:rsidR="00121922" w:rsidRPr="00121922" w:rsidRDefault="00121922" w:rsidP="005D470E">
      <w:pPr>
        <w:spacing w:after="160" w:line="240" w:lineRule="auto"/>
        <w:ind w:firstLine="180"/>
        <w:jc w:val="lowKashida"/>
        <w:rPr>
          <w:rFonts w:ascii="Times New Roman" w:eastAsia="Calibri" w:hAnsi="Times New Roman" w:cs="Times New Roman"/>
          <w:lang w:bidi="ar-SA"/>
        </w:rPr>
      </w:pPr>
      <w:r w:rsidRPr="00121922">
        <w:rPr>
          <w:rFonts w:ascii="Times New Roman" w:eastAsia="Calibri" w:hAnsi="Times New Roman" w:cs="Times New Roman"/>
          <w:lang w:bidi="ar-SA"/>
        </w:rPr>
        <w:t>Ahmed Fathy (Assistant professor of internal medicine</w:t>
      </w:r>
      <w:r w:rsidR="005D470E">
        <w:rPr>
          <w:rFonts w:ascii="Times New Roman" w:eastAsia="Calibri" w:hAnsi="Times New Roman" w:cs="Times New Roman"/>
          <w:lang w:bidi="ar-SA"/>
        </w:rPr>
        <w:t xml:space="preserve">, </w:t>
      </w:r>
      <w:r w:rsidR="005D470E" w:rsidRPr="00121922">
        <w:rPr>
          <w:rFonts w:ascii="Times New Roman" w:eastAsia="Calibri" w:hAnsi="Times New Roman" w:cs="Times New Roman"/>
          <w:lang w:bidi="ar-SA"/>
        </w:rPr>
        <w:t>gastroenterology, and hepatology unit</w:t>
      </w:r>
      <w:r w:rsidRPr="00121922">
        <w:rPr>
          <w:rFonts w:ascii="Times New Roman" w:eastAsia="Calibri" w:hAnsi="Times New Roman" w:cs="Times New Roman"/>
          <w:lang w:bidi="ar-SA"/>
        </w:rPr>
        <w:t xml:space="preserve">) and Sara Salem (lecturer of internal medicine, </w:t>
      </w:r>
      <w:bookmarkStart w:id="5" w:name="_Hlk174798793"/>
      <w:r w:rsidRPr="00121922">
        <w:rPr>
          <w:rFonts w:ascii="Times New Roman" w:eastAsia="Calibri" w:hAnsi="Times New Roman" w:cs="Times New Roman"/>
          <w:lang w:bidi="ar-SA"/>
        </w:rPr>
        <w:t>gastroenterology, and hepatology unit</w:t>
      </w:r>
      <w:bookmarkEnd w:id="5"/>
      <w:r w:rsidRPr="00121922">
        <w:rPr>
          <w:rFonts w:ascii="Times New Roman" w:eastAsia="Calibri" w:hAnsi="Times New Roman" w:cs="Times New Roman"/>
          <w:lang w:bidi="ar-SA"/>
        </w:rPr>
        <w:t>) were the peer reviewers.</w:t>
      </w:r>
    </w:p>
    <w:p w14:paraId="6A838FFE" w14:textId="77777777" w:rsidR="00121922" w:rsidRPr="00121922" w:rsidRDefault="00121922" w:rsidP="00121922">
      <w:pPr>
        <w:spacing w:after="160" w:line="240" w:lineRule="auto"/>
        <w:ind w:firstLine="180"/>
        <w:jc w:val="lowKashida"/>
        <w:rPr>
          <w:rFonts w:ascii="Times New Roman" w:eastAsia="Calibri" w:hAnsi="Times New Roman" w:cs="Times New Roman"/>
          <w:lang w:bidi="ar-SA"/>
        </w:rPr>
      </w:pPr>
      <w:r w:rsidRPr="00121922">
        <w:rPr>
          <w:rFonts w:ascii="Times New Roman" w:eastAsia="Calibri" w:hAnsi="Times New Roman" w:cs="Times New Roman"/>
          <w:b/>
          <w:bCs/>
          <w:lang w:bidi="ar-SA"/>
        </w:rPr>
        <w:t>E- Editor:</w:t>
      </w:r>
      <w:r w:rsidRPr="00121922">
        <w:rPr>
          <w:rFonts w:ascii="Times New Roman" w:eastAsia="Calibri" w:hAnsi="Times New Roman" w:cs="Times New Roman"/>
          <w:lang w:bidi="ar-SA"/>
        </w:rPr>
        <w:t xml:space="preserve"> Salem Youssef Mohamed, Osama Ahmed Khalil, Amany Mohammed.</w:t>
      </w:r>
    </w:p>
    <w:p w14:paraId="5437F5D6" w14:textId="77777777" w:rsidR="00121922" w:rsidRPr="00121922" w:rsidRDefault="00121922" w:rsidP="00121922">
      <w:pPr>
        <w:spacing w:after="160" w:line="240" w:lineRule="auto"/>
        <w:ind w:firstLine="0"/>
        <w:jc w:val="lowKashida"/>
        <w:rPr>
          <w:rFonts w:ascii="Times New Roman" w:eastAsia="Calibri" w:hAnsi="Times New Roman" w:cs="Times New Roman"/>
          <w:lang w:bidi="ar-SA"/>
        </w:rPr>
      </w:pPr>
      <w:r w:rsidRPr="00121922">
        <w:rPr>
          <w:rFonts w:ascii="Times New Roman" w:eastAsia="Calibri" w:hAnsi="Times New Roman" w:cs="Times New Roman"/>
          <w:b/>
          <w:bCs/>
          <w:lang w:bidi="ar-SA"/>
        </w:rPr>
        <w:t>Copyright ©.</w:t>
      </w:r>
      <w:r w:rsidRPr="00121922">
        <w:rPr>
          <w:rFonts w:ascii="Times New Roman" w:eastAsia="Calibri" w:hAnsi="Times New Roman" w:cs="Times New Roman"/>
          <w:lang w:bidi="ar-SA"/>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01DF0889" w14:textId="77777777" w:rsidR="00121922" w:rsidRPr="00121922" w:rsidRDefault="00121922" w:rsidP="00121922">
      <w:pPr>
        <w:spacing w:after="160" w:line="240" w:lineRule="auto"/>
        <w:ind w:firstLine="0"/>
        <w:jc w:val="lowKashida"/>
        <w:rPr>
          <w:rFonts w:ascii="Times New Roman" w:eastAsia="Calibri" w:hAnsi="Times New Roman" w:cs="Times New Roman"/>
          <w:lang w:bidi="ar-SA"/>
        </w:rPr>
      </w:pPr>
      <w:r w:rsidRPr="00121922">
        <w:rPr>
          <w:rFonts w:ascii="Times New Roman" w:eastAsia="Calibri" w:hAnsi="Times New Roman" w:cs="Times New Roman"/>
          <w:b/>
          <w:bCs/>
          <w:lang w:bidi="ar-SA"/>
        </w:rPr>
        <w:t>Disclaimer:</w:t>
      </w:r>
      <w:r w:rsidRPr="00121922">
        <w:rPr>
          <w:rFonts w:ascii="Times New Roman" w:eastAsia="Calibri" w:hAnsi="Times New Roman" w:cs="Times New Roman"/>
          <w:lang w:bidi="ar-SA"/>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63BD0E73" w14:textId="77777777" w:rsidR="008329CC" w:rsidRPr="005E503F" w:rsidRDefault="008329CC" w:rsidP="008329CC">
      <w:pPr>
        <w:pStyle w:val="Heading2"/>
        <w:ind w:firstLine="0"/>
        <w:rPr>
          <w:rFonts w:ascii="Times New Roman" w:eastAsia="Calibri" w:hAnsi="Times New Roman" w:cs="Times New Roman"/>
          <w:b w:val="0"/>
          <w:bCs w:val="0"/>
          <w:noProof/>
          <w:lang w:bidi="ar-SA"/>
        </w:rPr>
      </w:pPr>
      <w:r w:rsidRPr="005E503F">
        <w:rPr>
          <w:rFonts w:ascii="Times New Roman" w:eastAsia="Calibri" w:hAnsi="Times New Roman" w:cs="Times New Roman"/>
          <w:b w:val="0"/>
          <w:bCs w:val="0"/>
          <w:noProof/>
          <w:lang w:bidi="ar-SA"/>
        </w:rPr>
        <w:t>Ethical considerations</w:t>
      </w:r>
    </w:p>
    <w:p w14:paraId="66E04EBE" w14:textId="77777777" w:rsidR="008329CC" w:rsidRPr="005E503F" w:rsidRDefault="008329CC" w:rsidP="008329CC">
      <w:pPr>
        <w:spacing w:line="360" w:lineRule="auto"/>
        <w:rPr>
          <w:rFonts w:ascii="Times New Roman" w:eastAsia="Calibri" w:hAnsi="Times New Roman" w:cs="Times New Roman"/>
          <w:noProof/>
          <w:lang w:bidi="ar-SA"/>
        </w:rPr>
      </w:pPr>
      <w:r w:rsidRPr="005E503F">
        <w:rPr>
          <w:rFonts w:ascii="Times New Roman" w:eastAsia="Calibri" w:hAnsi="Times New Roman" w:cs="Times New Roman"/>
          <w:noProof/>
          <w:lang w:bidi="ar-SA"/>
        </w:rPr>
        <w:t>Each patient's file was assigned a unique code number containing all investigations, ensuring the privacy of patient data. Before study inclusion, all subjects had written informed consent. The local ethics commission approved the study (approval code: 33913/6/29).</w:t>
      </w:r>
    </w:p>
    <w:p w14:paraId="7B499814" w14:textId="77777777" w:rsidR="00121922" w:rsidRDefault="00121922" w:rsidP="00121922">
      <w:pPr>
        <w:spacing w:after="160" w:line="240" w:lineRule="auto"/>
        <w:ind w:firstLine="0"/>
        <w:jc w:val="lowKashida"/>
        <w:rPr>
          <w:rFonts w:ascii="Times New Roman" w:eastAsia="Calibri" w:hAnsi="Times New Roman" w:cs="Times New Roman"/>
          <w:noProof/>
          <w:lang w:bidi="ar-SA"/>
        </w:rPr>
      </w:pPr>
      <w:r w:rsidRPr="00121922">
        <w:rPr>
          <w:rFonts w:ascii="Times New Roman" w:eastAsia="Calibri" w:hAnsi="Times New Roman" w:cs="Times New Roman"/>
          <w:noProof/>
          <w:lang w:bidi="ar-SA"/>
        </w:rPr>
        <w:t>Consent for publication: the patients in this research gave written informed permission to publish the data in this study.</w:t>
      </w:r>
    </w:p>
    <w:p w14:paraId="0B358426" w14:textId="77777777" w:rsidR="005E503F" w:rsidRPr="00121922" w:rsidRDefault="005E503F" w:rsidP="005E503F">
      <w:pPr>
        <w:spacing w:after="200"/>
        <w:ind w:firstLine="0"/>
        <w:rPr>
          <w:rFonts w:ascii="Times New Roman" w:eastAsia="Calibri" w:hAnsi="Times New Roman" w:cs="Times New Roman"/>
          <w:noProof/>
          <w:lang w:bidi="ar-SA"/>
        </w:rPr>
      </w:pPr>
      <w:r w:rsidRPr="00121922">
        <w:rPr>
          <w:rFonts w:ascii="Times New Roman" w:eastAsia="Calibri" w:hAnsi="Times New Roman" w:cs="Times New Roman"/>
          <w:b/>
          <w:noProof/>
          <w:lang w:bidi="ar-SA"/>
        </w:rPr>
        <w:t>Ethical approval:</w:t>
      </w:r>
      <w:r w:rsidRPr="00121922">
        <w:rPr>
          <w:rFonts w:ascii="Times New Roman" w:eastAsia="Calibri" w:hAnsi="Times New Roman" w:cs="Times New Roman"/>
          <w:noProof/>
          <w:lang w:bidi="ar-SA"/>
        </w:rPr>
        <w:t xml:space="preserve"> All procedures involving human participants followed the institutional and national research committee's moral standards, the 1964 Helsinki Declaration, and its later amendments or comparable ethical standards. All authors declare that consent was obtained from the patient (or other approved parties) to publish this </w:t>
      </w:r>
      <w:r>
        <w:rPr>
          <w:rFonts w:ascii="Times New Roman" w:eastAsia="Calibri" w:hAnsi="Times New Roman" w:cs="Times New Roman"/>
          <w:noProof/>
          <w:lang w:bidi="ar-SA"/>
        </w:rPr>
        <w:t>study</w:t>
      </w:r>
      <w:r w:rsidRPr="00121922">
        <w:rPr>
          <w:rFonts w:ascii="Times New Roman" w:eastAsia="Calibri" w:hAnsi="Times New Roman" w:cs="Times New Roman"/>
          <w:noProof/>
          <w:lang w:bidi="ar-SA"/>
        </w:rPr>
        <w:t>.</w:t>
      </w:r>
    </w:p>
    <w:p w14:paraId="515C3525" w14:textId="77777777" w:rsidR="00121922" w:rsidRPr="00121922" w:rsidRDefault="00121922" w:rsidP="00121922">
      <w:pPr>
        <w:spacing w:after="160" w:line="240" w:lineRule="auto"/>
        <w:ind w:firstLine="0"/>
        <w:jc w:val="lowKashida"/>
        <w:rPr>
          <w:rFonts w:ascii="Times New Roman" w:eastAsia="Calibri" w:hAnsi="Times New Roman" w:cs="Times New Roman"/>
          <w:lang w:bidi="ar-SA"/>
        </w:rPr>
      </w:pPr>
      <w:r w:rsidRPr="00121922">
        <w:rPr>
          <w:rFonts w:ascii="Times New Roman" w:eastAsia="Calibri" w:hAnsi="Times New Roman" w:cs="Times New Roman"/>
          <w:b/>
          <w:bCs/>
          <w:lang w:bidi="ar-SA"/>
        </w:rPr>
        <w:t>Data and materials availability:</w:t>
      </w:r>
      <w:r w:rsidRPr="00121922">
        <w:rPr>
          <w:rFonts w:ascii="Times New Roman" w:eastAsia="Calibri" w:hAnsi="Times New Roman" w:cs="Times New Roman"/>
          <w:lang w:bidi="ar-SA"/>
        </w:rPr>
        <w:t xml:space="preserve"> The datasets used or analyzed during the current study are available from the corresponding author upon reasonable request.</w:t>
      </w:r>
    </w:p>
    <w:p w14:paraId="596FAC46" w14:textId="77777777" w:rsidR="00121922" w:rsidRPr="00121922" w:rsidRDefault="00121922" w:rsidP="00121922">
      <w:pPr>
        <w:spacing w:after="160" w:line="240" w:lineRule="auto"/>
        <w:ind w:firstLine="0"/>
        <w:jc w:val="lowKashida"/>
        <w:rPr>
          <w:rFonts w:ascii="Times New Roman" w:eastAsia="Calibri" w:hAnsi="Times New Roman" w:cs="Times New Roman"/>
          <w:lang w:bidi="ar-SA"/>
        </w:rPr>
      </w:pPr>
      <w:r w:rsidRPr="00121922">
        <w:rPr>
          <w:rFonts w:ascii="Times New Roman" w:eastAsia="Calibri" w:hAnsi="Times New Roman" w:cs="Times New Roman"/>
          <w:b/>
          <w:bCs/>
          <w:lang w:bidi="ar-SA"/>
        </w:rPr>
        <w:t>Competing interests</w:t>
      </w:r>
      <w:r w:rsidRPr="00121922">
        <w:rPr>
          <w:rFonts w:ascii="Times New Roman" w:eastAsia="Calibri" w:hAnsi="Times New Roman" w:cs="Times New Roman"/>
          <w:lang w:bidi="ar-SA"/>
        </w:rPr>
        <w:t>: The authors declare that they have no competing interests.</w:t>
      </w:r>
    </w:p>
    <w:p w14:paraId="2C30DF7C" w14:textId="77777777" w:rsidR="00121922" w:rsidRPr="00121922" w:rsidRDefault="00121922" w:rsidP="00121922">
      <w:pPr>
        <w:spacing w:after="160" w:line="240" w:lineRule="auto"/>
        <w:ind w:firstLine="0"/>
        <w:jc w:val="lowKashida"/>
        <w:rPr>
          <w:rFonts w:ascii="Times New Roman" w:eastAsia="Calibri" w:hAnsi="Times New Roman" w:cs="Times New Roman"/>
          <w:lang w:bidi="ar-SA"/>
        </w:rPr>
      </w:pPr>
      <w:r w:rsidRPr="00121922">
        <w:rPr>
          <w:rFonts w:ascii="Times New Roman" w:eastAsia="Calibri" w:hAnsi="Times New Roman" w:cs="Times New Roman"/>
          <w:b/>
          <w:bCs/>
          <w:lang w:bidi="ar-SA"/>
        </w:rPr>
        <w:t>Funding</w:t>
      </w:r>
      <w:r w:rsidRPr="00121922">
        <w:rPr>
          <w:rFonts w:ascii="Times New Roman" w:eastAsia="Calibri" w:hAnsi="Times New Roman" w:cs="Times New Roman"/>
          <w:lang w:bidi="ar-SA"/>
        </w:rPr>
        <w:t>: This study had no funding from any resource.</w:t>
      </w:r>
    </w:p>
    <w:p w14:paraId="14BAAE2E" w14:textId="0A243481" w:rsidR="00121922" w:rsidRPr="00121922" w:rsidRDefault="00121922" w:rsidP="00210231">
      <w:pPr>
        <w:spacing w:after="200"/>
        <w:ind w:firstLine="0"/>
        <w:rPr>
          <w:rFonts w:ascii="Times New Roman" w:eastAsia="Calibri" w:hAnsi="Times New Roman" w:cs="Times New Roman"/>
          <w:noProof/>
          <w:lang w:bidi="ar-SA"/>
        </w:rPr>
      </w:pPr>
      <w:r w:rsidRPr="00121922">
        <w:rPr>
          <w:rFonts w:ascii="Times New Roman" w:eastAsia="Calibri" w:hAnsi="Times New Roman" w:cs="Times New Roman"/>
          <w:noProof/>
          <w:lang w:bidi="ar-SA"/>
        </w:rPr>
        <w:t xml:space="preserve">This work was done according to the </w:t>
      </w:r>
      <w:r w:rsidR="00210231" w:rsidRPr="00210231">
        <w:rPr>
          <w:rFonts w:ascii="Times New Roman" w:eastAsia="Calibri" w:hAnsi="Times New Roman" w:cs="Times New Roman"/>
          <w:b/>
          <w:bCs/>
          <w:noProof/>
          <w:lang w:bidi="ar-SA"/>
        </w:rPr>
        <w:t>STROBE</w:t>
      </w:r>
      <w:r w:rsidRPr="00121922">
        <w:rPr>
          <w:rFonts w:ascii="Times New Roman" w:eastAsia="Calibri" w:hAnsi="Times New Roman" w:cs="Times New Roman"/>
          <w:noProof/>
          <w:lang w:bidi="ar-SA"/>
        </w:rPr>
        <w:t xml:space="preserve"> guidelines.</w:t>
      </w:r>
    </w:p>
    <w:p w14:paraId="2E14B1DC" w14:textId="77777777" w:rsidR="001A43FD" w:rsidRPr="00121922" w:rsidRDefault="001A43FD" w:rsidP="001A43FD">
      <w:pPr>
        <w:spacing w:line="240" w:lineRule="auto"/>
        <w:ind w:firstLine="0"/>
        <w:jc w:val="lowKashida"/>
        <w:rPr>
          <w:rFonts w:ascii="Times New Roman" w:eastAsia="Calibri" w:hAnsi="Times New Roman" w:cs="Times New Roman"/>
          <w:b/>
          <w:bCs/>
          <w:lang w:bidi="ar-SA"/>
        </w:rPr>
      </w:pPr>
      <w:bookmarkStart w:id="6" w:name="h11"/>
      <w:bookmarkEnd w:id="6"/>
      <w:r w:rsidRPr="00121922">
        <w:rPr>
          <w:rFonts w:ascii="Times New Roman" w:eastAsia="Calibri" w:hAnsi="Times New Roman" w:cs="Times New Roman"/>
          <w:b/>
          <w:bCs/>
          <w:lang w:bidi="ar-SA"/>
        </w:rPr>
        <w:t>Authors’ contributions</w:t>
      </w:r>
    </w:p>
    <w:p w14:paraId="5DD4573A" w14:textId="26071A6D" w:rsidR="00E0543F" w:rsidRPr="00280684" w:rsidRDefault="00E0543F" w:rsidP="00E0543F">
      <w:pPr>
        <w:pStyle w:val="Heading2"/>
        <w:rPr>
          <w:b w:val="0"/>
          <w:bCs w:val="0"/>
        </w:rPr>
      </w:pPr>
      <w:r w:rsidRPr="00280684">
        <w:rPr>
          <w:b w:val="0"/>
          <w:bCs w:val="0"/>
        </w:rPr>
        <w:t xml:space="preserve">All listed authors have contributed substantially, directly, and intellectually to the work and have </w:t>
      </w:r>
      <w:r w:rsidR="00D17EC6">
        <w:rPr>
          <w:b w:val="0"/>
          <w:bCs w:val="0"/>
        </w:rPr>
        <w:t>approved</w:t>
      </w:r>
      <w:r w:rsidRPr="00280684">
        <w:rPr>
          <w:b w:val="0"/>
          <w:bCs w:val="0"/>
        </w:rPr>
        <w:t xml:space="preserve"> its publication.</w:t>
      </w:r>
    </w:p>
    <w:p w14:paraId="4B30F52F" w14:textId="77777777" w:rsidR="00E0543F" w:rsidRPr="00280684" w:rsidRDefault="00E0543F" w:rsidP="00E0543F">
      <w:pPr>
        <w:pStyle w:val="Heading2"/>
        <w:ind w:firstLine="0"/>
      </w:pPr>
    </w:p>
    <w:p w14:paraId="303ADB20" w14:textId="77777777" w:rsidR="00524D54" w:rsidRPr="00280684" w:rsidRDefault="000E3A49" w:rsidP="00E0543F">
      <w:pPr>
        <w:pStyle w:val="Heading2"/>
        <w:ind w:firstLine="0"/>
      </w:pPr>
      <w:r w:rsidRPr="00280684">
        <w:t>References</w:t>
      </w:r>
    </w:p>
    <w:p w14:paraId="5CF5264D" w14:textId="77777777" w:rsidR="00B35F69" w:rsidRPr="00B35F69" w:rsidRDefault="005D0FE9" w:rsidP="00B35F69">
      <w:pPr>
        <w:pStyle w:val="EndNoteBibliography"/>
        <w:ind w:firstLine="0"/>
      </w:pPr>
      <w:r w:rsidRPr="00280684">
        <w:rPr>
          <w:rFonts w:asciiTheme="majorBidi" w:hAnsiTheme="majorBidi" w:cstheme="majorBidi"/>
        </w:rPr>
        <w:fldChar w:fldCharType="begin"/>
      </w:r>
      <w:r w:rsidRPr="00280684">
        <w:rPr>
          <w:rFonts w:asciiTheme="majorBidi" w:hAnsiTheme="majorBidi" w:cstheme="majorBidi"/>
        </w:rPr>
        <w:instrText xml:space="preserve"> ADDIN EN.REFLIST </w:instrText>
      </w:r>
      <w:r w:rsidRPr="00280684">
        <w:rPr>
          <w:rFonts w:asciiTheme="majorBidi" w:hAnsiTheme="majorBidi" w:cstheme="majorBidi"/>
        </w:rPr>
        <w:fldChar w:fldCharType="separate"/>
      </w:r>
      <w:bookmarkStart w:id="7" w:name="_ENREF_1"/>
      <w:r w:rsidR="00B35F69" w:rsidRPr="00B35F69">
        <w:t>1.</w:t>
      </w:r>
      <w:r w:rsidR="00B35F69" w:rsidRPr="00B35F69">
        <w:tab/>
        <w:t>Calzadilla Bertot L, Adams LA. The natural course of non-alcoholic fatty liver disease. International journal of molecular sciences. 2016;17(5):774.</w:t>
      </w:r>
      <w:bookmarkEnd w:id="7"/>
    </w:p>
    <w:p w14:paraId="43CB4358" w14:textId="688D746B" w:rsidR="00B35F69" w:rsidRPr="00B35F69" w:rsidRDefault="00B35F69" w:rsidP="00B35F69">
      <w:pPr>
        <w:pStyle w:val="EndNoteBibliography"/>
        <w:ind w:firstLine="0"/>
      </w:pPr>
      <w:bookmarkStart w:id="8" w:name="_ENREF_2"/>
      <w:r w:rsidRPr="00B35F69">
        <w:t>2.</w:t>
      </w:r>
      <w:r w:rsidRPr="00B35F69">
        <w:tab/>
        <w:t xml:space="preserve">Riazi K, Azhari H, Charette JH, et al. The prevalence and incidence of NAFLD worldwide: a systematic review and meta-analysis. The </w:t>
      </w:r>
      <w:r w:rsidR="00F80D04">
        <w:t>Lancet</w:t>
      </w:r>
      <w:r w:rsidRPr="00B35F69">
        <w:t xml:space="preserve"> gastroenterology &amp; hepatology. 2022;7(9):851-61.</w:t>
      </w:r>
      <w:bookmarkEnd w:id="8"/>
    </w:p>
    <w:p w14:paraId="67E36BF8" w14:textId="77777777" w:rsidR="00B35F69" w:rsidRPr="00B35F69" w:rsidRDefault="00B35F69" w:rsidP="00B35F69">
      <w:pPr>
        <w:pStyle w:val="EndNoteBibliography"/>
        <w:ind w:firstLine="0"/>
      </w:pPr>
      <w:bookmarkStart w:id="9" w:name="_ENREF_3"/>
      <w:r w:rsidRPr="00B35F69">
        <w:t>3.</w:t>
      </w:r>
      <w:r w:rsidRPr="00B35F69">
        <w:tab/>
        <w:t>Harrison SA, Torgerson S, Hayashi PH. The natural history of nonalcoholic fatty liver disease: a clinical histopathological study. The American journal of gastroenterology. 2003;98(9):2042-7.</w:t>
      </w:r>
      <w:bookmarkEnd w:id="9"/>
    </w:p>
    <w:p w14:paraId="1AB2039B" w14:textId="3F5FA6DC" w:rsidR="00B35F69" w:rsidRPr="00B35F69" w:rsidRDefault="00B35F69" w:rsidP="00B35F69">
      <w:pPr>
        <w:pStyle w:val="EndNoteBibliography"/>
        <w:ind w:firstLine="0"/>
      </w:pPr>
      <w:bookmarkStart w:id="10" w:name="_ENREF_4"/>
      <w:r w:rsidRPr="00B35F69">
        <w:t>4.</w:t>
      </w:r>
      <w:r w:rsidRPr="00B35F69">
        <w:tab/>
        <w:t xml:space="preserve">Caldwell SH, Crespo DM. The spectrum expanded: cryptogenic cirrhosis and the natural history of non-alcoholic fatty liver diseasePowell EE, Cooksley WGE, Hanson R, Searle J, Halliday JW, Powell LW. The natural history of nonalcoholic steatohepatitis: a follow-up study of forty-two patients for up to 21 years [Hepatology 1990; 11: 74–80]. Journal of </w:t>
      </w:r>
      <w:r w:rsidR="00F80D04">
        <w:t>Hepatology</w:t>
      </w:r>
      <w:r w:rsidRPr="00B35F69">
        <w:t>. 2004;40(4):578-84.</w:t>
      </w:r>
      <w:bookmarkEnd w:id="10"/>
    </w:p>
    <w:p w14:paraId="3A41041C" w14:textId="77777777" w:rsidR="00B35F69" w:rsidRPr="00B35F69" w:rsidRDefault="00B35F69" w:rsidP="00B35F69">
      <w:pPr>
        <w:pStyle w:val="EndNoteBibliography"/>
        <w:ind w:firstLine="0"/>
      </w:pPr>
      <w:bookmarkStart w:id="11" w:name="_ENREF_5"/>
      <w:r w:rsidRPr="00B35F69">
        <w:t>5.</w:t>
      </w:r>
      <w:r w:rsidRPr="00B35F69">
        <w:tab/>
        <w:t>Collaborators GO. Health effects of overweight and obesity in 195 countries over 25 years. New England journal of medicine. 2017;377(1):13-27.</w:t>
      </w:r>
      <w:bookmarkEnd w:id="11"/>
    </w:p>
    <w:p w14:paraId="6B4785DA" w14:textId="77777777" w:rsidR="00B35F69" w:rsidRPr="00B35F69" w:rsidRDefault="00B35F69" w:rsidP="00B35F69">
      <w:pPr>
        <w:pStyle w:val="EndNoteBibliography"/>
        <w:ind w:firstLine="0"/>
      </w:pPr>
      <w:bookmarkStart w:id="12" w:name="_ENREF_6"/>
      <w:r w:rsidRPr="00B35F69">
        <w:t>6.</w:t>
      </w:r>
      <w:r w:rsidRPr="00B35F69">
        <w:tab/>
        <w:t>Stefan N, Cusi K. A global view of the interplay between non-alcoholic fatty liver disease and diabetes. The lancet Diabetes &amp; endocrinology. 2022;10(4):284-96.</w:t>
      </w:r>
      <w:bookmarkEnd w:id="12"/>
    </w:p>
    <w:p w14:paraId="31E6FAAD" w14:textId="77777777" w:rsidR="00B35F69" w:rsidRPr="00B35F69" w:rsidRDefault="00B35F69" w:rsidP="00B35F69">
      <w:pPr>
        <w:pStyle w:val="EndNoteBibliography"/>
        <w:ind w:firstLine="0"/>
      </w:pPr>
      <w:bookmarkStart w:id="13" w:name="_ENREF_7"/>
      <w:r w:rsidRPr="00B35F69">
        <w:t>7.</w:t>
      </w:r>
      <w:r w:rsidRPr="00B35F69">
        <w:tab/>
        <w:t>Polyzos SA, Kountouras J, Zavos C, Deretzi G. The association between Helicobacter pylori infection and insulin resistance: a systematic review. Helicobacter. 2011;16(2):79-88.</w:t>
      </w:r>
      <w:bookmarkEnd w:id="13"/>
    </w:p>
    <w:p w14:paraId="052B89B4" w14:textId="77777777" w:rsidR="00B35F69" w:rsidRPr="00B35F69" w:rsidRDefault="00B35F69" w:rsidP="00B35F69">
      <w:pPr>
        <w:pStyle w:val="EndNoteBibliography"/>
        <w:ind w:firstLine="0"/>
      </w:pPr>
      <w:bookmarkStart w:id="14" w:name="_ENREF_8"/>
      <w:r w:rsidRPr="00B35F69">
        <w:t>8.</w:t>
      </w:r>
      <w:r w:rsidRPr="00B35F69">
        <w:tab/>
        <w:t>Lehours P. Actual diagnosis of Helicobacter pylori infection. Minerva gastroenterologica e dietologica. 2018;64(3):267-79.</w:t>
      </w:r>
      <w:bookmarkEnd w:id="14"/>
    </w:p>
    <w:p w14:paraId="724E8379" w14:textId="77777777" w:rsidR="00B35F69" w:rsidRPr="00B35F69" w:rsidRDefault="00B35F69" w:rsidP="00B35F69">
      <w:pPr>
        <w:pStyle w:val="EndNoteBibliography"/>
        <w:ind w:firstLine="0"/>
      </w:pPr>
      <w:bookmarkStart w:id="15" w:name="_ENREF_9"/>
      <w:r w:rsidRPr="00B35F69">
        <w:t>9.</w:t>
      </w:r>
      <w:r w:rsidRPr="00B35F69">
        <w:tab/>
        <w:t>Perez</w:t>
      </w:r>
      <w:r w:rsidRPr="00B35F69">
        <w:rPr>
          <w:rFonts w:ascii="Cambria Math" w:hAnsi="Cambria Math" w:cs="Cambria Math"/>
        </w:rPr>
        <w:t>‐</w:t>
      </w:r>
      <w:r w:rsidRPr="00B35F69">
        <w:t>Perez GI, Rothenbacher D, Brenner H. Epidemiology of Helicobacter pylori infection. Helicobacter. 2004;9:1-6.</w:t>
      </w:r>
      <w:bookmarkEnd w:id="15"/>
    </w:p>
    <w:p w14:paraId="4916A4EE" w14:textId="0B7B0A7E" w:rsidR="00B35F69" w:rsidRPr="00B35F69" w:rsidRDefault="00B35F69" w:rsidP="00B35F69">
      <w:pPr>
        <w:pStyle w:val="EndNoteBibliography"/>
        <w:ind w:firstLine="0"/>
      </w:pPr>
      <w:bookmarkStart w:id="16" w:name="_ENREF_10"/>
      <w:r w:rsidRPr="00B35F69">
        <w:t>10.</w:t>
      </w:r>
      <w:r w:rsidRPr="00B35F69">
        <w:tab/>
        <w:t>Taylor N, Fox J, Yan L. In-vitro hepatotoxic factor in Helicobacter hepaticus, H. pylori</w:t>
      </w:r>
      <w:r w:rsidR="00F80D04">
        <w:t>,</w:t>
      </w:r>
      <w:r w:rsidRPr="00B35F69">
        <w:t xml:space="preserve"> and other Helicobacter species. Journal of medical microbiology. 1995;42(1):48-52.</w:t>
      </w:r>
      <w:bookmarkEnd w:id="16"/>
    </w:p>
    <w:p w14:paraId="04C20E90" w14:textId="77777777" w:rsidR="00B35F69" w:rsidRPr="00B35F69" w:rsidRDefault="00B35F69" w:rsidP="00B35F69">
      <w:pPr>
        <w:pStyle w:val="EndNoteBibliography"/>
        <w:ind w:firstLine="0"/>
      </w:pPr>
      <w:bookmarkStart w:id="17" w:name="_ENREF_11"/>
      <w:r w:rsidRPr="00B35F69">
        <w:t>11.</w:t>
      </w:r>
      <w:r w:rsidRPr="00B35F69">
        <w:tab/>
        <w:t>Fukuda Y, Bamba H, Okui M, et al. Helicobacter pylori infection increases mucosal permeability of the stomach and intestine. Digestion. 2001;63(Suppl. 1):93-6.</w:t>
      </w:r>
      <w:bookmarkEnd w:id="17"/>
    </w:p>
    <w:p w14:paraId="23B56475" w14:textId="77777777" w:rsidR="00B35F69" w:rsidRPr="00B35F69" w:rsidRDefault="00B35F69" w:rsidP="00B35F69">
      <w:pPr>
        <w:pStyle w:val="EndNoteBibliography"/>
        <w:ind w:firstLine="0"/>
      </w:pPr>
      <w:bookmarkStart w:id="18" w:name="_ENREF_12"/>
      <w:r w:rsidRPr="00B35F69">
        <w:t>12.</w:t>
      </w:r>
      <w:r w:rsidRPr="00B35F69">
        <w:tab/>
        <w:t>Saadeh S, Younossi ZM, Remer EM, et al. The utility of radiological imaging in nonalcoholic fatty liver disease. Gastroenterology. 2002;123(3):745-50.</w:t>
      </w:r>
      <w:bookmarkEnd w:id="18"/>
    </w:p>
    <w:p w14:paraId="00DBB48D" w14:textId="77777777" w:rsidR="00B35F69" w:rsidRPr="00B35F69" w:rsidRDefault="00B35F69" w:rsidP="00B35F69">
      <w:pPr>
        <w:pStyle w:val="EndNoteBibliography"/>
        <w:ind w:firstLine="0"/>
      </w:pPr>
      <w:bookmarkStart w:id="19" w:name="_ENREF_13"/>
      <w:r w:rsidRPr="00B35F69">
        <w:t>13.</w:t>
      </w:r>
      <w:r w:rsidRPr="00B35F69">
        <w:tab/>
        <w:t>Chalasani N, Younossi Z, Lavine JE, et al. The diagnosis and management of nonalcoholic fatty liver disease: practice guidance from the American Association for the Study of Liver Diseases. Hepatology. 2018;67(1):328-57.</w:t>
      </w:r>
      <w:bookmarkEnd w:id="19"/>
    </w:p>
    <w:p w14:paraId="07AA22C0" w14:textId="77777777" w:rsidR="00B35F69" w:rsidRPr="00B35F69" w:rsidRDefault="00B35F69" w:rsidP="00B35F69">
      <w:pPr>
        <w:pStyle w:val="EndNoteBibliography"/>
        <w:ind w:firstLine="0"/>
      </w:pPr>
      <w:bookmarkStart w:id="20" w:name="_ENREF_14"/>
      <w:r w:rsidRPr="00B35F69">
        <w:t>14.</w:t>
      </w:r>
      <w:r w:rsidRPr="00B35F69">
        <w:tab/>
        <w:t>Marchesini G, Day CP, Dufour J-F, et al. EASL-EASD-EASO Clinical Practice Guidelines for the management of non-alcoholic fatty liver disease. Journal of Hepatology. 2016;64(6):1388-402.</w:t>
      </w:r>
      <w:bookmarkEnd w:id="20"/>
    </w:p>
    <w:p w14:paraId="2503C298" w14:textId="77777777" w:rsidR="00B35F69" w:rsidRPr="00B35F69" w:rsidRDefault="00B35F69" w:rsidP="00B35F69">
      <w:pPr>
        <w:pStyle w:val="EndNoteBibliography"/>
        <w:ind w:firstLine="0"/>
      </w:pPr>
      <w:bookmarkStart w:id="21" w:name="_ENREF_15"/>
      <w:r w:rsidRPr="00B35F69">
        <w:t>15.</w:t>
      </w:r>
      <w:r w:rsidRPr="00B35F69">
        <w:tab/>
        <w:t>WHOP Status. The use and interpretation of anthropometry. WHO technical report series. 1995;854(9).</w:t>
      </w:r>
      <w:bookmarkEnd w:id="21"/>
    </w:p>
    <w:p w14:paraId="1C4D11F5" w14:textId="77777777" w:rsidR="00B35F69" w:rsidRPr="00B35F69" w:rsidRDefault="00B35F69" w:rsidP="00B35F69">
      <w:pPr>
        <w:pStyle w:val="EndNoteBibliography"/>
        <w:ind w:firstLine="0"/>
      </w:pPr>
      <w:bookmarkStart w:id="22" w:name="_ENREF_16"/>
      <w:r w:rsidRPr="00B35F69">
        <w:t>16.</w:t>
      </w:r>
      <w:r w:rsidRPr="00B35F69">
        <w:tab/>
        <w:t>World Health Organization. Waist circumference and waist-hip ratio: report of a WHO expert consultation, Geneva, 8-11 December 2008. 2011.</w:t>
      </w:r>
      <w:bookmarkEnd w:id="22"/>
    </w:p>
    <w:p w14:paraId="53B69FD5" w14:textId="77777777" w:rsidR="00B35F69" w:rsidRPr="00B35F69" w:rsidRDefault="00B35F69" w:rsidP="00B35F69">
      <w:pPr>
        <w:pStyle w:val="EndNoteBibliography"/>
        <w:ind w:firstLine="0"/>
      </w:pPr>
      <w:bookmarkStart w:id="23" w:name="_ENREF_17"/>
      <w:r w:rsidRPr="00B35F69">
        <w:t>17.</w:t>
      </w:r>
      <w:r w:rsidRPr="00B35F69">
        <w:tab/>
        <w:t>Ribeiro AC, Sávio KEO, Rodrigues MdLCF, Costa THMd, Schmitz BdAS. Validation of a food frequency questionnaire for the adult population. Revista de Nutrição. 2006;19(5):553-62.</w:t>
      </w:r>
      <w:bookmarkEnd w:id="23"/>
    </w:p>
    <w:p w14:paraId="201E9CF0" w14:textId="77777777" w:rsidR="00B35F69" w:rsidRPr="00B35F69" w:rsidRDefault="00B35F69" w:rsidP="00B35F69">
      <w:pPr>
        <w:pStyle w:val="EndNoteBibliography"/>
        <w:ind w:firstLine="0"/>
      </w:pPr>
      <w:bookmarkStart w:id="24" w:name="_ENREF_18"/>
      <w:r w:rsidRPr="00B35F69">
        <w:t>18.</w:t>
      </w:r>
      <w:r w:rsidRPr="00B35F69">
        <w:tab/>
        <w:t>Baecke JA, Burema J, Frijters JE. A short questionnaire for the measurement of habitual physical activity in epidemiological studies. The American journal of clinical nutrition. 1982;36(5):936-42.</w:t>
      </w:r>
      <w:bookmarkEnd w:id="24"/>
    </w:p>
    <w:p w14:paraId="51776A38" w14:textId="77777777" w:rsidR="00B35F69" w:rsidRPr="00B35F69" w:rsidRDefault="00B35F69" w:rsidP="00B35F69">
      <w:pPr>
        <w:pStyle w:val="EndNoteBibliography"/>
        <w:ind w:firstLine="0"/>
      </w:pPr>
      <w:bookmarkStart w:id="25" w:name="_ENREF_19"/>
      <w:r w:rsidRPr="00B35F69">
        <w:t>19.</w:t>
      </w:r>
      <w:r w:rsidRPr="00B35F69">
        <w:tab/>
        <w:t>Matthews DR, Hosker JP, Rudenski AS, et al. Homeostasis model assessment: insulin resistance and β-cell function from fasting plasma glucose and insulin concentrations in man. Diabetologia. 1985;28:412-9.</w:t>
      </w:r>
      <w:bookmarkEnd w:id="25"/>
    </w:p>
    <w:p w14:paraId="6D32C7AC" w14:textId="77777777" w:rsidR="00B35F69" w:rsidRPr="00B35F69" w:rsidRDefault="00B35F69" w:rsidP="00B35F69">
      <w:pPr>
        <w:pStyle w:val="EndNoteBibliography"/>
        <w:ind w:firstLine="0"/>
      </w:pPr>
      <w:bookmarkStart w:id="26" w:name="_ENREF_20"/>
      <w:r w:rsidRPr="00B35F69">
        <w:t>20.</w:t>
      </w:r>
      <w:r w:rsidRPr="00B35F69">
        <w:tab/>
        <w:t>Dawson B, Trapp R. Basic and clinical biostatistics 3rd ed. In lange medical books: Oxford, London and Boston; 2001.</w:t>
      </w:r>
      <w:bookmarkEnd w:id="26"/>
    </w:p>
    <w:p w14:paraId="50230FD0" w14:textId="77777777" w:rsidR="00B35F69" w:rsidRPr="00B35F69" w:rsidRDefault="00B35F69" w:rsidP="00B35F69">
      <w:pPr>
        <w:pStyle w:val="EndNoteBibliography"/>
        <w:ind w:firstLine="0"/>
      </w:pPr>
      <w:bookmarkStart w:id="27" w:name="_ENREF_21"/>
      <w:r w:rsidRPr="00B35F69">
        <w:t>21.</w:t>
      </w:r>
      <w:r w:rsidRPr="00B35F69">
        <w:tab/>
        <w:t>Piercy KL, Troiano RP, Ballard RM, et al. The physical activity guidelines for Americans. Jama. 2018;320(19):2020-8.</w:t>
      </w:r>
      <w:bookmarkEnd w:id="27"/>
    </w:p>
    <w:p w14:paraId="6C2281FD" w14:textId="77777777" w:rsidR="00B35F69" w:rsidRPr="00B35F69" w:rsidRDefault="00B35F69" w:rsidP="00B35F69">
      <w:pPr>
        <w:pStyle w:val="EndNoteBibliography"/>
        <w:ind w:firstLine="0"/>
      </w:pPr>
      <w:bookmarkStart w:id="28" w:name="_ENREF_22"/>
      <w:r w:rsidRPr="00B35F69">
        <w:t>22.</w:t>
      </w:r>
      <w:r w:rsidRPr="00B35F69">
        <w:tab/>
        <w:t>Werdmuller BF, Putten TBVD, Balk TG, Lamers CB, Loffeld RJ. Clinical presentation of Helicobacter pylori</w:t>
      </w:r>
      <w:r w:rsidRPr="00B35F69">
        <w:rPr>
          <w:rFonts w:ascii="Cambria Math" w:hAnsi="Cambria Math" w:cs="Cambria Math"/>
        </w:rPr>
        <w:t>‐</w:t>
      </w:r>
      <w:r w:rsidRPr="00B35F69">
        <w:t>positive and</w:t>
      </w:r>
      <w:r w:rsidRPr="00B35F69">
        <w:rPr>
          <w:rFonts w:ascii="Cambria Math" w:hAnsi="Cambria Math" w:cs="Cambria Math"/>
        </w:rPr>
        <w:t>‐</w:t>
      </w:r>
      <w:r w:rsidRPr="00B35F69">
        <w:t>negative functional dyspepsia. Journal of gastroenterology and hepatology. 2000;15(5):498-502.</w:t>
      </w:r>
      <w:bookmarkEnd w:id="28"/>
    </w:p>
    <w:p w14:paraId="02E1C88A" w14:textId="77777777" w:rsidR="00B35F69" w:rsidRPr="00B35F69" w:rsidRDefault="00B35F69" w:rsidP="00B35F69">
      <w:pPr>
        <w:pStyle w:val="EndNoteBibliography"/>
        <w:ind w:firstLine="0"/>
      </w:pPr>
      <w:bookmarkStart w:id="29" w:name="_ENREF_23"/>
      <w:r w:rsidRPr="00B35F69">
        <w:t>23.</w:t>
      </w:r>
      <w:r w:rsidRPr="00B35F69">
        <w:tab/>
        <w:t>Almobarak AO, Barakat S, Khalifa MH, et al. Non alcoholic fatty liver disease (NAFLD) in a Sudanese population: What is the prevalence and risk factors? Arab journal of gastroenterology. 2014;15(1):12-5.</w:t>
      </w:r>
      <w:bookmarkEnd w:id="29"/>
    </w:p>
    <w:p w14:paraId="2AD712E7" w14:textId="77777777" w:rsidR="00B35F69" w:rsidRPr="00B35F69" w:rsidRDefault="00B35F69" w:rsidP="00B35F69">
      <w:pPr>
        <w:pStyle w:val="EndNoteBibliography"/>
        <w:ind w:firstLine="0"/>
      </w:pPr>
      <w:bookmarkStart w:id="30" w:name="_ENREF_24"/>
      <w:r w:rsidRPr="00B35F69">
        <w:t>24.</w:t>
      </w:r>
      <w:r w:rsidRPr="00B35F69">
        <w:tab/>
        <w:t>Okushin K, Takahashi Y, Yamamichi N, et al. Helicobacter pylori infection is not associated with fatty liver disease including non-alcoholic fatty liver disease: a large-scale cross-sectional study in Japan. BMC gastroenterology. 2015;15(1):1-10.</w:t>
      </w:r>
      <w:bookmarkEnd w:id="30"/>
    </w:p>
    <w:p w14:paraId="17FCE750" w14:textId="77777777" w:rsidR="00B35F69" w:rsidRPr="00B35F69" w:rsidRDefault="00B35F69" w:rsidP="00B35F69">
      <w:pPr>
        <w:pStyle w:val="EndNoteBibliography"/>
        <w:ind w:firstLine="0"/>
      </w:pPr>
      <w:bookmarkStart w:id="31" w:name="_ENREF_25"/>
      <w:r w:rsidRPr="00B35F69">
        <w:t>25.</w:t>
      </w:r>
      <w:r w:rsidRPr="00B35F69">
        <w:tab/>
        <w:t>Pardhe BD, Shakya S, Bhetwal A, et al. Metabolic syndrome and biochemical changes among non-alcoholic fatty liver disease patients attending a tertiary care hospital of Nepal. BMC gastroenterology. 2018;18:1-8.</w:t>
      </w:r>
      <w:bookmarkEnd w:id="31"/>
    </w:p>
    <w:p w14:paraId="5C42A5CD" w14:textId="77777777" w:rsidR="00B35F69" w:rsidRPr="00B35F69" w:rsidRDefault="00B35F69" w:rsidP="00B35F69">
      <w:pPr>
        <w:pStyle w:val="EndNoteBibliography"/>
        <w:ind w:firstLine="0"/>
      </w:pPr>
      <w:bookmarkStart w:id="32" w:name="_ENREF_26"/>
      <w:r w:rsidRPr="00B35F69">
        <w:t>26.</w:t>
      </w:r>
      <w:r w:rsidRPr="00B35F69">
        <w:tab/>
        <w:t>Baeg MK, Yoon SK, Ko S-H, et al. Helicobacter pylori infection is not associated with nonalcoholic fatty liver disease. World J Gastroenterol. 2016;22(8):2592.</w:t>
      </w:r>
      <w:bookmarkEnd w:id="32"/>
    </w:p>
    <w:p w14:paraId="03DF9D17" w14:textId="77777777" w:rsidR="00B35F69" w:rsidRPr="00B35F69" w:rsidRDefault="00B35F69" w:rsidP="00B35F69">
      <w:pPr>
        <w:pStyle w:val="EndNoteBibliography"/>
        <w:ind w:firstLine="0"/>
      </w:pPr>
      <w:bookmarkStart w:id="33" w:name="_ENREF_27"/>
      <w:r w:rsidRPr="00B35F69">
        <w:t>27.</w:t>
      </w:r>
      <w:r w:rsidRPr="00B35F69">
        <w:tab/>
        <w:t>Tanaka K, Takahashi H, Hyogo H, et al. Epidemiological survey of hemoglobin A1c and liver fibrosis in a general population with non</w:t>
      </w:r>
      <w:r w:rsidRPr="00B35F69">
        <w:rPr>
          <w:rFonts w:ascii="Cambria Math" w:hAnsi="Cambria Math" w:cs="Cambria Math"/>
        </w:rPr>
        <w:t>‐</w:t>
      </w:r>
      <w:r w:rsidRPr="00B35F69">
        <w:t>alcoholic fatty liver disease. Hepatology Research. 2019;49(3):296-303.</w:t>
      </w:r>
      <w:bookmarkEnd w:id="33"/>
    </w:p>
    <w:p w14:paraId="349A393F" w14:textId="77777777" w:rsidR="00B35F69" w:rsidRPr="00B35F69" w:rsidRDefault="00B35F69" w:rsidP="00B35F69">
      <w:pPr>
        <w:pStyle w:val="EndNoteBibliography"/>
        <w:ind w:firstLine="0"/>
      </w:pPr>
      <w:bookmarkStart w:id="34" w:name="_ENREF_28"/>
      <w:r w:rsidRPr="00B35F69">
        <w:t>28.</w:t>
      </w:r>
      <w:r w:rsidRPr="00B35F69">
        <w:tab/>
        <w:t>Novakovic T, Mekic M, Smilic L, et al. Anthropometric and biochemical characteristics of patients with nonalcoholic fatty liver diagnosed by non-invasive diagnostic methods. Medical Archives. 2014;68(1):22-6.</w:t>
      </w:r>
      <w:bookmarkEnd w:id="34"/>
    </w:p>
    <w:p w14:paraId="1B930114" w14:textId="77777777" w:rsidR="00B35F69" w:rsidRPr="00B35F69" w:rsidRDefault="00B35F69" w:rsidP="00B35F69">
      <w:pPr>
        <w:pStyle w:val="EndNoteBibliography"/>
        <w:ind w:firstLine="0"/>
      </w:pPr>
      <w:bookmarkStart w:id="35" w:name="_ENREF_29"/>
      <w:r w:rsidRPr="00B35F69">
        <w:t>29.</w:t>
      </w:r>
      <w:r w:rsidRPr="00B35F69">
        <w:tab/>
        <w:t>Cuenza LR, Razon TLJ, Dayrit JC. Correlation between severity of ultrasonographic nonalcoholic fatty liver disease and cardiometabolic risk among Filipino wellness patients. Journal of cardiovascular and thoracic research. 2017;9(2):85.</w:t>
      </w:r>
      <w:bookmarkEnd w:id="35"/>
    </w:p>
    <w:p w14:paraId="719D11E9" w14:textId="77777777" w:rsidR="00B35F69" w:rsidRPr="00B35F69" w:rsidRDefault="00B35F69" w:rsidP="00B35F69">
      <w:pPr>
        <w:pStyle w:val="EndNoteBibliography"/>
        <w:ind w:firstLine="0"/>
      </w:pPr>
      <w:bookmarkStart w:id="36" w:name="_ENREF_30"/>
      <w:r w:rsidRPr="00B35F69">
        <w:t>30.</w:t>
      </w:r>
      <w:r w:rsidRPr="00B35F69">
        <w:tab/>
        <w:t>Paschos P, Paletas K. Non alcoholic fatty liver disease and metabolic syndrome. Hippokratia. 2009;13(1):9.</w:t>
      </w:r>
      <w:bookmarkEnd w:id="36"/>
    </w:p>
    <w:p w14:paraId="31C519F2" w14:textId="77777777" w:rsidR="00B35F69" w:rsidRPr="00B35F69" w:rsidRDefault="00B35F69" w:rsidP="00B35F69">
      <w:pPr>
        <w:pStyle w:val="EndNoteBibliography"/>
        <w:ind w:firstLine="0"/>
      </w:pPr>
      <w:bookmarkStart w:id="37" w:name="_ENREF_31"/>
      <w:r w:rsidRPr="00B35F69">
        <w:t>31.</w:t>
      </w:r>
      <w:r w:rsidRPr="00B35F69">
        <w:tab/>
        <w:t>Wong CA, Araneta MRG, Barrett-Connor E, et al. Probable NAFLD, by ALT levels, and diabetes among Filipino-American Women. Diabetes research and clinical practice. 2008;79(1):133-40.</w:t>
      </w:r>
      <w:bookmarkEnd w:id="37"/>
    </w:p>
    <w:p w14:paraId="71812DF4" w14:textId="77777777" w:rsidR="00B35F69" w:rsidRPr="00B35F69" w:rsidRDefault="00B35F69" w:rsidP="00B35F69">
      <w:pPr>
        <w:pStyle w:val="EndNoteBibliography"/>
        <w:ind w:firstLine="0"/>
      </w:pPr>
      <w:bookmarkStart w:id="38" w:name="_ENREF_32"/>
      <w:r w:rsidRPr="00B35F69">
        <w:t>32.</w:t>
      </w:r>
      <w:r w:rsidRPr="00B35F69">
        <w:tab/>
        <w:t>Mantovani A, Turino T, Altomari A, et al. Association between Helicobacter pylori infection and risk of nonalcoholic fatty liver disease: an updated meta-analysis. Metabolism. 2019;96:56-65.</w:t>
      </w:r>
      <w:bookmarkEnd w:id="38"/>
    </w:p>
    <w:p w14:paraId="03CCF011" w14:textId="77777777" w:rsidR="00B35F69" w:rsidRPr="00B35F69" w:rsidRDefault="00B35F69" w:rsidP="00B35F69">
      <w:pPr>
        <w:pStyle w:val="EndNoteBibliography"/>
        <w:ind w:firstLine="0"/>
      </w:pPr>
      <w:bookmarkStart w:id="39" w:name="_ENREF_33"/>
      <w:r w:rsidRPr="00B35F69">
        <w:t>33.</w:t>
      </w:r>
      <w:r w:rsidRPr="00B35F69">
        <w:tab/>
        <w:t>Wijarnpreecha K, Thongprayoon C, Panjawatanan P, et al. Helicobacter pylori and risk of nonalcoholic fatty liver disease: a systematic review and meta-analysis. Journal of clinical gastroenterology. 2018;52(5):386-91.</w:t>
      </w:r>
      <w:bookmarkEnd w:id="39"/>
    </w:p>
    <w:p w14:paraId="68226A8E" w14:textId="77777777" w:rsidR="00B35F69" w:rsidRPr="00B35F69" w:rsidRDefault="00B35F69" w:rsidP="00B35F69">
      <w:pPr>
        <w:pStyle w:val="EndNoteBibliography"/>
        <w:ind w:firstLine="0"/>
      </w:pPr>
      <w:bookmarkStart w:id="40" w:name="_ENREF_34"/>
      <w:r w:rsidRPr="00B35F69">
        <w:t>34.</w:t>
      </w:r>
      <w:r w:rsidRPr="00B35F69">
        <w:tab/>
        <w:t>Gunji T, Matsuhashi N, Sato H, et al. Helicobacter pylori infection is significantly associated with metabolic syndrome in the Japanese population. Official journal of the American College of Gastroenterology| ACG. 2008;103(12):3005-10.</w:t>
      </w:r>
      <w:bookmarkEnd w:id="40"/>
    </w:p>
    <w:p w14:paraId="0B5EB423" w14:textId="77777777" w:rsidR="00B35F69" w:rsidRPr="00B35F69" w:rsidRDefault="00B35F69" w:rsidP="00B35F69">
      <w:pPr>
        <w:pStyle w:val="EndNoteBibliography"/>
        <w:ind w:firstLine="0"/>
      </w:pPr>
      <w:bookmarkStart w:id="41" w:name="_ENREF_35"/>
      <w:r w:rsidRPr="00B35F69">
        <w:t>35.</w:t>
      </w:r>
      <w:r w:rsidRPr="00B35F69">
        <w:tab/>
        <w:t>Mohammadifard M, Saremi Z, Rastgoo M, Akbari E. Relevance between helicobacter pylori infection and non-alcoholic fatty liver disease in Birjand, Iran. Journal of medicine and life. 2019;12(2):168.</w:t>
      </w:r>
      <w:bookmarkEnd w:id="41"/>
    </w:p>
    <w:p w14:paraId="7CE61F7E" w14:textId="7B953E67" w:rsidR="00F93AC7" w:rsidRPr="00280684" w:rsidRDefault="005D0FE9" w:rsidP="005E503F">
      <w:pPr>
        <w:tabs>
          <w:tab w:val="left" w:pos="180"/>
          <w:tab w:val="left" w:pos="360"/>
        </w:tabs>
        <w:spacing w:line="360" w:lineRule="auto"/>
        <w:ind w:left="360" w:hanging="360"/>
        <w:rPr>
          <w:b/>
          <w:bCs/>
        </w:rPr>
      </w:pPr>
      <w:r w:rsidRPr="00280684">
        <w:fldChar w:fldCharType="end"/>
      </w:r>
    </w:p>
    <w:sectPr w:rsidR="00F93AC7" w:rsidRPr="00280684" w:rsidSect="002060F1">
      <w:pgSz w:w="11906" w:h="16838"/>
      <w:pgMar w:top="1440" w:right="1440" w:bottom="1440" w:left="1440" w:header="708" w:footer="708" w:gutter="0"/>
      <w:pgNumType w:start="21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3B70" w14:textId="77777777" w:rsidR="002575BA" w:rsidRDefault="002575BA" w:rsidP="004B0F9C">
      <w:pPr>
        <w:spacing w:line="240" w:lineRule="auto"/>
      </w:pPr>
      <w:r>
        <w:separator/>
      </w:r>
    </w:p>
  </w:endnote>
  <w:endnote w:type="continuationSeparator" w:id="0">
    <w:p w14:paraId="50B42929" w14:textId="77777777" w:rsidR="002575BA" w:rsidRDefault="002575BA" w:rsidP="004B0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216105"/>
      <w:docPartObj>
        <w:docPartGallery w:val="Page Numbers (Bottom of Page)"/>
        <w:docPartUnique/>
      </w:docPartObj>
    </w:sdtPr>
    <w:sdtEndPr>
      <w:rPr>
        <w:noProof/>
      </w:rPr>
    </w:sdtEndPr>
    <w:sdtContent>
      <w:sdt>
        <w:sdtPr>
          <w:rPr>
            <w:rFonts w:ascii="Calibri" w:eastAsia="Calibri" w:hAnsi="Calibri" w:cs="Arial"/>
            <w:sz w:val="22"/>
            <w:szCs w:val="22"/>
            <w:lang w:bidi="ar-SA"/>
          </w:rPr>
          <w:id w:val="705601247"/>
          <w:docPartObj>
            <w:docPartGallery w:val="Page Numbers (Bottom of Page)"/>
            <w:docPartUnique/>
          </w:docPartObj>
        </w:sdtPr>
        <w:sdtEndPr>
          <w:rPr>
            <w:noProof/>
          </w:rPr>
        </w:sdtEndPr>
        <w:sdtContent>
          <w:sdt>
            <w:sdtPr>
              <w:rPr>
                <w:rFonts w:ascii="Calibri" w:eastAsia="Times New Roman" w:hAnsi="Calibri" w:cs="Times New Roman"/>
                <w:sz w:val="28"/>
                <w:szCs w:val="28"/>
                <w:lang w:bidi="ar-SA"/>
              </w:rPr>
              <w:id w:val="307289815"/>
              <w:docPartObj>
                <w:docPartGallery w:val="Page Numbers (Bottom of Page)"/>
                <w:docPartUnique/>
              </w:docPartObj>
            </w:sdtPr>
            <w:sdtEndPr>
              <w:rPr>
                <w:noProof/>
              </w:rPr>
            </w:sdtEndPr>
            <w:sdtContent>
              <w:p w14:paraId="77215F61" w14:textId="43CD01B5" w:rsidR="002060F1" w:rsidRPr="008329CC" w:rsidRDefault="002060F1" w:rsidP="008329CC">
                <w:pPr>
                  <w:pBdr>
                    <w:top w:val="thinThickSmallGap" w:sz="24" w:space="1" w:color="823B0B"/>
                  </w:pBdr>
                  <w:tabs>
                    <w:tab w:val="center" w:pos="4320"/>
                    <w:tab w:val="right" w:pos="8640"/>
                  </w:tabs>
                  <w:spacing w:after="240"/>
                  <w:ind w:firstLine="357"/>
                  <w:rPr>
                    <w:rFonts w:ascii="Calibri" w:eastAsia="Times New Roman" w:hAnsi="Calibri" w:cs="Times New Roman"/>
                    <w:noProof/>
                    <w:sz w:val="28"/>
                    <w:szCs w:val="28"/>
                    <w:lang w:bidi="ar-SA"/>
                  </w:rPr>
                </w:pPr>
                <w:r w:rsidRPr="002060F1">
                  <w:rPr>
                    <w:rFonts w:ascii="Calibri" w:eastAsia="Calibri" w:hAnsi="Calibri" w:cs="Arial"/>
                    <w:sz w:val="22"/>
                    <w:szCs w:val="22"/>
                    <w:lang w:bidi="ar-SA"/>
                  </w:rPr>
                  <w:t xml:space="preserve">Samir </w:t>
                </w:r>
                <w:r>
                  <w:rPr>
                    <w:rFonts w:ascii="Calibri" w:eastAsia="Calibri" w:hAnsi="Calibri" w:cs="Arial"/>
                    <w:sz w:val="22"/>
                    <w:szCs w:val="22"/>
                    <w:lang w:bidi="ar-SA"/>
                  </w:rPr>
                  <w:t>A W</w:t>
                </w:r>
                <w:r w:rsidRPr="002060F1">
                  <w:rPr>
                    <w:rFonts w:ascii="Calibri" w:eastAsia="Calibri" w:hAnsi="Calibri" w:cs="Arial"/>
                    <w:sz w:val="22"/>
                    <w:szCs w:val="22"/>
                    <w:lang w:bidi="ar-SA"/>
                  </w:rPr>
                  <w:t>et al.2024</w:t>
                </w:r>
                <w:r w:rsidRPr="002060F1">
                  <w:rPr>
                    <w:rFonts w:ascii="Calibri Light" w:eastAsia="Times New Roman" w:hAnsi="Calibri Light" w:cs="Times New Roman"/>
                    <w:sz w:val="22"/>
                    <w:szCs w:val="22"/>
                    <w:lang w:bidi="ar-SA"/>
                  </w:rPr>
                  <w:ptab w:relativeTo="margin" w:alignment="right" w:leader="none"/>
                </w:r>
                <w:r w:rsidRPr="002060F1">
                  <w:rPr>
                    <w:rFonts w:ascii="Calibri" w:eastAsia="Times New Roman" w:hAnsi="Calibri" w:cs="Arial"/>
                    <w:sz w:val="22"/>
                    <w:szCs w:val="22"/>
                    <w:lang w:bidi="ar-SA"/>
                  </w:rPr>
                  <w:fldChar w:fldCharType="begin"/>
                </w:r>
                <w:r w:rsidRPr="002060F1">
                  <w:rPr>
                    <w:rFonts w:ascii="Calibri" w:eastAsia="Calibri" w:hAnsi="Calibri" w:cs="Arial"/>
                    <w:sz w:val="22"/>
                    <w:szCs w:val="22"/>
                    <w:lang w:bidi="ar-SA"/>
                  </w:rPr>
                  <w:instrText xml:space="preserve"> PAGE   \* MERGEFORMAT </w:instrText>
                </w:r>
                <w:r w:rsidRPr="002060F1">
                  <w:rPr>
                    <w:rFonts w:ascii="Calibri" w:eastAsia="Times New Roman" w:hAnsi="Calibri" w:cs="Arial"/>
                    <w:sz w:val="22"/>
                    <w:szCs w:val="22"/>
                    <w:lang w:bidi="ar-SA"/>
                  </w:rPr>
                  <w:fldChar w:fldCharType="separate"/>
                </w:r>
                <w:r w:rsidRPr="002060F1">
                  <w:rPr>
                    <w:rFonts w:ascii="Calibri" w:eastAsia="Times New Roman" w:hAnsi="Calibri" w:cs="Arial"/>
                    <w:sz w:val="22"/>
                    <w:szCs w:val="22"/>
                    <w:lang w:bidi="ar-SA"/>
                  </w:rPr>
                  <w:t>197</w:t>
                </w:r>
                <w:r w:rsidRPr="002060F1">
                  <w:rPr>
                    <w:rFonts w:ascii="Calibri Light" w:eastAsia="Times New Roman" w:hAnsi="Calibri Light" w:cs="Times New Roman"/>
                    <w:noProof/>
                    <w:sz w:val="22"/>
                    <w:szCs w:val="22"/>
                    <w:lang w:bidi="ar-SA"/>
                  </w:rPr>
                  <w:fldChar w:fldCharType="end"/>
                </w:r>
              </w:p>
            </w:sdtContent>
          </w:sdt>
        </w:sdtContent>
      </w:sdt>
      <w:p w14:paraId="0864DF78" w14:textId="1CF21BFC" w:rsidR="0081365B" w:rsidRDefault="00000000" w:rsidP="008329CC">
        <w:pPr>
          <w:pStyle w:val="Footer"/>
          <w:ind w:firstLine="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BA44F" w14:textId="77777777" w:rsidR="002575BA" w:rsidRDefault="002575BA" w:rsidP="004B0F9C">
      <w:pPr>
        <w:spacing w:line="240" w:lineRule="auto"/>
      </w:pPr>
      <w:r>
        <w:separator/>
      </w:r>
    </w:p>
  </w:footnote>
  <w:footnote w:type="continuationSeparator" w:id="0">
    <w:p w14:paraId="39F5A3C5" w14:textId="77777777" w:rsidR="002575BA" w:rsidRDefault="002575BA" w:rsidP="004B0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BD8E" w14:textId="77777777" w:rsidR="002060F1" w:rsidRPr="002060F1" w:rsidRDefault="002060F1" w:rsidP="002060F1">
    <w:pPr>
      <w:pBdr>
        <w:bottom w:val="thickThinSmallGap" w:sz="24" w:space="21" w:color="622423"/>
      </w:pBdr>
      <w:tabs>
        <w:tab w:val="right" w:pos="8640"/>
      </w:tabs>
      <w:spacing w:line="240" w:lineRule="auto"/>
      <w:ind w:firstLine="0"/>
      <w:jc w:val="left"/>
      <w:rPr>
        <w:rFonts w:ascii="Cambria" w:eastAsia="Times New Roman" w:hAnsi="Cambria" w:cs="Times New Roman"/>
        <w:sz w:val="18"/>
        <w:szCs w:val="18"/>
        <w:lang w:bidi="ar-SA"/>
      </w:rPr>
    </w:pPr>
    <w:r w:rsidRPr="002060F1">
      <w:rPr>
        <w:rFonts w:ascii="Cambria" w:eastAsia="Times New Roman" w:hAnsi="Cambria" w:cs="Times New Roman"/>
        <w:sz w:val="18"/>
        <w:szCs w:val="18"/>
        <w:lang w:bidi="ar-SA"/>
      </w:rPr>
      <w:t>African journal of gastroenterology and hepatology</w:t>
    </w:r>
    <w:r w:rsidRPr="002060F1">
      <w:rPr>
        <w:rFonts w:ascii="Cambria" w:eastAsia="Times New Roman" w:hAnsi="Cambria" w:cs="Times New Roman"/>
        <w:sz w:val="18"/>
        <w:szCs w:val="18"/>
        <w:lang w:bidi="ar-SA"/>
      </w:rPr>
      <w:tab/>
    </w:r>
    <w:r w:rsidRPr="002060F1">
      <w:rPr>
        <w:rFonts w:ascii="Calibri Light" w:eastAsia="Times New Roman" w:hAnsi="Calibri Light" w:cs="Times New Roman"/>
        <w:noProof/>
        <w:sz w:val="32"/>
        <w:szCs w:val="32"/>
        <w:lang w:bidi="ar-SA"/>
      </w:rPr>
      <w:drawing>
        <wp:inline distT="0" distB="0" distL="0" distR="0" wp14:anchorId="244DA989" wp14:editId="526DA20B">
          <wp:extent cx="14478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311FCE67" w14:textId="77777777" w:rsidR="002060F1" w:rsidRDefault="00206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BD10254_"/>
      </v:shape>
    </w:pict>
  </w:numPicBullet>
  <w:abstractNum w:abstractNumId="0" w15:restartNumberingAfterBreak="0">
    <w:nsid w:val="241F01D8"/>
    <w:multiLevelType w:val="hybridMultilevel"/>
    <w:tmpl w:val="BDF62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E35AB7"/>
    <w:multiLevelType w:val="multilevel"/>
    <w:tmpl w:val="EA3E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12136"/>
    <w:multiLevelType w:val="hybridMultilevel"/>
    <w:tmpl w:val="B010E9C8"/>
    <w:lvl w:ilvl="0" w:tplc="7736D20E">
      <w:start w:val="1"/>
      <w:numFmt w:val="bullet"/>
      <w:lvlText w:val=""/>
      <w:lvlPicBulletId w:val="0"/>
      <w:lvlJc w:val="left"/>
      <w:pPr>
        <w:ind w:left="720" w:hanging="360"/>
      </w:pPr>
      <w:rPr>
        <w:rFonts w:ascii="Symbol" w:hAnsi="Symbol" w:cs="Times New Roman"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740DF"/>
    <w:multiLevelType w:val="hybridMultilevel"/>
    <w:tmpl w:val="F0EE8A1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6339564E"/>
    <w:multiLevelType w:val="hybridMultilevel"/>
    <w:tmpl w:val="EAE4BAB0"/>
    <w:lvl w:ilvl="0" w:tplc="C76AC0C4">
      <w:start w:val="1"/>
      <w:numFmt w:val="decimal"/>
      <w:pStyle w:val="Style1"/>
      <w:lvlText w:val="%1."/>
      <w:lvlJc w:val="left"/>
      <w:pPr>
        <w:ind w:left="720" w:hanging="360"/>
      </w:pPr>
      <w:rPr>
        <w:rFonts w:asciiTheme="majorBidi" w:hAnsiTheme="majorBidi" w:cs="Times New Roman" w:hint="default"/>
        <w:b/>
        <w:bCs/>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772659">
    <w:abstractNumId w:val="4"/>
  </w:num>
  <w:num w:numId="2" w16cid:durableId="825367307">
    <w:abstractNumId w:val="0"/>
  </w:num>
  <w:num w:numId="3" w16cid:durableId="856193179">
    <w:abstractNumId w:val="2"/>
  </w:num>
  <w:num w:numId="4" w16cid:durableId="1439181303">
    <w:abstractNumId w:val="1"/>
  </w:num>
  <w:num w:numId="5" w16cid:durableId="47044116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JH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tdeprx0ptvtxbefrrl5r9xrvps9d9vrpaat&quot;&gt;Temporary Library&lt;record-ids&gt;&lt;item&gt;1761&lt;/item&gt;&lt;item&gt;1762&lt;/item&gt;&lt;item&gt;1765&lt;/item&gt;&lt;item&gt;1771&lt;/item&gt;&lt;item&gt;1773&lt;/item&gt;&lt;item&gt;1775&lt;/item&gt;&lt;item&gt;1778&lt;/item&gt;&lt;item&gt;1779&lt;/item&gt;&lt;item&gt;1781&lt;/item&gt;&lt;item&gt;1823&lt;/item&gt;&lt;item&gt;1824&lt;/item&gt;&lt;item&gt;1830&lt;/item&gt;&lt;item&gt;1834&lt;/item&gt;&lt;item&gt;1835&lt;/item&gt;&lt;item&gt;1836&lt;/item&gt;&lt;item&gt;1837&lt;/item&gt;&lt;item&gt;1843&lt;/item&gt;&lt;item&gt;1871&lt;/item&gt;&lt;item&gt;2447&lt;/item&gt;&lt;item&gt;2448&lt;/item&gt;&lt;item&gt;2451&lt;/item&gt;&lt;item&gt;2474&lt;/item&gt;&lt;item&gt;2475&lt;/item&gt;&lt;item&gt;2478&lt;/item&gt;&lt;item&gt;2479&lt;/item&gt;&lt;item&gt;2480&lt;/item&gt;&lt;/record-ids&gt;&lt;/item&gt;&lt;/Libraries&gt;"/>
  </w:docVars>
  <w:rsids>
    <w:rsidRoot w:val="009C471E"/>
    <w:rsid w:val="000014D9"/>
    <w:rsid w:val="000048D4"/>
    <w:rsid w:val="00012020"/>
    <w:rsid w:val="000176AD"/>
    <w:rsid w:val="00026082"/>
    <w:rsid w:val="00030EB2"/>
    <w:rsid w:val="00037D7B"/>
    <w:rsid w:val="000401CD"/>
    <w:rsid w:val="00047C08"/>
    <w:rsid w:val="00050DB2"/>
    <w:rsid w:val="0005573D"/>
    <w:rsid w:val="00060672"/>
    <w:rsid w:val="00064229"/>
    <w:rsid w:val="00066915"/>
    <w:rsid w:val="00071082"/>
    <w:rsid w:val="00074C4D"/>
    <w:rsid w:val="00082B8A"/>
    <w:rsid w:val="00094746"/>
    <w:rsid w:val="00096612"/>
    <w:rsid w:val="000A44CD"/>
    <w:rsid w:val="000A5BFB"/>
    <w:rsid w:val="000A60D5"/>
    <w:rsid w:val="000A6CF3"/>
    <w:rsid w:val="000A7C40"/>
    <w:rsid w:val="000B70FD"/>
    <w:rsid w:val="000C1110"/>
    <w:rsid w:val="000D3024"/>
    <w:rsid w:val="000D69F4"/>
    <w:rsid w:val="000E1393"/>
    <w:rsid w:val="000E1778"/>
    <w:rsid w:val="000E2234"/>
    <w:rsid w:val="000E3A49"/>
    <w:rsid w:val="000E46C9"/>
    <w:rsid w:val="000E6E88"/>
    <w:rsid w:val="00100F4C"/>
    <w:rsid w:val="00103927"/>
    <w:rsid w:val="00105339"/>
    <w:rsid w:val="0010624A"/>
    <w:rsid w:val="001137C1"/>
    <w:rsid w:val="00113EF3"/>
    <w:rsid w:val="001213B0"/>
    <w:rsid w:val="00121922"/>
    <w:rsid w:val="00122B7C"/>
    <w:rsid w:val="001277BD"/>
    <w:rsid w:val="0013167C"/>
    <w:rsid w:val="001319E4"/>
    <w:rsid w:val="001430D8"/>
    <w:rsid w:val="00144D23"/>
    <w:rsid w:val="00152C22"/>
    <w:rsid w:val="00155451"/>
    <w:rsid w:val="001609A5"/>
    <w:rsid w:val="00176D20"/>
    <w:rsid w:val="001826CF"/>
    <w:rsid w:val="00182D92"/>
    <w:rsid w:val="001850A2"/>
    <w:rsid w:val="00186681"/>
    <w:rsid w:val="0018751D"/>
    <w:rsid w:val="001958FB"/>
    <w:rsid w:val="001A43FD"/>
    <w:rsid w:val="001B3B3D"/>
    <w:rsid w:val="001C18AA"/>
    <w:rsid w:val="001C3DF4"/>
    <w:rsid w:val="001C6630"/>
    <w:rsid w:val="001C67F9"/>
    <w:rsid w:val="001C68F8"/>
    <w:rsid w:val="001D0334"/>
    <w:rsid w:val="001D4B4F"/>
    <w:rsid w:val="001D6DEE"/>
    <w:rsid w:val="001E4585"/>
    <w:rsid w:val="001E61D3"/>
    <w:rsid w:val="001E7362"/>
    <w:rsid w:val="001E7DBD"/>
    <w:rsid w:val="001F0C68"/>
    <w:rsid w:val="001F257E"/>
    <w:rsid w:val="001F3BE1"/>
    <w:rsid w:val="001F59AE"/>
    <w:rsid w:val="001F7E91"/>
    <w:rsid w:val="002057CE"/>
    <w:rsid w:val="002060F1"/>
    <w:rsid w:val="00210231"/>
    <w:rsid w:val="00213394"/>
    <w:rsid w:val="002134AE"/>
    <w:rsid w:val="00213CE6"/>
    <w:rsid w:val="00221E97"/>
    <w:rsid w:val="00241F5F"/>
    <w:rsid w:val="00242510"/>
    <w:rsid w:val="00242B99"/>
    <w:rsid w:val="002570C6"/>
    <w:rsid w:val="002575BA"/>
    <w:rsid w:val="0026548F"/>
    <w:rsid w:val="00266FD8"/>
    <w:rsid w:val="00267D5C"/>
    <w:rsid w:val="00270E50"/>
    <w:rsid w:val="002745C2"/>
    <w:rsid w:val="00276D5E"/>
    <w:rsid w:val="00280684"/>
    <w:rsid w:val="002906C6"/>
    <w:rsid w:val="00296190"/>
    <w:rsid w:val="002A184D"/>
    <w:rsid w:val="002A3C35"/>
    <w:rsid w:val="002A7A25"/>
    <w:rsid w:val="002B2755"/>
    <w:rsid w:val="002C060F"/>
    <w:rsid w:val="002C2EAF"/>
    <w:rsid w:val="002C5436"/>
    <w:rsid w:val="002C698C"/>
    <w:rsid w:val="002D264B"/>
    <w:rsid w:val="002E2E94"/>
    <w:rsid w:val="002F1F8C"/>
    <w:rsid w:val="002F2064"/>
    <w:rsid w:val="002F489A"/>
    <w:rsid w:val="002F4CF2"/>
    <w:rsid w:val="00301847"/>
    <w:rsid w:val="00302445"/>
    <w:rsid w:val="00302F2A"/>
    <w:rsid w:val="003077D1"/>
    <w:rsid w:val="0031009A"/>
    <w:rsid w:val="00311037"/>
    <w:rsid w:val="00311ECB"/>
    <w:rsid w:val="00315C0F"/>
    <w:rsid w:val="003162DA"/>
    <w:rsid w:val="00320418"/>
    <w:rsid w:val="0032379F"/>
    <w:rsid w:val="0032553C"/>
    <w:rsid w:val="00327027"/>
    <w:rsid w:val="003344C5"/>
    <w:rsid w:val="0033479E"/>
    <w:rsid w:val="00334EF0"/>
    <w:rsid w:val="00341AF0"/>
    <w:rsid w:val="00344A0A"/>
    <w:rsid w:val="00346E1D"/>
    <w:rsid w:val="003470B2"/>
    <w:rsid w:val="0035620F"/>
    <w:rsid w:val="003603E7"/>
    <w:rsid w:val="0036574C"/>
    <w:rsid w:val="00367DB6"/>
    <w:rsid w:val="003705D5"/>
    <w:rsid w:val="00371F64"/>
    <w:rsid w:val="003770FE"/>
    <w:rsid w:val="0038365D"/>
    <w:rsid w:val="00384D5C"/>
    <w:rsid w:val="003A1564"/>
    <w:rsid w:val="003A297C"/>
    <w:rsid w:val="003B2C58"/>
    <w:rsid w:val="003B55E7"/>
    <w:rsid w:val="003C1604"/>
    <w:rsid w:val="003C2383"/>
    <w:rsid w:val="003C7FF2"/>
    <w:rsid w:val="003D1769"/>
    <w:rsid w:val="003D2474"/>
    <w:rsid w:val="003D75AE"/>
    <w:rsid w:val="003E4BF9"/>
    <w:rsid w:val="003F6971"/>
    <w:rsid w:val="00402538"/>
    <w:rsid w:val="00402827"/>
    <w:rsid w:val="004048CC"/>
    <w:rsid w:val="00405EE5"/>
    <w:rsid w:val="004133B6"/>
    <w:rsid w:val="00422189"/>
    <w:rsid w:val="00425CD1"/>
    <w:rsid w:val="004321DC"/>
    <w:rsid w:val="00432F21"/>
    <w:rsid w:val="00444A53"/>
    <w:rsid w:val="00445EA6"/>
    <w:rsid w:val="00446C3A"/>
    <w:rsid w:val="00446D3F"/>
    <w:rsid w:val="00454190"/>
    <w:rsid w:val="00455B52"/>
    <w:rsid w:val="004668E1"/>
    <w:rsid w:val="0047262F"/>
    <w:rsid w:val="00475315"/>
    <w:rsid w:val="00476353"/>
    <w:rsid w:val="004768DE"/>
    <w:rsid w:val="0048144E"/>
    <w:rsid w:val="00482ED3"/>
    <w:rsid w:val="00496219"/>
    <w:rsid w:val="004A5E13"/>
    <w:rsid w:val="004A6868"/>
    <w:rsid w:val="004A7CC8"/>
    <w:rsid w:val="004B0F9C"/>
    <w:rsid w:val="004B40A1"/>
    <w:rsid w:val="004C1CCB"/>
    <w:rsid w:val="004C1E32"/>
    <w:rsid w:val="004C6CDF"/>
    <w:rsid w:val="004D0243"/>
    <w:rsid w:val="004D4CD3"/>
    <w:rsid w:val="004D5C64"/>
    <w:rsid w:val="004D6ED1"/>
    <w:rsid w:val="004E744D"/>
    <w:rsid w:val="004F00EF"/>
    <w:rsid w:val="004F5989"/>
    <w:rsid w:val="0050140F"/>
    <w:rsid w:val="005135E2"/>
    <w:rsid w:val="00513EBD"/>
    <w:rsid w:val="0052402B"/>
    <w:rsid w:val="00524D54"/>
    <w:rsid w:val="005301B7"/>
    <w:rsid w:val="00531852"/>
    <w:rsid w:val="00534078"/>
    <w:rsid w:val="00545B73"/>
    <w:rsid w:val="005464C2"/>
    <w:rsid w:val="00551EF7"/>
    <w:rsid w:val="005531A2"/>
    <w:rsid w:val="0055414E"/>
    <w:rsid w:val="005557A9"/>
    <w:rsid w:val="005578BD"/>
    <w:rsid w:val="00563EE1"/>
    <w:rsid w:val="00567F8E"/>
    <w:rsid w:val="00570C8F"/>
    <w:rsid w:val="005746C6"/>
    <w:rsid w:val="00583BD7"/>
    <w:rsid w:val="00590E4B"/>
    <w:rsid w:val="00596236"/>
    <w:rsid w:val="005A2ED9"/>
    <w:rsid w:val="005A48F0"/>
    <w:rsid w:val="005B08DD"/>
    <w:rsid w:val="005B29DD"/>
    <w:rsid w:val="005B72A4"/>
    <w:rsid w:val="005C09C5"/>
    <w:rsid w:val="005C107F"/>
    <w:rsid w:val="005C2039"/>
    <w:rsid w:val="005C30F7"/>
    <w:rsid w:val="005C699A"/>
    <w:rsid w:val="005C6DC4"/>
    <w:rsid w:val="005C7621"/>
    <w:rsid w:val="005D0672"/>
    <w:rsid w:val="005D0FE9"/>
    <w:rsid w:val="005D470E"/>
    <w:rsid w:val="005E35B3"/>
    <w:rsid w:val="005E503F"/>
    <w:rsid w:val="005F0A63"/>
    <w:rsid w:val="005F28AF"/>
    <w:rsid w:val="005F3B41"/>
    <w:rsid w:val="005F707B"/>
    <w:rsid w:val="00605B7B"/>
    <w:rsid w:val="006078BE"/>
    <w:rsid w:val="006102AA"/>
    <w:rsid w:val="00614C97"/>
    <w:rsid w:val="006150A4"/>
    <w:rsid w:val="00617250"/>
    <w:rsid w:val="00617902"/>
    <w:rsid w:val="0062370F"/>
    <w:rsid w:val="00623756"/>
    <w:rsid w:val="00623ADC"/>
    <w:rsid w:val="00624C14"/>
    <w:rsid w:val="00626D98"/>
    <w:rsid w:val="006271E8"/>
    <w:rsid w:val="006306DA"/>
    <w:rsid w:val="00632DFD"/>
    <w:rsid w:val="006344DA"/>
    <w:rsid w:val="00637382"/>
    <w:rsid w:val="00640CE5"/>
    <w:rsid w:val="00642C1C"/>
    <w:rsid w:val="00652C0F"/>
    <w:rsid w:val="006537DD"/>
    <w:rsid w:val="006579F6"/>
    <w:rsid w:val="00657CF5"/>
    <w:rsid w:val="0066026A"/>
    <w:rsid w:val="006642EB"/>
    <w:rsid w:val="006654DF"/>
    <w:rsid w:val="006658FA"/>
    <w:rsid w:val="00666933"/>
    <w:rsid w:val="00667387"/>
    <w:rsid w:val="00680921"/>
    <w:rsid w:val="00684134"/>
    <w:rsid w:val="006868FB"/>
    <w:rsid w:val="00690365"/>
    <w:rsid w:val="00691516"/>
    <w:rsid w:val="00695BD4"/>
    <w:rsid w:val="0069627B"/>
    <w:rsid w:val="00696739"/>
    <w:rsid w:val="006A14F8"/>
    <w:rsid w:val="006A3B94"/>
    <w:rsid w:val="006B39AD"/>
    <w:rsid w:val="006B4BA4"/>
    <w:rsid w:val="006B5572"/>
    <w:rsid w:val="006B6A8C"/>
    <w:rsid w:val="006B6BA5"/>
    <w:rsid w:val="006B7669"/>
    <w:rsid w:val="006C2278"/>
    <w:rsid w:val="006C2451"/>
    <w:rsid w:val="006C670A"/>
    <w:rsid w:val="006E2744"/>
    <w:rsid w:val="006E563E"/>
    <w:rsid w:val="006E68F2"/>
    <w:rsid w:val="006F0285"/>
    <w:rsid w:val="006F08E6"/>
    <w:rsid w:val="006F1E35"/>
    <w:rsid w:val="006F6F49"/>
    <w:rsid w:val="007025E7"/>
    <w:rsid w:val="0070467B"/>
    <w:rsid w:val="00706ED0"/>
    <w:rsid w:val="00716123"/>
    <w:rsid w:val="00716600"/>
    <w:rsid w:val="007176FE"/>
    <w:rsid w:val="00722E77"/>
    <w:rsid w:val="007245C4"/>
    <w:rsid w:val="00727C58"/>
    <w:rsid w:val="00732AD6"/>
    <w:rsid w:val="00745E0E"/>
    <w:rsid w:val="00747A9B"/>
    <w:rsid w:val="00751001"/>
    <w:rsid w:val="00755ACB"/>
    <w:rsid w:val="007633DD"/>
    <w:rsid w:val="00763DBB"/>
    <w:rsid w:val="00763E2E"/>
    <w:rsid w:val="0076750D"/>
    <w:rsid w:val="007745BC"/>
    <w:rsid w:val="00781CAF"/>
    <w:rsid w:val="007820AE"/>
    <w:rsid w:val="007839AE"/>
    <w:rsid w:val="00783A97"/>
    <w:rsid w:val="00785D8C"/>
    <w:rsid w:val="007865BA"/>
    <w:rsid w:val="007866E5"/>
    <w:rsid w:val="00786E16"/>
    <w:rsid w:val="00791916"/>
    <w:rsid w:val="0079311A"/>
    <w:rsid w:val="007941FD"/>
    <w:rsid w:val="007947C9"/>
    <w:rsid w:val="007A3EAE"/>
    <w:rsid w:val="007B0522"/>
    <w:rsid w:val="007B2E54"/>
    <w:rsid w:val="007B7590"/>
    <w:rsid w:val="007C208A"/>
    <w:rsid w:val="007C5913"/>
    <w:rsid w:val="007D1CC4"/>
    <w:rsid w:val="007D430D"/>
    <w:rsid w:val="007E0C95"/>
    <w:rsid w:val="007E24CC"/>
    <w:rsid w:val="007E24F9"/>
    <w:rsid w:val="007E294B"/>
    <w:rsid w:val="007E2C03"/>
    <w:rsid w:val="007E4692"/>
    <w:rsid w:val="007E76AE"/>
    <w:rsid w:val="007E7D9F"/>
    <w:rsid w:val="007F42E4"/>
    <w:rsid w:val="007F4614"/>
    <w:rsid w:val="00800A5E"/>
    <w:rsid w:val="0080128B"/>
    <w:rsid w:val="008023E8"/>
    <w:rsid w:val="008037CC"/>
    <w:rsid w:val="00811721"/>
    <w:rsid w:val="008134E5"/>
    <w:rsid w:val="0081365B"/>
    <w:rsid w:val="008136EE"/>
    <w:rsid w:val="00814086"/>
    <w:rsid w:val="00814538"/>
    <w:rsid w:val="00815D0B"/>
    <w:rsid w:val="008173CD"/>
    <w:rsid w:val="0082242F"/>
    <w:rsid w:val="00822661"/>
    <w:rsid w:val="00830839"/>
    <w:rsid w:val="00831BD1"/>
    <w:rsid w:val="008329CC"/>
    <w:rsid w:val="00832D27"/>
    <w:rsid w:val="00833415"/>
    <w:rsid w:val="0083711E"/>
    <w:rsid w:val="008402C1"/>
    <w:rsid w:val="00840B67"/>
    <w:rsid w:val="00844D2F"/>
    <w:rsid w:val="0084693A"/>
    <w:rsid w:val="00847061"/>
    <w:rsid w:val="008631FF"/>
    <w:rsid w:val="008668E1"/>
    <w:rsid w:val="00870B57"/>
    <w:rsid w:val="00871783"/>
    <w:rsid w:val="0087250B"/>
    <w:rsid w:val="00874E32"/>
    <w:rsid w:val="008756BC"/>
    <w:rsid w:val="00884B5F"/>
    <w:rsid w:val="0089164D"/>
    <w:rsid w:val="008920FE"/>
    <w:rsid w:val="0089428D"/>
    <w:rsid w:val="008B3905"/>
    <w:rsid w:val="008B3FC3"/>
    <w:rsid w:val="008B6A4B"/>
    <w:rsid w:val="008B7AC5"/>
    <w:rsid w:val="008C2A44"/>
    <w:rsid w:val="008D103D"/>
    <w:rsid w:val="008D23B4"/>
    <w:rsid w:val="008D3E91"/>
    <w:rsid w:val="008D4F37"/>
    <w:rsid w:val="008E07E7"/>
    <w:rsid w:val="008F0C5E"/>
    <w:rsid w:val="008F2A78"/>
    <w:rsid w:val="008F2C7A"/>
    <w:rsid w:val="009022DE"/>
    <w:rsid w:val="009022E9"/>
    <w:rsid w:val="00912D0D"/>
    <w:rsid w:val="0091370F"/>
    <w:rsid w:val="00914689"/>
    <w:rsid w:val="00916622"/>
    <w:rsid w:val="009174E5"/>
    <w:rsid w:val="0091779E"/>
    <w:rsid w:val="00921377"/>
    <w:rsid w:val="00921A55"/>
    <w:rsid w:val="00921DB7"/>
    <w:rsid w:val="00923830"/>
    <w:rsid w:val="00931B5B"/>
    <w:rsid w:val="0093241B"/>
    <w:rsid w:val="009329EF"/>
    <w:rsid w:val="00944617"/>
    <w:rsid w:val="00953F53"/>
    <w:rsid w:val="009602BD"/>
    <w:rsid w:val="00963258"/>
    <w:rsid w:val="00963342"/>
    <w:rsid w:val="00970D7C"/>
    <w:rsid w:val="00974E95"/>
    <w:rsid w:val="00980FBB"/>
    <w:rsid w:val="0098169E"/>
    <w:rsid w:val="00982673"/>
    <w:rsid w:val="00984204"/>
    <w:rsid w:val="00986D06"/>
    <w:rsid w:val="00990F05"/>
    <w:rsid w:val="009947A6"/>
    <w:rsid w:val="0099534B"/>
    <w:rsid w:val="00996828"/>
    <w:rsid w:val="009A1C90"/>
    <w:rsid w:val="009A59BE"/>
    <w:rsid w:val="009A6B61"/>
    <w:rsid w:val="009B1467"/>
    <w:rsid w:val="009B6E13"/>
    <w:rsid w:val="009C1553"/>
    <w:rsid w:val="009C1956"/>
    <w:rsid w:val="009C3C34"/>
    <w:rsid w:val="009C471E"/>
    <w:rsid w:val="009C6E03"/>
    <w:rsid w:val="009D055F"/>
    <w:rsid w:val="009D0BDD"/>
    <w:rsid w:val="009D1E46"/>
    <w:rsid w:val="009D2E3D"/>
    <w:rsid w:val="009D2FA8"/>
    <w:rsid w:val="009E05A6"/>
    <w:rsid w:val="009F0FF6"/>
    <w:rsid w:val="009F5775"/>
    <w:rsid w:val="009F70FF"/>
    <w:rsid w:val="00A00FD7"/>
    <w:rsid w:val="00A22F67"/>
    <w:rsid w:val="00A24D2D"/>
    <w:rsid w:val="00A35482"/>
    <w:rsid w:val="00A37C2C"/>
    <w:rsid w:val="00A404EE"/>
    <w:rsid w:val="00A607AD"/>
    <w:rsid w:val="00A75003"/>
    <w:rsid w:val="00A75CA2"/>
    <w:rsid w:val="00A77635"/>
    <w:rsid w:val="00A77750"/>
    <w:rsid w:val="00A8468E"/>
    <w:rsid w:val="00A858EE"/>
    <w:rsid w:val="00A877CF"/>
    <w:rsid w:val="00A973BC"/>
    <w:rsid w:val="00AA42EE"/>
    <w:rsid w:val="00AB0AC2"/>
    <w:rsid w:val="00AB3EC6"/>
    <w:rsid w:val="00AB4252"/>
    <w:rsid w:val="00AB4B5C"/>
    <w:rsid w:val="00AB7EF7"/>
    <w:rsid w:val="00AB7FA1"/>
    <w:rsid w:val="00AC17D3"/>
    <w:rsid w:val="00AC2519"/>
    <w:rsid w:val="00AC6412"/>
    <w:rsid w:val="00AC66FB"/>
    <w:rsid w:val="00AD03AA"/>
    <w:rsid w:val="00AD3BE6"/>
    <w:rsid w:val="00AD5404"/>
    <w:rsid w:val="00AD70FE"/>
    <w:rsid w:val="00AD7801"/>
    <w:rsid w:val="00AE65EB"/>
    <w:rsid w:val="00AF00D3"/>
    <w:rsid w:val="00AF3D65"/>
    <w:rsid w:val="00B02E87"/>
    <w:rsid w:val="00B03092"/>
    <w:rsid w:val="00B063B9"/>
    <w:rsid w:val="00B070E9"/>
    <w:rsid w:val="00B10A88"/>
    <w:rsid w:val="00B1689E"/>
    <w:rsid w:val="00B17513"/>
    <w:rsid w:val="00B31B52"/>
    <w:rsid w:val="00B35F69"/>
    <w:rsid w:val="00B40225"/>
    <w:rsid w:val="00B47695"/>
    <w:rsid w:val="00B506CD"/>
    <w:rsid w:val="00B50DB1"/>
    <w:rsid w:val="00B53544"/>
    <w:rsid w:val="00B56991"/>
    <w:rsid w:val="00B71E02"/>
    <w:rsid w:val="00B72268"/>
    <w:rsid w:val="00B73798"/>
    <w:rsid w:val="00B75B30"/>
    <w:rsid w:val="00B861A7"/>
    <w:rsid w:val="00B86964"/>
    <w:rsid w:val="00BA0085"/>
    <w:rsid w:val="00BA1012"/>
    <w:rsid w:val="00BA1583"/>
    <w:rsid w:val="00BA2B8E"/>
    <w:rsid w:val="00BA3E37"/>
    <w:rsid w:val="00BA62A6"/>
    <w:rsid w:val="00BA6993"/>
    <w:rsid w:val="00BA6DD7"/>
    <w:rsid w:val="00BA6F9B"/>
    <w:rsid w:val="00BB0AC1"/>
    <w:rsid w:val="00BB231D"/>
    <w:rsid w:val="00BB2362"/>
    <w:rsid w:val="00BB3196"/>
    <w:rsid w:val="00BB5513"/>
    <w:rsid w:val="00BB5BAB"/>
    <w:rsid w:val="00BB625B"/>
    <w:rsid w:val="00BB6326"/>
    <w:rsid w:val="00BB6428"/>
    <w:rsid w:val="00BB69D0"/>
    <w:rsid w:val="00BB75D4"/>
    <w:rsid w:val="00BC004D"/>
    <w:rsid w:val="00BC464A"/>
    <w:rsid w:val="00BC7A55"/>
    <w:rsid w:val="00BD7883"/>
    <w:rsid w:val="00BE1550"/>
    <w:rsid w:val="00BE4C72"/>
    <w:rsid w:val="00BE512D"/>
    <w:rsid w:val="00C03DD9"/>
    <w:rsid w:val="00C11899"/>
    <w:rsid w:val="00C11D57"/>
    <w:rsid w:val="00C12A34"/>
    <w:rsid w:val="00C14CEF"/>
    <w:rsid w:val="00C1680A"/>
    <w:rsid w:val="00C21DC7"/>
    <w:rsid w:val="00C262DE"/>
    <w:rsid w:val="00C27094"/>
    <w:rsid w:val="00C360D3"/>
    <w:rsid w:val="00C36534"/>
    <w:rsid w:val="00C375CA"/>
    <w:rsid w:val="00C4011C"/>
    <w:rsid w:val="00C43F0E"/>
    <w:rsid w:val="00C529EE"/>
    <w:rsid w:val="00C52E92"/>
    <w:rsid w:val="00C565DF"/>
    <w:rsid w:val="00C6065D"/>
    <w:rsid w:val="00C71791"/>
    <w:rsid w:val="00C738D9"/>
    <w:rsid w:val="00C74ADF"/>
    <w:rsid w:val="00C75755"/>
    <w:rsid w:val="00C82C92"/>
    <w:rsid w:val="00C8417D"/>
    <w:rsid w:val="00C858EF"/>
    <w:rsid w:val="00C85E10"/>
    <w:rsid w:val="00C87FA7"/>
    <w:rsid w:val="00C9086E"/>
    <w:rsid w:val="00C91F7E"/>
    <w:rsid w:val="00C9241E"/>
    <w:rsid w:val="00C92C4E"/>
    <w:rsid w:val="00C9408F"/>
    <w:rsid w:val="00C96E91"/>
    <w:rsid w:val="00CA1021"/>
    <w:rsid w:val="00CA5A83"/>
    <w:rsid w:val="00CA5AA7"/>
    <w:rsid w:val="00CA5DD3"/>
    <w:rsid w:val="00CB05B5"/>
    <w:rsid w:val="00CB15C4"/>
    <w:rsid w:val="00CB3709"/>
    <w:rsid w:val="00CC1BE0"/>
    <w:rsid w:val="00CC7FEE"/>
    <w:rsid w:val="00CD3DB8"/>
    <w:rsid w:val="00CD72C8"/>
    <w:rsid w:val="00CE1820"/>
    <w:rsid w:val="00CE1B74"/>
    <w:rsid w:val="00CE34D7"/>
    <w:rsid w:val="00CE3B47"/>
    <w:rsid w:val="00CE4D56"/>
    <w:rsid w:val="00CF5FE9"/>
    <w:rsid w:val="00CF6FDF"/>
    <w:rsid w:val="00CF7990"/>
    <w:rsid w:val="00D0422D"/>
    <w:rsid w:val="00D0446E"/>
    <w:rsid w:val="00D06213"/>
    <w:rsid w:val="00D0765F"/>
    <w:rsid w:val="00D12889"/>
    <w:rsid w:val="00D12C8E"/>
    <w:rsid w:val="00D17A60"/>
    <w:rsid w:val="00D17EC6"/>
    <w:rsid w:val="00D214CC"/>
    <w:rsid w:val="00D22F11"/>
    <w:rsid w:val="00D23B96"/>
    <w:rsid w:val="00D27011"/>
    <w:rsid w:val="00D27946"/>
    <w:rsid w:val="00D31053"/>
    <w:rsid w:val="00D33D60"/>
    <w:rsid w:val="00D35B94"/>
    <w:rsid w:val="00D377F6"/>
    <w:rsid w:val="00D40630"/>
    <w:rsid w:val="00D410E9"/>
    <w:rsid w:val="00D47953"/>
    <w:rsid w:val="00D531BD"/>
    <w:rsid w:val="00D55912"/>
    <w:rsid w:val="00D61020"/>
    <w:rsid w:val="00D61272"/>
    <w:rsid w:val="00D64F11"/>
    <w:rsid w:val="00D81AEB"/>
    <w:rsid w:val="00D86190"/>
    <w:rsid w:val="00D94A2F"/>
    <w:rsid w:val="00DA2137"/>
    <w:rsid w:val="00DA43D7"/>
    <w:rsid w:val="00DB199E"/>
    <w:rsid w:val="00DC1F3C"/>
    <w:rsid w:val="00DC3EEA"/>
    <w:rsid w:val="00DC3F60"/>
    <w:rsid w:val="00DC4042"/>
    <w:rsid w:val="00DC5A14"/>
    <w:rsid w:val="00DC7F79"/>
    <w:rsid w:val="00DD1A73"/>
    <w:rsid w:val="00DE03DB"/>
    <w:rsid w:val="00DE0A10"/>
    <w:rsid w:val="00DE1FA6"/>
    <w:rsid w:val="00DE37B0"/>
    <w:rsid w:val="00DE3BAA"/>
    <w:rsid w:val="00DE5430"/>
    <w:rsid w:val="00DE569B"/>
    <w:rsid w:val="00E04517"/>
    <w:rsid w:val="00E04B69"/>
    <w:rsid w:val="00E0543F"/>
    <w:rsid w:val="00E11754"/>
    <w:rsid w:val="00E12A59"/>
    <w:rsid w:val="00E21B22"/>
    <w:rsid w:val="00E3031E"/>
    <w:rsid w:val="00E31B4C"/>
    <w:rsid w:val="00E3269D"/>
    <w:rsid w:val="00E326B1"/>
    <w:rsid w:val="00E341B8"/>
    <w:rsid w:val="00E34812"/>
    <w:rsid w:val="00E51558"/>
    <w:rsid w:val="00E518E0"/>
    <w:rsid w:val="00E5223E"/>
    <w:rsid w:val="00E54EBD"/>
    <w:rsid w:val="00E5578C"/>
    <w:rsid w:val="00E56E4F"/>
    <w:rsid w:val="00E62BA3"/>
    <w:rsid w:val="00E63D03"/>
    <w:rsid w:val="00E6415B"/>
    <w:rsid w:val="00E64B35"/>
    <w:rsid w:val="00E67593"/>
    <w:rsid w:val="00E67A9C"/>
    <w:rsid w:val="00E73529"/>
    <w:rsid w:val="00E73C08"/>
    <w:rsid w:val="00E746F4"/>
    <w:rsid w:val="00E8196C"/>
    <w:rsid w:val="00E81CB6"/>
    <w:rsid w:val="00E82C5B"/>
    <w:rsid w:val="00E84131"/>
    <w:rsid w:val="00E84B3A"/>
    <w:rsid w:val="00E87FDF"/>
    <w:rsid w:val="00E9083A"/>
    <w:rsid w:val="00E90CC4"/>
    <w:rsid w:val="00E97DBE"/>
    <w:rsid w:val="00EB2651"/>
    <w:rsid w:val="00EB3FFD"/>
    <w:rsid w:val="00EB4563"/>
    <w:rsid w:val="00EB796E"/>
    <w:rsid w:val="00ED3AD6"/>
    <w:rsid w:val="00EE0B9C"/>
    <w:rsid w:val="00EE3AB8"/>
    <w:rsid w:val="00EE4498"/>
    <w:rsid w:val="00EF244C"/>
    <w:rsid w:val="00EF4CA3"/>
    <w:rsid w:val="00EF6E69"/>
    <w:rsid w:val="00EF6F15"/>
    <w:rsid w:val="00EF7A74"/>
    <w:rsid w:val="00F05AFB"/>
    <w:rsid w:val="00F11C1D"/>
    <w:rsid w:val="00F175C0"/>
    <w:rsid w:val="00F17E4E"/>
    <w:rsid w:val="00F216BB"/>
    <w:rsid w:val="00F21849"/>
    <w:rsid w:val="00F35833"/>
    <w:rsid w:val="00F536FE"/>
    <w:rsid w:val="00F577F9"/>
    <w:rsid w:val="00F5790A"/>
    <w:rsid w:val="00F57D48"/>
    <w:rsid w:val="00F61962"/>
    <w:rsid w:val="00F63F9A"/>
    <w:rsid w:val="00F648FE"/>
    <w:rsid w:val="00F64AFB"/>
    <w:rsid w:val="00F658A6"/>
    <w:rsid w:val="00F67EEA"/>
    <w:rsid w:val="00F7149A"/>
    <w:rsid w:val="00F73A5E"/>
    <w:rsid w:val="00F74A33"/>
    <w:rsid w:val="00F75C2F"/>
    <w:rsid w:val="00F80D04"/>
    <w:rsid w:val="00F862A1"/>
    <w:rsid w:val="00F86B8E"/>
    <w:rsid w:val="00F91D8D"/>
    <w:rsid w:val="00F93AC7"/>
    <w:rsid w:val="00F95A20"/>
    <w:rsid w:val="00F962D9"/>
    <w:rsid w:val="00F97E8E"/>
    <w:rsid w:val="00F97EA2"/>
    <w:rsid w:val="00FA28D0"/>
    <w:rsid w:val="00FA2AA8"/>
    <w:rsid w:val="00FA3FDA"/>
    <w:rsid w:val="00FB3590"/>
    <w:rsid w:val="00FC606E"/>
    <w:rsid w:val="00FC7132"/>
    <w:rsid w:val="00FD580E"/>
    <w:rsid w:val="00FD5A42"/>
    <w:rsid w:val="00FD7383"/>
    <w:rsid w:val="00FD792C"/>
    <w:rsid w:val="00FE0173"/>
    <w:rsid w:val="00FE1C9F"/>
    <w:rsid w:val="00FF1965"/>
    <w:rsid w:val="00FF20AC"/>
    <w:rsid w:val="00FF2933"/>
    <w:rsid w:val="00FF504B"/>
    <w:rsid w:val="00FF5116"/>
    <w:rsid w:val="00FF5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DF760"/>
  <w15:docId w15:val="{72094C54-2EE5-43DC-9556-839984D1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E9"/>
    <w:pPr>
      <w:spacing w:after="0" w:line="480" w:lineRule="auto"/>
      <w:ind w:firstLine="720"/>
      <w:jc w:val="both"/>
    </w:pPr>
    <w:rPr>
      <w:rFonts w:asciiTheme="majorBidi" w:hAnsiTheme="majorBidi" w:cstheme="majorBidi"/>
      <w:sz w:val="24"/>
      <w:szCs w:val="24"/>
      <w:lang w:bidi="ar-EG"/>
    </w:rPr>
  </w:style>
  <w:style w:type="paragraph" w:styleId="Heading1">
    <w:name w:val="heading 1"/>
    <w:basedOn w:val="HTMLPreformatted"/>
    <w:next w:val="Normal"/>
    <w:link w:val="Heading1Char"/>
    <w:qFormat/>
    <w:rsid w:val="000401CD"/>
    <w:pPr>
      <w:spacing w:line="540" w:lineRule="atLeast"/>
      <w:jc w:val="center"/>
      <w:outlineLvl w:val="0"/>
    </w:pPr>
    <w:rPr>
      <w:rFonts w:asciiTheme="majorBidi" w:hAnsiTheme="majorBidi" w:cstheme="majorBidi"/>
      <w:b/>
      <w:iCs/>
      <w:w w:val="95"/>
      <w:sz w:val="32"/>
      <w:szCs w:val="32"/>
    </w:rPr>
  </w:style>
  <w:style w:type="paragraph" w:styleId="Heading2">
    <w:name w:val="heading 2"/>
    <w:basedOn w:val="ListParagraph"/>
    <w:next w:val="Normal"/>
    <w:link w:val="Heading2Char"/>
    <w:uiPriority w:val="9"/>
    <w:unhideWhenUsed/>
    <w:qFormat/>
    <w:rsid w:val="00D410E9"/>
    <w:pPr>
      <w:spacing w:line="360" w:lineRule="auto"/>
      <w:ind w:left="0" w:right="48"/>
      <w:outlineLvl w:val="1"/>
    </w:pPr>
    <w:rPr>
      <w:b/>
      <w:bCs/>
    </w:rPr>
  </w:style>
  <w:style w:type="paragraph" w:styleId="Heading3">
    <w:name w:val="heading 3"/>
    <w:basedOn w:val="Normal"/>
    <w:next w:val="Normal"/>
    <w:link w:val="Heading3Char"/>
    <w:unhideWhenUsed/>
    <w:qFormat/>
    <w:rsid w:val="00E56E4F"/>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nhideWhenUsed/>
    <w:qFormat/>
    <w:rsid w:val="00D33D60"/>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link w:val="Heading5Char"/>
    <w:qFormat/>
    <w:rsid w:val="00800A5E"/>
    <w:pPr>
      <w:spacing w:after="0" w:line="240" w:lineRule="auto"/>
      <w:outlineLvl w:val="4"/>
    </w:pPr>
    <w:rPr>
      <w:rFonts w:ascii="Times New Roman" w:eastAsia="Times New Roman" w:hAnsi="Times New Roman" w:cs="Times New Roman"/>
      <w:color w:val="2E74B5"/>
      <w:sz w:val="20"/>
      <w:szCs w:val="20"/>
    </w:rPr>
  </w:style>
  <w:style w:type="paragraph" w:styleId="Heading6">
    <w:name w:val="heading 6"/>
    <w:link w:val="Heading6Char"/>
    <w:qFormat/>
    <w:rsid w:val="00800A5E"/>
    <w:pPr>
      <w:spacing w:after="0" w:line="240" w:lineRule="auto"/>
      <w:outlineLvl w:val="5"/>
    </w:pPr>
    <w:rPr>
      <w:rFonts w:ascii="Times New Roman" w:eastAsia="Times New Roman" w:hAnsi="Times New Roman" w:cs="Times New Roman"/>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Question"/>
    <w:uiPriority w:val="19"/>
    <w:qFormat/>
    <w:rsid w:val="009A1C90"/>
    <w:rPr>
      <w:rFonts w:asciiTheme="majorHAnsi" w:hAnsiTheme="majorHAnsi" w:cstheme="majorHAnsi"/>
      <w:b/>
      <w:bCs/>
      <w:sz w:val="24"/>
      <w:szCs w:val="24"/>
    </w:rPr>
  </w:style>
  <w:style w:type="paragraph" w:customStyle="1" w:styleId="Style1">
    <w:name w:val="Style1"/>
    <w:basedOn w:val="ListParagraph"/>
    <w:link w:val="Style1Char"/>
    <w:qFormat/>
    <w:rsid w:val="00751001"/>
    <w:pPr>
      <w:numPr>
        <w:numId w:val="1"/>
      </w:numPr>
      <w:spacing w:line="360" w:lineRule="auto"/>
    </w:pPr>
    <w:rPr>
      <w:rFonts w:eastAsia="Calibri"/>
    </w:rPr>
  </w:style>
  <w:style w:type="character" w:customStyle="1" w:styleId="Style1Char">
    <w:name w:val="Style1 Char"/>
    <w:basedOn w:val="DefaultParagraphFont"/>
    <w:link w:val="Style1"/>
    <w:rsid w:val="00751001"/>
    <w:rPr>
      <w:rFonts w:asciiTheme="majorBidi" w:eastAsia="Calibri" w:hAnsiTheme="majorBidi" w:cstheme="majorBidi"/>
      <w:sz w:val="24"/>
      <w:szCs w:val="24"/>
      <w:lang w:bidi="ar-EG"/>
    </w:rPr>
  </w:style>
  <w:style w:type="paragraph" w:styleId="ListParagraph">
    <w:name w:val="List Paragraph"/>
    <w:basedOn w:val="Normal"/>
    <w:uiPriority w:val="34"/>
    <w:qFormat/>
    <w:rsid w:val="00751001"/>
    <w:pPr>
      <w:ind w:left="720"/>
      <w:contextualSpacing/>
    </w:pPr>
  </w:style>
  <w:style w:type="paragraph" w:customStyle="1" w:styleId="Q">
    <w:name w:val="Q"/>
    <w:basedOn w:val="Style1"/>
    <w:link w:val="QChar"/>
    <w:qFormat/>
    <w:rsid w:val="00751001"/>
    <w:pPr>
      <w:numPr>
        <w:numId w:val="0"/>
      </w:numPr>
      <w:ind w:left="720" w:hanging="360"/>
    </w:pPr>
  </w:style>
  <w:style w:type="character" w:customStyle="1" w:styleId="QChar">
    <w:name w:val="Q Char"/>
    <w:basedOn w:val="Style1Char"/>
    <w:link w:val="Q"/>
    <w:rsid w:val="00751001"/>
    <w:rPr>
      <w:rFonts w:asciiTheme="majorBidi" w:eastAsia="Calibri" w:hAnsiTheme="majorBidi" w:cstheme="majorBidi"/>
      <w:sz w:val="24"/>
      <w:szCs w:val="24"/>
      <w:lang w:bidi="ar-EG"/>
    </w:rPr>
  </w:style>
  <w:style w:type="paragraph" w:customStyle="1" w:styleId="Table">
    <w:name w:val="Table"/>
    <w:basedOn w:val="Caption"/>
    <w:link w:val="TableChar"/>
    <w:qFormat/>
    <w:rsid w:val="00706ED0"/>
    <w:pPr>
      <w:keepNext/>
      <w:ind w:firstLine="0"/>
    </w:pPr>
    <w:rPr>
      <w:color w:val="auto"/>
      <w:sz w:val="20"/>
      <w:szCs w:val="20"/>
    </w:rPr>
  </w:style>
  <w:style w:type="character" w:customStyle="1" w:styleId="TableChar">
    <w:name w:val="Table Char"/>
    <w:basedOn w:val="DefaultParagraphFont"/>
    <w:link w:val="Table"/>
    <w:rsid w:val="00706ED0"/>
    <w:rPr>
      <w:rFonts w:asciiTheme="majorBidi" w:hAnsiTheme="majorBidi" w:cstheme="majorBidi"/>
      <w:b/>
      <w:bCs/>
      <w:sz w:val="20"/>
      <w:szCs w:val="20"/>
      <w:lang w:bidi="ar-EG"/>
    </w:rPr>
  </w:style>
  <w:style w:type="paragraph" w:styleId="HTMLPreformatted">
    <w:name w:val="HTML Preformatted"/>
    <w:basedOn w:val="Normal"/>
    <w:link w:val="HTMLPreformattedChar"/>
    <w:uiPriority w:val="99"/>
    <w:unhideWhenUsed/>
    <w:rsid w:val="0004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0401C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401CD"/>
    <w:rPr>
      <w:rFonts w:asciiTheme="majorBidi" w:eastAsia="Times New Roman" w:hAnsiTheme="majorBidi" w:cstheme="majorBidi"/>
      <w:b/>
      <w:iCs/>
      <w:w w:val="95"/>
      <w:sz w:val="32"/>
      <w:szCs w:val="32"/>
    </w:rPr>
  </w:style>
  <w:style w:type="character" w:customStyle="1" w:styleId="Heading2Char">
    <w:name w:val="Heading 2 Char"/>
    <w:basedOn w:val="DefaultParagraphFont"/>
    <w:link w:val="Heading2"/>
    <w:uiPriority w:val="9"/>
    <w:rsid w:val="00D410E9"/>
    <w:rPr>
      <w:rFonts w:asciiTheme="majorBidi" w:hAnsiTheme="majorBidi" w:cstheme="majorBidi"/>
      <w:b/>
      <w:bCs/>
      <w:sz w:val="24"/>
      <w:szCs w:val="24"/>
      <w:lang w:bidi="ar-EG"/>
    </w:rPr>
  </w:style>
  <w:style w:type="paragraph" w:styleId="BodyText">
    <w:name w:val="Body Text"/>
    <w:basedOn w:val="Normal"/>
    <w:link w:val="BodyTextChar"/>
    <w:uiPriority w:val="1"/>
    <w:qFormat/>
    <w:rsid w:val="00445EA6"/>
    <w:pPr>
      <w:widowControl w:val="0"/>
      <w:autoSpaceDE w:val="0"/>
      <w:autoSpaceDN w:val="0"/>
      <w:spacing w:line="240" w:lineRule="auto"/>
      <w:ind w:firstLine="0"/>
      <w:jc w:val="left"/>
    </w:pPr>
    <w:rPr>
      <w:rFonts w:ascii="Carlito" w:eastAsia="Carlito" w:hAnsi="Carlito" w:cs="Carlito"/>
      <w:sz w:val="28"/>
      <w:szCs w:val="28"/>
      <w:lang w:bidi="ar-SA"/>
    </w:rPr>
  </w:style>
  <w:style w:type="character" w:customStyle="1" w:styleId="BodyTextChar">
    <w:name w:val="Body Text Char"/>
    <w:basedOn w:val="DefaultParagraphFont"/>
    <w:link w:val="BodyText"/>
    <w:uiPriority w:val="1"/>
    <w:rsid w:val="00445EA6"/>
    <w:rPr>
      <w:rFonts w:ascii="Carlito" w:eastAsia="Carlito" w:hAnsi="Carlito" w:cs="Carlito"/>
      <w:sz w:val="28"/>
      <w:szCs w:val="28"/>
    </w:rPr>
  </w:style>
  <w:style w:type="paragraph" w:customStyle="1" w:styleId="EndNoteBibliographyTitle">
    <w:name w:val="EndNote Bibliography Title"/>
    <w:basedOn w:val="Normal"/>
    <w:link w:val="EndNoteBibliographyTitleChar"/>
    <w:rsid w:val="00D47953"/>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D47953"/>
    <w:rPr>
      <w:rFonts w:ascii="Times New Roman" w:hAnsi="Times New Roman" w:cs="Times New Roman"/>
      <w:noProof/>
      <w:sz w:val="24"/>
      <w:szCs w:val="24"/>
      <w:lang w:bidi="ar-EG"/>
    </w:rPr>
  </w:style>
  <w:style w:type="paragraph" w:customStyle="1" w:styleId="EndNoteBibliography">
    <w:name w:val="EndNote Bibliography"/>
    <w:basedOn w:val="Normal"/>
    <w:link w:val="EndNoteBibliographyChar"/>
    <w:rsid w:val="00D47953"/>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D47953"/>
    <w:rPr>
      <w:rFonts w:ascii="Times New Roman" w:hAnsi="Times New Roman" w:cs="Times New Roman"/>
      <w:noProof/>
      <w:sz w:val="24"/>
      <w:szCs w:val="24"/>
      <w:lang w:bidi="ar-EG"/>
    </w:rPr>
  </w:style>
  <w:style w:type="character" w:styleId="Hyperlink">
    <w:name w:val="Hyperlink"/>
    <w:basedOn w:val="DefaultParagraphFont"/>
    <w:uiPriority w:val="99"/>
    <w:unhideWhenUsed/>
    <w:rsid w:val="00D47953"/>
    <w:rPr>
      <w:color w:val="0000FF" w:themeColor="hyperlink"/>
      <w:u w:val="single"/>
    </w:rPr>
  </w:style>
  <w:style w:type="paragraph" w:styleId="Caption">
    <w:name w:val="caption"/>
    <w:basedOn w:val="Normal"/>
    <w:next w:val="Normal"/>
    <w:uiPriority w:val="35"/>
    <w:unhideWhenUsed/>
    <w:qFormat/>
    <w:rsid w:val="004A7CC8"/>
    <w:pPr>
      <w:spacing w:after="200" w:line="240" w:lineRule="auto"/>
    </w:pPr>
    <w:rPr>
      <w:b/>
      <w:bCs/>
      <w:color w:val="4F81BD" w:themeColor="accent1"/>
      <w:sz w:val="18"/>
      <w:szCs w:val="18"/>
    </w:rPr>
  </w:style>
  <w:style w:type="paragraph" w:styleId="Subtitle">
    <w:name w:val="Subtitle"/>
    <w:aliases w:val="Tables"/>
    <w:basedOn w:val="Caption"/>
    <w:next w:val="Normal"/>
    <w:link w:val="SubtitleChar"/>
    <w:uiPriority w:val="11"/>
    <w:qFormat/>
    <w:rsid w:val="004A7CC8"/>
    <w:pPr>
      <w:keepNext/>
    </w:pPr>
    <w:rPr>
      <w:color w:val="auto"/>
      <w:sz w:val="20"/>
      <w:szCs w:val="20"/>
    </w:rPr>
  </w:style>
  <w:style w:type="character" w:customStyle="1" w:styleId="SubtitleChar">
    <w:name w:val="Subtitle Char"/>
    <w:aliases w:val="Tables Char"/>
    <w:basedOn w:val="DefaultParagraphFont"/>
    <w:link w:val="Subtitle"/>
    <w:uiPriority w:val="11"/>
    <w:rsid w:val="004A7CC8"/>
    <w:rPr>
      <w:rFonts w:asciiTheme="majorBidi" w:hAnsiTheme="majorBidi" w:cstheme="majorBidi"/>
      <w:b/>
      <w:bCs/>
      <w:sz w:val="20"/>
      <w:szCs w:val="20"/>
      <w:lang w:bidi="ar-EG"/>
    </w:rPr>
  </w:style>
  <w:style w:type="table" w:styleId="TableGrid">
    <w:name w:val="Table Grid"/>
    <w:basedOn w:val="TableNormal"/>
    <w:uiPriority w:val="59"/>
    <w:rsid w:val="0046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3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3DD"/>
    <w:rPr>
      <w:rFonts w:ascii="Tahoma" w:hAnsi="Tahoma" w:cs="Tahoma"/>
      <w:sz w:val="16"/>
      <w:szCs w:val="16"/>
      <w:lang w:bidi="ar-EG"/>
    </w:rPr>
  </w:style>
  <w:style w:type="paragraph" w:styleId="Header">
    <w:name w:val="header"/>
    <w:aliases w:val="Header Char Char,Header Char1 Char,Char,Char Char Char Char, Char Char Char Char Char, Char5 Char"/>
    <w:basedOn w:val="Normal"/>
    <w:link w:val="HeaderChar"/>
    <w:uiPriority w:val="99"/>
    <w:unhideWhenUsed/>
    <w:rsid w:val="004B0F9C"/>
    <w:pPr>
      <w:tabs>
        <w:tab w:val="center" w:pos="4153"/>
        <w:tab w:val="right" w:pos="8306"/>
      </w:tabs>
      <w:spacing w:line="240" w:lineRule="auto"/>
    </w:pPr>
  </w:style>
  <w:style w:type="character" w:customStyle="1" w:styleId="HeaderChar">
    <w:name w:val="Header Char"/>
    <w:aliases w:val="Header Char Char Char,Header Char1 Char Char,Char Char,Char Char Char Char Char, Char Char Char Char Char Char, Char5 Char Char"/>
    <w:basedOn w:val="DefaultParagraphFont"/>
    <w:link w:val="Header"/>
    <w:uiPriority w:val="99"/>
    <w:rsid w:val="004B0F9C"/>
    <w:rPr>
      <w:rFonts w:asciiTheme="majorBidi" w:hAnsiTheme="majorBidi" w:cstheme="majorBidi"/>
      <w:sz w:val="24"/>
      <w:szCs w:val="24"/>
      <w:lang w:bidi="ar-EG"/>
    </w:rPr>
  </w:style>
  <w:style w:type="paragraph" w:styleId="Footer">
    <w:name w:val="footer"/>
    <w:basedOn w:val="Normal"/>
    <w:link w:val="FooterChar"/>
    <w:unhideWhenUsed/>
    <w:qFormat/>
    <w:rsid w:val="004B0F9C"/>
    <w:pPr>
      <w:tabs>
        <w:tab w:val="center" w:pos="4153"/>
        <w:tab w:val="right" w:pos="8306"/>
      </w:tabs>
      <w:spacing w:line="240" w:lineRule="auto"/>
    </w:pPr>
  </w:style>
  <w:style w:type="character" w:customStyle="1" w:styleId="FooterChar">
    <w:name w:val="Footer Char"/>
    <w:basedOn w:val="DefaultParagraphFont"/>
    <w:link w:val="Footer"/>
    <w:rsid w:val="004B0F9C"/>
    <w:rPr>
      <w:rFonts w:asciiTheme="majorBidi" w:hAnsiTheme="majorBidi" w:cstheme="majorBidi"/>
      <w:sz w:val="24"/>
      <w:szCs w:val="24"/>
      <w:lang w:bidi="ar-EG"/>
    </w:rPr>
  </w:style>
  <w:style w:type="paragraph" w:customStyle="1" w:styleId="Default">
    <w:name w:val="Default"/>
    <w:rsid w:val="00E67A9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D33D60"/>
    <w:rPr>
      <w:sz w:val="16"/>
      <w:szCs w:val="16"/>
    </w:rPr>
  </w:style>
  <w:style w:type="paragraph" w:styleId="CommentText">
    <w:name w:val="annotation text"/>
    <w:basedOn w:val="Normal"/>
    <w:link w:val="CommentTextChar"/>
    <w:uiPriority w:val="99"/>
    <w:unhideWhenUsed/>
    <w:rsid w:val="00D33D60"/>
    <w:pPr>
      <w:spacing w:line="240" w:lineRule="auto"/>
    </w:pPr>
    <w:rPr>
      <w:sz w:val="20"/>
      <w:szCs w:val="20"/>
      <w:shd w:val="clear" w:color="auto" w:fill="FFFFFF"/>
    </w:rPr>
  </w:style>
  <w:style w:type="character" w:customStyle="1" w:styleId="CommentTextChar">
    <w:name w:val="Comment Text Char"/>
    <w:basedOn w:val="DefaultParagraphFont"/>
    <w:link w:val="CommentText"/>
    <w:uiPriority w:val="99"/>
    <w:rsid w:val="00D33D60"/>
    <w:rPr>
      <w:rFonts w:asciiTheme="majorBidi" w:hAnsiTheme="majorBidi" w:cstheme="majorBidi"/>
      <w:sz w:val="20"/>
      <w:szCs w:val="20"/>
      <w:lang w:bidi="ar-EG"/>
    </w:rPr>
  </w:style>
  <w:style w:type="character" w:customStyle="1" w:styleId="Heading4Char">
    <w:name w:val="Heading 4 Char"/>
    <w:basedOn w:val="DefaultParagraphFont"/>
    <w:link w:val="Heading4"/>
    <w:rsid w:val="00D33D60"/>
    <w:rPr>
      <w:rFonts w:asciiTheme="majorHAnsi" w:eastAsiaTheme="majorEastAsia" w:hAnsiTheme="majorHAnsi" w:cstheme="majorBidi"/>
      <w:b/>
      <w:bCs/>
      <w:i/>
      <w:iCs/>
      <w:color w:val="4F81BD" w:themeColor="accent1"/>
      <w:sz w:val="24"/>
      <w:szCs w:val="24"/>
      <w:lang w:bidi="ar-EG"/>
    </w:rPr>
  </w:style>
  <w:style w:type="character" w:styleId="IntenseEmphasis">
    <w:name w:val="Intense Emphasis"/>
    <w:uiPriority w:val="21"/>
    <w:qFormat/>
    <w:rsid w:val="00D33D60"/>
    <w:rPr>
      <w:b/>
      <w:bCs/>
    </w:rPr>
  </w:style>
  <w:style w:type="paragraph" w:styleId="NormalWeb">
    <w:name w:val="Normal (Web)"/>
    <w:basedOn w:val="Normal"/>
    <w:uiPriority w:val="99"/>
    <w:unhideWhenUsed/>
    <w:rsid w:val="00012020"/>
    <w:pPr>
      <w:spacing w:before="100" w:beforeAutospacing="1" w:after="100" w:afterAutospacing="1" w:line="240" w:lineRule="auto"/>
      <w:ind w:firstLine="0"/>
      <w:jc w:val="left"/>
    </w:pPr>
    <w:rPr>
      <w:rFonts w:ascii="Times New Roman" w:eastAsia="Times New Roman" w:hAnsi="Times New Roman" w:cs="Times New Roman"/>
      <w:lang w:bidi="ar-SA"/>
    </w:rPr>
  </w:style>
  <w:style w:type="paragraph" w:styleId="CommentSubject">
    <w:name w:val="annotation subject"/>
    <w:basedOn w:val="CommentText"/>
    <w:next w:val="CommentText"/>
    <w:link w:val="CommentSubjectChar"/>
    <w:uiPriority w:val="99"/>
    <w:semiHidden/>
    <w:unhideWhenUsed/>
    <w:rsid w:val="00455B52"/>
    <w:rPr>
      <w:b/>
      <w:bCs/>
      <w:shd w:val="clear" w:color="auto" w:fill="auto"/>
    </w:rPr>
  </w:style>
  <w:style w:type="character" w:customStyle="1" w:styleId="CommentSubjectChar">
    <w:name w:val="Comment Subject Char"/>
    <w:basedOn w:val="CommentTextChar"/>
    <w:link w:val="CommentSubject"/>
    <w:uiPriority w:val="99"/>
    <w:semiHidden/>
    <w:rsid w:val="00455B52"/>
    <w:rPr>
      <w:rFonts w:asciiTheme="majorBidi" w:hAnsiTheme="majorBidi" w:cstheme="majorBidi"/>
      <w:b/>
      <w:bCs/>
      <w:sz w:val="20"/>
      <w:szCs w:val="20"/>
      <w:lang w:bidi="ar-EG"/>
    </w:rPr>
  </w:style>
  <w:style w:type="paragraph" w:customStyle="1" w:styleId="mb0">
    <w:name w:val="mb0"/>
    <w:basedOn w:val="Normal"/>
    <w:rsid w:val="00830839"/>
    <w:pPr>
      <w:spacing w:before="100" w:beforeAutospacing="1" w:after="100" w:afterAutospacing="1" w:line="240" w:lineRule="auto"/>
      <w:ind w:firstLine="0"/>
      <w:jc w:val="left"/>
    </w:pPr>
    <w:rPr>
      <w:rFonts w:ascii="Times New Roman" w:eastAsia="Times New Roman" w:hAnsi="Times New Roman" w:cs="Times New Roman"/>
      <w:lang w:bidi="ar-SA"/>
    </w:rPr>
  </w:style>
  <w:style w:type="paragraph" w:styleId="Revision">
    <w:name w:val="Revision"/>
    <w:hidden/>
    <w:uiPriority w:val="99"/>
    <w:semiHidden/>
    <w:rsid w:val="003470B2"/>
    <w:pPr>
      <w:spacing w:after="0" w:line="240" w:lineRule="auto"/>
    </w:pPr>
    <w:rPr>
      <w:rFonts w:asciiTheme="majorBidi" w:hAnsiTheme="majorBidi" w:cstheme="majorBidi"/>
      <w:sz w:val="24"/>
      <w:szCs w:val="24"/>
      <w:lang w:bidi="ar-EG"/>
    </w:rPr>
  </w:style>
  <w:style w:type="character" w:customStyle="1" w:styleId="Heading3Char">
    <w:name w:val="Heading 3 Char"/>
    <w:basedOn w:val="DefaultParagraphFont"/>
    <w:link w:val="Heading3"/>
    <w:uiPriority w:val="9"/>
    <w:semiHidden/>
    <w:rsid w:val="00E56E4F"/>
    <w:rPr>
      <w:rFonts w:asciiTheme="majorHAnsi" w:eastAsiaTheme="majorEastAsia" w:hAnsiTheme="majorHAnsi" w:cstheme="majorBidi"/>
      <w:b/>
      <w:bCs/>
      <w:color w:val="4F81BD" w:themeColor="accent1"/>
      <w:sz w:val="24"/>
      <w:szCs w:val="24"/>
      <w:lang w:bidi="ar-EG"/>
    </w:rPr>
  </w:style>
  <w:style w:type="paragraph" w:customStyle="1" w:styleId="authername">
    <w:name w:val="auther name"/>
    <w:basedOn w:val="Normal"/>
    <w:link w:val="authernameChar"/>
    <w:qFormat/>
    <w:rsid w:val="00E5578C"/>
    <w:pPr>
      <w:spacing w:line="360" w:lineRule="auto"/>
      <w:ind w:firstLine="0"/>
      <w:jc w:val="center"/>
    </w:pPr>
    <w:rPr>
      <w:rFonts w:ascii="Times New Roman" w:eastAsia="SimSun" w:hAnsi="Times New Roman" w:cs="Times New Roman"/>
      <w:b/>
      <w:bCs/>
      <w:iCs/>
      <w:color w:val="000000"/>
      <w:lang w:bidi="ar-SA"/>
    </w:rPr>
  </w:style>
  <w:style w:type="character" w:customStyle="1" w:styleId="authernameChar">
    <w:name w:val="auther name Char"/>
    <w:basedOn w:val="DefaultParagraphFont"/>
    <w:link w:val="authername"/>
    <w:rsid w:val="00E5578C"/>
    <w:rPr>
      <w:rFonts w:ascii="Times New Roman" w:eastAsia="SimSun" w:hAnsi="Times New Roman" w:cs="Times New Roman"/>
      <w:b/>
      <w:bCs/>
      <w:iCs/>
      <w:color w:val="000000"/>
      <w:sz w:val="24"/>
      <w:szCs w:val="24"/>
    </w:rPr>
  </w:style>
  <w:style w:type="character" w:customStyle="1" w:styleId="Heading5Char">
    <w:name w:val="Heading 5 Char"/>
    <w:basedOn w:val="DefaultParagraphFont"/>
    <w:link w:val="Heading5"/>
    <w:rsid w:val="00800A5E"/>
    <w:rPr>
      <w:rFonts w:ascii="Times New Roman" w:eastAsia="Times New Roman" w:hAnsi="Times New Roman" w:cs="Times New Roman"/>
      <w:color w:val="2E74B5"/>
      <w:sz w:val="20"/>
      <w:szCs w:val="20"/>
    </w:rPr>
  </w:style>
  <w:style w:type="character" w:customStyle="1" w:styleId="Heading6Char">
    <w:name w:val="Heading 6 Char"/>
    <w:basedOn w:val="DefaultParagraphFont"/>
    <w:link w:val="Heading6"/>
    <w:rsid w:val="00800A5E"/>
    <w:rPr>
      <w:rFonts w:ascii="Times New Roman" w:eastAsia="Times New Roman" w:hAnsi="Times New Roman" w:cs="Times New Roman"/>
      <w:color w:val="1F4D78"/>
      <w:sz w:val="20"/>
      <w:szCs w:val="20"/>
    </w:rPr>
  </w:style>
  <w:style w:type="paragraph" w:styleId="Title">
    <w:name w:val="Title"/>
    <w:link w:val="TitleChar"/>
    <w:qFormat/>
    <w:rsid w:val="00800A5E"/>
    <w:pPr>
      <w:spacing w:after="0" w:line="240" w:lineRule="auto"/>
    </w:pPr>
    <w:rPr>
      <w:rFonts w:ascii="Times New Roman" w:eastAsia="Times New Roman" w:hAnsi="Times New Roman" w:cs="Times New Roman"/>
      <w:sz w:val="56"/>
      <w:szCs w:val="56"/>
    </w:rPr>
  </w:style>
  <w:style w:type="character" w:customStyle="1" w:styleId="TitleChar">
    <w:name w:val="Title Char"/>
    <w:basedOn w:val="DefaultParagraphFont"/>
    <w:link w:val="Title"/>
    <w:rsid w:val="00800A5E"/>
    <w:rPr>
      <w:rFonts w:ascii="Times New Roman" w:eastAsia="Times New Roman" w:hAnsi="Times New Roman" w:cs="Times New Roman"/>
      <w:sz w:val="56"/>
      <w:szCs w:val="56"/>
    </w:rPr>
  </w:style>
  <w:style w:type="paragraph" w:customStyle="1" w:styleId="Strong1">
    <w:name w:val="Strong1"/>
    <w:qFormat/>
    <w:rsid w:val="00800A5E"/>
    <w:pPr>
      <w:spacing w:after="0" w:line="240" w:lineRule="auto"/>
    </w:pPr>
    <w:rPr>
      <w:rFonts w:ascii="Times New Roman" w:eastAsia="Times New Roman" w:hAnsi="Times New Roman" w:cs="Times New Roman"/>
      <w:b/>
      <w:bCs/>
      <w:sz w:val="20"/>
      <w:szCs w:val="20"/>
    </w:rPr>
  </w:style>
  <w:style w:type="character" w:styleId="FootnoteReference">
    <w:name w:val="footnote reference"/>
    <w:uiPriority w:val="99"/>
    <w:semiHidden/>
    <w:unhideWhenUsed/>
    <w:rsid w:val="00800A5E"/>
    <w:rPr>
      <w:vertAlign w:val="superscript"/>
    </w:rPr>
  </w:style>
  <w:style w:type="paragraph" w:styleId="FootnoteText">
    <w:name w:val="footnote text"/>
    <w:link w:val="FootnoteTextChar"/>
    <w:uiPriority w:val="99"/>
    <w:semiHidden/>
    <w:unhideWhenUsed/>
    <w:rsid w:val="00800A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00A5E"/>
    <w:rPr>
      <w:rFonts w:ascii="Times New Roman" w:eastAsia="Times New Roman" w:hAnsi="Times New Roman" w:cs="Times New Roman"/>
      <w:sz w:val="20"/>
      <w:szCs w:val="20"/>
    </w:rPr>
  </w:style>
  <w:style w:type="character" w:styleId="Strong">
    <w:name w:val="Strong"/>
    <w:basedOn w:val="DefaultParagraphFont"/>
    <w:uiPriority w:val="22"/>
    <w:qFormat/>
    <w:rsid w:val="00800A5E"/>
    <w:rPr>
      <w:b/>
      <w:bCs/>
    </w:rPr>
  </w:style>
  <w:style w:type="character" w:styleId="Emphasis">
    <w:name w:val="Emphasis"/>
    <w:aliases w:val="Modify"/>
    <w:basedOn w:val="DefaultParagraphFont"/>
    <w:uiPriority w:val="20"/>
    <w:qFormat/>
    <w:rsid w:val="00800A5E"/>
    <w:rPr>
      <w:rFonts w:cs="Times New Roman"/>
      <w:b w:val="0"/>
      <w:bCs w:val="0"/>
      <w:i w:val="0"/>
      <w:iCs/>
      <w:color w:val="FF0000"/>
      <w:sz w:val="24"/>
      <w:szCs w:val="24"/>
    </w:rPr>
  </w:style>
  <w:style w:type="paragraph" w:customStyle="1" w:styleId="p">
    <w:name w:val="p"/>
    <w:basedOn w:val="Normal"/>
    <w:rsid w:val="00800A5E"/>
    <w:pPr>
      <w:spacing w:before="100" w:beforeAutospacing="1" w:after="100" w:afterAutospacing="1" w:line="360" w:lineRule="auto"/>
      <w:ind w:firstLine="567"/>
    </w:pPr>
    <w:rPr>
      <w:rFonts w:eastAsia="Times New Roman"/>
      <w:color w:val="232323"/>
      <w:shd w:val="clear" w:color="auto" w:fill="FFFFFF"/>
      <w:lang w:bidi="ar-SA"/>
    </w:rPr>
  </w:style>
  <w:style w:type="character" w:styleId="FollowedHyperlink">
    <w:name w:val="FollowedHyperlink"/>
    <w:basedOn w:val="DefaultParagraphFont"/>
    <w:uiPriority w:val="99"/>
    <w:semiHidden/>
    <w:unhideWhenUsed/>
    <w:rsid w:val="00800A5E"/>
    <w:rPr>
      <w:color w:val="800080" w:themeColor="followedHyperlink"/>
      <w:u w:val="single"/>
    </w:rPr>
  </w:style>
  <w:style w:type="character" w:customStyle="1" w:styleId="h2">
    <w:name w:val="h2"/>
    <w:basedOn w:val="DefaultParagraphFont"/>
    <w:rsid w:val="00800A5E"/>
  </w:style>
  <w:style w:type="character" w:customStyle="1" w:styleId="headingendmark">
    <w:name w:val="headingendmark"/>
    <w:basedOn w:val="DefaultParagraphFont"/>
    <w:rsid w:val="00800A5E"/>
  </w:style>
  <w:style w:type="paragraph" w:styleId="EndnoteText">
    <w:name w:val="endnote text"/>
    <w:basedOn w:val="Normal"/>
    <w:link w:val="EndnoteTextChar"/>
    <w:uiPriority w:val="99"/>
    <w:semiHidden/>
    <w:unhideWhenUsed/>
    <w:rsid w:val="00800A5E"/>
    <w:pPr>
      <w:spacing w:line="360" w:lineRule="auto"/>
      <w:ind w:firstLine="567"/>
    </w:pPr>
    <w:rPr>
      <w:rFonts w:eastAsia="Times New Roman"/>
      <w:color w:val="232323"/>
      <w:shd w:val="clear" w:color="auto" w:fill="FFFFFF"/>
      <w:lang w:bidi="ar-SA"/>
    </w:rPr>
  </w:style>
  <w:style w:type="character" w:customStyle="1" w:styleId="EndnoteTextChar">
    <w:name w:val="Endnote Text Char"/>
    <w:basedOn w:val="DefaultParagraphFont"/>
    <w:link w:val="EndnoteText"/>
    <w:uiPriority w:val="99"/>
    <w:semiHidden/>
    <w:rsid w:val="00800A5E"/>
    <w:rPr>
      <w:rFonts w:asciiTheme="majorBidi" w:eastAsia="Times New Roman" w:hAnsiTheme="majorBidi" w:cstheme="majorBidi"/>
      <w:color w:val="232323"/>
      <w:sz w:val="24"/>
      <w:szCs w:val="24"/>
    </w:rPr>
  </w:style>
  <w:style w:type="character" w:styleId="EndnoteReference">
    <w:name w:val="endnote reference"/>
    <w:basedOn w:val="DefaultParagraphFont"/>
    <w:uiPriority w:val="99"/>
    <w:semiHidden/>
    <w:unhideWhenUsed/>
    <w:rsid w:val="00800A5E"/>
    <w:rPr>
      <w:vertAlign w:val="superscript"/>
    </w:rPr>
  </w:style>
  <w:style w:type="character" w:customStyle="1" w:styleId="h3">
    <w:name w:val="h3"/>
    <w:basedOn w:val="DefaultParagraphFont"/>
    <w:rsid w:val="00800A5E"/>
  </w:style>
  <w:style w:type="paragraph" w:customStyle="1" w:styleId="headinganchor">
    <w:name w:val="headinganchor"/>
    <w:basedOn w:val="Normal"/>
    <w:rsid w:val="00800A5E"/>
    <w:pPr>
      <w:spacing w:before="100" w:beforeAutospacing="1" w:after="100" w:afterAutospacing="1" w:line="240" w:lineRule="auto"/>
      <w:ind w:firstLine="0"/>
      <w:jc w:val="left"/>
    </w:pPr>
    <w:rPr>
      <w:rFonts w:ascii="Times New Roman" w:eastAsia="Times New Roman" w:hAnsi="Times New Roman" w:cs="Times New Roman"/>
      <w:lang w:bidi="ar-SA"/>
    </w:rPr>
  </w:style>
  <w:style w:type="paragraph" w:customStyle="1" w:styleId="bulletindent1">
    <w:name w:val="bulletindent1"/>
    <w:basedOn w:val="Normal"/>
    <w:rsid w:val="00800A5E"/>
    <w:pPr>
      <w:spacing w:before="100" w:beforeAutospacing="1" w:after="100" w:afterAutospacing="1" w:line="240" w:lineRule="auto"/>
      <w:ind w:firstLine="0"/>
      <w:jc w:val="left"/>
    </w:pPr>
    <w:rPr>
      <w:rFonts w:ascii="Times New Roman" w:eastAsia="Times New Roman" w:hAnsi="Times New Roman" w:cs="Times New Roman"/>
      <w:lang w:bidi="ar-SA"/>
    </w:rPr>
  </w:style>
  <w:style w:type="character" w:customStyle="1" w:styleId="glyph">
    <w:name w:val="glyph"/>
    <w:basedOn w:val="DefaultParagraphFont"/>
    <w:rsid w:val="00800A5E"/>
  </w:style>
  <w:style w:type="character" w:customStyle="1" w:styleId="h4">
    <w:name w:val="h4"/>
    <w:basedOn w:val="DefaultParagraphFont"/>
    <w:rsid w:val="00800A5E"/>
  </w:style>
  <w:style w:type="character" w:customStyle="1" w:styleId="lozenge">
    <w:name w:val="lozenge"/>
    <w:basedOn w:val="DefaultParagraphFont"/>
    <w:rsid w:val="00800A5E"/>
  </w:style>
  <w:style w:type="character" w:customStyle="1" w:styleId="css-x5hiaf">
    <w:name w:val="css-x5hiaf"/>
    <w:basedOn w:val="DefaultParagraphFont"/>
    <w:rsid w:val="00800A5E"/>
  </w:style>
  <w:style w:type="character" w:customStyle="1" w:styleId="css-0">
    <w:name w:val="css-0"/>
    <w:basedOn w:val="DefaultParagraphFont"/>
    <w:rsid w:val="00800A5E"/>
  </w:style>
  <w:style w:type="character" w:customStyle="1" w:styleId="css-rh820s">
    <w:name w:val="css-rh820s"/>
    <w:basedOn w:val="DefaultParagraphFont"/>
    <w:rsid w:val="00800A5E"/>
  </w:style>
  <w:style w:type="character" w:customStyle="1" w:styleId="css-1eh0vfs">
    <w:name w:val="css-1eh0vfs"/>
    <w:basedOn w:val="DefaultParagraphFont"/>
    <w:rsid w:val="00800A5E"/>
  </w:style>
  <w:style w:type="paragraph" w:customStyle="1" w:styleId="TableParagraph">
    <w:name w:val="Table Paragraph"/>
    <w:basedOn w:val="Normal"/>
    <w:uiPriority w:val="1"/>
    <w:qFormat/>
    <w:rsid w:val="00800A5E"/>
    <w:pPr>
      <w:widowControl w:val="0"/>
      <w:autoSpaceDE w:val="0"/>
      <w:autoSpaceDN w:val="0"/>
      <w:spacing w:line="240" w:lineRule="auto"/>
      <w:ind w:firstLine="0"/>
      <w:jc w:val="left"/>
    </w:pPr>
    <w:rPr>
      <w:rFonts w:ascii="Times New Roman" w:eastAsia="Times New Roman" w:hAnsi="Times New Roman" w:cs="Times New Roman"/>
      <w:sz w:val="22"/>
      <w:szCs w:val="22"/>
      <w:lang w:bidi="ar-SA"/>
    </w:rPr>
  </w:style>
  <w:style w:type="paragraph" w:styleId="z-TopofForm">
    <w:name w:val="HTML Top of Form"/>
    <w:basedOn w:val="Normal"/>
    <w:next w:val="Normal"/>
    <w:link w:val="z-TopofFormChar"/>
    <w:hidden/>
    <w:uiPriority w:val="99"/>
    <w:semiHidden/>
    <w:unhideWhenUsed/>
    <w:rsid w:val="00800A5E"/>
    <w:pPr>
      <w:pBdr>
        <w:bottom w:val="single" w:sz="6" w:space="1" w:color="auto"/>
      </w:pBdr>
      <w:spacing w:line="240" w:lineRule="auto"/>
      <w:ind w:firstLine="0"/>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800A5E"/>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12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1060">
      <w:bodyDiv w:val="1"/>
      <w:marLeft w:val="0"/>
      <w:marRight w:val="0"/>
      <w:marTop w:val="0"/>
      <w:marBottom w:val="0"/>
      <w:divBdr>
        <w:top w:val="none" w:sz="0" w:space="0" w:color="auto"/>
        <w:left w:val="none" w:sz="0" w:space="0" w:color="auto"/>
        <w:bottom w:val="none" w:sz="0" w:space="0" w:color="auto"/>
        <w:right w:val="none" w:sz="0" w:space="0" w:color="auto"/>
      </w:divBdr>
      <w:divsChild>
        <w:div w:id="2030255918">
          <w:marLeft w:val="0"/>
          <w:marRight w:val="0"/>
          <w:marTop w:val="0"/>
          <w:marBottom w:val="0"/>
          <w:divBdr>
            <w:top w:val="none" w:sz="0" w:space="0" w:color="auto"/>
            <w:left w:val="none" w:sz="0" w:space="0" w:color="auto"/>
            <w:bottom w:val="none" w:sz="0" w:space="0" w:color="auto"/>
            <w:right w:val="none" w:sz="0" w:space="0" w:color="auto"/>
          </w:divBdr>
          <w:divsChild>
            <w:div w:id="6476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598">
      <w:bodyDiv w:val="1"/>
      <w:marLeft w:val="0"/>
      <w:marRight w:val="0"/>
      <w:marTop w:val="0"/>
      <w:marBottom w:val="0"/>
      <w:divBdr>
        <w:top w:val="none" w:sz="0" w:space="0" w:color="auto"/>
        <w:left w:val="none" w:sz="0" w:space="0" w:color="auto"/>
        <w:bottom w:val="none" w:sz="0" w:space="0" w:color="auto"/>
        <w:right w:val="none" w:sz="0" w:space="0" w:color="auto"/>
      </w:divBdr>
    </w:div>
    <w:div w:id="88351416">
      <w:bodyDiv w:val="1"/>
      <w:marLeft w:val="0"/>
      <w:marRight w:val="0"/>
      <w:marTop w:val="0"/>
      <w:marBottom w:val="0"/>
      <w:divBdr>
        <w:top w:val="none" w:sz="0" w:space="0" w:color="auto"/>
        <w:left w:val="none" w:sz="0" w:space="0" w:color="auto"/>
        <w:bottom w:val="none" w:sz="0" w:space="0" w:color="auto"/>
        <w:right w:val="none" w:sz="0" w:space="0" w:color="auto"/>
      </w:divBdr>
    </w:div>
    <w:div w:id="167255555">
      <w:bodyDiv w:val="1"/>
      <w:marLeft w:val="0"/>
      <w:marRight w:val="0"/>
      <w:marTop w:val="0"/>
      <w:marBottom w:val="0"/>
      <w:divBdr>
        <w:top w:val="none" w:sz="0" w:space="0" w:color="auto"/>
        <w:left w:val="none" w:sz="0" w:space="0" w:color="auto"/>
        <w:bottom w:val="none" w:sz="0" w:space="0" w:color="auto"/>
        <w:right w:val="none" w:sz="0" w:space="0" w:color="auto"/>
      </w:divBdr>
    </w:div>
    <w:div w:id="172884619">
      <w:bodyDiv w:val="1"/>
      <w:marLeft w:val="0"/>
      <w:marRight w:val="0"/>
      <w:marTop w:val="0"/>
      <w:marBottom w:val="0"/>
      <w:divBdr>
        <w:top w:val="none" w:sz="0" w:space="0" w:color="auto"/>
        <w:left w:val="none" w:sz="0" w:space="0" w:color="auto"/>
        <w:bottom w:val="none" w:sz="0" w:space="0" w:color="auto"/>
        <w:right w:val="none" w:sz="0" w:space="0" w:color="auto"/>
      </w:divBdr>
    </w:div>
    <w:div w:id="188761642">
      <w:bodyDiv w:val="1"/>
      <w:marLeft w:val="0"/>
      <w:marRight w:val="0"/>
      <w:marTop w:val="0"/>
      <w:marBottom w:val="0"/>
      <w:divBdr>
        <w:top w:val="none" w:sz="0" w:space="0" w:color="auto"/>
        <w:left w:val="none" w:sz="0" w:space="0" w:color="auto"/>
        <w:bottom w:val="none" w:sz="0" w:space="0" w:color="auto"/>
        <w:right w:val="none" w:sz="0" w:space="0" w:color="auto"/>
      </w:divBdr>
    </w:div>
    <w:div w:id="191234192">
      <w:bodyDiv w:val="1"/>
      <w:marLeft w:val="0"/>
      <w:marRight w:val="0"/>
      <w:marTop w:val="0"/>
      <w:marBottom w:val="0"/>
      <w:divBdr>
        <w:top w:val="none" w:sz="0" w:space="0" w:color="auto"/>
        <w:left w:val="none" w:sz="0" w:space="0" w:color="auto"/>
        <w:bottom w:val="none" w:sz="0" w:space="0" w:color="auto"/>
        <w:right w:val="none" w:sz="0" w:space="0" w:color="auto"/>
      </w:divBdr>
    </w:div>
    <w:div w:id="217403697">
      <w:bodyDiv w:val="1"/>
      <w:marLeft w:val="0"/>
      <w:marRight w:val="0"/>
      <w:marTop w:val="0"/>
      <w:marBottom w:val="0"/>
      <w:divBdr>
        <w:top w:val="none" w:sz="0" w:space="0" w:color="auto"/>
        <w:left w:val="none" w:sz="0" w:space="0" w:color="auto"/>
        <w:bottom w:val="none" w:sz="0" w:space="0" w:color="auto"/>
        <w:right w:val="none" w:sz="0" w:space="0" w:color="auto"/>
      </w:divBdr>
    </w:div>
    <w:div w:id="357514407">
      <w:bodyDiv w:val="1"/>
      <w:marLeft w:val="0"/>
      <w:marRight w:val="0"/>
      <w:marTop w:val="0"/>
      <w:marBottom w:val="0"/>
      <w:divBdr>
        <w:top w:val="none" w:sz="0" w:space="0" w:color="auto"/>
        <w:left w:val="none" w:sz="0" w:space="0" w:color="auto"/>
        <w:bottom w:val="none" w:sz="0" w:space="0" w:color="auto"/>
        <w:right w:val="none" w:sz="0" w:space="0" w:color="auto"/>
      </w:divBdr>
    </w:div>
    <w:div w:id="482043767">
      <w:bodyDiv w:val="1"/>
      <w:marLeft w:val="0"/>
      <w:marRight w:val="0"/>
      <w:marTop w:val="0"/>
      <w:marBottom w:val="0"/>
      <w:divBdr>
        <w:top w:val="none" w:sz="0" w:space="0" w:color="auto"/>
        <w:left w:val="none" w:sz="0" w:space="0" w:color="auto"/>
        <w:bottom w:val="none" w:sz="0" w:space="0" w:color="auto"/>
        <w:right w:val="none" w:sz="0" w:space="0" w:color="auto"/>
      </w:divBdr>
    </w:div>
    <w:div w:id="493573016">
      <w:bodyDiv w:val="1"/>
      <w:marLeft w:val="0"/>
      <w:marRight w:val="0"/>
      <w:marTop w:val="0"/>
      <w:marBottom w:val="0"/>
      <w:divBdr>
        <w:top w:val="none" w:sz="0" w:space="0" w:color="auto"/>
        <w:left w:val="none" w:sz="0" w:space="0" w:color="auto"/>
        <w:bottom w:val="none" w:sz="0" w:space="0" w:color="auto"/>
        <w:right w:val="none" w:sz="0" w:space="0" w:color="auto"/>
      </w:divBdr>
    </w:div>
    <w:div w:id="524950831">
      <w:bodyDiv w:val="1"/>
      <w:marLeft w:val="0"/>
      <w:marRight w:val="0"/>
      <w:marTop w:val="0"/>
      <w:marBottom w:val="0"/>
      <w:divBdr>
        <w:top w:val="none" w:sz="0" w:space="0" w:color="auto"/>
        <w:left w:val="none" w:sz="0" w:space="0" w:color="auto"/>
        <w:bottom w:val="none" w:sz="0" w:space="0" w:color="auto"/>
        <w:right w:val="none" w:sz="0" w:space="0" w:color="auto"/>
      </w:divBdr>
    </w:div>
    <w:div w:id="588318932">
      <w:bodyDiv w:val="1"/>
      <w:marLeft w:val="0"/>
      <w:marRight w:val="0"/>
      <w:marTop w:val="0"/>
      <w:marBottom w:val="0"/>
      <w:divBdr>
        <w:top w:val="none" w:sz="0" w:space="0" w:color="auto"/>
        <w:left w:val="none" w:sz="0" w:space="0" w:color="auto"/>
        <w:bottom w:val="none" w:sz="0" w:space="0" w:color="auto"/>
        <w:right w:val="none" w:sz="0" w:space="0" w:color="auto"/>
      </w:divBdr>
    </w:div>
    <w:div w:id="713500696">
      <w:bodyDiv w:val="1"/>
      <w:marLeft w:val="0"/>
      <w:marRight w:val="0"/>
      <w:marTop w:val="0"/>
      <w:marBottom w:val="0"/>
      <w:divBdr>
        <w:top w:val="none" w:sz="0" w:space="0" w:color="auto"/>
        <w:left w:val="none" w:sz="0" w:space="0" w:color="auto"/>
        <w:bottom w:val="none" w:sz="0" w:space="0" w:color="auto"/>
        <w:right w:val="none" w:sz="0" w:space="0" w:color="auto"/>
      </w:divBdr>
    </w:div>
    <w:div w:id="753009344">
      <w:bodyDiv w:val="1"/>
      <w:marLeft w:val="0"/>
      <w:marRight w:val="0"/>
      <w:marTop w:val="0"/>
      <w:marBottom w:val="0"/>
      <w:divBdr>
        <w:top w:val="none" w:sz="0" w:space="0" w:color="auto"/>
        <w:left w:val="none" w:sz="0" w:space="0" w:color="auto"/>
        <w:bottom w:val="none" w:sz="0" w:space="0" w:color="auto"/>
        <w:right w:val="none" w:sz="0" w:space="0" w:color="auto"/>
      </w:divBdr>
    </w:div>
    <w:div w:id="759906696">
      <w:bodyDiv w:val="1"/>
      <w:marLeft w:val="0"/>
      <w:marRight w:val="0"/>
      <w:marTop w:val="0"/>
      <w:marBottom w:val="0"/>
      <w:divBdr>
        <w:top w:val="none" w:sz="0" w:space="0" w:color="auto"/>
        <w:left w:val="none" w:sz="0" w:space="0" w:color="auto"/>
        <w:bottom w:val="none" w:sz="0" w:space="0" w:color="auto"/>
        <w:right w:val="none" w:sz="0" w:space="0" w:color="auto"/>
      </w:divBdr>
    </w:div>
    <w:div w:id="913784498">
      <w:bodyDiv w:val="1"/>
      <w:marLeft w:val="0"/>
      <w:marRight w:val="0"/>
      <w:marTop w:val="0"/>
      <w:marBottom w:val="0"/>
      <w:divBdr>
        <w:top w:val="none" w:sz="0" w:space="0" w:color="auto"/>
        <w:left w:val="none" w:sz="0" w:space="0" w:color="auto"/>
        <w:bottom w:val="none" w:sz="0" w:space="0" w:color="auto"/>
        <w:right w:val="none" w:sz="0" w:space="0" w:color="auto"/>
      </w:divBdr>
    </w:div>
    <w:div w:id="1006445635">
      <w:bodyDiv w:val="1"/>
      <w:marLeft w:val="0"/>
      <w:marRight w:val="0"/>
      <w:marTop w:val="0"/>
      <w:marBottom w:val="0"/>
      <w:divBdr>
        <w:top w:val="none" w:sz="0" w:space="0" w:color="auto"/>
        <w:left w:val="none" w:sz="0" w:space="0" w:color="auto"/>
        <w:bottom w:val="none" w:sz="0" w:space="0" w:color="auto"/>
        <w:right w:val="none" w:sz="0" w:space="0" w:color="auto"/>
      </w:divBdr>
    </w:div>
    <w:div w:id="1045982912">
      <w:bodyDiv w:val="1"/>
      <w:marLeft w:val="0"/>
      <w:marRight w:val="0"/>
      <w:marTop w:val="0"/>
      <w:marBottom w:val="0"/>
      <w:divBdr>
        <w:top w:val="none" w:sz="0" w:space="0" w:color="auto"/>
        <w:left w:val="none" w:sz="0" w:space="0" w:color="auto"/>
        <w:bottom w:val="none" w:sz="0" w:space="0" w:color="auto"/>
        <w:right w:val="none" w:sz="0" w:space="0" w:color="auto"/>
      </w:divBdr>
    </w:div>
    <w:div w:id="1078820013">
      <w:bodyDiv w:val="1"/>
      <w:marLeft w:val="0"/>
      <w:marRight w:val="0"/>
      <w:marTop w:val="0"/>
      <w:marBottom w:val="0"/>
      <w:divBdr>
        <w:top w:val="none" w:sz="0" w:space="0" w:color="auto"/>
        <w:left w:val="none" w:sz="0" w:space="0" w:color="auto"/>
        <w:bottom w:val="none" w:sz="0" w:space="0" w:color="auto"/>
        <w:right w:val="none" w:sz="0" w:space="0" w:color="auto"/>
      </w:divBdr>
    </w:div>
    <w:div w:id="1143275626">
      <w:bodyDiv w:val="1"/>
      <w:marLeft w:val="0"/>
      <w:marRight w:val="0"/>
      <w:marTop w:val="0"/>
      <w:marBottom w:val="0"/>
      <w:divBdr>
        <w:top w:val="none" w:sz="0" w:space="0" w:color="auto"/>
        <w:left w:val="none" w:sz="0" w:space="0" w:color="auto"/>
        <w:bottom w:val="none" w:sz="0" w:space="0" w:color="auto"/>
        <w:right w:val="none" w:sz="0" w:space="0" w:color="auto"/>
      </w:divBdr>
    </w:div>
    <w:div w:id="1421677624">
      <w:bodyDiv w:val="1"/>
      <w:marLeft w:val="0"/>
      <w:marRight w:val="0"/>
      <w:marTop w:val="0"/>
      <w:marBottom w:val="0"/>
      <w:divBdr>
        <w:top w:val="none" w:sz="0" w:space="0" w:color="auto"/>
        <w:left w:val="none" w:sz="0" w:space="0" w:color="auto"/>
        <w:bottom w:val="none" w:sz="0" w:space="0" w:color="auto"/>
        <w:right w:val="none" w:sz="0" w:space="0" w:color="auto"/>
      </w:divBdr>
    </w:div>
    <w:div w:id="1544751942">
      <w:bodyDiv w:val="1"/>
      <w:marLeft w:val="0"/>
      <w:marRight w:val="0"/>
      <w:marTop w:val="0"/>
      <w:marBottom w:val="0"/>
      <w:divBdr>
        <w:top w:val="none" w:sz="0" w:space="0" w:color="auto"/>
        <w:left w:val="none" w:sz="0" w:space="0" w:color="auto"/>
        <w:bottom w:val="none" w:sz="0" w:space="0" w:color="auto"/>
        <w:right w:val="none" w:sz="0" w:space="0" w:color="auto"/>
      </w:divBdr>
    </w:div>
    <w:div w:id="1590456771">
      <w:bodyDiv w:val="1"/>
      <w:marLeft w:val="0"/>
      <w:marRight w:val="0"/>
      <w:marTop w:val="0"/>
      <w:marBottom w:val="0"/>
      <w:divBdr>
        <w:top w:val="none" w:sz="0" w:space="0" w:color="auto"/>
        <w:left w:val="none" w:sz="0" w:space="0" w:color="auto"/>
        <w:bottom w:val="none" w:sz="0" w:space="0" w:color="auto"/>
        <w:right w:val="none" w:sz="0" w:space="0" w:color="auto"/>
      </w:divBdr>
    </w:div>
    <w:div w:id="1599017459">
      <w:bodyDiv w:val="1"/>
      <w:marLeft w:val="0"/>
      <w:marRight w:val="0"/>
      <w:marTop w:val="0"/>
      <w:marBottom w:val="0"/>
      <w:divBdr>
        <w:top w:val="none" w:sz="0" w:space="0" w:color="auto"/>
        <w:left w:val="none" w:sz="0" w:space="0" w:color="auto"/>
        <w:bottom w:val="none" w:sz="0" w:space="0" w:color="auto"/>
        <w:right w:val="none" w:sz="0" w:space="0" w:color="auto"/>
      </w:divBdr>
    </w:div>
    <w:div w:id="1606039018">
      <w:bodyDiv w:val="1"/>
      <w:marLeft w:val="0"/>
      <w:marRight w:val="0"/>
      <w:marTop w:val="0"/>
      <w:marBottom w:val="0"/>
      <w:divBdr>
        <w:top w:val="none" w:sz="0" w:space="0" w:color="auto"/>
        <w:left w:val="none" w:sz="0" w:space="0" w:color="auto"/>
        <w:bottom w:val="none" w:sz="0" w:space="0" w:color="auto"/>
        <w:right w:val="none" w:sz="0" w:space="0" w:color="auto"/>
      </w:divBdr>
    </w:div>
    <w:div w:id="1741637393">
      <w:bodyDiv w:val="1"/>
      <w:marLeft w:val="0"/>
      <w:marRight w:val="0"/>
      <w:marTop w:val="0"/>
      <w:marBottom w:val="0"/>
      <w:divBdr>
        <w:top w:val="none" w:sz="0" w:space="0" w:color="auto"/>
        <w:left w:val="none" w:sz="0" w:space="0" w:color="auto"/>
        <w:bottom w:val="none" w:sz="0" w:space="0" w:color="auto"/>
        <w:right w:val="none" w:sz="0" w:space="0" w:color="auto"/>
      </w:divBdr>
    </w:div>
    <w:div w:id="1815414674">
      <w:bodyDiv w:val="1"/>
      <w:marLeft w:val="0"/>
      <w:marRight w:val="0"/>
      <w:marTop w:val="0"/>
      <w:marBottom w:val="0"/>
      <w:divBdr>
        <w:top w:val="none" w:sz="0" w:space="0" w:color="auto"/>
        <w:left w:val="none" w:sz="0" w:space="0" w:color="auto"/>
        <w:bottom w:val="none" w:sz="0" w:space="0" w:color="auto"/>
        <w:right w:val="none" w:sz="0" w:space="0" w:color="auto"/>
      </w:divBdr>
    </w:div>
    <w:div w:id="1843424769">
      <w:bodyDiv w:val="1"/>
      <w:marLeft w:val="0"/>
      <w:marRight w:val="0"/>
      <w:marTop w:val="0"/>
      <w:marBottom w:val="0"/>
      <w:divBdr>
        <w:top w:val="none" w:sz="0" w:space="0" w:color="auto"/>
        <w:left w:val="none" w:sz="0" w:space="0" w:color="auto"/>
        <w:bottom w:val="none" w:sz="0" w:space="0" w:color="auto"/>
        <w:right w:val="none" w:sz="0" w:space="0" w:color="auto"/>
      </w:divBdr>
    </w:div>
    <w:div w:id="1905066335">
      <w:bodyDiv w:val="1"/>
      <w:marLeft w:val="0"/>
      <w:marRight w:val="0"/>
      <w:marTop w:val="0"/>
      <w:marBottom w:val="0"/>
      <w:divBdr>
        <w:top w:val="none" w:sz="0" w:space="0" w:color="auto"/>
        <w:left w:val="none" w:sz="0" w:space="0" w:color="auto"/>
        <w:bottom w:val="none" w:sz="0" w:space="0" w:color="auto"/>
        <w:right w:val="none" w:sz="0" w:space="0" w:color="auto"/>
      </w:divBdr>
    </w:div>
    <w:div w:id="1928535357">
      <w:bodyDiv w:val="1"/>
      <w:marLeft w:val="0"/>
      <w:marRight w:val="0"/>
      <w:marTop w:val="0"/>
      <w:marBottom w:val="0"/>
      <w:divBdr>
        <w:top w:val="none" w:sz="0" w:space="0" w:color="auto"/>
        <w:left w:val="none" w:sz="0" w:space="0" w:color="auto"/>
        <w:bottom w:val="none" w:sz="0" w:space="0" w:color="auto"/>
        <w:right w:val="none" w:sz="0" w:space="0" w:color="auto"/>
      </w:divBdr>
    </w:div>
    <w:div w:id="2040545876">
      <w:bodyDiv w:val="1"/>
      <w:marLeft w:val="0"/>
      <w:marRight w:val="0"/>
      <w:marTop w:val="0"/>
      <w:marBottom w:val="0"/>
      <w:divBdr>
        <w:top w:val="none" w:sz="0" w:space="0" w:color="auto"/>
        <w:left w:val="none" w:sz="0" w:space="0" w:color="auto"/>
        <w:bottom w:val="none" w:sz="0" w:space="0" w:color="auto"/>
        <w:right w:val="none" w:sz="0" w:space="0" w:color="auto"/>
      </w:divBdr>
    </w:div>
    <w:div w:id="2141265032">
      <w:bodyDiv w:val="1"/>
      <w:marLeft w:val="0"/>
      <w:marRight w:val="0"/>
      <w:marTop w:val="0"/>
      <w:marBottom w:val="0"/>
      <w:divBdr>
        <w:top w:val="none" w:sz="0" w:space="0" w:color="auto"/>
        <w:left w:val="none" w:sz="0" w:space="0" w:color="auto"/>
        <w:bottom w:val="none" w:sz="0" w:space="0" w:color="auto"/>
        <w:right w:val="none" w:sz="0" w:space="0" w:color="auto"/>
      </w:divBdr>
    </w:div>
    <w:div w:id="21444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aboelnasr@med.tanta.edu.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ajgh%202024\h%20pylori\PUBLICATION\10.21608\ajgh.2024.306471.10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bamourad@hotmail.com" TargetMode="External"/><Relationship Id="rId4" Type="http://schemas.openxmlformats.org/officeDocument/2006/relationships/settings" Target="settings.xml"/><Relationship Id="rId9" Type="http://schemas.openxmlformats.org/officeDocument/2006/relationships/hyperlink" Target="mailto:waleed.samy@med.tanta.edu.e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A9B9-0EC0-4E7D-AEBA-78FE9D74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10592</Words>
  <Characters>61970</Characters>
  <Application>Microsoft Office Word</Application>
  <DocSecurity>0</DocSecurity>
  <Lines>2065</Lines>
  <Paragraphs>1511</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Helicobacter Pylori Infection, Lipid Profile, and Insulin Resistance in Obese Pa</vt:lpstr>
      <vt:lpstr>    Abstract</vt:lpstr>
      <vt:lpstr>    Introduction</vt:lpstr>
      <vt:lpstr>    Subjects and Methods</vt:lpstr>
      <vt:lpstr>    </vt:lpstr>
      <vt:lpstr>    Results</vt:lpstr>
      <vt:lpstr>    Discussion</vt:lpstr>
      <vt:lpstr>    Study limitations</vt:lpstr>
      <vt:lpstr>    </vt:lpstr>
      <vt:lpstr>    Ethical considerations</vt:lpstr>
      <vt:lpstr>    All listed authors have contributed substantially, directly, and intellectually </vt:lpstr>
      <vt:lpstr>    Conflict of Interest</vt:lpstr>
      <vt:lpstr>    </vt:lpstr>
      <vt:lpstr>    References</vt:lpstr>
      <vt:lpstr/>
    </vt:vector>
  </TitlesOfParts>
  <Company>SACC</Company>
  <LinksUpToDate>false</LinksUpToDate>
  <CharactersWithSpaces>71051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Sabry Aboelnasr</dc:creator>
  <cp:lastModifiedBy>SYSalem</cp:lastModifiedBy>
  <cp:revision>4</cp:revision>
  <cp:lastPrinted>2024-08-17T12:17:00Z</cp:lastPrinted>
  <dcterms:created xsi:type="dcterms:W3CDTF">2024-08-17T12:18:00Z</dcterms:created>
  <dcterms:modified xsi:type="dcterms:W3CDTF">2024-08-18T11:59:00Z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6ed7e9c655baaad0b17eeb4fc5327741d3e8330b2e23633b7e03f1b98987f4d8</vt:lpwstr>
  </property>
</Properties>
</file>