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45998" w14:textId="006986D2" w:rsidR="006851D6" w:rsidRPr="006711B4" w:rsidRDefault="002C0AAF" w:rsidP="00B530DB">
      <w:pPr>
        <w:pStyle w:val="Title"/>
        <w:jc w:val="center"/>
        <w:rPr>
          <w:rFonts w:eastAsia="SimSun"/>
          <w:color w:val="00B0F0"/>
          <w:sz w:val="36"/>
          <w:szCs w:val="36"/>
        </w:rPr>
      </w:pPr>
      <w:r w:rsidRPr="006711B4">
        <w:rPr>
          <w:rFonts w:eastAsia="SimSun"/>
          <w:color w:val="00B0F0"/>
          <w:sz w:val="36"/>
          <w:szCs w:val="36"/>
        </w:rPr>
        <w:t xml:space="preserve">Fecal </w:t>
      </w:r>
      <w:r w:rsidR="00BF08AC" w:rsidRPr="006711B4">
        <w:rPr>
          <w:rFonts w:eastAsia="SimSun"/>
          <w:color w:val="00B0F0"/>
          <w:sz w:val="36"/>
          <w:szCs w:val="36"/>
        </w:rPr>
        <w:t>C</w:t>
      </w:r>
      <w:r w:rsidRPr="006711B4">
        <w:rPr>
          <w:rFonts w:eastAsia="SimSun"/>
          <w:color w:val="00B0F0"/>
          <w:sz w:val="36"/>
          <w:szCs w:val="36"/>
        </w:rPr>
        <w:t>alprotectin as a Marker of Severity</w:t>
      </w:r>
      <w:r w:rsidR="009251FF" w:rsidRPr="006711B4">
        <w:rPr>
          <w:rFonts w:eastAsia="SimSun"/>
          <w:color w:val="00B0F0"/>
          <w:sz w:val="36"/>
          <w:szCs w:val="36"/>
        </w:rPr>
        <w:t xml:space="preserve"> </w:t>
      </w:r>
      <w:r w:rsidRPr="006711B4">
        <w:rPr>
          <w:rFonts w:eastAsia="SimSun"/>
          <w:color w:val="00B0F0"/>
          <w:sz w:val="36"/>
          <w:szCs w:val="36"/>
        </w:rPr>
        <w:t>of COVID-19 Disease: A Hospital-based Study</w:t>
      </w:r>
    </w:p>
    <w:p w14:paraId="363FD1B3" w14:textId="77777777" w:rsidR="0048343F" w:rsidRPr="0048343F" w:rsidRDefault="0048343F" w:rsidP="0048343F">
      <w:pPr>
        <w:autoSpaceDE w:val="0"/>
        <w:autoSpaceDN w:val="0"/>
        <w:adjustRightInd w:val="0"/>
        <w:spacing w:after="0" w:line="360" w:lineRule="auto"/>
        <w:rPr>
          <w:rFonts w:ascii="Times New Roman" w:eastAsia="Aptos" w:hAnsi="Times New Roman" w:cs="Times New Roman"/>
          <w:b/>
          <w:bCs/>
          <w:color w:val="808080"/>
          <w:sz w:val="24"/>
          <w:szCs w:val="24"/>
        </w:rPr>
      </w:pPr>
      <w:r w:rsidRPr="0048343F">
        <w:rPr>
          <w:rFonts w:ascii="Times New Roman" w:eastAsia="Calibri" w:hAnsi="Times New Roman" w:cs="Times New Roman"/>
          <w:sz w:val="24"/>
          <w:szCs w:val="24"/>
        </w:rPr>
        <w:t>Ahmed Ibrahim Gad</w:t>
      </w:r>
      <w:r w:rsidRPr="0048343F">
        <w:rPr>
          <w:rFonts w:ascii="Times New Roman" w:eastAsia="Calibri" w:hAnsi="Times New Roman" w:cs="Times New Roman"/>
          <w:sz w:val="24"/>
          <w:szCs w:val="24"/>
          <w:vertAlign w:val="superscript"/>
        </w:rPr>
        <w:t>1</w:t>
      </w:r>
      <w:r w:rsidRPr="0048343F">
        <w:rPr>
          <w:rFonts w:ascii="Times New Roman" w:eastAsia="Calibri" w:hAnsi="Times New Roman" w:cs="Times New Roman"/>
          <w:sz w:val="24"/>
          <w:szCs w:val="24"/>
        </w:rPr>
        <w:t>, Amr Talaat El-Hawary</w:t>
      </w:r>
      <w:r w:rsidRPr="0048343F">
        <w:rPr>
          <w:rFonts w:ascii="Times New Roman" w:eastAsia="Calibri" w:hAnsi="Times New Roman" w:cs="Times New Roman"/>
          <w:sz w:val="24"/>
          <w:szCs w:val="24"/>
          <w:vertAlign w:val="superscript"/>
        </w:rPr>
        <w:t>1</w:t>
      </w:r>
      <w:r w:rsidRPr="0048343F">
        <w:rPr>
          <w:rFonts w:ascii="Times New Roman" w:eastAsia="Calibri" w:hAnsi="Times New Roman" w:cs="Times New Roman"/>
          <w:sz w:val="24"/>
          <w:szCs w:val="24"/>
        </w:rPr>
        <w:t>, Rania Mohammad Abdullah</w:t>
      </w:r>
      <w:r w:rsidRPr="0048343F">
        <w:rPr>
          <w:rFonts w:ascii="Times New Roman" w:eastAsia="Calibri" w:hAnsi="Times New Roman" w:cs="Times New Roman"/>
          <w:sz w:val="24"/>
          <w:szCs w:val="24"/>
          <w:vertAlign w:val="superscript"/>
        </w:rPr>
        <w:t>2</w:t>
      </w:r>
      <w:r w:rsidRPr="0048343F">
        <w:rPr>
          <w:rFonts w:ascii="Times New Roman" w:eastAsia="Calibri" w:hAnsi="Times New Roman" w:cs="Times New Roman"/>
          <w:sz w:val="24"/>
          <w:szCs w:val="24"/>
        </w:rPr>
        <w:t>, Amir Abd-elhameed Barakat</w:t>
      </w:r>
      <w:r w:rsidRPr="0048343F">
        <w:rPr>
          <w:rFonts w:ascii="Times New Roman" w:eastAsia="Calibri" w:hAnsi="Times New Roman" w:cs="Times New Roman"/>
          <w:sz w:val="24"/>
          <w:szCs w:val="24"/>
          <w:vertAlign w:val="superscript"/>
        </w:rPr>
        <w:t>1</w:t>
      </w:r>
    </w:p>
    <w:p w14:paraId="495C83C3" w14:textId="77777777" w:rsidR="0048343F" w:rsidRPr="0048343F" w:rsidRDefault="0048343F" w:rsidP="0048343F">
      <w:pPr>
        <w:spacing w:after="0" w:line="240" w:lineRule="auto"/>
        <w:rPr>
          <w:rFonts w:ascii="Times New Roman" w:eastAsia="Calibri" w:hAnsi="Times New Roman" w:cs="Times New Roman"/>
          <w:sz w:val="24"/>
          <w:szCs w:val="24"/>
        </w:rPr>
      </w:pPr>
      <w:r w:rsidRPr="0048343F">
        <w:rPr>
          <w:rFonts w:ascii="Times New Roman" w:eastAsia="Calibri" w:hAnsi="Times New Roman" w:cs="Times New Roman"/>
          <w:sz w:val="24"/>
          <w:szCs w:val="24"/>
          <w:vertAlign w:val="superscript"/>
        </w:rPr>
        <w:t xml:space="preserve">1 </w:t>
      </w:r>
      <w:r w:rsidRPr="0048343F">
        <w:rPr>
          <w:rFonts w:ascii="Times New Roman" w:eastAsia="Calibri" w:hAnsi="Times New Roman" w:cs="Times New Roman"/>
          <w:sz w:val="24"/>
          <w:szCs w:val="24"/>
        </w:rPr>
        <w:t xml:space="preserve">Internal Medicine Department, Faculty of Medicine, Zagazig University, Egypt </w:t>
      </w:r>
    </w:p>
    <w:p w14:paraId="7D37B178" w14:textId="77777777" w:rsidR="0048343F" w:rsidRPr="0048343F" w:rsidRDefault="0048343F" w:rsidP="0048343F">
      <w:pPr>
        <w:spacing w:line="480" w:lineRule="auto"/>
        <w:rPr>
          <w:rFonts w:ascii="Times New Roman" w:eastAsia="Calibri" w:hAnsi="Times New Roman" w:cs="Times New Roman"/>
          <w:sz w:val="24"/>
          <w:szCs w:val="24"/>
        </w:rPr>
      </w:pPr>
      <w:r w:rsidRPr="0048343F">
        <w:rPr>
          <w:rFonts w:ascii="Times New Roman" w:eastAsia="Calibri" w:hAnsi="Times New Roman" w:cs="Times New Roman"/>
          <w:sz w:val="24"/>
          <w:szCs w:val="24"/>
          <w:vertAlign w:val="superscript"/>
        </w:rPr>
        <w:t>2</w:t>
      </w:r>
      <w:r w:rsidRPr="0048343F">
        <w:rPr>
          <w:rFonts w:ascii="Times New Roman" w:eastAsia="Calibri" w:hAnsi="Times New Roman" w:cs="Times New Roman"/>
          <w:sz w:val="24"/>
          <w:szCs w:val="24"/>
        </w:rPr>
        <w:t xml:space="preserve"> Clinical Pathology Department, Faculty of Medicine, Zagazig University, Egypt</w:t>
      </w:r>
    </w:p>
    <w:p w14:paraId="1CE7A1C5" w14:textId="77777777" w:rsidR="0048343F" w:rsidRPr="0048343F" w:rsidRDefault="0048343F" w:rsidP="0048343F">
      <w:pPr>
        <w:spacing w:line="480" w:lineRule="auto"/>
        <w:rPr>
          <w:rFonts w:ascii="Times New Roman" w:eastAsia="Calibri" w:hAnsi="Times New Roman" w:cs="Times New Roman"/>
          <w:b/>
          <w:bCs/>
          <w:color w:val="000000"/>
          <w:sz w:val="24"/>
          <w:szCs w:val="24"/>
        </w:rPr>
      </w:pPr>
      <w:r w:rsidRPr="0048343F">
        <w:rPr>
          <w:rFonts w:ascii="Times New Roman" w:eastAsia="Calibri" w:hAnsi="Times New Roman" w:cs="Times New Roman"/>
          <w:b/>
          <w:bCs/>
          <w:color w:val="000000"/>
          <w:sz w:val="24"/>
          <w:szCs w:val="24"/>
        </w:rPr>
        <w:t xml:space="preserve">Corresponding Author </w:t>
      </w:r>
    </w:p>
    <w:p w14:paraId="7D35B909" w14:textId="1C97AB97" w:rsidR="0048343F" w:rsidRPr="0048343F" w:rsidRDefault="0048343F" w:rsidP="0048343F">
      <w:pPr>
        <w:spacing w:line="480" w:lineRule="auto"/>
        <w:rPr>
          <w:rFonts w:ascii="Times New Roman" w:eastAsia="Calibri" w:hAnsi="Times New Roman" w:cs="Times New Roman"/>
          <w:color w:val="000000"/>
          <w:sz w:val="24"/>
          <w:szCs w:val="24"/>
        </w:rPr>
      </w:pPr>
      <w:r w:rsidRPr="0048343F">
        <w:rPr>
          <w:rFonts w:ascii="Times New Roman" w:eastAsia="Calibri" w:hAnsi="Times New Roman" w:cs="Times New Roman"/>
          <w:color w:val="000000"/>
          <w:sz w:val="24"/>
          <w:szCs w:val="24"/>
        </w:rPr>
        <w:t>Ahmed Ibrahim Gad</w:t>
      </w:r>
      <w:r w:rsidR="007C348F">
        <w:rPr>
          <w:rFonts w:ascii="Times New Roman" w:eastAsia="Calibri" w:hAnsi="Times New Roman" w:cs="Times New Roman"/>
          <w:color w:val="000000"/>
          <w:sz w:val="24"/>
          <w:szCs w:val="24"/>
        </w:rPr>
        <w:t xml:space="preserve">,  Lecturer of </w:t>
      </w:r>
      <w:r w:rsidRPr="0048343F">
        <w:rPr>
          <w:rFonts w:ascii="Times New Roman" w:eastAsia="Calibri" w:hAnsi="Times New Roman" w:cs="Times New Roman"/>
          <w:color w:val="000000"/>
          <w:sz w:val="24"/>
          <w:szCs w:val="24"/>
        </w:rPr>
        <w:t>Internal Medicine, Faculty of Medicine, Zagazig University, Egypt</w:t>
      </w:r>
      <w:r w:rsidR="007C348F">
        <w:rPr>
          <w:rFonts w:ascii="Times New Roman" w:eastAsia="Calibri" w:hAnsi="Times New Roman" w:cs="Times New Roman"/>
          <w:color w:val="000000"/>
          <w:sz w:val="24"/>
          <w:szCs w:val="24"/>
        </w:rPr>
        <w:t>.</w:t>
      </w:r>
    </w:p>
    <w:p w14:paraId="11089080" w14:textId="77777777" w:rsidR="0048343F" w:rsidRPr="0048343F" w:rsidRDefault="0048343F" w:rsidP="0048343F">
      <w:pPr>
        <w:spacing w:line="480" w:lineRule="auto"/>
        <w:rPr>
          <w:rFonts w:ascii="Times New Roman" w:eastAsia="Calibri" w:hAnsi="Times New Roman" w:cs="Times New Roman"/>
          <w:color w:val="000000"/>
          <w:sz w:val="24"/>
          <w:szCs w:val="24"/>
        </w:rPr>
      </w:pPr>
      <w:r w:rsidRPr="0048343F">
        <w:rPr>
          <w:rFonts w:ascii="Times New Roman" w:eastAsia="Calibri" w:hAnsi="Times New Roman" w:cs="Times New Roman"/>
          <w:color w:val="000000"/>
          <w:sz w:val="24"/>
          <w:szCs w:val="24"/>
        </w:rPr>
        <w:t>Address: Zagazig, Sharkia, Egypt</w:t>
      </w:r>
    </w:p>
    <w:p w14:paraId="109C264A" w14:textId="77777777" w:rsidR="0048343F" w:rsidRPr="0048343F" w:rsidRDefault="0048343F" w:rsidP="0048343F">
      <w:pPr>
        <w:spacing w:line="480" w:lineRule="auto"/>
        <w:rPr>
          <w:rFonts w:ascii="Times New Roman" w:eastAsia="Calibri" w:hAnsi="Times New Roman" w:cs="Times New Roman"/>
          <w:color w:val="000000"/>
          <w:sz w:val="24"/>
          <w:szCs w:val="24"/>
        </w:rPr>
      </w:pPr>
      <w:r w:rsidRPr="0048343F">
        <w:rPr>
          <w:rFonts w:ascii="Times New Roman" w:eastAsia="Calibri" w:hAnsi="Times New Roman" w:cs="Times New Roman"/>
          <w:color w:val="000000"/>
          <w:sz w:val="24"/>
          <w:szCs w:val="24"/>
        </w:rPr>
        <w:t>Postal code: 44519</w:t>
      </w:r>
    </w:p>
    <w:p w14:paraId="5175A9AB" w14:textId="7F81ADF8" w:rsidR="0048343F" w:rsidRPr="0048343F" w:rsidRDefault="0048343F" w:rsidP="0048343F">
      <w:pPr>
        <w:spacing w:line="480" w:lineRule="auto"/>
        <w:rPr>
          <w:rFonts w:ascii="Times New Roman" w:eastAsia="Calibri" w:hAnsi="Times New Roman" w:cs="Times New Roman"/>
          <w:color w:val="000000"/>
          <w:sz w:val="24"/>
          <w:szCs w:val="24"/>
          <w:lang w:val="pt-PT"/>
        </w:rPr>
      </w:pPr>
      <w:r w:rsidRPr="0048343F">
        <w:rPr>
          <w:rFonts w:ascii="Times New Roman" w:eastAsia="Calibri" w:hAnsi="Times New Roman" w:cs="Times New Roman"/>
          <w:color w:val="000000"/>
          <w:sz w:val="24"/>
          <w:szCs w:val="24"/>
          <w:lang w:val="pt-PT"/>
        </w:rPr>
        <w:t xml:space="preserve">E-mail: </w:t>
      </w:r>
      <w:hyperlink r:id="rId8" w:history="1">
        <w:r w:rsidRPr="0048343F">
          <w:rPr>
            <w:rFonts w:ascii="Times New Roman" w:eastAsia="Calibri" w:hAnsi="Times New Roman" w:cs="Times New Roman"/>
            <w:color w:val="0000FF"/>
            <w:sz w:val="24"/>
            <w:szCs w:val="24"/>
            <w:u w:val="single"/>
            <w:lang w:val="pt-PT"/>
          </w:rPr>
          <w:t>ahmedgadmed@gmail.com</w:t>
        </w:r>
      </w:hyperlink>
      <w:r w:rsidRPr="0048343F">
        <w:rPr>
          <w:rFonts w:ascii="Times New Roman" w:eastAsia="Calibri" w:hAnsi="Times New Roman" w:cs="Times New Roman"/>
          <w:color w:val="000000"/>
          <w:sz w:val="24"/>
          <w:szCs w:val="24"/>
          <w:lang w:val="pt-PT"/>
        </w:rPr>
        <w:t xml:space="preserve"> </w:t>
      </w:r>
    </w:p>
    <w:p w14:paraId="29FAD539" w14:textId="451DAFBD" w:rsidR="0048343F" w:rsidRDefault="0048343F" w:rsidP="0048343F">
      <w:pPr>
        <w:spacing w:line="256" w:lineRule="auto"/>
        <w:rPr>
          <w:rFonts w:ascii="Times New Roman" w:eastAsia="Calibri" w:hAnsi="Times New Roman" w:cs="Times New Roman"/>
          <w:color w:val="000000"/>
          <w:sz w:val="24"/>
          <w:szCs w:val="24"/>
          <w:u w:val="single"/>
          <w:lang w:val="pt-PT"/>
        </w:rPr>
      </w:pPr>
      <w:r w:rsidRPr="0048343F">
        <w:rPr>
          <w:rFonts w:ascii="Times New Roman" w:eastAsia="Calibri" w:hAnsi="Times New Roman" w:cs="Times New Roman"/>
          <w:color w:val="000000"/>
          <w:sz w:val="24"/>
          <w:szCs w:val="24"/>
          <w:lang w:val="pt-PT"/>
        </w:rPr>
        <w:t>ORCID ID: </w:t>
      </w:r>
      <w:hyperlink r:id="rId9" w:tgtFrame="_blank" w:history="1">
        <w:r w:rsidRPr="00EF0E81">
          <w:rPr>
            <w:rStyle w:val="Hyperlink"/>
            <w:rFonts w:ascii="Times New Roman" w:eastAsia="Calibri" w:hAnsi="Times New Roman" w:cs="Times New Roman"/>
            <w:sz w:val="24"/>
            <w:szCs w:val="24"/>
            <w:lang w:val="pt-PT"/>
          </w:rPr>
          <w:t>https://orcid.org/0000-0001-9818-0078</w:t>
        </w:r>
        <w:r w:rsidR="00B4067C" w:rsidRPr="00EF0E81">
          <w:rPr>
            <w:rStyle w:val="Hyperlink"/>
            <w:rFonts w:ascii="Times New Roman" w:eastAsia="Calibri" w:hAnsi="Times New Roman" w:cs="Times New Roman"/>
            <w:sz w:val="24"/>
            <w:szCs w:val="24"/>
            <w:lang w:val="pt-PT"/>
          </w:rPr>
          <w:t>.</w:t>
        </w:r>
      </w:hyperlink>
    </w:p>
    <w:p w14:paraId="1F81C27B" w14:textId="77C16655" w:rsidR="00B4067C" w:rsidRPr="00B4067C" w:rsidRDefault="00B4067C" w:rsidP="006B5021">
      <w:pPr>
        <w:spacing w:after="0" w:line="360" w:lineRule="auto"/>
        <w:jc w:val="both"/>
        <w:rPr>
          <w:rFonts w:ascii="Times New Roman" w:eastAsia="Calibri" w:hAnsi="Times New Roman" w:cs="Times New Roman"/>
          <w:b/>
          <w:bCs/>
          <w:sz w:val="24"/>
          <w:szCs w:val="24"/>
          <w:lang w:bidi="ar-EG"/>
        </w:rPr>
      </w:pPr>
      <w:r w:rsidRPr="00B4067C">
        <w:rPr>
          <w:rFonts w:ascii="Times New Roman" w:eastAsia="Calibri" w:hAnsi="Times New Roman" w:cs="Times New Roman"/>
          <w:b/>
          <w:bCs/>
          <w:sz w:val="24"/>
          <w:szCs w:val="24"/>
          <w:lang w:bidi="ar-EG"/>
        </w:rPr>
        <w:t xml:space="preserve">DOI: </w:t>
      </w:r>
      <w:hyperlink r:id="rId10" w:history="1">
        <w:r w:rsidR="006B5021" w:rsidRPr="006B5021">
          <w:rPr>
            <w:rStyle w:val="Hyperlink"/>
            <w:b/>
            <w:bCs/>
          </w:rPr>
          <w:t>10.21608/ajgh.2024.302248.1056</w:t>
        </w:r>
      </w:hyperlink>
      <w:r w:rsidRPr="00B4067C">
        <w:rPr>
          <w:rFonts w:ascii="Times New Roman" w:eastAsia="Calibri" w:hAnsi="Times New Roman" w:cs="Times New Roman"/>
          <w:b/>
          <w:bCs/>
          <w:sz w:val="24"/>
          <w:szCs w:val="24"/>
          <w:lang w:bidi="ar-EG"/>
        </w:rPr>
        <w:t>.</w:t>
      </w:r>
    </w:p>
    <w:p w14:paraId="500EAB98" w14:textId="59CA827D" w:rsidR="00B4067C" w:rsidRPr="00B4067C" w:rsidRDefault="00B4067C" w:rsidP="00B4067C">
      <w:pPr>
        <w:spacing w:after="0" w:line="360" w:lineRule="auto"/>
        <w:jc w:val="both"/>
        <w:rPr>
          <w:rFonts w:ascii="Times New Roman" w:eastAsia="Calibri" w:hAnsi="Times New Roman" w:cs="Times New Roman"/>
          <w:sz w:val="24"/>
          <w:szCs w:val="24"/>
          <w:lang w:bidi="ar-EG"/>
        </w:rPr>
      </w:pPr>
      <w:r w:rsidRPr="00B4067C">
        <w:rPr>
          <w:rFonts w:ascii="Times New Roman" w:eastAsia="Calibri" w:hAnsi="Times New Roman" w:cs="Times New Roman"/>
          <w:sz w:val="24"/>
          <w:szCs w:val="24"/>
          <w:lang w:bidi="ar-EG"/>
        </w:rPr>
        <w:t>Submission date:</w:t>
      </w:r>
      <w:bookmarkStart w:id="0" w:name="_Hlk125994740"/>
      <w:r w:rsidR="006B5021">
        <w:rPr>
          <w:rFonts w:ascii="Times New Roman" w:eastAsia="Calibri" w:hAnsi="Times New Roman" w:cs="Times New Roman"/>
          <w:sz w:val="24"/>
          <w:szCs w:val="24"/>
          <w:lang w:bidi="ar-EG"/>
        </w:rPr>
        <w:t>7</w:t>
      </w:r>
      <w:r w:rsidRPr="00B4067C">
        <w:rPr>
          <w:rFonts w:ascii="Times New Roman" w:eastAsia="Calibri" w:hAnsi="Times New Roman" w:cs="Times New Roman"/>
          <w:sz w:val="24"/>
          <w:szCs w:val="24"/>
          <w:lang w:bidi="ar-EG"/>
        </w:rPr>
        <w:t xml:space="preserve"> July 2024.</w:t>
      </w:r>
    </w:p>
    <w:bookmarkEnd w:id="0"/>
    <w:p w14:paraId="5DD9C7EC" w14:textId="7436A23D" w:rsidR="00B4067C" w:rsidRPr="00B4067C" w:rsidRDefault="00B4067C" w:rsidP="00B4067C">
      <w:pPr>
        <w:spacing w:after="0" w:line="360" w:lineRule="auto"/>
        <w:jc w:val="both"/>
        <w:rPr>
          <w:rFonts w:ascii="Times New Roman" w:eastAsia="Calibri" w:hAnsi="Times New Roman" w:cs="Times New Roman"/>
          <w:sz w:val="24"/>
          <w:szCs w:val="24"/>
          <w:lang w:bidi="ar-EG"/>
        </w:rPr>
      </w:pPr>
      <w:r w:rsidRPr="00B4067C">
        <w:rPr>
          <w:rFonts w:ascii="Times New Roman" w:eastAsia="Calibri" w:hAnsi="Times New Roman" w:cs="Times New Roman"/>
          <w:sz w:val="24"/>
          <w:szCs w:val="24"/>
          <w:lang w:bidi="ar-EG"/>
        </w:rPr>
        <w:t>Revision date: 1</w:t>
      </w:r>
      <w:r w:rsidR="006B5021">
        <w:rPr>
          <w:rFonts w:ascii="Times New Roman" w:eastAsia="Calibri" w:hAnsi="Times New Roman" w:cs="Times New Roman"/>
          <w:sz w:val="24"/>
          <w:szCs w:val="24"/>
          <w:lang w:bidi="ar-EG"/>
        </w:rPr>
        <w:t>5</w:t>
      </w:r>
      <w:r w:rsidRPr="00B4067C">
        <w:rPr>
          <w:rFonts w:ascii="Times New Roman" w:eastAsia="Calibri" w:hAnsi="Times New Roman" w:cs="Times New Roman"/>
          <w:sz w:val="24"/>
          <w:szCs w:val="24"/>
          <w:lang w:bidi="ar-EG"/>
        </w:rPr>
        <w:t xml:space="preserve"> August 2024.</w:t>
      </w:r>
    </w:p>
    <w:p w14:paraId="06D7A38C" w14:textId="3607AE41" w:rsidR="00B4067C" w:rsidRPr="00B4067C" w:rsidRDefault="00B4067C" w:rsidP="00B4067C">
      <w:pPr>
        <w:spacing w:after="0" w:line="360" w:lineRule="auto"/>
        <w:jc w:val="both"/>
        <w:rPr>
          <w:rFonts w:ascii="Times New Roman" w:eastAsia="Calibri" w:hAnsi="Times New Roman" w:cs="Times New Roman"/>
          <w:sz w:val="24"/>
          <w:szCs w:val="24"/>
          <w:lang w:bidi="ar-EG"/>
        </w:rPr>
      </w:pPr>
      <w:r w:rsidRPr="00B4067C">
        <w:rPr>
          <w:rFonts w:ascii="Times New Roman" w:eastAsia="Calibri" w:hAnsi="Times New Roman" w:cs="Times New Roman"/>
          <w:sz w:val="24"/>
          <w:szCs w:val="24"/>
          <w:lang w:bidi="ar-EG"/>
        </w:rPr>
        <w:t xml:space="preserve">Acceptance date: </w:t>
      </w:r>
      <w:r w:rsidR="006B5021">
        <w:rPr>
          <w:rFonts w:ascii="Times New Roman" w:eastAsia="Calibri" w:hAnsi="Times New Roman" w:cs="Times New Roman"/>
          <w:sz w:val="24"/>
          <w:szCs w:val="24"/>
          <w:lang w:bidi="ar-EG"/>
        </w:rPr>
        <w:t>19</w:t>
      </w:r>
      <w:r w:rsidRPr="00B4067C">
        <w:rPr>
          <w:rFonts w:ascii="Times New Roman" w:eastAsia="Calibri" w:hAnsi="Times New Roman" w:cs="Times New Roman"/>
          <w:sz w:val="24"/>
          <w:szCs w:val="24"/>
          <w:lang w:bidi="ar-EG"/>
        </w:rPr>
        <w:t xml:space="preserve"> August 2024.</w:t>
      </w:r>
    </w:p>
    <w:p w14:paraId="19A9DA2C" w14:textId="029A9122" w:rsidR="00B4067C" w:rsidRPr="00B4067C" w:rsidRDefault="00B4067C" w:rsidP="00B4067C">
      <w:pPr>
        <w:spacing w:after="0" w:line="360" w:lineRule="auto"/>
        <w:jc w:val="both"/>
        <w:rPr>
          <w:rFonts w:ascii="Times New Roman" w:eastAsia="Calibri" w:hAnsi="Times New Roman" w:cs="Times New Roman"/>
          <w:sz w:val="24"/>
          <w:szCs w:val="24"/>
          <w:lang w:bidi="ar-EG"/>
        </w:rPr>
      </w:pPr>
      <w:r w:rsidRPr="00B4067C">
        <w:rPr>
          <w:rFonts w:ascii="Times New Roman" w:eastAsia="Calibri" w:hAnsi="Times New Roman" w:cs="Times New Roman"/>
          <w:sz w:val="24"/>
          <w:szCs w:val="24"/>
          <w:lang w:bidi="ar-EG"/>
        </w:rPr>
        <w:t xml:space="preserve">First online: </w:t>
      </w:r>
      <w:r w:rsidR="006B5021">
        <w:rPr>
          <w:rFonts w:ascii="Times New Roman" w:eastAsia="Calibri" w:hAnsi="Times New Roman" w:cs="Times New Roman"/>
          <w:sz w:val="24"/>
          <w:szCs w:val="24"/>
          <w:lang w:bidi="ar-EG"/>
        </w:rPr>
        <w:t>26</w:t>
      </w:r>
      <w:r w:rsidRPr="00B4067C">
        <w:rPr>
          <w:rFonts w:ascii="Times New Roman" w:eastAsia="Calibri" w:hAnsi="Times New Roman" w:cs="Times New Roman"/>
          <w:sz w:val="24"/>
          <w:szCs w:val="24"/>
          <w:lang w:bidi="ar-EG"/>
        </w:rPr>
        <w:t xml:space="preserve"> August 2024.</w:t>
      </w:r>
    </w:p>
    <w:p w14:paraId="24239930" w14:textId="77777777" w:rsidR="00B4067C" w:rsidRPr="00B4067C" w:rsidRDefault="00B4067C" w:rsidP="00B4067C">
      <w:pPr>
        <w:spacing w:after="0" w:line="360" w:lineRule="auto"/>
        <w:rPr>
          <w:rFonts w:ascii="Times New Roman" w:eastAsia="Calibri" w:hAnsi="Times New Roman" w:cs="Times New Roman"/>
          <w:sz w:val="24"/>
          <w:szCs w:val="24"/>
          <w:lang w:bidi="ar-EG"/>
        </w:rPr>
        <w:sectPr w:rsidR="00B4067C" w:rsidRPr="00B4067C" w:rsidSect="006711B4">
          <w:headerReference w:type="default" r:id="rId11"/>
          <w:footerReference w:type="default" r:id="rId12"/>
          <w:pgSz w:w="11906" w:h="16838"/>
          <w:pgMar w:top="1440" w:right="1440" w:bottom="1440" w:left="1440" w:header="576" w:footer="708" w:gutter="0"/>
          <w:pgNumType w:start="225"/>
          <w:cols w:space="720"/>
          <w:bidi/>
          <w:rtlGutter/>
          <w:docGrid w:linePitch="299"/>
        </w:sectPr>
      </w:pPr>
    </w:p>
    <w:p w14:paraId="6A422449" w14:textId="7DEE123A" w:rsidR="009A6BB9" w:rsidRPr="00F86D95" w:rsidRDefault="009A6BB9" w:rsidP="00BE1624">
      <w:pPr>
        <w:spacing w:line="360" w:lineRule="auto"/>
        <w:rPr>
          <w:rFonts w:ascii="Times New Roman" w:eastAsia="Calibri" w:hAnsi="Times New Roman" w:cs="Times New Roman"/>
          <w:b/>
          <w:bCs/>
          <w:sz w:val="24"/>
          <w:szCs w:val="24"/>
        </w:rPr>
      </w:pPr>
      <w:r w:rsidRPr="00F86D95">
        <w:rPr>
          <w:rFonts w:ascii="Times New Roman" w:eastAsia="Calibri" w:hAnsi="Times New Roman" w:cs="Times New Roman"/>
          <w:b/>
          <w:bCs/>
          <w:sz w:val="24"/>
          <w:szCs w:val="24"/>
        </w:rPr>
        <w:lastRenderedPageBreak/>
        <w:t>Abstract</w:t>
      </w:r>
      <w:r w:rsidR="00133E4B">
        <w:rPr>
          <w:rFonts w:ascii="Times New Roman" w:eastAsia="Calibri" w:hAnsi="Times New Roman" w:cs="Times New Roman"/>
          <w:b/>
          <w:bCs/>
          <w:sz w:val="24"/>
          <w:szCs w:val="24"/>
        </w:rPr>
        <w:t>:</w:t>
      </w:r>
    </w:p>
    <w:p w14:paraId="61ADCD8E" w14:textId="21C6E5DE" w:rsidR="007B42B5" w:rsidRPr="007A1811" w:rsidRDefault="009419CD" w:rsidP="00BE1624">
      <w:pPr>
        <w:spacing w:after="0" w:line="360" w:lineRule="auto"/>
        <w:jc w:val="both"/>
        <w:rPr>
          <w:rFonts w:ascii="Times New Roman" w:eastAsia="Calibri" w:hAnsi="Times New Roman" w:cs="Times New Roman"/>
          <w:sz w:val="24"/>
          <w:szCs w:val="24"/>
          <w:shd w:val="clear" w:color="auto" w:fill="FFFFFF"/>
        </w:rPr>
      </w:pPr>
      <w:r w:rsidRPr="00C87949">
        <w:rPr>
          <w:rFonts w:ascii="Times New Roman" w:eastAsia="Calibri" w:hAnsi="Times New Roman" w:cs="Times New Roman"/>
          <w:b/>
          <w:bCs/>
          <w:sz w:val="24"/>
          <w:szCs w:val="24"/>
        </w:rPr>
        <w:t>Background</w:t>
      </w:r>
      <w:r w:rsidR="00A256F8">
        <w:rPr>
          <w:rFonts w:ascii="Times New Roman" w:eastAsia="Calibri" w:hAnsi="Times New Roman" w:cs="Times New Roman"/>
          <w:b/>
          <w:bCs/>
          <w:sz w:val="24"/>
          <w:szCs w:val="24"/>
        </w:rPr>
        <w:t xml:space="preserve">: </w:t>
      </w:r>
      <w:r w:rsidR="00430341" w:rsidRPr="007A1811">
        <w:rPr>
          <w:rFonts w:ascii="Times New Roman" w:eastAsia="Calibri" w:hAnsi="Times New Roman" w:cs="Times New Roman"/>
          <w:sz w:val="24"/>
          <w:szCs w:val="24"/>
          <w:shd w:val="clear" w:color="auto" w:fill="FFFFFF"/>
        </w:rPr>
        <w:t xml:space="preserve">Although </w:t>
      </w:r>
      <w:r w:rsidR="00CB1B2A" w:rsidRPr="007A1811">
        <w:rPr>
          <w:rFonts w:ascii="Times New Roman" w:eastAsia="Calibri" w:hAnsi="Times New Roman" w:cs="Times New Roman"/>
          <w:sz w:val="24"/>
          <w:szCs w:val="24"/>
          <w:shd w:val="clear" w:color="auto" w:fill="FFFFFF"/>
        </w:rPr>
        <w:t>fecal calprotectin</w:t>
      </w:r>
      <w:r w:rsidR="00430341" w:rsidRPr="007A1811">
        <w:rPr>
          <w:rFonts w:ascii="Times New Roman" w:eastAsia="Calibri" w:hAnsi="Times New Roman" w:cs="Times New Roman"/>
          <w:sz w:val="24"/>
          <w:szCs w:val="24"/>
          <w:shd w:val="clear" w:color="auto" w:fill="FFFFFF"/>
        </w:rPr>
        <w:t xml:space="preserve"> has </w:t>
      </w:r>
      <w:r w:rsidR="00DB2B3C" w:rsidRPr="007A1811">
        <w:rPr>
          <w:rFonts w:ascii="Times New Roman" w:eastAsia="Calibri" w:hAnsi="Times New Roman" w:cs="Times New Roman"/>
          <w:sz w:val="24"/>
          <w:szCs w:val="24"/>
          <w:shd w:val="clear" w:color="auto" w:fill="FFFFFF"/>
        </w:rPr>
        <w:t xml:space="preserve">prognostic value in </w:t>
      </w:r>
      <w:r w:rsidR="00AE7D1C">
        <w:rPr>
          <w:rFonts w:ascii="Times New Roman" w:eastAsia="Calibri" w:hAnsi="Times New Roman" w:cs="Times New Roman"/>
          <w:sz w:val="24"/>
          <w:szCs w:val="24"/>
          <w:shd w:val="clear" w:color="auto" w:fill="FFFFFF"/>
        </w:rPr>
        <w:t>assessing inflammatory bowel disease, the relationship of fecal calprotectin level with the severity of COVID-19 disease has not been determined yet. This study aimed to determine if fecal</w:t>
      </w:r>
      <w:r w:rsidR="00AE7D1C">
        <w:rPr>
          <w:rStyle w:val="Strong"/>
          <w:rFonts w:ascii="Times New Roman" w:hAnsi="Times New Roman"/>
          <w:sz w:val="28"/>
          <w:szCs w:val="28"/>
        </w:rPr>
        <w:t xml:space="preserve"> </w:t>
      </w:r>
      <w:r w:rsidR="00AE7D1C">
        <w:rPr>
          <w:rFonts w:ascii="Times New Roman" w:eastAsia="Calibri" w:hAnsi="Times New Roman" w:cs="Times New Roman"/>
          <w:sz w:val="24"/>
          <w:szCs w:val="24"/>
          <w:shd w:val="clear" w:color="auto" w:fill="FFFFFF"/>
        </w:rPr>
        <w:t xml:space="preserve">calprotectin may be used as a marker for </w:t>
      </w:r>
      <w:r w:rsidR="00AE7D1C">
        <w:rPr>
          <w:rFonts w:ascii="Times New Roman" w:hAnsi="Times New Roman" w:cs="Times New Roman"/>
          <w:sz w:val="24"/>
          <w:szCs w:val="24"/>
        </w:rPr>
        <w:t>the </w:t>
      </w:r>
      <w:r w:rsidR="00B36CDC" w:rsidRPr="007A1811">
        <w:rPr>
          <w:rFonts w:ascii="Times New Roman" w:eastAsia="Calibri" w:hAnsi="Times New Roman" w:cs="Times New Roman"/>
          <w:sz w:val="24"/>
          <w:szCs w:val="24"/>
          <w:shd w:val="clear" w:color="auto" w:fill="FFFFFF"/>
        </w:rPr>
        <w:t>severity of COVID-19 disease</w:t>
      </w:r>
      <w:r w:rsidR="007B42B5" w:rsidRPr="007A1811">
        <w:rPr>
          <w:rFonts w:ascii="Times New Roman" w:eastAsia="Calibri" w:hAnsi="Times New Roman" w:cs="Times New Roman"/>
          <w:sz w:val="24"/>
          <w:szCs w:val="24"/>
          <w:shd w:val="clear" w:color="auto" w:fill="FFFFFF"/>
        </w:rPr>
        <w:t>.</w:t>
      </w:r>
    </w:p>
    <w:p w14:paraId="31B37CA5" w14:textId="77777777" w:rsidR="000A7424" w:rsidRDefault="009A6BB9" w:rsidP="00E72942">
      <w:pPr>
        <w:spacing w:after="0" w:line="360" w:lineRule="auto"/>
        <w:jc w:val="both"/>
        <w:rPr>
          <w:rFonts w:asciiTheme="majorBidi" w:hAnsiTheme="majorBidi" w:cstheme="majorBidi"/>
          <w:sz w:val="24"/>
          <w:szCs w:val="24"/>
          <w:shd w:val="clear" w:color="auto" w:fill="FFFFFF"/>
        </w:rPr>
      </w:pPr>
      <w:r w:rsidRPr="00C87949">
        <w:rPr>
          <w:rFonts w:ascii="Times New Roman" w:eastAsia="Calibri" w:hAnsi="Times New Roman" w:cs="Times New Roman"/>
          <w:b/>
          <w:bCs/>
          <w:sz w:val="24"/>
          <w:szCs w:val="24"/>
        </w:rPr>
        <w:t>Patients and Methods</w:t>
      </w:r>
      <w:r w:rsidR="00A256F8">
        <w:rPr>
          <w:rFonts w:ascii="Times New Roman" w:eastAsia="Calibri" w:hAnsi="Times New Roman" w:cs="Times New Roman"/>
          <w:b/>
          <w:bCs/>
          <w:sz w:val="24"/>
          <w:szCs w:val="24"/>
        </w:rPr>
        <w:t xml:space="preserve">: </w:t>
      </w:r>
      <w:r w:rsidR="00E72942" w:rsidRPr="00E72942">
        <w:rPr>
          <w:rFonts w:asciiTheme="majorBidi" w:hAnsiTheme="majorBidi" w:cstheme="majorBidi"/>
          <w:sz w:val="24"/>
          <w:szCs w:val="24"/>
          <w:shd w:val="clear" w:color="auto" w:fill="FFFFFF"/>
        </w:rPr>
        <w:t>A total of 50 patients with COVID-19 disease who presented with gastrointestinal manifestations, with or without respiratory manifestations and other symptoms, were categorized into four groups: 14 patients with mild symptoms, 12 patients with moderate manifestations, 12 patients with severe manifestations, and 12 critically ill patients in the intensive care unit (ICU). Fecal calprotectin, erythrocyte sedimentation rate (ESR), C-reactive protein (CRP), D-dimer, ferritin, and complete blood count (CBC) were measured at baseline and after 21 days, along with clinical follow-up.</w:t>
      </w:r>
    </w:p>
    <w:p w14:paraId="2C08EEA3" w14:textId="19D0769D" w:rsidR="009A6BB9" w:rsidRPr="000114D7" w:rsidRDefault="009A6BB9" w:rsidP="00E72942">
      <w:pPr>
        <w:spacing w:after="0" w:line="360" w:lineRule="auto"/>
        <w:jc w:val="both"/>
        <w:rPr>
          <w:rFonts w:ascii="Times New Roman" w:eastAsia="Calibri" w:hAnsi="Times New Roman" w:cs="Times New Roman"/>
          <w:sz w:val="24"/>
          <w:szCs w:val="24"/>
        </w:rPr>
      </w:pPr>
      <w:r w:rsidRPr="00C87949">
        <w:rPr>
          <w:rFonts w:ascii="Times New Roman" w:eastAsia="Calibri" w:hAnsi="Times New Roman" w:cs="Times New Roman"/>
          <w:b/>
          <w:bCs/>
          <w:sz w:val="24"/>
          <w:szCs w:val="24"/>
          <w:shd w:val="clear" w:color="auto" w:fill="FFFFFF"/>
        </w:rPr>
        <w:t>R</w:t>
      </w:r>
      <w:r w:rsidRPr="00C87949">
        <w:rPr>
          <w:rFonts w:ascii="Times New Roman" w:eastAsia="Calibri" w:hAnsi="Times New Roman" w:cs="Times New Roman"/>
          <w:b/>
          <w:bCs/>
          <w:sz w:val="24"/>
          <w:szCs w:val="24"/>
        </w:rPr>
        <w:t>esults</w:t>
      </w:r>
      <w:r w:rsidR="00A256F8">
        <w:rPr>
          <w:rFonts w:ascii="Times New Roman" w:eastAsia="Calibri" w:hAnsi="Times New Roman" w:cs="Times New Roman"/>
          <w:b/>
          <w:bCs/>
          <w:sz w:val="24"/>
          <w:szCs w:val="24"/>
        </w:rPr>
        <w:t xml:space="preserve">: </w:t>
      </w:r>
      <w:r w:rsidR="00224FEC">
        <w:rPr>
          <w:rFonts w:asciiTheme="majorBidi" w:hAnsiTheme="majorBidi" w:cstheme="majorBidi"/>
          <w:sz w:val="24"/>
          <w:szCs w:val="24"/>
        </w:rPr>
        <w:t xml:space="preserve">A </w:t>
      </w:r>
      <w:r w:rsidR="00F12587" w:rsidRPr="00F12587">
        <w:rPr>
          <w:rFonts w:asciiTheme="majorBidi" w:hAnsiTheme="majorBidi" w:cstheme="majorBidi"/>
          <w:sz w:val="24"/>
          <w:szCs w:val="24"/>
        </w:rPr>
        <w:t xml:space="preserve">substantial decrease in fecal calprotectin levels from baseline to 21 days across all cases and subgroups. Notably, critical patients exhibited significantly higher fecal calprotectin levels compared to severe, moderate, and mild cases at baseline and after 21 days (p-value &lt;0.001). Additionally, critical patients had significantly elevated </w:t>
      </w:r>
      <w:r w:rsidR="00AE7D1C">
        <w:rPr>
          <w:rFonts w:asciiTheme="majorBidi" w:hAnsiTheme="majorBidi" w:cstheme="majorBidi"/>
          <w:sz w:val="24"/>
          <w:szCs w:val="24"/>
        </w:rPr>
        <w:t xml:space="preserve">ESR, CRP, ferritin, and D-dimer levels </w:t>
      </w:r>
      <w:r w:rsidR="00F12587" w:rsidRPr="00F12587">
        <w:rPr>
          <w:rFonts w:asciiTheme="majorBidi" w:hAnsiTheme="majorBidi" w:cstheme="majorBidi"/>
          <w:sz w:val="24"/>
          <w:szCs w:val="24"/>
        </w:rPr>
        <w:t xml:space="preserve">compared to other groups. The duration of hospitalization was significantly longer for </w:t>
      </w:r>
      <w:r w:rsidR="00AE7D1C">
        <w:rPr>
          <w:rFonts w:asciiTheme="majorBidi" w:hAnsiTheme="majorBidi" w:cstheme="majorBidi"/>
          <w:sz w:val="24"/>
          <w:szCs w:val="24"/>
        </w:rPr>
        <w:t>vital</w:t>
      </w:r>
      <w:r w:rsidR="00F12587" w:rsidRPr="00F12587">
        <w:rPr>
          <w:rFonts w:asciiTheme="majorBidi" w:hAnsiTheme="majorBidi" w:cstheme="majorBidi"/>
          <w:sz w:val="24"/>
          <w:szCs w:val="24"/>
        </w:rPr>
        <w:t xml:space="preserve"> and severe patients compared to moderate and mild cases. Furthermore, the mortality rate within 21 days was significantly higher in critical and severe cases compared to other groups.</w:t>
      </w:r>
    </w:p>
    <w:p w14:paraId="5E1CFDC7" w14:textId="4614BE75" w:rsidR="007C4FFD" w:rsidRPr="001E12E3" w:rsidRDefault="009A6BB9" w:rsidP="007C4FFD">
      <w:pPr>
        <w:spacing w:after="0" w:line="360" w:lineRule="auto"/>
        <w:jc w:val="both"/>
        <w:rPr>
          <w:rFonts w:ascii="Times New Roman" w:eastAsia="Calibri" w:hAnsi="Times New Roman" w:cs="Times New Roman"/>
          <w:sz w:val="24"/>
          <w:szCs w:val="24"/>
          <w:shd w:val="clear" w:color="auto" w:fill="FFFFFF"/>
        </w:rPr>
      </w:pPr>
      <w:r w:rsidRPr="00C87949">
        <w:rPr>
          <w:rFonts w:ascii="Times New Roman" w:eastAsia="Calibri" w:hAnsi="Times New Roman" w:cs="Times New Roman"/>
          <w:b/>
          <w:bCs/>
          <w:sz w:val="24"/>
          <w:szCs w:val="24"/>
        </w:rPr>
        <w:t>Conclusion</w:t>
      </w:r>
      <w:r w:rsidR="00A256F8">
        <w:rPr>
          <w:rFonts w:ascii="Times New Roman" w:eastAsia="Calibri" w:hAnsi="Times New Roman" w:cs="Times New Roman"/>
          <w:b/>
          <w:bCs/>
          <w:sz w:val="24"/>
          <w:szCs w:val="24"/>
        </w:rPr>
        <w:t xml:space="preserve">: </w:t>
      </w:r>
      <w:r w:rsidR="0097072A" w:rsidRPr="0097072A">
        <w:rPr>
          <w:rFonts w:ascii="Times New Roman" w:eastAsia="Calibri" w:hAnsi="Times New Roman" w:cs="Times New Roman"/>
          <w:sz w:val="24"/>
          <w:szCs w:val="24"/>
          <w:shd w:val="clear" w:color="auto" w:fill="FFFFFF"/>
        </w:rPr>
        <w:t>Our findings indicate a substantial correlation between fecal calprotectin levels and the severity of COVID-19</w:t>
      </w:r>
      <w:r w:rsidR="003A6580">
        <w:rPr>
          <w:rFonts w:ascii="Times New Roman" w:eastAsia="Calibri" w:hAnsi="Times New Roman" w:cs="Times New Roman"/>
          <w:sz w:val="24"/>
          <w:szCs w:val="24"/>
          <w:shd w:val="clear" w:color="auto" w:fill="FFFFFF"/>
        </w:rPr>
        <w:t>.</w:t>
      </w:r>
      <w:r w:rsidR="004D3A11">
        <w:rPr>
          <w:rFonts w:ascii="Times New Roman" w:eastAsia="Calibri" w:hAnsi="Times New Roman" w:cs="Times New Roman"/>
          <w:sz w:val="24"/>
          <w:szCs w:val="24"/>
          <w:shd w:val="clear" w:color="auto" w:fill="FFFFFF"/>
        </w:rPr>
        <w:t xml:space="preserve"> </w:t>
      </w:r>
      <w:r w:rsidR="00B0040A" w:rsidRPr="00B0040A">
        <w:rPr>
          <w:rFonts w:ascii="Times New Roman" w:eastAsia="Calibri" w:hAnsi="Times New Roman" w:cs="Times New Roman"/>
          <w:sz w:val="24"/>
          <w:szCs w:val="24"/>
          <w:shd w:val="clear" w:color="auto" w:fill="FFFFFF"/>
        </w:rPr>
        <w:t xml:space="preserve">Notably, fecal calprotectin levels were considerably higher in the critical group compared to other groups, both at </w:t>
      </w:r>
      <w:r w:rsidR="00B0040A" w:rsidRPr="001E12E3">
        <w:rPr>
          <w:rFonts w:ascii="Times New Roman" w:eastAsia="Calibri" w:hAnsi="Times New Roman" w:cs="Times New Roman"/>
          <w:sz w:val="24"/>
          <w:szCs w:val="24"/>
          <w:shd w:val="clear" w:color="auto" w:fill="FFFFFF"/>
        </w:rPr>
        <w:t xml:space="preserve">baseline and after </w:t>
      </w:r>
      <w:r w:rsidR="00AE7D1C">
        <w:rPr>
          <w:rFonts w:ascii="Times New Roman" w:eastAsia="Calibri" w:hAnsi="Times New Roman" w:cs="Times New Roman"/>
          <w:sz w:val="24"/>
          <w:szCs w:val="24"/>
          <w:shd w:val="clear" w:color="auto" w:fill="FFFFFF"/>
        </w:rPr>
        <w:t>21 days</w:t>
      </w:r>
      <w:r w:rsidR="00B0040A" w:rsidRPr="001E12E3">
        <w:rPr>
          <w:rFonts w:ascii="Times New Roman" w:eastAsia="Calibri" w:hAnsi="Times New Roman" w:cs="Times New Roman"/>
          <w:sz w:val="24"/>
          <w:szCs w:val="24"/>
          <w:shd w:val="clear" w:color="auto" w:fill="FFFFFF"/>
        </w:rPr>
        <w:t xml:space="preserve">. </w:t>
      </w:r>
      <w:r w:rsidR="007C4FFD" w:rsidRPr="001E12E3">
        <w:rPr>
          <w:rFonts w:asciiTheme="majorBidi" w:hAnsiTheme="majorBidi" w:cstheme="majorBidi"/>
          <w:sz w:val="24"/>
          <w:szCs w:val="24"/>
        </w:rPr>
        <w:t>So,</w:t>
      </w:r>
      <w:r w:rsidR="007C4FFD" w:rsidRPr="001E12E3">
        <w:rPr>
          <w:rFonts w:ascii="Times New Roman" w:eastAsia="Calibri" w:hAnsi="Times New Roman" w:cs="Times New Roman"/>
          <w:sz w:val="24"/>
          <w:szCs w:val="24"/>
          <w:shd w:val="clear" w:color="auto" w:fill="FFFFFF"/>
        </w:rPr>
        <w:t xml:space="preserve"> fecal</w:t>
      </w:r>
      <w:r w:rsidR="007C4FFD" w:rsidRPr="001E12E3">
        <w:rPr>
          <w:rFonts w:eastAsia="Calibri" w:cs="Times New Roman"/>
          <w:sz w:val="24"/>
          <w:szCs w:val="24"/>
          <w:shd w:val="clear" w:color="auto" w:fill="FFFFFF"/>
        </w:rPr>
        <w:t xml:space="preserve"> </w:t>
      </w:r>
      <w:r w:rsidR="007C4FFD" w:rsidRPr="001E12E3">
        <w:rPr>
          <w:rFonts w:ascii="Times New Roman" w:eastAsia="Calibri" w:hAnsi="Times New Roman" w:cs="Times New Roman"/>
          <w:sz w:val="24"/>
          <w:szCs w:val="24"/>
          <w:shd w:val="clear" w:color="auto" w:fill="FFFFFF"/>
        </w:rPr>
        <w:t xml:space="preserve">calprotectin may be used as a marker </w:t>
      </w:r>
      <w:r w:rsidR="00DF2498" w:rsidRPr="001E12E3">
        <w:rPr>
          <w:rFonts w:ascii="Times New Roman" w:eastAsia="Calibri" w:hAnsi="Times New Roman" w:cs="Times New Roman"/>
          <w:sz w:val="24"/>
          <w:szCs w:val="24"/>
          <w:shd w:val="clear" w:color="auto" w:fill="FFFFFF"/>
        </w:rPr>
        <w:t xml:space="preserve">for </w:t>
      </w:r>
      <w:r w:rsidR="00AE7D1C">
        <w:rPr>
          <w:rFonts w:ascii="Times New Roman" w:eastAsia="Calibri" w:hAnsi="Times New Roman" w:cs="Times New Roman"/>
          <w:sz w:val="24"/>
          <w:szCs w:val="24"/>
          <w:shd w:val="clear" w:color="auto" w:fill="FFFFFF"/>
        </w:rPr>
        <w:t xml:space="preserve">the </w:t>
      </w:r>
      <w:r w:rsidR="007C4FFD" w:rsidRPr="001E12E3">
        <w:rPr>
          <w:rFonts w:ascii="Times New Roman" w:eastAsia="Calibri" w:hAnsi="Times New Roman" w:cs="Times New Roman"/>
          <w:sz w:val="24"/>
          <w:szCs w:val="24"/>
          <w:shd w:val="clear" w:color="auto" w:fill="FFFFFF"/>
        </w:rPr>
        <w:t xml:space="preserve">severity of COVID-19 disease. </w:t>
      </w:r>
    </w:p>
    <w:p w14:paraId="18EDD67C" w14:textId="272E85F0" w:rsidR="009A6BB9" w:rsidRPr="00EF0E81" w:rsidRDefault="009A6BB9" w:rsidP="007C4FFD">
      <w:pPr>
        <w:spacing w:after="0" w:line="360" w:lineRule="auto"/>
        <w:jc w:val="both"/>
        <w:rPr>
          <w:rFonts w:ascii="Times New Roman" w:eastAsia="Calibri" w:hAnsi="Times New Roman" w:cs="Times New Roman"/>
          <w:i/>
          <w:iCs/>
          <w:sz w:val="24"/>
          <w:szCs w:val="24"/>
          <w:shd w:val="clear" w:color="auto" w:fill="FFFFFF"/>
        </w:rPr>
      </w:pPr>
      <w:r w:rsidRPr="00EF0E81">
        <w:rPr>
          <w:rFonts w:ascii="Times New Roman" w:eastAsia="Calibri" w:hAnsi="Times New Roman" w:cs="Times New Roman"/>
          <w:b/>
          <w:bCs/>
          <w:i/>
          <w:iCs/>
          <w:sz w:val="24"/>
          <w:szCs w:val="24"/>
        </w:rPr>
        <w:t xml:space="preserve">Keywords: </w:t>
      </w:r>
      <w:r w:rsidRPr="00EF0E81">
        <w:rPr>
          <w:rFonts w:ascii="Times New Roman" w:eastAsia="Calibri" w:hAnsi="Times New Roman" w:cs="Times New Roman"/>
          <w:i/>
          <w:iCs/>
          <w:sz w:val="24"/>
          <w:szCs w:val="24"/>
          <w:shd w:val="clear" w:color="auto" w:fill="FFFFFF"/>
        </w:rPr>
        <w:t>COVID-19</w:t>
      </w:r>
      <w:r w:rsidR="008B3590" w:rsidRPr="00EF0E81">
        <w:rPr>
          <w:rFonts w:ascii="Times New Roman" w:eastAsia="Calibri" w:hAnsi="Times New Roman" w:cs="Times New Roman"/>
          <w:i/>
          <w:iCs/>
          <w:sz w:val="24"/>
          <w:szCs w:val="24"/>
          <w:shd w:val="clear" w:color="auto" w:fill="FFFFFF"/>
        </w:rPr>
        <w:t xml:space="preserve"> Disease</w:t>
      </w:r>
      <w:r w:rsidRPr="00EF0E81">
        <w:rPr>
          <w:rFonts w:ascii="Times New Roman" w:eastAsia="Calibri" w:hAnsi="Times New Roman" w:cs="Times New Roman"/>
          <w:i/>
          <w:iCs/>
          <w:sz w:val="24"/>
          <w:szCs w:val="24"/>
          <w:shd w:val="clear" w:color="auto" w:fill="FFFFFF"/>
        </w:rPr>
        <w:t xml:space="preserve">, </w:t>
      </w:r>
      <w:r w:rsidR="008B3590" w:rsidRPr="00EF0E81">
        <w:rPr>
          <w:rFonts w:ascii="Times New Roman" w:eastAsia="Calibri" w:hAnsi="Times New Roman" w:cs="Times New Roman"/>
          <w:i/>
          <w:iCs/>
          <w:sz w:val="24"/>
          <w:szCs w:val="24"/>
          <w:shd w:val="clear" w:color="auto" w:fill="FFFFFF"/>
        </w:rPr>
        <w:t>G</w:t>
      </w:r>
      <w:r w:rsidR="008A5E7E" w:rsidRPr="00EF0E81">
        <w:rPr>
          <w:rFonts w:ascii="Times New Roman" w:eastAsia="Calibri" w:hAnsi="Times New Roman" w:cs="Times New Roman"/>
          <w:i/>
          <w:iCs/>
          <w:sz w:val="24"/>
          <w:szCs w:val="24"/>
          <w:shd w:val="clear" w:color="auto" w:fill="FFFFFF"/>
        </w:rPr>
        <w:t>astro</w:t>
      </w:r>
      <w:r w:rsidR="00AF1424" w:rsidRPr="00EF0E81">
        <w:rPr>
          <w:rFonts w:ascii="Times New Roman" w:eastAsia="Calibri" w:hAnsi="Times New Roman" w:cs="Times New Roman"/>
          <w:i/>
          <w:iCs/>
          <w:sz w:val="24"/>
          <w:szCs w:val="24"/>
          <w:shd w:val="clear" w:color="auto" w:fill="FFFFFF"/>
        </w:rPr>
        <w:t xml:space="preserve">intestinal </w:t>
      </w:r>
      <w:r w:rsidR="00AD32B4" w:rsidRPr="00EF0E81">
        <w:rPr>
          <w:rFonts w:ascii="Times New Roman" w:eastAsia="Calibri" w:hAnsi="Times New Roman" w:cs="Times New Roman"/>
          <w:i/>
          <w:iCs/>
          <w:sz w:val="24"/>
          <w:szCs w:val="24"/>
          <w:shd w:val="clear" w:color="auto" w:fill="FFFFFF"/>
        </w:rPr>
        <w:t xml:space="preserve">manifestations, </w:t>
      </w:r>
      <w:r w:rsidR="00175A9A" w:rsidRPr="00EF0E81">
        <w:rPr>
          <w:rFonts w:ascii="Times New Roman" w:eastAsia="Calibri" w:hAnsi="Times New Roman" w:cs="Times New Roman"/>
          <w:i/>
          <w:iCs/>
          <w:sz w:val="24"/>
          <w:szCs w:val="24"/>
          <w:shd w:val="clear" w:color="auto" w:fill="FFFFFF"/>
        </w:rPr>
        <w:t>Fecal calprotectin</w:t>
      </w:r>
      <w:r w:rsidRPr="00EF0E81">
        <w:rPr>
          <w:rFonts w:ascii="Times New Roman" w:eastAsia="Calibri" w:hAnsi="Times New Roman" w:cs="Times New Roman"/>
          <w:i/>
          <w:iCs/>
          <w:sz w:val="24"/>
          <w:szCs w:val="24"/>
          <w:shd w:val="clear" w:color="auto" w:fill="FFFFFF"/>
        </w:rPr>
        <w:t>, Inflammatory markers</w:t>
      </w:r>
      <w:r w:rsidR="00DF3F2D" w:rsidRPr="00EF0E81">
        <w:rPr>
          <w:rFonts w:ascii="Times New Roman" w:eastAsia="Calibri" w:hAnsi="Times New Roman" w:cs="Times New Roman"/>
          <w:i/>
          <w:iCs/>
          <w:sz w:val="24"/>
          <w:szCs w:val="24"/>
          <w:shd w:val="clear" w:color="auto" w:fill="FFFFFF"/>
        </w:rPr>
        <w:t>.</w:t>
      </w:r>
    </w:p>
    <w:p w14:paraId="725A140E" w14:textId="77777777" w:rsidR="00490365" w:rsidRDefault="00490365" w:rsidP="00BE1624">
      <w:pPr>
        <w:spacing w:after="0" w:line="360" w:lineRule="auto"/>
        <w:rPr>
          <w:rFonts w:ascii="Times New Roman" w:eastAsia="Calibri" w:hAnsi="Times New Roman" w:cs="Times New Roman"/>
          <w:b/>
          <w:bCs/>
          <w:sz w:val="24"/>
          <w:szCs w:val="24"/>
        </w:rPr>
      </w:pPr>
    </w:p>
    <w:p w14:paraId="768CCF6E" w14:textId="6099110A" w:rsidR="009419CD" w:rsidRPr="006D31D0" w:rsidRDefault="00C16AF7" w:rsidP="006D31D0">
      <w:pPr>
        <w:spacing w:after="0" w:line="360" w:lineRule="auto"/>
        <w:rPr>
          <w:rFonts w:ascii="Times New Roman" w:eastAsia="Calibri" w:hAnsi="Times New Roman" w:cs="Times New Roman"/>
          <w:b/>
          <w:bCs/>
          <w:sz w:val="24"/>
          <w:szCs w:val="24"/>
        </w:rPr>
      </w:pPr>
      <w:r w:rsidRPr="00F86D95">
        <w:rPr>
          <w:rFonts w:ascii="Times New Roman" w:eastAsia="Calibri" w:hAnsi="Times New Roman" w:cs="Times New Roman"/>
          <w:b/>
          <w:bCs/>
          <w:sz w:val="24"/>
          <w:szCs w:val="24"/>
        </w:rPr>
        <w:t>Abbreviations:</w:t>
      </w:r>
      <w:r w:rsidR="009419CD" w:rsidRPr="00F86D95">
        <w:rPr>
          <w:rFonts w:ascii="Times New Roman" w:eastAsia="Calibri" w:hAnsi="Times New Roman" w:cs="Times New Roman"/>
          <w:sz w:val="24"/>
          <w:szCs w:val="24"/>
          <w:shd w:val="clear" w:color="auto" w:fill="FFFFFF"/>
        </w:rPr>
        <w:t xml:space="preserve">   </w:t>
      </w:r>
    </w:p>
    <w:p w14:paraId="4CAA316D" w14:textId="77777777" w:rsidR="009419CD" w:rsidRPr="00F86D95" w:rsidRDefault="009419CD" w:rsidP="00BE1624">
      <w:pPr>
        <w:spacing w:after="0" w:line="360" w:lineRule="auto"/>
        <w:rPr>
          <w:rFonts w:ascii="Times New Roman" w:eastAsia="Calibri" w:hAnsi="Times New Roman" w:cs="Times New Roman"/>
          <w:b/>
          <w:bCs/>
          <w:sz w:val="24"/>
          <w:szCs w:val="24"/>
        </w:rPr>
      </w:pPr>
      <w:r w:rsidRPr="00F86D95">
        <w:rPr>
          <w:rFonts w:ascii="Times New Roman" w:eastAsia="Calibri" w:hAnsi="Times New Roman" w:cs="Times New Roman"/>
          <w:sz w:val="24"/>
          <w:szCs w:val="24"/>
          <w:shd w:val="clear" w:color="auto" w:fill="FFFFFF"/>
        </w:rPr>
        <w:t>COVID-19</w:t>
      </w:r>
      <w:r w:rsidRPr="00F86D95">
        <w:rPr>
          <w:rFonts w:ascii="Times New Roman" w:eastAsia="Calibri" w:hAnsi="Times New Roman" w:cs="Times New Roman"/>
          <w:b/>
          <w:bCs/>
          <w:sz w:val="24"/>
          <w:szCs w:val="24"/>
        </w:rPr>
        <w:t xml:space="preserve">:  </w:t>
      </w:r>
      <w:r w:rsidRPr="00F86D95">
        <w:rPr>
          <w:rFonts w:ascii="Times New Roman" w:eastAsia="Calibri" w:hAnsi="Times New Roman" w:cs="Times New Roman"/>
          <w:sz w:val="24"/>
          <w:szCs w:val="24"/>
          <w:shd w:val="clear" w:color="auto" w:fill="FFFFFF"/>
        </w:rPr>
        <w:t>Coronavirus disease 2019</w:t>
      </w:r>
    </w:p>
    <w:p w14:paraId="3836F52B" w14:textId="77777777" w:rsidR="009419CD" w:rsidRPr="00F86D95" w:rsidRDefault="009419CD" w:rsidP="00BE1624">
      <w:pPr>
        <w:spacing w:after="0" w:line="360" w:lineRule="auto"/>
        <w:rPr>
          <w:rFonts w:ascii="Times New Roman" w:eastAsia="Calibri" w:hAnsi="Times New Roman" w:cs="Times New Roman"/>
          <w:sz w:val="24"/>
          <w:szCs w:val="24"/>
          <w:shd w:val="clear" w:color="auto" w:fill="FFFFFF"/>
        </w:rPr>
      </w:pPr>
      <w:r w:rsidRPr="00F86D95">
        <w:rPr>
          <w:rFonts w:ascii="Times New Roman" w:eastAsia="Calibri" w:hAnsi="Times New Roman" w:cs="Times New Roman"/>
          <w:sz w:val="24"/>
          <w:szCs w:val="24"/>
          <w:shd w:val="clear" w:color="auto" w:fill="FFFFFF"/>
        </w:rPr>
        <w:t xml:space="preserve">CRP: </w:t>
      </w:r>
      <w:r w:rsidRPr="00F86D95">
        <w:rPr>
          <w:rFonts w:ascii="Times New Roman" w:eastAsia="Calibri" w:hAnsi="Times New Roman" w:cs="Times New Roman"/>
          <w:sz w:val="24"/>
          <w:szCs w:val="24"/>
        </w:rPr>
        <w:t>C-Reactive Protein</w:t>
      </w:r>
    </w:p>
    <w:p w14:paraId="2F6852E8" w14:textId="1A93396B" w:rsidR="009419CD" w:rsidRDefault="009419CD" w:rsidP="00BE1624">
      <w:pPr>
        <w:spacing w:after="0" w:line="360" w:lineRule="auto"/>
        <w:rPr>
          <w:rFonts w:ascii="Times New Roman" w:eastAsia="Calibri" w:hAnsi="Times New Roman" w:cs="Times New Roman"/>
          <w:sz w:val="24"/>
          <w:szCs w:val="24"/>
          <w:shd w:val="clear" w:color="auto" w:fill="FFFFFF"/>
          <w:lang w:val="fr-FR"/>
        </w:rPr>
      </w:pPr>
      <w:r w:rsidRPr="002D35B6">
        <w:rPr>
          <w:rFonts w:ascii="Times New Roman" w:eastAsia="Calibri" w:hAnsi="Times New Roman" w:cs="Times New Roman"/>
          <w:sz w:val="24"/>
          <w:szCs w:val="24"/>
          <w:lang w:val="fr-FR"/>
        </w:rPr>
        <w:t>ESR</w:t>
      </w:r>
      <w:r w:rsidRPr="002D35B6">
        <w:rPr>
          <w:rFonts w:ascii="Times New Roman" w:eastAsia="Calibri" w:hAnsi="Times New Roman" w:cs="Times New Roman"/>
          <w:sz w:val="24"/>
          <w:szCs w:val="24"/>
          <w:shd w:val="clear" w:color="auto" w:fill="FFFFFF"/>
          <w:lang w:val="fr-FR"/>
        </w:rPr>
        <w:t xml:space="preserve">: Erythrocyte </w:t>
      </w:r>
      <w:r w:rsidR="00B755D7">
        <w:rPr>
          <w:rFonts w:ascii="Times New Roman" w:eastAsia="Calibri" w:hAnsi="Times New Roman" w:cs="Times New Roman"/>
          <w:sz w:val="24"/>
          <w:szCs w:val="24"/>
          <w:shd w:val="clear" w:color="auto" w:fill="FFFFFF"/>
          <w:lang w:val="fr-FR"/>
        </w:rPr>
        <w:t>sedimentation</w:t>
      </w:r>
      <w:r w:rsidRPr="002D35B6">
        <w:rPr>
          <w:rFonts w:ascii="Times New Roman" w:eastAsia="Calibri" w:hAnsi="Times New Roman" w:cs="Times New Roman"/>
          <w:sz w:val="24"/>
          <w:szCs w:val="24"/>
          <w:shd w:val="clear" w:color="auto" w:fill="FFFFFF"/>
          <w:lang w:val="fr-FR"/>
        </w:rPr>
        <w:t xml:space="preserve"> rate</w:t>
      </w:r>
    </w:p>
    <w:p w14:paraId="099394C3" w14:textId="642C15E0" w:rsidR="00B8761E" w:rsidRPr="002D35B6" w:rsidRDefault="00B8761E" w:rsidP="00BE1624">
      <w:pPr>
        <w:spacing w:after="0" w:line="360" w:lineRule="auto"/>
        <w:rPr>
          <w:rFonts w:ascii="Times New Roman" w:eastAsia="Calibri" w:hAnsi="Times New Roman" w:cs="Times New Roman"/>
          <w:sz w:val="24"/>
          <w:szCs w:val="24"/>
          <w:shd w:val="clear" w:color="auto" w:fill="FFFFFF"/>
          <w:lang w:val="fr-FR"/>
        </w:rPr>
      </w:pPr>
      <w:r>
        <w:rPr>
          <w:rFonts w:ascii="Times New Roman" w:eastAsia="Calibri" w:hAnsi="Times New Roman" w:cs="Times New Roman"/>
          <w:sz w:val="24"/>
          <w:szCs w:val="24"/>
          <w:shd w:val="clear" w:color="auto" w:fill="FFFFFF"/>
          <w:lang w:val="fr-FR"/>
        </w:rPr>
        <w:t>GI: Gastrointestinal</w:t>
      </w:r>
    </w:p>
    <w:p w14:paraId="5041516B" w14:textId="77777777" w:rsidR="009419CD" w:rsidRPr="002D35B6" w:rsidRDefault="009419CD" w:rsidP="00BE1624">
      <w:pPr>
        <w:spacing w:after="0" w:line="360" w:lineRule="auto"/>
        <w:rPr>
          <w:rFonts w:ascii="Times New Roman" w:eastAsia="Calibri" w:hAnsi="Times New Roman" w:cs="Times New Roman"/>
          <w:sz w:val="24"/>
          <w:szCs w:val="24"/>
          <w:shd w:val="clear" w:color="auto" w:fill="FFFFFF"/>
          <w:lang w:val="fr-FR"/>
        </w:rPr>
      </w:pPr>
      <w:r w:rsidRPr="002D35B6">
        <w:rPr>
          <w:rFonts w:ascii="Times New Roman" w:eastAsia="Calibri" w:hAnsi="Times New Roman" w:cs="Times New Roman"/>
          <w:sz w:val="24"/>
          <w:szCs w:val="24"/>
          <w:shd w:val="clear" w:color="auto" w:fill="FFFFFF"/>
          <w:lang w:val="fr-FR"/>
        </w:rPr>
        <w:t>IL-6: Interleukin-6</w:t>
      </w:r>
    </w:p>
    <w:p w14:paraId="4B9477ED" w14:textId="74D2E94F" w:rsidR="000C77DE" w:rsidRPr="002D35B6" w:rsidRDefault="009419CD" w:rsidP="00194450">
      <w:pPr>
        <w:spacing w:after="0" w:line="360" w:lineRule="auto"/>
        <w:rPr>
          <w:rFonts w:ascii="Times New Roman" w:eastAsia="Calibri" w:hAnsi="Times New Roman" w:cs="Times New Roman"/>
          <w:sz w:val="24"/>
          <w:szCs w:val="24"/>
          <w:shd w:val="clear" w:color="auto" w:fill="FFFFFF"/>
          <w:lang w:val="fr-FR"/>
        </w:rPr>
      </w:pPr>
      <w:r w:rsidRPr="002D35B6">
        <w:rPr>
          <w:rFonts w:ascii="Times New Roman" w:eastAsia="Calibri" w:hAnsi="Times New Roman" w:cs="Times New Roman"/>
          <w:sz w:val="24"/>
          <w:szCs w:val="24"/>
          <w:shd w:val="clear" w:color="auto" w:fill="FFFFFF"/>
          <w:lang w:val="fr-FR"/>
        </w:rPr>
        <w:t xml:space="preserve">SARS-CoV-2: severe acute respiratory syndrome coronavirus 2 </w:t>
      </w:r>
    </w:p>
    <w:p w14:paraId="68CDE7B7" w14:textId="4B7AEEE9" w:rsidR="00194450" w:rsidRPr="002D35B6" w:rsidRDefault="00194450" w:rsidP="00194450">
      <w:pPr>
        <w:spacing w:after="0" w:line="360" w:lineRule="auto"/>
        <w:rPr>
          <w:rFonts w:ascii="Times New Roman" w:eastAsia="Calibri" w:hAnsi="Times New Roman" w:cs="Times New Roman"/>
          <w:sz w:val="24"/>
          <w:szCs w:val="24"/>
          <w:shd w:val="clear" w:color="auto" w:fill="FFFFFF"/>
          <w:lang w:val="fr-FR"/>
        </w:rPr>
      </w:pPr>
      <w:r w:rsidRPr="002D35B6">
        <w:rPr>
          <w:rFonts w:ascii="Times New Roman" w:eastAsia="Calibri" w:hAnsi="Times New Roman" w:cs="Times New Roman"/>
          <w:sz w:val="24"/>
          <w:szCs w:val="24"/>
          <w:shd w:val="clear" w:color="auto" w:fill="FFFFFF"/>
          <w:lang w:val="fr-FR"/>
        </w:rPr>
        <w:t>IBD: Inflammatory Bowel Disea</w:t>
      </w:r>
      <w:r w:rsidR="006D31D0" w:rsidRPr="002D35B6">
        <w:rPr>
          <w:rFonts w:ascii="Times New Roman" w:eastAsia="Calibri" w:hAnsi="Times New Roman" w:cs="Times New Roman"/>
          <w:sz w:val="24"/>
          <w:szCs w:val="24"/>
          <w:shd w:val="clear" w:color="auto" w:fill="FFFFFF"/>
          <w:lang w:val="fr-FR"/>
        </w:rPr>
        <w:t>se</w:t>
      </w:r>
    </w:p>
    <w:p w14:paraId="0FEF0426" w14:textId="44B4E157" w:rsidR="004F000C" w:rsidRPr="002D35B6" w:rsidRDefault="00DA7236" w:rsidP="006B5021">
      <w:pPr>
        <w:spacing w:after="0" w:line="360" w:lineRule="auto"/>
        <w:rPr>
          <w:rFonts w:ascii="Times New Roman" w:eastAsia="Calibri" w:hAnsi="Times New Roman" w:cs="Times New Roman"/>
          <w:sz w:val="24"/>
          <w:szCs w:val="24"/>
          <w:shd w:val="clear" w:color="auto" w:fill="FFFFFF"/>
          <w:lang w:val="fr-FR"/>
        </w:rPr>
      </w:pPr>
      <w:r w:rsidRPr="00DA7236">
        <w:rPr>
          <w:rFonts w:ascii="Times New Roman" w:eastAsia="Calibri" w:hAnsi="Times New Roman" w:cs="Times New Roman"/>
          <w:sz w:val="24"/>
          <w:szCs w:val="24"/>
          <w:shd w:val="clear" w:color="auto" w:fill="FFFFFF"/>
        </w:rPr>
        <w:t>FC</w:t>
      </w:r>
      <w:r w:rsidR="00AB1BDF">
        <w:rPr>
          <w:rFonts w:ascii="Times New Roman" w:eastAsia="Calibri" w:hAnsi="Times New Roman" w:cs="Times New Roman"/>
          <w:sz w:val="24"/>
          <w:szCs w:val="24"/>
          <w:shd w:val="clear" w:color="auto" w:fill="FFFFFF"/>
        </w:rPr>
        <w:t>:</w:t>
      </w:r>
      <w:r w:rsidRPr="00DA7236">
        <w:rPr>
          <w:rFonts w:ascii="Times New Roman" w:eastAsia="Calibri" w:hAnsi="Times New Roman" w:cs="Times New Roman"/>
          <w:sz w:val="24"/>
          <w:szCs w:val="24"/>
          <w:shd w:val="clear" w:color="auto" w:fill="FFFFFF"/>
        </w:rPr>
        <w:t xml:space="preserve"> Fecal calprotectin</w:t>
      </w:r>
      <w:r w:rsidR="006B5021">
        <w:rPr>
          <w:rFonts w:ascii="Times New Roman" w:eastAsia="Calibri" w:hAnsi="Times New Roman" w:cs="Times New Roman"/>
          <w:sz w:val="24"/>
          <w:szCs w:val="24"/>
          <w:shd w:val="clear" w:color="auto" w:fill="FFFFFF"/>
        </w:rPr>
        <w:t>.</w:t>
      </w:r>
    </w:p>
    <w:p w14:paraId="7BB1A9FA" w14:textId="61B0B437" w:rsidR="00E73AF5" w:rsidRPr="00F86D95" w:rsidRDefault="00E73AF5" w:rsidP="00BE1624">
      <w:pPr>
        <w:pStyle w:val="Heading1"/>
        <w:spacing w:line="360" w:lineRule="auto"/>
      </w:pPr>
      <w:r w:rsidRPr="00F86D95">
        <w:t xml:space="preserve">Introduction </w:t>
      </w:r>
    </w:p>
    <w:p w14:paraId="506942F6" w14:textId="3081533F" w:rsidR="0020366D" w:rsidRDefault="00FB5C8C" w:rsidP="0020366D">
      <w:pPr>
        <w:spacing w:before="120" w:after="240" w:line="360" w:lineRule="auto"/>
        <w:jc w:val="both"/>
        <w:rPr>
          <w:rFonts w:ascii="Times New Roman" w:eastAsia="Calibri" w:hAnsi="Times New Roman" w:cs="Times New Roman"/>
          <w:sz w:val="24"/>
          <w:szCs w:val="24"/>
          <w:shd w:val="clear" w:color="auto" w:fill="FFFFFF"/>
        </w:rPr>
      </w:pPr>
      <w:r w:rsidRPr="00FB5C8C">
        <w:rPr>
          <w:rFonts w:ascii="Times New Roman" w:eastAsia="Calibri" w:hAnsi="Times New Roman" w:cs="Times New Roman"/>
          <w:sz w:val="24"/>
          <w:szCs w:val="24"/>
          <w:shd w:val="clear" w:color="auto" w:fill="FFFFFF"/>
        </w:rPr>
        <w:t>The COVID-19 pandemic, caused by the SARS-CoV-2 virus, poses a significant global challen</w:t>
      </w:r>
      <w:r w:rsidRPr="001E12E3">
        <w:rPr>
          <w:rFonts w:ascii="Times New Roman" w:eastAsia="Calibri" w:hAnsi="Times New Roman" w:cs="Times New Roman"/>
          <w:sz w:val="24"/>
          <w:szCs w:val="24"/>
          <w:shd w:val="clear" w:color="auto" w:fill="FFFFFF"/>
        </w:rPr>
        <w:t>ge.</w:t>
      </w:r>
      <w:r w:rsidR="00780A4D" w:rsidRPr="001E12E3">
        <w:rPr>
          <w:rFonts w:ascii="Times New Roman" w:eastAsia="Calibri" w:hAnsi="Times New Roman" w:cs="Times New Roman"/>
          <w:sz w:val="24"/>
          <w:szCs w:val="24"/>
          <w:shd w:val="clear" w:color="auto" w:fill="FFFFFF"/>
        </w:rPr>
        <w:t xml:space="preserve"> </w:t>
      </w:r>
      <w:r w:rsidR="00AE7D1C">
        <w:rPr>
          <w:rFonts w:ascii="Times New Roman" w:eastAsia="Calibri" w:hAnsi="Times New Roman" w:cs="Times New Roman"/>
          <w:sz w:val="24"/>
          <w:szCs w:val="24"/>
          <w:shd w:val="clear" w:color="auto" w:fill="FFFFFF"/>
        </w:rPr>
        <w:t>COVID-19 patients manifested mainly with respiratory symptoms, frequent gastrointestinal symptoms, and others. According to World Health Organization (WHO) information, the incidence and prevalence of this virus infection have been rising worldwide over the last few years as a pandemic</w:t>
      </w:r>
      <w:r w:rsidR="000613DC" w:rsidRPr="001E12E3">
        <w:rPr>
          <w:rFonts w:ascii="Times New Roman" w:eastAsia="Calibri" w:hAnsi="Times New Roman" w:cs="Times New Roman"/>
          <w:b/>
          <w:bCs/>
          <w:sz w:val="24"/>
          <w:szCs w:val="24"/>
          <w:shd w:val="clear" w:color="auto" w:fill="FFFFFF"/>
        </w:rPr>
        <w:t xml:space="preserve"> </w:t>
      </w:r>
      <w:r w:rsidR="009A09C1" w:rsidRPr="001E12E3">
        <w:rPr>
          <w:rFonts w:ascii="Times New Roman" w:eastAsia="Calibri" w:hAnsi="Times New Roman" w:cs="Times New Roman"/>
          <w:b/>
          <w:bCs/>
          <w:sz w:val="24"/>
          <w:szCs w:val="24"/>
          <w:shd w:val="clear" w:color="auto" w:fill="FFFFFF"/>
        </w:rPr>
        <w:t>[1</w:t>
      </w:r>
      <w:r w:rsidR="009A09C1" w:rsidRPr="001937D5">
        <w:rPr>
          <w:rFonts w:ascii="Times New Roman" w:eastAsia="Calibri" w:hAnsi="Times New Roman" w:cs="Times New Roman"/>
          <w:b/>
          <w:bCs/>
          <w:sz w:val="24"/>
          <w:szCs w:val="24"/>
          <w:shd w:val="clear" w:color="auto" w:fill="FFFFFF"/>
        </w:rPr>
        <w:t>]</w:t>
      </w:r>
      <w:r w:rsidR="009A09C1" w:rsidRPr="001937D5">
        <w:rPr>
          <w:rFonts w:ascii="Times New Roman" w:eastAsia="Calibri" w:hAnsi="Times New Roman" w:cs="Times New Roman"/>
          <w:sz w:val="24"/>
          <w:szCs w:val="24"/>
          <w:shd w:val="clear" w:color="auto" w:fill="FFFFFF"/>
        </w:rPr>
        <w:t>.</w:t>
      </w:r>
    </w:p>
    <w:p w14:paraId="297329D1" w14:textId="118C4FA9" w:rsidR="00E748D6" w:rsidRPr="00D81065" w:rsidRDefault="00E52B5A" w:rsidP="0020366D">
      <w:pPr>
        <w:spacing w:before="120" w:after="240" w:line="360" w:lineRule="auto"/>
        <w:jc w:val="both"/>
        <w:rPr>
          <w:rFonts w:ascii="Times New Roman" w:eastAsia="Calibri" w:hAnsi="Times New Roman" w:cs="Times New Roman"/>
          <w:sz w:val="24"/>
          <w:szCs w:val="24"/>
          <w:shd w:val="clear" w:color="auto" w:fill="FFFFFF"/>
        </w:rPr>
      </w:pPr>
      <w:r w:rsidRPr="00E52B5A">
        <w:rPr>
          <w:rFonts w:ascii="Times New Roman" w:eastAsia="Calibri" w:hAnsi="Times New Roman" w:cs="Times New Roman"/>
          <w:sz w:val="24"/>
          <w:szCs w:val="24"/>
          <w:shd w:val="clear" w:color="auto" w:fill="FFFFFF"/>
        </w:rPr>
        <w:t xml:space="preserve">Fecal calprotectin has been suggested as a </w:t>
      </w:r>
      <w:r w:rsidR="00AE7D1C">
        <w:rPr>
          <w:rFonts w:ascii="Times New Roman" w:eastAsia="Calibri" w:hAnsi="Times New Roman" w:cs="Times New Roman"/>
          <w:sz w:val="24"/>
          <w:szCs w:val="24"/>
          <w:shd w:val="clear" w:color="auto" w:fill="FFFFFF"/>
        </w:rPr>
        <w:t xml:space="preserve">noninvasive indicator of intestinal inflammation in IBD. However, its widespread use is limited because elevated levels are </w:t>
      </w:r>
      <w:r w:rsidRPr="00E52B5A">
        <w:rPr>
          <w:rFonts w:ascii="Times New Roman" w:eastAsia="Calibri" w:hAnsi="Times New Roman" w:cs="Times New Roman"/>
          <w:sz w:val="24"/>
          <w:szCs w:val="24"/>
          <w:shd w:val="clear" w:color="auto" w:fill="FFFFFF"/>
        </w:rPr>
        <w:t>associated with colorectal neoplasia and gastrointestinal infections. Additionally, relatives of IBD patients may exhibit increased fecal calprotectin levels with uncertain degrees of inflammation</w:t>
      </w:r>
      <w:r w:rsidR="00225A1B">
        <w:rPr>
          <w:rFonts w:ascii="Times New Roman" w:eastAsia="Calibri" w:hAnsi="Times New Roman" w:cs="Times New Roman"/>
          <w:sz w:val="24"/>
          <w:szCs w:val="24"/>
          <w:shd w:val="clear" w:color="auto" w:fill="FFFFFF"/>
        </w:rPr>
        <w:t xml:space="preserve"> </w:t>
      </w:r>
      <w:r w:rsidR="00225A1B" w:rsidRPr="001937D5">
        <w:rPr>
          <w:rFonts w:ascii="Times New Roman" w:eastAsia="Calibri" w:hAnsi="Times New Roman" w:cs="Times New Roman"/>
          <w:b/>
          <w:bCs/>
          <w:sz w:val="24"/>
          <w:szCs w:val="24"/>
          <w:shd w:val="clear" w:color="auto" w:fill="FFFFFF"/>
        </w:rPr>
        <w:t>[</w:t>
      </w:r>
      <w:r w:rsidR="00E56B1C">
        <w:rPr>
          <w:rFonts w:ascii="Times New Roman" w:eastAsia="Calibri" w:hAnsi="Times New Roman" w:cs="Times New Roman"/>
          <w:b/>
          <w:bCs/>
          <w:sz w:val="24"/>
          <w:szCs w:val="24"/>
          <w:shd w:val="clear" w:color="auto" w:fill="FFFFFF"/>
        </w:rPr>
        <w:t>2</w:t>
      </w:r>
      <w:r w:rsidR="00225A1B" w:rsidRPr="001937D5">
        <w:rPr>
          <w:rFonts w:ascii="Times New Roman" w:eastAsia="Calibri" w:hAnsi="Times New Roman" w:cs="Times New Roman"/>
          <w:b/>
          <w:bCs/>
          <w:sz w:val="24"/>
          <w:szCs w:val="24"/>
          <w:shd w:val="clear" w:color="auto" w:fill="FFFFFF"/>
        </w:rPr>
        <w:t>]</w:t>
      </w:r>
      <w:r w:rsidR="00225A1B" w:rsidRPr="001937D5">
        <w:rPr>
          <w:rFonts w:ascii="Times New Roman" w:eastAsia="Calibri" w:hAnsi="Times New Roman" w:cs="Times New Roman"/>
          <w:sz w:val="24"/>
          <w:szCs w:val="24"/>
          <w:shd w:val="clear" w:color="auto" w:fill="FFFFFF"/>
        </w:rPr>
        <w:t>.</w:t>
      </w:r>
    </w:p>
    <w:p w14:paraId="10373424" w14:textId="121416FB" w:rsidR="00920056" w:rsidRPr="00893F42" w:rsidRDefault="00A417AB" w:rsidP="00893F42">
      <w:pPr>
        <w:spacing w:before="120" w:after="240" w:line="360" w:lineRule="auto"/>
        <w:jc w:val="both"/>
        <w:rPr>
          <w:rFonts w:ascii="Times New Roman" w:eastAsia="Calibri" w:hAnsi="Times New Roman" w:cs="Times New Roman"/>
          <w:sz w:val="24"/>
          <w:szCs w:val="24"/>
          <w:shd w:val="clear" w:color="auto" w:fill="FFFFFF"/>
        </w:rPr>
      </w:pPr>
      <w:bookmarkStart w:id="2" w:name="bbib0060"/>
      <w:r w:rsidRPr="00A417AB">
        <w:rPr>
          <w:rFonts w:ascii="Times New Roman" w:eastAsia="Calibri" w:hAnsi="Times New Roman" w:cs="Times New Roman"/>
          <w:sz w:val="24"/>
          <w:szCs w:val="24"/>
          <w:shd w:val="clear" w:color="auto" w:fill="FFFFFF"/>
        </w:rPr>
        <w:t xml:space="preserve">A clinical study in Austria has provided evidence suggesting that SARS-CoV-2 can induce intestinal inflammation. Notably, patients who experienced current or resolved diarrhea exhibited higher </w:t>
      </w:r>
      <w:r w:rsidR="00AE7D1C">
        <w:rPr>
          <w:rFonts w:ascii="Times New Roman" w:eastAsia="Calibri" w:hAnsi="Times New Roman" w:cs="Times New Roman"/>
          <w:sz w:val="24"/>
          <w:szCs w:val="24"/>
          <w:shd w:val="clear" w:color="auto" w:fill="FFFFFF"/>
        </w:rPr>
        <w:t>fecal calprotectin concentrations</w:t>
      </w:r>
      <w:r w:rsidRPr="00A417AB">
        <w:rPr>
          <w:rFonts w:ascii="Times New Roman" w:eastAsia="Calibri" w:hAnsi="Times New Roman" w:cs="Times New Roman"/>
          <w:sz w:val="24"/>
          <w:szCs w:val="24"/>
          <w:shd w:val="clear" w:color="auto" w:fill="FFFFFF"/>
        </w:rPr>
        <w:t xml:space="preserve"> </w:t>
      </w:r>
      <w:r w:rsidR="00AE7D1C">
        <w:rPr>
          <w:rFonts w:ascii="Times New Roman" w:eastAsia="Calibri" w:hAnsi="Times New Roman" w:cs="Times New Roman"/>
          <w:sz w:val="24"/>
          <w:szCs w:val="24"/>
          <w:shd w:val="clear" w:color="auto" w:fill="FFFFFF"/>
        </w:rPr>
        <w:t>than</w:t>
      </w:r>
      <w:r w:rsidRPr="00A417AB">
        <w:rPr>
          <w:rFonts w:ascii="Times New Roman" w:eastAsia="Calibri" w:hAnsi="Times New Roman" w:cs="Times New Roman"/>
          <w:sz w:val="24"/>
          <w:szCs w:val="24"/>
          <w:shd w:val="clear" w:color="auto" w:fill="FFFFFF"/>
        </w:rPr>
        <w:t xml:space="preserve"> those without diarrhea. Furthermore, a significant correlation was observed between fecal calprotectin levels and serum interleukin-6</w:t>
      </w:r>
      <w:r w:rsidR="00E748D6" w:rsidRPr="00893F42">
        <w:rPr>
          <w:rFonts w:ascii="Times New Roman" w:eastAsia="Calibri" w:hAnsi="Times New Roman" w:cs="Times New Roman"/>
          <w:sz w:val="24"/>
          <w:szCs w:val="24"/>
          <w:shd w:val="clear" w:color="auto" w:fill="FFFFFF"/>
        </w:rPr>
        <w:t xml:space="preserve"> </w:t>
      </w:r>
      <w:bookmarkEnd w:id="2"/>
      <w:r w:rsidR="0051337C" w:rsidRPr="001937D5">
        <w:rPr>
          <w:rFonts w:ascii="Times New Roman" w:eastAsia="Calibri" w:hAnsi="Times New Roman" w:cs="Times New Roman"/>
          <w:b/>
          <w:bCs/>
          <w:sz w:val="24"/>
          <w:szCs w:val="24"/>
          <w:shd w:val="clear" w:color="auto" w:fill="FFFFFF"/>
        </w:rPr>
        <w:t>[</w:t>
      </w:r>
      <w:r w:rsidR="0051337C">
        <w:rPr>
          <w:rFonts w:ascii="Times New Roman" w:eastAsia="Calibri" w:hAnsi="Times New Roman" w:cs="Times New Roman"/>
          <w:b/>
          <w:bCs/>
          <w:sz w:val="24"/>
          <w:szCs w:val="24"/>
          <w:shd w:val="clear" w:color="auto" w:fill="FFFFFF"/>
        </w:rPr>
        <w:t>3</w:t>
      </w:r>
      <w:r w:rsidR="0051337C" w:rsidRPr="001937D5">
        <w:rPr>
          <w:rFonts w:ascii="Times New Roman" w:eastAsia="Calibri" w:hAnsi="Times New Roman" w:cs="Times New Roman"/>
          <w:b/>
          <w:bCs/>
          <w:sz w:val="24"/>
          <w:szCs w:val="24"/>
          <w:shd w:val="clear" w:color="auto" w:fill="FFFFFF"/>
        </w:rPr>
        <w:t>]</w:t>
      </w:r>
      <w:r w:rsidR="0051337C" w:rsidRPr="001937D5">
        <w:rPr>
          <w:rFonts w:ascii="Times New Roman" w:eastAsia="Calibri" w:hAnsi="Times New Roman" w:cs="Times New Roman"/>
          <w:sz w:val="24"/>
          <w:szCs w:val="24"/>
          <w:shd w:val="clear" w:color="auto" w:fill="FFFFFF"/>
        </w:rPr>
        <w:t>.</w:t>
      </w:r>
    </w:p>
    <w:p w14:paraId="10135DF1" w14:textId="02C740A3" w:rsidR="006321DA" w:rsidRDefault="00E748D6" w:rsidP="003B210E">
      <w:pPr>
        <w:spacing w:before="120" w:after="240" w:line="360" w:lineRule="auto"/>
        <w:jc w:val="both"/>
        <w:rPr>
          <w:rFonts w:ascii="Times New Roman" w:eastAsia="Calibri" w:hAnsi="Times New Roman" w:cs="Times New Roman"/>
          <w:sz w:val="24"/>
          <w:szCs w:val="24"/>
          <w:shd w:val="clear" w:color="auto" w:fill="FFFFFF"/>
        </w:rPr>
      </w:pPr>
      <w:r w:rsidRPr="003B210E">
        <w:rPr>
          <w:rFonts w:ascii="Times New Roman" w:eastAsia="Calibri" w:hAnsi="Times New Roman" w:cs="Times New Roman"/>
          <w:sz w:val="24"/>
          <w:szCs w:val="24"/>
          <w:shd w:val="clear" w:color="auto" w:fill="FFFFFF"/>
        </w:rPr>
        <w:t>Fecal calprotectin has diagnostic and prognostic values in</w:t>
      </w:r>
      <w:r w:rsidR="009E5C6C">
        <w:rPr>
          <w:rFonts w:ascii="Times New Roman" w:eastAsia="Calibri" w:hAnsi="Times New Roman" w:cs="Times New Roman"/>
          <w:sz w:val="24"/>
          <w:szCs w:val="24"/>
          <w:shd w:val="clear" w:color="auto" w:fill="FFFFFF"/>
        </w:rPr>
        <w:t xml:space="preserve"> gastrointestinal</w:t>
      </w:r>
      <w:r w:rsidRPr="003B210E">
        <w:rPr>
          <w:rFonts w:ascii="Times New Roman" w:eastAsia="Calibri" w:hAnsi="Times New Roman" w:cs="Times New Roman"/>
          <w:sz w:val="24"/>
          <w:szCs w:val="24"/>
          <w:shd w:val="clear" w:color="auto" w:fill="FFFFFF"/>
        </w:rPr>
        <w:t xml:space="preserve"> diseases</w:t>
      </w:r>
      <w:r w:rsidR="00AE7D1C">
        <w:rPr>
          <w:rFonts w:ascii="Times New Roman" w:eastAsia="Calibri" w:hAnsi="Times New Roman" w:cs="Times New Roman"/>
          <w:sz w:val="24"/>
          <w:szCs w:val="24"/>
          <w:shd w:val="clear" w:color="auto" w:fill="FFFFFF"/>
        </w:rPr>
        <w:t>, mainly inflammatory bowel diseases, which may play a role in assessing the progression of COVID-19. A high</w:t>
      </w:r>
      <w:r w:rsidRPr="003B210E">
        <w:rPr>
          <w:rFonts w:ascii="Times New Roman" w:eastAsia="Calibri" w:hAnsi="Times New Roman" w:cs="Times New Roman"/>
          <w:sz w:val="24"/>
          <w:szCs w:val="24"/>
          <w:shd w:val="clear" w:color="auto" w:fill="FFFFFF"/>
        </w:rPr>
        <w:t xml:space="preserve"> fecal calprotectin level is commonly associated with GI </w:t>
      </w:r>
      <w:r w:rsidR="009E5C6C">
        <w:rPr>
          <w:rFonts w:ascii="Times New Roman" w:eastAsia="Calibri" w:hAnsi="Times New Roman" w:cs="Times New Roman"/>
          <w:sz w:val="24"/>
          <w:szCs w:val="24"/>
          <w:shd w:val="clear" w:color="auto" w:fill="FFFFFF"/>
        </w:rPr>
        <w:t>m</w:t>
      </w:r>
      <w:r w:rsidRPr="003B210E">
        <w:rPr>
          <w:rFonts w:ascii="Times New Roman" w:eastAsia="Calibri" w:hAnsi="Times New Roman" w:cs="Times New Roman"/>
          <w:sz w:val="24"/>
          <w:szCs w:val="24"/>
          <w:shd w:val="clear" w:color="auto" w:fill="FFFFFF"/>
        </w:rPr>
        <w:t>anifestations of COVID-19 and has even been correlated with disease severity</w:t>
      </w:r>
      <w:r w:rsidR="00FA0380">
        <w:rPr>
          <w:rFonts w:ascii="Times New Roman" w:eastAsia="Calibri" w:hAnsi="Times New Roman" w:cs="Times New Roman"/>
          <w:sz w:val="24"/>
          <w:szCs w:val="24"/>
          <w:shd w:val="clear" w:color="auto" w:fill="FFFFFF"/>
        </w:rPr>
        <w:t xml:space="preserve"> </w:t>
      </w:r>
      <w:r w:rsidR="00FA0380" w:rsidRPr="001937D5">
        <w:rPr>
          <w:rFonts w:ascii="Times New Roman" w:eastAsia="Calibri" w:hAnsi="Times New Roman" w:cs="Times New Roman"/>
          <w:b/>
          <w:bCs/>
          <w:sz w:val="24"/>
          <w:szCs w:val="24"/>
          <w:shd w:val="clear" w:color="auto" w:fill="FFFFFF"/>
        </w:rPr>
        <w:t>[</w:t>
      </w:r>
      <w:r w:rsidR="00C26193">
        <w:rPr>
          <w:rFonts w:ascii="Times New Roman" w:eastAsia="Calibri" w:hAnsi="Times New Roman" w:cs="Times New Roman"/>
          <w:b/>
          <w:bCs/>
          <w:sz w:val="24"/>
          <w:szCs w:val="24"/>
          <w:shd w:val="clear" w:color="auto" w:fill="FFFFFF"/>
        </w:rPr>
        <w:t>4</w:t>
      </w:r>
      <w:r w:rsidR="00FA0380" w:rsidRPr="001937D5">
        <w:rPr>
          <w:rFonts w:ascii="Times New Roman" w:eastAsia="Calibri" w:hAnsi="Times New Roman" w:cs="Times New Roman"/>
          <w:b/>
          <w:bCs/>
          <w:sz w:val="24"/>
          <w:szCs w:val="24"/>
          <w:shd w:val="clear" w:color="auto" w:fill="FFFFFF"/>
        </w:rPr>
        <w:t>]</w:t>
      </w:r>
      <w:r w:rsidR="00FA0380" w:rsidRPr="001937D5">
        <w:rPr>
          <w:rFonts w:ascii="Times New Roman" w:eastAsia="Calibri" w:hAnsi="Times New Roman" w:cs="Times New Roman"/>
          <w:sz w:val="24"/>
          <w:szCs w:val="24"/>
          <w:shd w:val="clear" w:color="auto" w:fill="FFFFFF"/>
        </w:rPr>
        <w:t>.</w:t>
      </w:r>
    </w:p>
    <w:p w14:paraId="552C47C6" w14:textId="004C04BB" w:rsidR="00FA66AD" w:rsidRDefault="00B05152" w:rsidP="00FA66AD">
      <w:pPr>
        <w:spacing w:after="0" w:line="360" w:lineRule="auto"/>
        <w:jc w:val="both"/>
        <w:rPr>
          <w:rFonts w:ascii="Times New Roman" w:eastAsia="Calibri" w:hAnsi="Times New Roman" w:cs="Times New Roman"/>
          <w:sz w:val="24"/>
          <w:szCs w:val="24"/>
          <w:shd w:val="clear" w:color="auto" w:fill="FFFFFF"/>
        </w:rPr>
      </w:pPr>
      <w:r w:rsidRPr="00B05152">
        <w:rPr>
          <w:rFonts w:ascii="Times New Roman" w:eastAsia="Calibri" w:hAnsi="Times New Roman" w:cs="Times New Roman"/>
          <w:sz w:val="24"/>
          <w:szCs w:val="24"/>
          <w:shd w:val="clear" w:color="auto" w:fill="FFFFFF"/>
        </w:rPr>
        <w:t>The presence of live virus in the stool of COVID-19 patients, as detected by electron microscopy, raises the potential for fecal-oral transmission. However, this transmission mode remains unconfirmed. A study utilizing epidemiological and environmental data suggests that fecal aerosols generated during flushing may have caused a cluster of cases in a high-rise building in China, indicating the possibility of fecal-aerosol transmission of SARS-CoV-2</w:t>
      </w:r>
      <w:r w:rsidR="00FA66AD">
        <w:rPr>
          <w:rFonts w:ascii="Times New Roman" w:eastAsia="Calibri" w:hAnsi="Times New Roman" w:cs="Times New Roman"/>
          <w:b/>
          <w:bCs/>
          <w:sz w:val="24"/>
          <w:szCs w:val="24"/>
          <w:shd w:val="clear" w:color="auto" w:fill="FFFFFF"/>
        </w:rPr>
        <w:t xml:space="preserve"> </w:t>
      </w:r>
      <w:r w:rsidR="00FA66AD" w:rsidRPr="0080398A">
        <w:rPr>
          <w:rFonts w:ascii="Times New Roman" w:eastAsia="Calibri" w:hAnsi="Times New Roman" w:cs="Times New Roman"/>
          <w:b/>
          <w:bCs/>
          <w:sz w:val="24"/>
          <w:szCs w:val="24"/>
          <w:shd w:val="clear" w:color="auto" w:fill="FFFFFF"/>
        </w:rPr>
        <w:t>[</w:t>
      </w:r>
      <w:r w:rsidR="00724D16">
        <w:rPr>
          <w:rFonts w:ascii="Times New Roman" w:eastAsia="Calibri" w:hAnsi="Times New Roman" w:cs="Times New Roman"/>
          <w:b/>
          <w:bCs/>
          <w:sz w:val="24"/>
          <w:szCs w:val="24"/>
          <w:shd w:val="clear" w:color="auto" w:fill="FFFFFF"/>
        </w:rPr>
        <w:t>6</w:t>
      </w:r>
      <w:r w:rsidR="00FA66AD" w:rsidRPr="0080398A">
        <w:rPr>
          <w:rFonts w:ascii="Times New Roman" w:eastAsia="Calibri" w:hAnsi="Times New Roman" w:cs="Times New Roman"/>
          <w:b/>
          <w:bCs/>
          <w:sz w:val="24"/>
          <w:szCs w:val="24"/>
          <w:shd w:val="clear" w:color="auto" w:fill="FFFFFF"/>
        </w:rPr>
        <w:t>]</w:t>
      </w:r>
      <w:r w:rsidR="00FA66AD" w:rsidRPr="0080398A">
        <w:rPr>
          <w:rFonts w:ascii="Times New Roman" w:eastAsia="Calibri" w:hAnsi="Times New Roman" w:cs="Times New Roman"/>
          <w:sz w:val="24"/>
          <w:szCs w:val="24"/>
          <w:shd w:val="clear" w:color="auto" w:fill="FFFFFF"/>
        </w:rPr>
        <w:t>.</w:t>
      </w:r>
      <w:r w:rsidR="00FA66AD" w:rsidRPr="00306B8F">
        <w:rPr>
          <w:rFonts w:ascii="Times New Roman" w:eastAsia="Calibri" w:hAnsi="Times New Roman" w:cs="Times New Roman"/>
          <w:sz w:val="24"/>
          <w:szCs w:val="24"/>
          <w:shd w:val="clear" w:color="auto" w:fill="FFFFFF"/>
        </w:rPr>
        <w:t xml:space="preserve"> </w:t>
      </w:r>
    </w:p>
    <w:p w14:paraId="49CE0B1F" w14:textId="19F937C9" w:rsidR="00C57DEC" w:rsidRDefault="00C831E4" w:rsidP="00F80F11">
      <w:pPr>
        <w:spacing w:after="0" w:line="360" w:lineRule="auto"/>
        <w:jc w:val="both"/>
        <w:rPr>
          <w:rFonts w:ascii="Times New Roman" w:eastAsia="Calibri" w:hAnsi="Times New Roman" w:cs="Times New Roman"/>
          <w:sz w:val="24"/>
          <w:szCs w:val="24"/>
          <w:shd w:val="clear" w:color="auto" w:fill="FFFFFF"/>
        </w:rPr>
      </w:pPr>
      <w:r w:rsidRPr="00C831E4">
        <w:rPr>
          <w:rFonts w:ascii="Times New Roman" w:eastAsia="Calibri" w:hAnsi="Times New Roman" w:cs="Times New Roman"/>
          <w:sz w:val="24"/>
          <w:szCs w:val="24"/>
          <w:shd w:val="clear" w:color="auto" w:fill="FFFFFF"/>
        </w:rPr>
        <w:t xml:space="preserve">In the context of COVID-19 infections, </w:t>
      </w:r>
      <w:r w:rsidR="00EA5BA1">
        <w:rPr>
          <w:rFonts w:ascii="Times New Roman" w:eastAsia="Calibri" w:hAnsi="Times New Roman" w:cs="Times New Roman"/>
          <w:sz w:val="24"/>
          <w:szCs w:val="24"/>
          <w:shd w:val="clear" w:color="auto" w:fill="FFFFFF"/>
        </w:rPr>
        <w:t>respiratory, constitutional, and hematological manifestations are the most frequently observed</w:t>
      </w:r>
      <w:r w:rsidRPr="00C831E4">
        <w:rPr>
          <w:rFonts w:ascii="Times New Roman" w:eastAsia="Calibri" w:hAnsi="Times New Roman" w:cs="Times New Roman"/>
          <w:sz w:val="24"/>
          <w:szCs w:val="24"/>
          <w:shd w:val="clear" w:color="auto" w:fill="FFFFFF"/>
        </w:rPr>
        <w:t xml:space="preserve">. </w:t>
      </w:r>
      <w:r w:rsidR="00AE7D1C">
        <w:rPr>
          <w:rFonts w:ascii="Times New Roman" w:eastAsia="Calibri" w:hAnsi="Times New Roman" w:cs="Times New Roman"/>
          <w:sz w:val="24"/>
          <w:szCs w:val="24"/>
          <w:shd w:val="clear" w:color="auto" w:fill="FFFFFF"/>
        </w:rPr>
        <w:t>Gastrointestinal</w:t>
      </w:r>
      <w:r w:rsidRPr="00C831E4">
        <w:rPr>
          <w:rFonts w:ascii="Times New Roman" w:eastAsia="Calibri" w:hAnsi="Times New Roman" w:cs="Times New Roman"/>
          <w:sz w:val="24"/>
          <w:szCs w:val="24"/>
          <w:shd w:val="clear" w:color="auto" w:fill="FFFFFF"/>
        </w:rPr>
        <w:t xml:space="preserve"> symptoms such as diarrhea, nausea, and vomiting are commonly reported. Notably, diarrhea </w:t>
      </w:r>
      <w:r w:rsidR="00AE7D1C">
        <w:rPr>
          <w:rFonts w:ascii="Times New Roman" w:eastAsia="Calibri" w:hAnsi="Times New Roman" w:cs="Times New Roman"/>
          <w:sz w:val="24"/>
          <w:szCs w:val="24"/>
          <w:shd w:val="clear" w:color="auto" w:fill="FFFFFF"/>
        </w:rPr>
        <w:t>is</w:t>
      </w:r>
      <w:r w:rsidRPr="00C831E4">
        <w:rPr>
          <w:rFonts w:ascii="Times New Roman" w:eastAsia="Calibri" w:hAnsi="Times New Roman" w:cs="Times New Roman"/>
          <w:sz w:val="24"/>
          <w:szCs w:val="24"/>
          <w:shd w:val="clear" w:color="auto" w:fill="FFFFFF"/>
        </w:rPr>
        <w:t xml:space="preserve"> the second most prevalent symptom, with a pooled prevalence of 12.5%. A comprehensive analysis of clinical studies </w:t>
      </w:r>
      <w:r w:rsidR="00AE7D1C">
        <w:rPr>
          <w:rFonts w:ascii="Times New Roman" w:eastAsia="Calibri" w:hAnsi="Times New Roman" w:cs="Times New Roman"/>
          <w:sz w:val="24"/>
          <w:szCs w:val="24"/>
          <w:shd w:val="clear" w:color="auto" w:fill="FFFFFF"/>
        </w:rPr>
        <w:t>examining diarrhea in COVID-19 patients revealed a prevalence of 10.4%, ranging from</w:t>
      </w:r>
      <w:r w:rsidRPr="00C831E4">
        <w:rPr>
          <w:rFonts w:ascii="Times New Roman" w:eastAsia="Calibri" w:hAnsi="Times New Roman" w:cs="Times New Roman"/>
          <w:sz w:val="24"/>
          <w:szCs w:val="24"/>
          <w:shd w:val="clear" w:color="auto" w:fill="FFFFFF"/>
        </w:rPr>
        <w:t xml:space="preserve"> 2% to 50%</w:t>
      </w:r>
      <w:r w:rsidR="00FA66AD">
        <w:rPr>
          <w:rFonts w:ascii="Times New Roman" w:eastAsia="Calibri" w:hAnsi="Times New Roman" w:cs="Times New Roman"/>
          <w:sz w:val="24"/>
          <w:szCs w:val="24"/>
          <w:shd w:val="clear" w:color="auto" w:fill="FFFFFF"/>
        </w:rPr>
        <w:t xml:space="preserve"> </w:t>
      </w:r>
      <w:r w:rsidR="00FA66AD" w:rsidRPr="0080398A">
        <w:rPr>
          <w:rFonts w:ascii="Times New Roman" w:eastAsia="Calibri" w:hAnsi="Times New Roman" w:cs="Times New Roman"/>
          <w:b/>
          <w:bCs/>
          <w:sz w:val="24"/>
          <w:szCs w:val="24"/>
          <w:shd w:val="clear" w:color="auto" w:fill="FFFFFF"/>
        </w:rPr>
        <w:t>[</w:t>
      </w:r>
      <w:r w:rsidR="00724D16">
        <w:rPr>
          <w:rFonts w:ascii="Times New Roman" w:eastAsia="Calibri" w:hAnsi="Times New Roman" w:cs="Times New Roman"/>
          <w:b/>
          <w:bCs/>
          <w:sz w:val="24"/>
          <w:szCs w:val="24"/>
          <w:shd w:val="clear" w:color="auto" w:fill="FFFFFF"/>
        </w:rPr>
        <w:t>7</w:t>
      </w:r>
      <w:r w:rsidR="00FA66AD" w:rsidRPr="0080398A">
        <w:rPr>
          <w:rFonts w:ascii="Times New Roman" w:eastAsia="Calibri" w:hAnsi="Times New Roman" w:cs="Times New Roman"/>
          <w:b/>
          <w:bCs/>
          <w:sz w:val="24"/>
          <w:szCs w:val="24"/>
          <w:shd w:val="clear" w:color="auto" w:fill="FFFFFF"/>
        </w:rPr>
        <w:t>]</w:t>
      </w:r>
      <w:r w:rsidR="00FA66AD" w:rsidRPr="0080398A">
        <w:rPr>
          <w:rFonts w:ascii="Times New Roman" w:eastAsia="Calibri" w:hAnsi="Times New Roman" w:cs="Times New Roman"/>
          <w:sz w:val="24"/>
          <w:szCs w:val="24"/>
          <w:shd w:val="clear" w:color="auto" w:fill="FFFFFF"/>
        </w:rPr>
        <w:t>.</w:t>
      </w:r>
      <w:r w:rsidR="00FA66AD">
        <w:rPr>
          <w:rFonts w:ascii="Times New Roman" w:eastAsia="Calibri" w:hAnsi="Times New Roman" w:cs="Times New Roman"/>
          <w:sz w:val="24"/>
          <w:szCs w:val="24"/>
          <w:shd w:val="clear" w:color="auto" w:fill="FFFFFF"/>
        </w:rPr>
        <w:t xml:space="preserve"> </w:t>
      </w:r>
      <w:r w:rsidR="00C05BC7" w:rsidRPr="00C05BC7">
        <w:rPr>
          <w:rFonts w:ascii="Times New Roman" w:eastAsia="Calibri" w:hAnsi="Times New Roman" w:cs="Times New Roman"/>
          <w:sz w:val="24"/>
          <w:szCs w:val="24"/>
          <w:shd w:val="clear" w:color="auto" w:fill="FFFFFF"/>
        </w:rPr>
        <w:t>Nevertheless, recent data from the United States revealed elevated percentages ranging from 23.7% to 33.7%</w:t>
      </w:r>
      <w:r w:rsidR="00FA66AD">
        <w:rPr>
          <w:rFonts w:ascii="Times New Roman" w:eastAsia="Calibri" w:hAnsi="Times New Roman" w:cs="Times New Roman"/>
          <w:sz w:val="24"/>
          <w:szCs w:val="24"/>
          <w:shd w:val="clear" w:color="auto" w:fill="FFFFFF"/>
        </w:rPr>
        <w:t xml:space="preserve"> </w:t>
      </w:r>
      <w:r w:rsidR="00FA66AD" w:rsidRPr="0080398A">
        <w:rPr>
          <w:rFonts w:ascii="Times New Roman" w:eastAsia="Calibri" w:hAnsi="Times New Roman" w:cs="Times New Roman"/>
          <w:b/>
          <w:bCs/>
          <w:sz w:val="24"/>
          <w:szCs w:val="24"/>
          <w:shd w:val="clear" w:color="auto" w:fill="FFFFFF"/>
        </w:rPr>
        <w:t>[</w:t>
      </w:r>
      <w:r w:rsidR="00724D16">
        <w:rPr>
          <w:rFonts w:ascii="Times New Roman" w:eastAsia="Calibri" w:hAnsi="Times New Roman" w:cs="Times New Roman"/>
          <w:b/>
          <w:bCs/>
          <w:sz w:val="24"/>
          <w:szCs w:val="24"/>
          <w:shd w:val="clear" w:color="auto" w:fill="FFFFFF"/>
        </w:rPr>
        <w:t>8</w:t>
      </w:r>
      <w:r w:rsidR="00FA66AD" w:rsidRPr="0080398A">
        <w:rPr>
          <w:rFonts w:ascii="Times New Roman" w:eastAsia="Calibri" w:hAnsi="Times New Roman" w:cs="Times New Roman"/>
          <w:b/>
          <w:bCs/>
          <w:sz w:val="24"/>
          <w:szCs w:val="24"/>
          <w:shd w:val="clear" w:color="auto" w:fill="FFFFFF"/>
        </w:rPr>
        <w:t>]</w:t>
      </w:r>
      <w:r w:rsidR="00FA66AD" w:rsidRPr="0080398A">
        <w:rPr>
          <w:rFonts w:ascii="Times New Roman" w:eastAsia="Calibri" w:hAnsi="Times New Roman" w:cs="Times New Roman"/>
          <w:sz w:val="24"/>
          <w:szCs w:val="24"/>
          <w:shd w:val="clear" w:color="auto" w:fill="FFFFFF"/>
        </w:rPr>
        <w:t>.</w:t>
      </w:r>
      <w:r w:rsidR="00F80F11">
        <w:rPr>
          <w:rFonts w:ascii="Times New Roman" w:eastAsia="Calibri" w:hAnsi="Times New Roman" w:cs="Times New Roman"/>
          <w:sz w:val="24"/>
          <w:szCs w:val="24"/>
          <w:shd w:val="clear" w:color="auto" w:fill="FFFFFF"/>
        </w:rPr>
        <w:t xml:space="preserve"> </w:t>
      </w:r>
    </w:p>
    <w:p w14:paraId="18691B54" w14:textId="3D9B5FC1" w:rsidR="009536B1" w:rsidRDefault="00F80F11" w:rsidP="0023595B">
      <w:pPr>
        <w:spacing w:after="0" w:line="360" w:lineRule="auto"/>
        <w:jc w:val="both"/>
        <w:rPr>
          <w:rFonts w:ascii="Times New Roman" w:eastAsia="Calibri" w:hAnsi="Times New Roman" w:cs="Times New Roman"/>
          <w:sz w:val="24"/>
          <w:szCs w:val="24"/>
          <w:shd w:val="clear" w:color="auto" w:fill="FFFFFF"/>
        </w:rPr>
      </w:pPr>
      <w:r w:rsidRPr="00F80F11">
        <w:rPr>
          <w:rFonts w:ascii="Times New Roman" w:eastAsia="Calibri" w:hAnsi="Times New Roman" w:cs="Times New Roman"/>
          <w:sz w:val="24"/>
          <w:szCs w:val="24"/>
          <w:shd w:val="clear" w:color="auto" w:fill="FFFFFF"/>
        </w:rPr>
        <w:t>While some research has indicated the presence of mild diarrhea</w:t>
      </w:r>
      <w:r w:rsidR="0081108F">
        <w:rPr>
          <w:rFonts w:ascii="Times New Roman" w:eastAsia="Calibri" w:hAnsi="Times New Roman" w:cs="Times New Roman"/>
          <w:sz w:val="24"/>
          <w:szCs w:val="24"/>
          <w:shd w:val="clear" w:color="auto" w:fill="FFFFFF"/>
        </w:rPr>
        <w:t xml:space="preserve"> </w:t>
      </w:r>
      <w:r w:rsidR="0081108F" w:rsidRPr="0080398A">
        <w:rPr>
          <w:rFonts w:ascii="Times New Roman" w:eastAsia="Calibri" w:hAnsi="Times New Roman" w:cs="Times New Roman"/>
          <w:b/>
          <w:bCs/>
          <w:sz w:val="24"/>
          <w:szCs w:val="24"/>
          <w:shd w:val="clear" w:color="auto" w:fill="FFFFFF"/>
        </w:rPr>
        <w:t>[</w:t>
      </w:r>
      <w:r w:rsidR="0081108F">
        <w:rPr>
          <w:rFonts w:ascii="Times New Roman" w:eastAsia="Calibri" w:hAnsi="Times New Roman" w:cs="Times New Roman"/>
          <w:b/>
          <w:bCs/>
          <w:sz w:val="24"/>
          <w:szCs w:val="24"/>
          <w:shd w:val="clear" w:color="auto" w:fill="FFFFFF"/>
        </w:rPr>
        <w:t>9,10</w:t>
      </w:r>
      <w:r w:rsidR="0081108F" w:rsidRPr="0080398A">
        <w:rPr>
          <w:rFonts w:ascii="Times New Roman" w:eastAsia="Calibri" w:hAnsi="Times New Roman" w:cs="Times New Roman"/>
          <w:b/>
          <w:bCs/>
          <w:sz w:val="24"/>
          <w:szCs w:val="24"/>
          <w:shd w:val="clear" w:color="auto" w:fill="FFFFFF"/>
        </w:rPr>
        <w:t>]</w:t>
      </w:r>
      <w:r w:rsidR="0081108F" w:rsidRPr="00481F16">
        <w:rPr>
          <w:rFonts w:ascii="Times New Roman" w:eastAsia="Calibri" w:hAnsi="Times New Roman" w:cs="Times New Roman"/>
          <w:sz w:val="24"/>
          <w:szCs w:val="24"/>
          <w:shd w:val="clear" w:color="auto" w:fill="FFFFFF"/>
        </w:rPr>
        <w:t>,</w:t>
      </w:r>
      <w:r w:rsidR="0081108F">
        <w:rPr>
          <w:rFonts w:ascii="Times New Roman" w:eastAsia="Calibri" w:hAnsi="Times New Roman" w:cs="Times New Roman"/>
          <w:sz w:val="24"/>
          <w:szCs w:val="24"/>
          <w:shd w:val="clear" w:color="auto" w:fill="FFFFFF"/>
        </w:rPr>
        <w:t xml:space="preserve"> </w:t>
      </w:r>
      <w:r w:rsidRPr="00F80F11">
        <w:rPr>
          <w:rFonts w:ascii="Times New Roman" w:eastAsia="Calibri" w:hAnsi="Times New Roman" w:cs="Times New Roman"/>
          <w:sz w:val="24"/>
          <w:szCs w:val="24"/>
          <w:shd w:val="clear" w:color="auto" w:fill="FFFFFF"/>
        </w:rPr>
        <w:t xml:space="preserve"> other studies have documented instances of severe diarrhea and acute hemorrhagic colitis in association with</w:t>
      </w:r>
      <w:r w:rsidR="00C57DEC">
        <w:rPr>
          <w:rFonts w:ascii="Times New Roman" w:eastAsia="Calibri" w:hAnsi="Times New Roman" w:cs="Times New Roman"/>
          <w:sz w:val="24"/>
          <w:szCs w:val="24"/>
          <w:shd w:val="clear" w:color="auto" w:fill="FFFFFF"/>
        </w:rPr>
        <w:t xml:space="preserve"> severe </w:t>
      </w:r>
      <w:r w:rsidRPr="00F80F11">
        <w:rPr>
          <w:rFonts w:ascii="Times New Roman" w:eastAsia="Calibri" w:hAnsi="Times New Roman" w:cs="Times New Roman"/>
          <w:sz w:val="24"/>
          <w:szCs w:val="24"/>
          <w:shd w:val="clear" w:color="auto" w:fill="FFFFFF"/>
        </w:rPr>
        <w:t xml:space="preserve"> COVID-19 illness</w:t>
      </w:r>
      <w:r w:rsidR="0081108F">
        <w:rPr>
          <w:rFonts w:ascii="Times New Roman" w:eastAsia="Calibri" w:hAnsi="Times New Roman" w:cs="Times New Roman"/>
          <w:sz w:val="24"/>
          <w:szCs w:val="24"/>
          <w:shd w:val="clear" w:color="auto" w:fill="FFFFFF"/>
        </w:rPr>
        <w:t xml:space="preserve"> </w:t>
      </w:r>
      <w:r w:rsidR="00FA66AD" w:rsidRPr="0080398A">
        <w:rPr>
          <w:rFonts w:ascii="Times New Roman" w:eastAsia="Calibri" w:hAnsi="Times New Roman" w:cs="Times New Roman"/>
          <w:b/>
          <w:bCs/>
          <w:sz w:val="24"/>
          <w:szCs w:val="24"/>
          <w:shd w:val="clear" w:color="auto" w:fill="FFFFFF"/>
        </w:rPr>
        <w:t>[</w:t>
      </w:r>
      <w:r w:rsidR="00FA66AD">
        <w:rPr>
          <w:rFonts w:ascii="Times New Roman" w:eastAsia="Calibri" w:hAnsi="Times New Roman" w:cs="Times New Roman"/>
          <w:b/>
          <w:bCs/>
          <w:sz w:val="24"/>
          <w:szCs w:val="24"/>
          <w:shd w:val="clear" w:color="auto" w:fill="FFFFFF"/>
        </w:rPr>
        <w:t>1</w:t>
      </w:r>
      <w:r w:rsidR="00D45D7A">
        <w:rPr>
          <w:rFonts w:ascii="Times New Roman" w:eastAsia="Calibri" w:hAnsi="Times New Roman" w:cs="Times New Roman"/>
          <w:b/>
          <w:bCs/>
          <w:sz w:val="24"/>
          <w:szCs w:val="24"/>
          <w:shd w:val="clear" w:color="auto" w:fill="FFFFFF"/>
        </w:rPr>
        <w:t>1</w:t>
      </w:r>
      <w:r w:rsidR="00DC162D">
        <w:rPr>
          <w:rFonts w:ascii="Times New Roman" w:eastAsia="Calibri" w:hAnsi="Times New Roman" w:cs="Times New Roman"/>
          <w:b/>
          <w:bCs/>
          <w:sz w:val="24"/>
          <w:szCs w:val="24"/>
          <w:shd w:val="clear" w:color="auto" w:fill="FFFFFF"/>
        </w:rPr>
        <w:t>,</w:t>
      </w:r>
      <w:r w:rsidR="00FA66AD">
        <w:rPr>
          <w:rFonts w:ascii="Times New Roman" w:eastAsia="Calibri" w:hAnsi="Times New Roman" w:cs="Times New Roman"/>
          <w:b/>
          <w:bCs/>
          <w:sz w:val="24"/>
          <w:szCs w:val="24"/>
          <w:shd w:val="clear" w:color="auto" w:fill="FFFFFF"/>
        </w:rPr>
        <w:t>1</w:t>
      </w:r>
      <w:r w:rsidR="00D45D7A">
        <w:rPr>
          <w:rFonts w:ascii="Times New Roman" w:eastAsia="Calibri" w:hAnsi="Times New Roman" w:cs="Times New Roman"/>
          <w:b/>
          <w:bCs/>
          <w:sz w:val="24"/>
          <w:szCs w:val="24"/>
          <w:shd w:val="clear" w:color="auto" w:fill="FFFFFF"/>
        </w:rPr>
        <w:t>2</w:t>
      </w:r>
      <w:r w:rsidR="00FA66AD" w:rsidRPr="0080398A">
        <w:rPr>
          <w:rFonts w:ascii="Times New Roman" w:eastAsia="Calibri" w:hAnsi="Times New Roman" w:cs="Times New Roman"/>
          <w:b/>
          <w:bCs/>
          <w:sz w:val="24"/>
          <w:szCs w:val="24"/>
          <w:shd w:val="clear" w:color="auto" w:fill="FFFFFF"/>
        </w:rPr>
        <w:t>]</w:t>
      </w:r>
      <w:r w:rsidR="00FA66AD" w:rsidRPr="00481F16">
        <w:rPr>
          <w:rFonts w:ascii="Times New Roman" w:eastAsia="Calibri" w:hAnsi="Times New Roman" w:cs="Times New Roman"/>
          <w:sz w:val="24"/>
          <w:szCs w:val="24"/>
          <w:shd w:val="clear" w:color="auto" w:fill="FFFFFF"/>
        </w:rPr>
        <w:t>.</w:t>
      </w:r>
    </w:p>
    <w:p w14:paraId="5B7730E4" w14:textId="39AD8F28" w:rsidR="00B860F9" w:rsidRPr="00B860F9" w:rsidRDefault="00B860F9" w:rsidP="009536B1">
      <w:pPr>
        <w:spacing w:after="0" w:line="360" w:lineRule="auto"/>
        <w:jc w:val="both"/>
        <w:rPr>
          <w:rFonts w:ascii="Times New Roman" w:eastAsia="Calibri" w:hAnsi="Times New Roman" w:cs="Times New Roman"/>
          <w:b/>
          <w:bCs/>
          <w:sz w:val="24"/>
          <w:szCs w:val="24"/>
          <w:shd w:val="clear" w:color="auto" w:fill="FFFFFF"/>
        </w:rPr>
      </w:pPr>
      <w:r w:rsidRPr="00E627E9">
        <w:rPr>
          <w:rFonts w:asciiTheme="majorBidi" w:hAnsiTheme="majorBidi" w:cstheme="majorBidi"/>
          <w:sz w:val="24"/>
          <w:szCs w:val="24"/>
          <w:shd w:val="clear" w:color="auto" w:fill="FFFFFF"/>
        </w:rPr>
        <w:t xml:space="preserve">The </w:t>
      </w:r>
      <w:r w:rsidR="00B530DB">
        <w:rPr>
          <w:rFonts w:asciiTheme="majorBidi" w:hAnsiTheme="majorBidi" w:cstheme="majorBidi"/>
          <w:sz w:val="24"/>
          <w:szCs w:val="24"/>
          <w:shd w:val="clear" w:color="auto" w:fill="FFFFFF"/>
        </w:rPr>
        <w:t>study aims</w:t>
      </w:r>
      <w:r w:rsidR="00AE7D1C">
        <w:rPr>
          <w:rFonts w:asciiTheme="majorBidi" w:hAnsiTheme="majorBidi" w:cstheme="majorBidi"/>
          <w:sz w:val="24"/>
          <w:szCs w:val="24"/>
          <w:shd w:val="clear" w:color="auto" w:fill="FFFFFF"/>
        </w:rPr>
        <w:t xml:space="preserve"> to evaluate </w:t>
      </w:r>
      <w:r w:rsidR="00EA5BA1">
        <w:rPr>
          <w:rFonts w:asciiTheme="majorBidi" w:hAnsiTheme="majorBidi" w:cstheme="majorBidi"/>
          <w:sz w:val="24"/>
          <w:szCs w:val="24"/>
          <w:shd w:val="clear" w:color="auto" w:fill="FFFFFF"/>
        </w:rPr>
        <w:t xml:space="preserve">the </w:t>
      </w:r>
      <w:r w:rsidR="00EA5BA1">
        <w:rPr>
          <w:rFonts w:ascii="Times New Roman" w:eastAsia="Times New Roman" w:hAnsi="Times New Roman" w:cs="Times New Roman"/>
          <w:sz w:val="24"/>
          <w:szCs w:val="24"/>
        </w:rPr>
        <w:t xml:space="preserve">relationship between fecal calprotectin and the clinical and biochemical parameters of patients with COVID-19 disease after 21 days from the baseline </w:t>
      </w:r>
      <w:r w:rsidR="00EA5BA1">
        <w:rPr>
          <w:rFonts w:ascii="Times New Roman" w:eastAsia="Calibri" w:hAnsi="Times New Roman" w:cs="Times New Roman"/>
          <w:sz w:val="24"/>
          <w:szCs w:val="24"/>
          <w:shd w:val="clear" w:color="auto" w:fill="FFFFFF"/>
        </w:rPr>
        <w:t>to determine if fecal</w:t>
      </w:r>
      <w:r w:rsidR="00EA5BA1">
        <w:rPr>
          <w:rStyle w:val="Strong"/>
          <w:rFonts w:ascii="Times New Roman" w:hAnsi="Times New Roman"/>
          <w:sz w:val="28"/>
          <w:szCs w:val="28"/>
        </w:rPr>
        <w:t xml:space="preserve"> </w:t>
      </w:r>
      <w:r w:rsidR="00EA5BA1">
        <w:rPr>
          <w:rFonts w:ascii="Times New Roman" w:eastAsia="Calibri" w:hAnsi="Times New Roman" w:cs="Times New Roman"/>
          <w:sz w:val="24"/>
          <w:szCs w:val="24"/>
          <w:shd w:val="clear" w:color="auto" w:fill="FFFFFF"/>
        </w:rPr>
        <w:t xml:space="preserve">calprotectin may be used as a marker of </w:t>
      </w:r>
      <w:r w:rsidR="00EA5BA1">
        <w:rPr>
          <w:rFonts w:ascii="Times New Roman" w:hAnsi="Times New Roman" w:cs="Times New Roman"/>
          <w:sz w:val="24"/>
          <w:szCs w:val="24"/>
        </w:rPr>
        <w:t>the </w:t>
      </w:r>
      <w:r w:rsidR="00AE7D1C">
        <w:rPr>
          <w:rFonts w:ascii="Times New Roman" w:eastAsia="Calibri" w:hAnsi="Times New Roman" w:cs="Times New Roman"/>
          <w:sz w:val="24"/>
          <w:szCs w:val="24"/>
          <w:shd w:val="clear" w:color="auto" w:fill="FFFFFF"/>
        </w:rPr>
        <w:t>severity of COVID-19 disease, especially in patients</w:t>
      </w:r>
      <w:r w:rsidR="006C36D4" w:rsidRPr="0047526A">
        <w:rPr>
          <w:rFonts w:ascii="Times New Roman" w:eastAsia="Calibri" w:hAnsi="Times New Roman" w:cs="Times New Roman"/>
          <w:sz w:val="24"/>
          <w:szCs w:val="24"/>
          <w:shd w:val="clear" w:color="auto" w:fill="FFFFFF"/>
        </w:rPr>
        <w:t xml:space="preserve"> with GI symptoms </w:t>
      </w:r>
      <w:r w:rsidR="00F147FB" w:rsidRPr="0047526A">
        <w:rPr>
          <w:rFonts w:ascii="Times New Roman" w:eastAsia="Calibri" w:hAnsi="Times New Roman" w:cs="Times New Roman"/>
          <w:sz w:val="24"/>
          <w:szCs w:val="24"/>
          <w:shd w:val="clear" w:color="auto" w:fill="FFFFFF"/>
        </w:rPr>
        <w:t xml:space="preserve">with or without </w:t>
      </w:r>
      <w:r w:rsidR="006C36D4" w:rsidRPr="0047526A">
        <w:rPr>
          <w:rFonts w:ascii="Times New Roman" w:eastAsia="Calibri" w:hAnsi="Times New Roman" w:cs="Times New Roman"/>
          <w:sz w:val="24"/>
          <w:szCs w:val="24"/>
          <w:shd w:val="clear" w:color="auto" w:fill="FFFFFF"/>
        </w:rPr>
        <w:t>other manifestations.</w:t>
      </w:r>
      <w:r w:rsidRPr="0047526A">
        <w:rPr>
          <w:rFonts w:ascii="Times New Roman" w:eastAsia="Times New Roman" w:hAnsi="Times New Roman" w:cs="Times New Roman"/>
          <w:sz w:val="24"/>
          <w:szCs w:val="24"/>
        </w:rPr>
        <w:t xml:space="preserve"> The outcome was the proportion of patients with SARS-CoV-2 RNA PCR negativity </w:t>
      </w:r>
      <w:r w:rsidR="00267551" w:rsidRPr="0047526A">
        <w:rPr>
          <w:rFonts w:ascii="Times New Roman" w:eastAsia="Times New Roman" w:hAnsi="Times New Roman" w:cs="Times New Roman"/>
          <w:sz w:val="24"/>
          <w:szCs w:val="24"/>
        </w:rPr>
        <w:t xml:space="preserve">and </w:t>
      </w:r>
      <w:r w:rsidR="00AE7D1C">
        <w:rPr>
          <w:rFonts w:ascii="Times New Roman" w:eastAsia="Times New Roman" w:hAnsi="Times New Roman" w:cs="Times New Roman"/>
          <w:sz w:val="24"/>
          <w:szCs w:val="24"/>
        </w:rPr>
        <w:t xml:space="preserve">the </w:t>
      </w:r>
      <w:r w:rsidR="00267551" w:rsidRPr="0047526A">
        <w:rPr>
          <w:rFonts w:asciiTheme="majorBidi" w:hAnsiTheme="majorBidi" w:cstheme="majorBidi"/>
          <w:sz w:val="24"/>
          <w:szCs w:val="24"/>
        </w:rPr>
        <w:t>percentage of COVID-19 mortality within 21 days</w:t>
      </w:r>
      <w:r w:rsidR="00535B75" w:rsidRPr="0047526A">
        <w:rPr>
          <w:rFonts w:asciiTheme="majorBidi" w:hAnsiTheme="majorBidi" w:cstheme="majorBidi"/>
          <w:sz w:val="24"/>
          <w:szCs w:val="24"/>
        </w:rPr>
        <w:t xml:space="preserve"> </w:t>
      </w:r>
      <w:r w:rsidR="00D55220" w:rsidRPr="0047526A">
        <w:rPr>
          <w:rFonts w:asciiTheme="majorBidi" w:hAnsiTheme="majorBidi" w:cstheme="majorBidi"/>
          <w:sz w:val="24"/>
          <w:szCs w:val="24"/>
        </w:rPr>
        <w:t>from the</w:t>
      </w:r>
      <w:r w:rsidR="00535B75" w:rsidRPr="0047526A">
        <w:rPr>
          <w:rFonts w:asciiTheme="majorBidi" w:hAnsiTheme="majorBidi" w:cstheme="majorBidi"/>
          <w:sz w:val="24"/>
          <w:szCs w:val="24"/>
        </w:rPr>
        <w:t xml:space="preserve"> </w:t>
      </w:r>
      <w:r w:rsidR="00FF7341" w:rsidRPr="0047526A">
        <w:rPr>
          <w:rFonts w:asciiTheme="majorBidi" w:hAnsiTheme="majorBidi" w:cstheme="majorBidi"/>
          <w:sz w:val="24"/>
          <w:szCs w:val="24"/>
        </w:rPr>
        <w:t>start of this study</w:t>
      </w:r>
      <w:r w:rsidRPr="0047526A">
        <w:rPr>
          <w:rFonts w:ascii="Times New Roman" w:eastAsia="Times New Roman" w:hAnsi="Times New Roman" w:cs="Times New Roman"/>
          <w:sz w:val="24"/>
          <w:szCs w:val="24"/>
        </w:rPr>
        <w:t>.</w:t>
      </w:r>
    </w:p>
    <w:p w14:paraId="56E02F90" w14:textId="0F11C7BC" w:rsidR="00121351" w:rsidRPr="00F86D95" w:rsidRDefault="00E73AF5" w:rsidP="00BE1624">
      <w:pPr>
        <w:pStyle w:val="Heading1"/>
        <w:spacing w:line="360" w:lineRule="auto"/>
        <w:rPr>
          <w:shd w:val="clear" w:color="auto" w:fill="FFFFFF"/>
        </w:rPr>
      </w:pPr>
      <w:r w:rsidRPr="00F86D95">
        <w:t xml:space="preserve">Patients and Methods </w:t>
      </w:r>
    </w:p>
    <w:p w14:paraId="1C1846DA" w14:textId="382827C7" w:rsidR="000E119C" w:rsidRPr="00C26193" w:rsidRDefault="00121351" w:rsidP="00BE1624">
      <w:pPr>
        <w:pStyle w:val="Heading2"/>
        <w:spacing w:line="360" w:lineRule="auto"/>
      </w:pPr>
      <w:r w:rsidRPr="00C26193">
        <w:t>2.1. Study design:</w:t>
      </w:r>
    </w:p>
    <w:p w14:paraId="5FAE63A9" w14:textId="73CCE40D" w:rsidR="00121351" w:rsidRPr="00C26193" w:rsidRDefault="00650A35" w:rsidP="000B6C2D">
      <w:pPr>
        <w:spacing w:line="360" w:lineRule="auto"/>
        <w:jc w:val="both"/>
      </w:pPr>
      <w:r w:rsidRPr="00C26193">
        <w:rPr>
          <w:rFonts w:asciiTheme="majorBidi" w:hAnsiTheme="majorBidi" w:cstheme="majorBidi"/>
          <w:sz w:val="24"/>
          <w:szCs w:val="24"/>
          <w:shd w:val="clear" w:color="auto" w:fill="FFFFFF"/>
        </w:rPr>
        <w:t>A hospital-based</w:t>
      </w:r>
      <w:r w:rsidR="00AC5EC1" w:rsidRPr="00C26193">
        <w:rPr>
          <w:rFonts w:asciiTheme="majorBidi" w:hAnsiTheme="majorBidi" w:cstheme="majorBidi"/>
          <w:sz w:val="24"/>
          <w:szCs w:val="24"/>
          <w:shd w:val="clear" w:color="auto" w:fill="FFFFFF"/>
        </w:rPr>
        <w:t xml:space="preserve"> </w:t>
      </w:r>
      <w:r w:rsidR="008C7CCD" w:rsidRPr="00C26193">
        <w:rPr>
          <w:rFonts w:asciiTheme="majorBidi" w:hAnsiTheme="majorBidi" w:cstheme="majorBidi"/>
          <w:sz w:val="24"/>
          <w:szCs w:val="24"/>
          <w:shd w:val="clear" w:color="auto" w:fill="FFFFFF"/>
        </w:rPr>
        <w:t xml:space="preserve">observational </w:t>
      </w:r>
      <w:r w:rsidR="00AE7D1C">
        <w:rPr>
          <w:rFonts w:asciiTheme="majorBidi" w:hAnsiTheme="majorBidi" w:cstheme="majorBidi"/>
          <w:sz w:val="24"/>
          <w:szCs w:val="24"/>
          <w:shd w:val="clear" w:color="auto" w:fill="FFFFFF"/>
        </w:rPr>
        <w:t xml:space="preserve">cross-sectional study was carried out on fifty patients with COVID-19 who were admitted to the isolation unit of the Internal Medicine Department, Zagazig University Hospitals, </w:t>
      </w:r>
      <w:r w:rsidR="000D680E" w:rsidRPr="001A3848">
        <w:rPr>
          <w:rFonts w:asciiTheme="majorBidi" w:hAnsiTheme="majorBidi" w:cstheme="majorBidi"/>
          <w:sz w:val="24"/>
          <w:szCs w:val="24"/>
          <w:lang w:bidi="ar-EG"/>
        </w:rPr>
        <w:t xml:space="preserve">from </w:t>
      </w:r>
      <w:r w:rsidR="000D680E" w:rsidRPr="001A3848">
        <w:rPr>
          <w:rFonts w:asciiTheme="majorBidi" w:hAnsiTheme="majorBidi" w:cstheme="majorBidi"/>
          <w:color w:val="000000" w:themeColor="text1"/>
          <w:sz w:val="24"/>
          <w:szCs w:val="24"/>
          <w:lang w:bidi="ar-EG"/>
        </w:rPr>
        <w:t>September 2021 to March 2022</w:t>
      </w:r>
      <w:r w:rsidR="00121351" w:rsidRPr="001A3848">
        <w:rPr>
          <w:rFonts w:asciiTheme="majorBidi" w:hAnsiTheme="majorBidi" w:cstheme="majorBidi"/>
          <w:sz w:val="24"/>
          <w:szCs w:val="24"/>
          <w:shd w:val="clear" w:color="auto" w:fill="FFFFFF"/>
        </w:rPr>
        <w:t>.</w:t>
      </w:r>
      <w:r w:rsidR="00D278BE" w:rsidRPr="001A3848">
        <w:rPr>
          <w:rFonts w:asciiTheme="majorBidi" w:hAnsiTheme="majorBidi" w:cstheme="majorBidi"/>
          <w:sz w:val="24"/>
          <w:szCs w:val="24"/>
          <w:shd w:val="clear" w:color="auto" w:fill="FFFFFF"/>
        </w:rPr>
        <w:t xml:space="preserve"> S</w:t>
      </w:r>
      <w:r w:rsidR="006A61E4" w:rsidRPr="001A3848">
        <w:rPr>
          <w:rFonts w:asciiTheme="majorBidi" w:hAnsiTheme="majorBidi" w:cstheme="majorBidi"/>
          <w:sz w:val="24"/>
          <w:szCs w:val="24"/>
          <w:shd w:val="clear" w:color="auto" w:fill="FFFFFF"/>
        </w:rPr>
        <w:t>amples</w:t>
      </w:r>
      <w:r w:rsidR="00D278BE" w:rsidRPr="001A3848">
        <w:rPr>
          <w:rFonts w:asciiTheme="majorBidi" w:hAnsiTheme="majorBidi" w:cstheme="majorBidi"/>
          <w:sz w:val="24"/>
          <w:szCs w:val="24"/>
          <w:shd w:val="clear" w:color="auto" w:fill="FFFFFF"/>
        </w:rPr>
        <w:t xml:space="preserve"> </w:t>
      </w:r>
      <w:r w:rsidR="00D278BE" w:rsidRPr="001A3848">
        <w:rPr>
          <w:rFonts w:asciiTheme="majorBidi" w:hAnsiTheme="majorBidi" w:cstheme="majorBidi"/>
          <w:sz w:val="24"/>
          <w:szCs w:val="24"/>
          <w:lang w:bidi="ar-EG"/>
        </w:rPr>
        <w:t>for l</w:t>
      </w:r>
      <w:r w:rsidR="00F428E3" w:rsidRPr="001A3848">
        <w:rPr>
          <w:rFonts w:asciiTheme="majorBidi" w:hAnsiTheme="majorBidi" w:cstheme="majorBidi"/>
          <w:sz w:val="24"/>
          <w:szCs w:val="24"/>
          <w:lang w:bidi="ar-EG"/>
        </w:rPr>
        <w:t>aboratory tests were</w:t>
      </w:r>
      <w:r w:rsidR="00B5627B" w:rsidRPr="001A3848">
        <w:rPr>
          <w:rFonts w:asciiTheme="majorBidi" w:hAnsiTheme="majorBidi" w:cstheme="majorBidi"/>
          <w:sz w:val="24"/>
          <w:szCs w:val="24"/>
          <w:lang w:bidi="ar-EG"/>
        </w:rPr>
        <w:t xml:space="preserve"> collecte</w:t>
      </w:r>
      <w:r w:rsidR="007420FC" w:rsidRPr="001A3848">
        <w:rPr>
          <w:rFonts w:asciiTheme="majorBidi" w:hAnsiTheme="majorBidi" w:cstheme="majorBidi"/>
          <w:sz w:val="24"/>
          <w:szCs w:val="24"/>
          <w:lang w:bidi="ar-EG"/>
        </w:rPr>
        <w:t xml:space="preserve">d by </w:t>
      </w:r>
      <w:r w:rsidR="004D6849" w:rsidRPr="001A3848">
        <w:rPr>
          <w:rFonts w:asciiTheme="majorBidi" w:hAnsiTheme="majorBidi" w:cstheme="majorBidi"/>
          <w:sz w:val="24"/>
          <w:szCs w:val="24"/>
          <w:lang w:bidi="ar-EG"/>
        </w:rPr>
        <w:t>medical staff</w:t>
      </w:r>
      <w:r w:rsidR="000B6C2D" w:rsidRPr="001A3848">
        <w:rPr>
          <w:rFonts w:asciiTheme="majorBidi" w:hAnsiTheme="majorBidi" w:cstheme="majorBidi"/>
          <w:sz w:val="24"/>
          <w:szCs w:val="24"/>
          <w:lang w:bidi="ar-EG"/>
        </w:rPr>
        <w:t xml:space="preserve"> using personal protective </w:t>
      </w:r>
      <w:r w:rsidR="00AE7D1C">
        <w:rPr>
          <w:rFonts w:asciiTheme="majorBidi" w:hAnsiTheme="majorBidi" w:cstheme="majorBidi"/>
          <w:sz w:val="24"/>
          <w:szCs w:val="24"/>
          <w:lang w:bidi="ar-EG"/>
        </w:rPr>
        <w:t xml:space="preserve">equipment and performed at the </w:t>
      </w:r>
      <w:r w:rsidR="002A3B4B" w:rsidRPr="001A3848">
        <w:rPr>
          <w:rFonts w:asciiTheme="majorBidi" w:hAnsiTheme="majorBidi" w:cstheme="majorBidi"/>
          <w:sz w:val="24"/>
          <w:szCs w:val="24"/>
          <w:lang w:bidi="ar-EG"/>
        </w:rPr>
        <w:t>C</w:t>
      </w:r>
      <w:r w:rsidR="00F428E3" w:rsidRPr="001A3848">
        <w:rPr>
          <w:rFonts w:asciiTheme="majorBidi" w:hAnsiTheme="majorBidi" w:cstheme="majorBidi"/>
          <w:sz w:val="24"/>
          <w:szCs w:val="24"/>
          <w:lang w:bidi="ar-EG"/>
        </w:rPr>
        <w:t>linical Pathology Department, Zagazig University Hospitals.</w:t>
      </w:r>
      <w:r w:rsidR="00C76B0D" w:rsidRPr="001A3848">
        <w:rPr>
          <w:rFonts w:asciiTheme="majorBidi" w:hAnsiTheme="majorBidi" w:cstheme="majorBidi"/>
          <w:color w:val="000000" w:themeColor="text1"/>
          <w:sz w:val="24"/>
          <w:szCs w:val="24"/>
          <w:shd w:val="clear" w:color="auto" w:fill="FFFFFF"/>
        </w:rPr>
        <w:t xml:space="preserve"> </w:t>
      </w:r>
      <w:r w:rsidR="003A1DC0" w:rsidRPr="001A3848">
        <w:rPr>
          <w:rFonts w:asciiTheme="majorBidi" w:hAnsiTheme="majorBidi" w:cstheme="majorBidi"/>
          <w:sz w:val="24"/>
          <w:szCs w:val="24"/>
          <w:shd w:val="clear" w:color="auto" w:fill="FFFFFF"/>
        </w:rPr>
        <w:t>All</w:t>
      </w:r>
      <w:r w:rsidR="004E531F" w:rsidRPr="001A3848">
        <w:rPr>
          <w:rFonts w:asciiTheme="majorBidi" w:hAnsiTheme="majorBidi" w:cstheme="majorBidi"/>
          <w:sz w:val="24"/>
          <w:szCs w:val="24"/>
          <w:shd w:val="clear" w:color="auto" w:fill="FFFFFF"/>
        </w:rPr>
        <w:t xml:space="preserve"> i</w:t>
      </w:r>
      <w:r w:rsidR="00AD7B3E" w:rsidRPr="001A3848">
        <w:rPr>
          <w:rFonts w:asciiTheme="majorBidi" w:hAnsiTheme="majorBidi" w:cstheme="majorBidi"/>
          <w:sz w:val="24"/>
          <w:szCs w:val="24"/>
          <w:shd w:val="clear" w:color="auto" w:fill="FFFFFF"/>
        </w:rPr>
        <w:t>nclud</w:t>
      </w:r>
      <w:r w:rsidR="004E531F" w:rsidRPr="001A3848">
        <w:rPr>
          <w:rFonts w:asciiTheme="majorBidi" w:hAnsiTheme="majorBidi" w:cstheme="majorBidi"/>
          <w:sz w:val="24"/>
          <w:szCs w:val="24"/>
          <w:shd w:val="clear" w:color="auto" w:fill="FFFFFF"/>
        </w:rPr>
        <w:t>ed</w:t>
      </w:r>
      <w:r w:rsidR="00F4610E" w:rsidRPr="001A3848">
        <w:rPr>
          <w:rFonts w:asciiTheme="majorBidi" w:hAnsiTheme="majorBidi" w:cstheme="majorBidi"/>
          <w:sz w:val="24"/>
          <w:szCs w:val="24"/>
          <w:shd w:val="clear" w:color="auto" w:fill="FFFFFF"/>
        </w:rPr>
        <w:t xml:space="preserve"> </w:t>
      </w:r>
      <w:r w:rsidR="00915360" w:rsidRPr="001A3848">
        <w:rPr>
          <w:rFonts w:asciiTheme="majorBidi" w:hAnsiTheme="majorBidi" w:cstheme="majorBidi"/>
          <w:sz w:val="24"/>
          <w:szCs w:val="24"/>
          <w:shd w:val="clear" w:color="auto" w:fill="FFFFFF"/>
        </w:rPr>
        <w:t>fifty COVID-19 patients</w:t>
      </w:r>
      <w:r w:rsidR="002A3B4B" w:rsidRPr="001A3848">
        <w:rPr>
          <w:rFonts w:asciiTheme="majorBidi" w:hAnsiTheme="majorBidi" w:cstheme="majorBidi"/>
          <w:sz w:val="24"/>
          <w:szCs w:val="24"/>
          <w:shd w:val="clear" w:color="auto" w:fill="FFFFFF"/>
        </w:rPr>
        <w:t xml:space="preserve"> with GI manifestations</w:t>
      </w:r>
      <w:r w:rsidR="00F1704B" w:rsidRPr="001A3848">
        <w:rPr>
          <w:rFonts w:asciiTheme="majorBidi" w:hAnsiTheme="majorBidi" w:cstheme="majorBidi"/>
          <w:sz w:val="24"/>
          <w:szCs w:val="24"/>
          <w:shd w:val="clear" w:color="auto" w:fill="FFFFFF"/>
        </w:rPr>
        <w:t xml:space="preserve"> with or without</w:t>
      </w:r>
      <w:r w:rsidR="002A3B4B" w:rsidRPr="001A3848">
        <w:rPr>
          <w:rFonts w:asciiTheme="majorBidi" w:hAnsiTheme="majorBidi" w:cstheme="majorBidi"/>
          <w:sz w:val="24"/>
          <w:szCs w:val="24"/>
          <w:shd w:val="clear" w:color="auto" w:fill="FFFFFF"/>
        </w:rPr>
        <w:t xml:space="preserve"> respiratory </w:t>
      </w:r>
      <w:r w:rsidR="00AE7D1C">
        <w:rPr>
          <w:rFonts w:asciiTheme="majorBidi" w:hAnsiTheme="majorBidi" w:cstheme="majorBidi"/>
          <w:sz w:val="24"/>
          <w:szCs w:val="24"/>
          <w:shd w:val="clear" w:color="auto" w:fill="FFFFFF"/>
        </w:rPr>
        <w:t>manifestations</w:t>
      </w:r>
      <w:r w:rsidR="002A3B4B" w:rsidRPr="001A3848">
        <w:rPr>
          <w:rFonts w:asciiTheme="majorBidi" w:hAnsiTheme="majorBidi" w:cstheme="majorBidi"/>
          <w:sz w:val="24"/>
          <w:szCs w:val="24"/>
          <w:shd w:val="clear" w:color="auto" w:fill="FFFFFF"/>
        </w:rPr>
        <w:t xml:space="preserve"> and others</w:t>
      </w:r>
      <w:r w:rsidR="003A1DC0" w:rsidRPr="001A3848">
        <w:rPr>
          <w:rFonts w:asciiTheme="majorBidi" w:hAnsiTheme="majorBidi" w:cstheme="majorBidi"/>
          <w:sz w:val="24"/>
          <w:szCs w:val="24"/>
          <w:shd w:val="clear" w:color="auto" w:fill="FFFFFF"/>
        </w:rPr>
        <w:t xml:space="preserve"> were classified </w:t>
      </w:r>
      <w:r w:rsidR="003376D6" w:rsidRPr="001A3848">
        <w:rPr>
          <w:rFonts w:asciiTheme="majorBidi" w:hAnsiTheme="majorBidi" w:cstheme="majorBidi"/>
          <w:sz w:val="24"/>
          <w:szCs w:val="24"/>
          <w:shd w:val="clear" w:color="auto" w:fill="FFFFFF"/>
        </w:rPr>
        <w:t xml:space="preserve">according to disease severity classification system for COVID-19 </w:t>
      </w:r>
      <w:r w:rsidR="00DE0852" w:rsidRPr="001A3848">
        <w:rPr>
          <w:rFonts w:asciiTheme="majorBidi" w:hAnsiTheme="majorBidi" w:cstheme="majorBidi"/>
          <w:sz w:val="24"/>
          <w:szCs w:val="24"/>
          <w:shd w:val="clear" w:color="auto" w:fill="FFFFFF"/>
        </w:rPr>
        <w:t xml:space="preserve">disease </w:t>
      </w:r>
      <w:r w:rsidR="003376D6" w:rsidRPr="001A3848">
        <w:rPr>
          <w:rFonts w:asciiTheme="majorBidi" w:hAnsiTheme="majorBidi" w:cstheme="majorBidi"/>
          <w:sz w:val="24"/>
          <w:szCs w:val="24"/>
          <w:shd w:val="clear" w:color="auto" w:fill="FFFFFF"/>
        </w:rPr>
        <w:t>based on the patient’s pulse, systolic blood pressure, respiratory rate, oxygen saturation, and oxygen flow rate</w:t>
      </w:r>
      <w:r w:rsidR="003376D6" w:rsidRPr="001A3848">
        <w:rPr>
          <w:rFonts w:asciiTheme="majorBidi" w:hAnsiTheme="majorBidi" w:cstheme="majorBidi"/>
          <w:sz w:val="24"/>
          <w:szCs w:val="24"/>
        </w:rPr>
        <w:t xml:space="preserve"> </w:t>
      </w:r>
      <w:r w:rsidR="003A1DC0" w:rsidRPr="001A3848">
        <w:rPr>
          <w:rFonts w:asciiTheme="majorBidi" w:hAnsiTheme="majorBidi" w:cstheme="majorBidi"/>
          <w:sz w:val="24"/>
          <w:szCs w:val="24"/>
          <w:shd w:val="clear" w:color="auto" w:fill="FFFFFF"/>
        </w:rPr>
        <w:t>into</w:t>
      </w:r>
      <w:r w:rsidR="002A3B4B" w:rsidRPr="001A3848">
        <w:rPr>
          <w:rFonts w:asciiTheme="majorBidi" w:hAnsiTheme="majorBidi" w:cstheme="majorBidi"/>
          <w:sz w:val="24"/>
          <w:szCs w:val="24"/>
          <w:shd w:val="clear" w:color="auto" w:fill="FFFFFF"/>
        </w:rPr>
        <w:t xml:space="preserve"> </w:t>
      </w:r>
      <w:r w:rsidR="008C7CCD" w:rsidRPr="001A3848">
        <w:rPr>
          <w:rFonts w:asciiTheme="majorBidi" w:hAnsiTheme="majorBidi" w:cstheme="majorBidi"/>
          <w:sz w:val="24"/>
          <w:szCs w:val="24"/>
          <w:shd w:val="clear" w:color="auto" w:fill="FFFFFF"/>
        </w:rPr>
        <w:t>four</w:t>
      </w:r>
      <w:r w:rsidR="000E119C" w:rsidRPr="001A3848">
        <w:rPr>
          <w:rFonts w:asciiTheme="majorBidi" w:hAnsiTheme="majorBidi" w:cstheme="majorBidi"/>
          <w:sz w:val="24"/>
          <w:szCs w:val="24"/>
          <w:shd w:val="clear" w:color="auto" w:fill="FFFFFF"/>
        </w:rPr>
        <w:t xml:space="preserve"> arms</w:t>
      </w:r>
      <w:r w:rsidR="000E119C" w:rsidRPr="00C26193">
        <w:rPr>
          <w:rFonts w:asciiTheme="majorBidi" w:hAnsiTheme="majorBidi" w:cstheme="majorBidi"/>
          <w:sz w:val="24"/>
          <w:szCs w:val="24"/>
          <w:shd w:val="clear" w:color="auto" w:fill="FFFFFF"/>
        </w:rPr>
        <w:t xml:space="preserve">; the first arm </w:t>
      </w:r>
      <w:r w:rsidR="008C7CCD" w:rsidRPr="00C26193">
        <w:rPr>
          <w:rFonts w:asciiTheme="majorBidi" w:hAnsiTheme="majorBidi" w:cstheme="majorBidi"/>
          <w:sz w:val="24"/>
          <w:szCs w:val="24"/>
          <w:shd w:val="clear" w:color="auto" w:fill="FFFFFF"/>
        </w:rPr>
        <w:t xml:space="preserve">included </w:t>
      </w:r>
      <w:r w:rsidR="00AF3572" w:rsidRPr="00C26193">
        <w:rPr>
          <w:rFonts w:asciiTheme="majorBidi" w:hAnsiTheme="majorBidi" w:cstheme="majorBidi"/>
          <w:sz w:val="24"/>
          <w:szCs w:val="24"/>
          <w:shd w:val="clear" w:color="auto" w:fill="FFFFFF"/>
        </w:rPr>
        <w:t>(</w:t>
      </w:r>
      <w:r w:rsidR="008C7CCD" w:rsidRPr="00C26193">
        <w:rPr>
          <w:rFonts w:asciiTheme="majorBidi" w:hAnsiTheme="majorBidi" w:cstheme="majorBidi"/>
          <w:sz w:val="24"/>
          <w:szCs w:val="24"/>
          <w:shd w:val="clear" w:color="auto" w:fill="FFFFFF"/>
        </w:rPr>
        <w:t>Mild</w:t>
      </w:r>
      <w:r w:rsidR="00AF3572" w:rsidRPr="00C26193">
        <w:rPr>
          <w:rFonts w:asciiTheme="majorBidi" w:hAnsiTheme="majorBidi" w:cstheme="majorBidi"/>
          <w:sz w:val="24"/>
          <w:szCs w:val="24"/>
          <w:shd w:val="clear" w:color="auto" w:fill="FFFFFF"/>
        </w:rPr>
        <w:t xml:space="preserve"> g</w:t>
      </w:r>
      <w:r w:rsidR="008C7CCD" w:rsidRPr="00C26193">
        <w:rPr>
          <w:rFonts w:asciiTheme="majorBidi" w:hAnsiTheme="majorBidi" w:cstheme="majorBidi"/>
          <w:sz w:val="24"/>
          <w:szCs w:val="24"/>
          <w:shd w:val="clear" w:color="auto" w:fill="FFFFFF"/>
        </w:rPr>
        <w:t xml:space="preserve">roup), </w:t>
      </w:r>
      <w:r w:rsidR="000E119C" w:rsidRPr="00C26193">
        <w:rPr>
          <w:rFonts w:asciiTheme="majorBidi" w:hAnsiTheme="majorBidi" w:cstheme="majorBidi"/>
          <w:sz w:val="24"/>
          <w:szCs w:val="24"/>
          <w:shd w:val="clear" w:color="auto" w:fill="FFFFFF"/>
        </w:rPr>
        <w:t>the second a</w:t>
      </w:r>
      <w:r w:rsidR="00DC6B3A" w:rsidRPr="00C26193">
        <w:rPr>
          <w:rFonts w:asciiTheme="majorBidi" w:hAnsiTheme="majorBidi" w:cstheme="majorBidi"/>
          <w:sz w:val="24"/>
          <w:szCs w:val="24"/>
          <w:shd w:val="clear" w:color="auto" w:fill="FFFFFF"/>
        </w:rPr>
        <w:t xml:space="preserve">rm </w:t>
      </w:r>
      <w:r w:rsidR="00AF3572" w:rsidRPr="00C26193">
        <w:rPr>
          <w:rFonts w:asciiTheme="majorBidi" w:hAnsiTheme="majorBidi" w:cstheme="majorBidi"/>
          <w:sz w:val="24"/>
          <w:szCs w:val="24"/>
          <w:shd w:val="clear" w:color="auto" w:fill="FFFFFF"/>
        </w:rPr>
        <w:t>(</w:t>
      </w:r>
      <w:r w:rsidR="008C7CCD" w:rsidRPr="00C26193">
        <w:rPr>
          <w:rFonts w:asciiTheme="majorBidi" w:hAnsiTheme="majorBidi" w:cstheme="majorBidi"/>
          <w:sz w:val="24"/>
          <w:szCs w:val="24"/>
          <w:shd w:val="clear" w:color="auto" w:fill="FFFFFF"/>
        </w:rPr>
        <w:t>Moderate</w:t>
      </w:r>
      <w:r w:rsidR="00AF3572" w:rsidRPr="00C26193">
        <w:rPr>
          <w:rFonts w:asciiTheme="majorBidi" w:hAnsiTheme="majorBidi" w:cstheme="majorBidi"/>
          <w:sz w:val="24"/>
          <w:szCs w:val="24"/>
          <w:shd w:val="clear" w:color="auto" w:fill="FFFFFF"/>
        </w:rPr>
        <w:t xml:space="preserve"> g</w:t>
      </w:r>
      <w:r w:rsidR="000E119C" w:rsidRPr="00C26193">
        <w:rPr>
          <w:rFonts w:asciiTheme="majorBidi" w:hAnsiTheme="majorBidi" w:cstheme="majorBidi"/>
          <w:sz w:val="24"/>
          <w:szCs w:val="24"/>
          <w:shd w:val="clear" w:color="auto" w:fill="FFFFFF"/>
        </w:rPr>
        <w:t>roup)</w:t>
      </w:r>
      <w:r w:rsidR="008C7CCD" w:rsidRPr="00C26193">
        <w:rPr>
          <w:rFonts w:asciiTheme="majorBidi" w:hAnsiTheme="majorBidi" w:cstheme="majorBidi"/>
          <w:sz w:val="24"/>
          <w:szCs w:val="24"/>
          <w:shd w:val="clear" w:color="auto" w:fill="FFFFFF"/>
        </w:rPr>
        <w:t xml:space="preserve">, the third arm (Severe group), </w:t>
      </w:r>
      <w:r w:rsidR="00087F2B" w:rsidRPr="00C26193">
        <w:rPr>
          <w:rFonts w:asciiTheme="majorBidi" w:hAnsiTheme="majorBidi" w:cstheme="majorBidi"/>
          <w:sz w:val="24"/>
          <w:szCs w:val="24"/>
          <w:shd w:val="clear" w:color="auto" w:fill="FFFFFF"/>
        </w:rPr>
        <w:t>the fourth arm (Critically ill group)</w:t>
      </w:r>
      <w:r w:rsidR="002F2978">
        <w:rPr>
          <w:rFonts w:asciiTheme="majorBidi" w:hAnsiTheme="majorBidi" w:cstheme="majorBidi"/>
          <w:sz w:val="24"/>
          <w:szCs w:val="24"/>
          <w:shd w:val="clear" w:color="auto" w:fill="FFFFFF"/>
        </w:rPr>
        <w:t xml:space="preserve"> </w:t>
      </w:r>
      <w:r w:rsidR="002F2978" w:rsidRPr="001937D5">
        <w:rPr>
          <w:rFonts w:ascii="Times New Roman" w:eastAsia="Calibri" w:hAnsi="Times New Roman" w:cs="Times New Roman"/>
          <w:b/>
          <w:bCs/>
          <w:sz w:val="24"/>
          <w:szCs w:val="24"/>
          <w:shd w:val="clear" w:color="auto" w:fill="FFFFFF"/>
        </w:rPr>
        <w:t>[</w:t>
      </w:r>
      <w:r w:rsidR="002F2978">
        <w:rPr>
          <w:rFonts w:ascii="Times New Roman" w:eastAsia="Calibri" w:hAnsi="Times New Roman" w:cs="Times New Roman"/>
          <w:b/>
          <w:bCs/>
          <w:sz w:val="24"/>
          <w:szCs w:val="24"/>
          <w:shd w:val="clear" w:color="auto" w:fill="FFFFFF"/>
        </w:rPr>
        <w:t>13</w:t>
      </w:r>
      <w:r w:rsidR="002F2978" w:rsidRPr="001937D5">
        <w:rPr>
          <w:rFonts w:ascii="Times New Roman" w:eastAsia="Calibri" w:hAnsi="Times New Roman" w:cs="Times New Roman"/>
          <w:b/>
          <w:bCs/>
          <w:sz w:val="24"/>
          <w:szCs w:val="24"/>
          <w:shd w:val="clear" w:color="auto" w:fill="FFFFFF"/>
        </w:rPr>
        <w:t>]</w:t>
      </w:r>
      <w:r w:rsidR="000E119C" w:rsidRPr="00C26193">
        <w:rPr>
          <w:rFonts w:asciiTheme="majorBidi" w:hAnsiTheme="majorBidi" w:cstheme="majorBidi"/>
          <w:sz w:val="24"/>
          <w:szCs w:val="24"/>
          <w:shd w:val="clear" w:color="auto" w:fill="FFFFFF"/>
        </w:rPr>
        <w:t xml:space="preserve">. </w:t>
      </w:r>
      <w:r w:rsidRPr="00C26193">
        <w:rPr>
          <w:rFonts w:asciiTheme="majorBidi" w:hAnsiTheme="majorBidi" w:cstheme="majorBidi"/>
          <w:sz w:val="24"/>
          <w:szCs w:val="24"/>
          <w:shd w:val="clear" w:color="auto" w:fill="FFFFFF"/>
        </w:rPr>
        <w:t xml:space="preserve">Patients were </w:t>
      </w:r>
      <w:r w:rsidR="003E5064" w:rsidRPr="003E5064">
        <w:rPr>
          <w:rFonts w:asciiTheme="majorBidi" w:hAnsiTheme="majorBidi" w:cstheme="majorBidi"/>
          <w:sz w:val="24"/>
          <w:szCs w:val="24"/>
          <w:shd w:val="clear" w:color="auto" w:fill="FFFFFF"/>
        </w:rPr>
        <w:t xml:space="preserve">treated according to </w:t>
      </w:r>
      <w:r w:rsidR="00AE7D1C">
        <w:rPr>
          <w:rFonts w:asciiTheme="majorBidi" w:hAnsiTheme="majorBidi" w:cstheme="majorBidi"/>
          <w:sz w:val="24"/>
          <w:szCs w:val="24"/>
          <w:shd w:val="clear" w:color="auto" w:fill="FFFFFF"/>
        </w:rPr>
        <w:t xml:space="preserve">the management protocol for COVID-19 patients version 1.4/November 2020 by the Egyptian Ministry of Health and Population during the </w:t>
      </w:r>
      <w:r w:rsidR="00EA5BA1">
        <w:rPr>
          <w:rFonts w:asciiTheme="majorBidi" w:hAnsiTheme="majorBidi" w:cstheme="majorBidi"/>
          <w:sz w:val="24"/>
          <w:szCs w:val="24"/>
          <w:shd w:val="clear" w:color="auto" w:fill="FFFFFF"/>
        </w:rPr>
        <w:t>study period</w:t>
      </w:r>
      <w:r w:rsidR="005138AD" w:rsidRPr="00C26193">
        <w:rPr>
          <w:rFonts w:asciiTheme="majorBidi" w:hAnsiTheme="majorBidi" w:cstheme="majorBidi"/>
          <w:sz w:val="24"/>
          <w:szCs w:val="24"/>
          <w:shd w:val="clear" w:color="auto" w:fill="FFFFFF"/>
        </w:rPr>
        <w:t>.</w:t>
      </w:r>
      <w:r w:rsidR="00453CE8" w:rsidRPr="00C26193">
        <w:rPr>
          <w:rFonts w:asciiTheme="majorBidi" w:hAnsiTheme="majorBidi" w:cstheme="majorBidi"/>
          <w:sz w:val="24"/>
          <w:szCs w:val="24"/>
          <w:shd w:val="clear" w:color="auto" w:fill="FFFFFF"/>
        </w:rPr>
        <w:t xml:space="preserve"> </w:t>
      </w:r>
      <w:r w:rsidR="004175B1" w:rsidRPr="004175B1">
        <w:rPr>
          <w:rFonts w:asciiTheme="majorBidi" w:hAnsiTheme="majorBidi" w:cstheme="majorBidi"/>
          <w:color w:val="000000" w:themeColor="text1"/>
          <w:sz w:val="24"/>
          <w:szCs w:val="24"/>
          <w:shd w:val="clear" w:color="auto" w:fill="FFFFFF"/>
        </w:rPr>
        <w:t>The Zagazig University</w:t>
      </w:r>
      <w:r w:rsidR="00AE7D1C">
        <w:rPr>
          <w:rFonts w:asciiTheme="majorBidi" w:hAnsiTheme="majorBidi" w:cstheme="majorBidi"/>
          <w:color w:val="000000" w:themeColor="text1"/>
          <w:sz w:val="24"/>
          <w:szCs w:val="24"/>
          <w:shd w:val="clear" w:color="auto" w:fill="FFFFFF"/>
        </w:rPr>
        <w:t xml:space="preserve"> institutional review board</w:t>
      </w:r>
      <w:r w:rsidR="004175B1" w:rsidRPr="004175B1">
        <w:rPr>
          <w:rFonts w:asciiTheme="majorBidi" w:hAnsiTheme="majorBidi" w:cstheme="majorBidi"/>
          <w:color w:val="000000" w:themeColor="text1"/>
          <w:sz w:val="24"/>
          <w:szCs w:val="24"/>
          <w:shd w:val="clear" w:color="auto" w:fill="FFFFFF"/>
        </w:rPr>
        <w:t xml:space="preserve"> </w:t>
      </w:r>
      <w:r w:rsidR="00AE7D1C">
        <w:rPr>
          <w:rFonts w:asciiTheme="majorBidi" w:hAnsiTheme="majorBidi" w:cstheme="majorBidi"/>
          <w:color w:val="000000" w:themeColor="text1"/>
          <w:sz w:val="24"/>
          <w:szCs w:val="24"/>
          <w:shd w:val="clear" w:color="auto" w:fill="FFFFFF"/>
        </w:rPr>
        <w:t>approved</w:t>
      </w:r>
      <w:r w:rsidR="004175B1" w:rsidRPr="004175B1">
        <w:rPr>
          <w:rFonts w:asciiTheme="majorBidi" w:hAnsiTheme="majorBidi" w:cstheme="majorBidi"/>
          <w:color w:val="000000" w:themeColor="text1"/>
          <w:sz w:val="24"/>
          <w:szCs w:val="24"/>
          <w:shd w:val="clear" w:color="auto" w:fill="FFFFFF"/>
        </w:rPr>
        <w:t xml:space="preserve"> the study (ZU-IRB#9084-8-8-2021). All individual participants involved in the study provided written informed consent</w:t>
      </w:r>
      <w:r w:rsidR="00121351" w:rsidRPr="00C26193">
        <w:rPr>
          <w:rFonts w:asciiTheme="majorBidi" w:hAnsiTheme="majorBidi" w:cstheme="majorBidi"/>
          <w:sz w:val="24"/>
          <w:szCs w:val="24"/>
          <w:shd w:val="clear" w:color="auto" w:fill="FFFFFF"/>
        </w:rPr>
        <w:t xml:space="preserve">. </w:t>
      </w:r>
    </w:p>
    <w:p w14:paraId="200168DE" w14:textId="7D437649" w:rsidR="00387D58" w:rsidRPr="00C26193" w:rsidRDefault="00121351" w:rsidP="00BE1624">
      <w:pPr>
        <w:pStyle w:val="Heading2"/>
        <w:spacing w:line="360" w:lineRule="auto"/>
        <w:jc w:val="both"/>
        <w:rPr>
          <w:rFonts w:eastAsiaTheme="minorHAnsi"/>
          <w:shd w:val="clear" w:color="auto" w:fill="FFFFFF"/>
        </w:rPr>
      </w:pPr>
      <w:bookmarkStart w:id="3" w:name="_Hlk32524238"/>
      <w:r w:rsidRPr="00C26193">
        <w:rPr>
          <w:rFonts w:eastAsiaTheme="minorHAnsi"/>
          <w:shd w:val="clear" w:color="auto" w:fill="FFFFFF"/>
        </w:rPr>
        <w:t>2.2</w:t>
      </w:r>
      <w:r w:rsidR="00387D58" w:rsidRPr="00C26193">
        <w:rPr>
          <w:rFonts w:eastAsiaTheme="minorHAnsi"/>
          <w:shd w:val="clear" w:color="auto" w:fill="FFFFFF"/>
        </w:rPr>
        <w:t xml:space="preserve">. </w:t>
      </w:r>
      <w:r w:rsidR="00AE7D1C">
        <w:rPr>
          <w:rFonts w:eastAsiaTheme="minorHAnsi"/>
          <w:shd w:val="clear" w:color="auto" w:fill="FFFFFF"/>
        </w:rPr>
        <w:t>Patient</w:t>
      </w:r>
      <w:r w:rsidR="00387D58" w:rsidRPr="00C26193">
        <w:rPr>
          <w:rFonts w:eastAsiaTheme="minorHAnsi"/>
          <w:shd w:val="clear" w:color="auto" w:fill="FFFFFF"/>
        </w:rPr>
        <w:t xml:space="preserve"> </w:t>
      </w:r>
      <w:r w:rsidR="000C0C1B" w:rsidRPr="00C26193">
        <w:rPr>
          <w:rFonts w:eastAsiaTheme="minorHAnsi"/>
          <w:shd w:val="clear" w:color="auto" w:fill="FFFFFF"/>
        </w:rPr>
        <w:t>S</w:t>
      </w:r>
      <w:r w:rsidR="00387D58" w:rsidRPr="00C26193">
        <w:rPr>
          <w:rFonts w:eastAsiaTheme="minorHAnsi"/>
          <w:shd w:val="clear" w:color="auto" w:fill="FFFFFF"/>
        </w:rPr>
        <w:t>election</w:t>
      </w:r>
      <w:r w:rsidR="00A64C5D" w:rsidRPr="00C26193">
        <w:rPr>
          <w:rFonts w:eastAsiaTheme="minorHAnsi"/>
          <w:shd w:val="clear" w:color="auto" w:fill="FFFFFF"/>
        </w:rPr>
        <w:t xml:space="preserve"> and Data Collection</w:t>
      </w:r>
      <w:r w:rsidR="00387D58" w:rsidRPr="00C26193">
        <w:rPr>
          <w:rFonts w:eastAsiaTheme="minorHAnsi"/>
          <w:shd w:val="clear" w:color="auto" w:fill="FFFFFF"/>
        </w:rPr>
        <w:t xml:space="preserve">: </w:t>
      </w:r>
    </w:p>
    <w:p w14:paraId="6027967B"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To qualify for this study, the patient had to meet the following criteria:</w:t>
      </w:r>
    </w:p>
    <w:p w14:paraId="69C4DEF2"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Admitted to the isolation unit of internal medicine</w:t>
      </w:r>
    </w:p>
    <w:p w14:paraId="40A9EA31"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Over 18 years of age</w:t>
      </w:r>
    </w:p>
    <w:p w14:paraId="518A3271"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Symptomatic COVID-19 disease with gastrointestinal symptoms (with or without respiratory or other symptoms)</w:t>
      </w:r>
    </w:p>
    <w:p w14:paraId="3A6C8E64" w14:textId="1106E8E1" w:rsidR="00A707F4" w:rsidRPr="00A707F4" w:rsidRDefault="00A707F4" w:rsidP="00D77E55">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Confirmed positive for SARS-CoV-2 RNA via real-time reverse-transcriptase polymerase chain reaction of nasopharyngeal swab</w:t>
      </w:r>
    </w:p>
    <w:p w14:paraId="719F5A8E"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We excluded patients with:</w:t>
      </w:r>
    </w:p>
    <w:p w14:paraId="0961FDB0"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End-organ failure (e.g., decompensated liver disease, heart failure, renal failure)</w:t>
      </w:r>
    </w:p>
    <w:p w14:paraId="0F4E0568"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Inflammatory bowel disease (IBD)</w:t>
      </w:r>
    </w:p>
    <w:p w14:paraId="3F3230A9" w14:textId="77777777" w:rsidR="00A707F4" w:rsidRPr="00A707F4" w:rsidRDefault="00A707F4" w:rsidP="00A707F4">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Gastrointestinal malignancies</w:t>
      </w:r>
    </w:p>
    <w:p w14:paraId="4E254015" w14:textId="38F10103" w:rsidR="00CB5655" w:rsidRPr="00C26193" w:rsidRDefault="00A707F4" w:rsidP="00727DE8">
      <w:pPr>
        <w:spacing w:after="0" w:line="360" w:lineRule="auto"/>
        <w:jc w:val="both"/>
        <w:rPr>
          <w:rFonts w:asciiTheme="majorBidi" w:hAnsiTheme="majorBidi" w:cstheme="majorBidi"/>
          <w:sz w:val="24"/>
          <w:szCs w:val="24"/>
          <w:shd w:val="clear" w:color="auto" w:fill="FFFFFF"/>
        </w:rPr>
      </w:pPr>
      <w:r w:rsidRPr="00A707F4">
        <w:rPr>
          <w:rFonts w:asciiTheme="majorBidi" w:hAnsiTheme="majorBidi" w:cstheme="majorBidi"/>
          <w:sz w:val="24"/>
          <w:szCs w:val="24"/>
          <w:shd w:val="clear" w:color="auto" w:fill="FFFFFF"/>
        </w:rPr>
        <w:t>- Pregnancy</w:t>
      </w:r>
    </w:p>
    <w:p w14:paraId="7E545718" w14:textId="37226919" w:rsidR="00121351" w:rsidRPr="00F86D95" w:rsidRDefault="0022664A" w:rsidP="00BE1624">
      <w:pPr>
        <w:pStyle w:val="ListParagraph"/>
        <w:numPr>
          <w:ilvl w:val="1"/>
          <w:numId w:val="4"/>
        </w:numPr>
        <w:spacing w:line="360" w:lineRule="auto"/>
        <w:jc w:val="both"/>
        <w:rPr>
          <w:rFonts w:asciiTheme="majorBidi" w:eastAsiaTheme="majorEastAsia" w:hAnsiTheme="majorBidi" w:cstheme="majorBidi"/>
          <w:b/>
          <w:bCs/>
          <w:sz w:val="24"/>
          <w:szCs w:val="24"/>
        </w:rPr>
      </w:pPr>
      <w:r w:rsidRPr="00F86D95">
        <w:rPr>
          <w:rFonts w:asciiTheme="majorBidi" w:eastAsiaTheme="majorEastAsia" w:hAnsiTheme="majorBidi" w:cstheme="majorBidi"/>
          <w:b/>
          <w:bCs/>
          <w:sz w:val="24"/>
          <w:szCs w:val="24"/>
        </w:rPr>
        <w:t xml:space="preserve"> </w:t>
      </w:r>
      <w:r w:rsidR="006321DA" w:rsidRPr="00F86D95">
        <w:rPr>
          <w:rFonts w:asciiTheme="majorBidi" w:eastAsiaTheme="majorEastAsia" w:hAnsiTheme="majorBidi" w:cstheme="majorBidi"/>
          <w:b/>
          <w:bCs/>
          <w:sz w:val="24"/>
          <w:szCs w:val="24"/>
        </w:rPr>
        <w:t>Clinical and l</w:t>
      </w:r>
      <w:r w:rsidR="00121351" w:rsidRPr="00F86D95">
        <w:rPr>
          <w:rFonts w:asciiTheme="majorBidi" w:eastAsiaTheme="majorEastAsia" w:hAnsiTheme="majorBidi" w:cstheme="majorBidi"/>
          <w:b/>
          <w:bCs/>
          <w:sz w:val="24"/>
          <w:szCs w:val="24"/>
        </w:rPr>
        <w:t xml:space="preserve">aboratory </w:t>
      </w:r>
      <w:r w:rsidR="006321DA" w:rsidRPr="00F86D95">
        <w:rPr>
          <w:rFonts w:asciiTheme="majorBidi" w:eastAsiaTheme="majorEastAsia" w:hAnsiTheme="majorBidi" w:cstheme="majorBidi"/>
          <w:b/>
          <w:bCs/>
          <w:sz w:val="24"/>
          <w:szCs w:val="24"/>
        </w:rPr>
        <w:t>assessments</w:t>
      </w:r>
    </w:p>
    <w:p w14:paraId="04AA7D5C" w14:textId="6D166969" w:rsidR="006321DA" w:rsidRPr="00584E14" w:rsidRDefault="00F10538" w:rsidP="000F5D2A">
      <w:pPr>
        <w:spacing w:line="360" w:lineRule="auto"/>
        <w:jc w:val="both"/>
        <w:rPr>
          <w:rFonts w:asciiTheme="majorBidi" w:hAnsiTheme="majorBidi" w:cstheme="majorBidi"/>
          <w:sz w:val="24"/>
          <w:szCs w:val="24"/>
          <w:shd w:val="clear" w:color="auto" w:fill="FFFFFF"/>
        </w:rPr>
      </w:pPr>
      <w:r w:rsidRPr="00F10538">
        <w:rPr>
          <w:rFonts w:asciiTheme="majorBidi" w:hAnsiTheme="majorBidi" w:cstheme="majorBidi"/>
          <w:sz w:val="24"/>
          <w:szCs w:val="24"/>
          <w:shd w:val="clear" w:color="auto" w:fill="FFFFFF"/>
        </w:rPr>
        <w:t>The following baseline data was collected for each eligible patient in this study: age, gender, body mass index (BMI), residency, smoking status, body temperature, heart rate, respiratory rate, blood pressure, and oxygen saturation. Baseline laboratory tests</w:t>
      </w:r>
      <w:r w:rsidR="00AE7D1C">
        <w:rPr>
          <w:rFonts w:asciiTheme="majorBidi" w:hAnsiTheme="majorBidi" w:cstheme="majorBidi"/>
          <w:sz w:val="24"/>
          <w:szCs w:val="24"/>
          <w:shd w:val="clear" w:color="auto" w:fill="FFFFFF"/>
        </w:rPr>
        <w:t xml:space="preserve"> </w:t>
      </w:r>
      <w:r w:rsidR="00937992">
        <w:rPr>
          <w:rFonts w:asciiTheme="majorBidi" w:hAnsiTheme="majorBidi" w:cstheme="majorBidi"/>
          <w:sz w:val="24"/>
          <w:szCs w:val="24"/>
          <w:shd w:val="clear" w:color="auto" w:fill="FFFFFF"/>
        </w:rPr>
        <w:t>included</w:t>
      </w:r>
      <w:r w:rsidR="00AE7D1C">
        <w:rPr>
          <w:rFonts w:asciiTheme="majorBidi" w:hAnsiTheme="majorBidi" w:cstheme="majorBidi"/>
          <w:sz w:val="24"/>
          <w:szCs w:val="24"/>
          <w:shd w:val="clear" w:color="auto" w:fill="FFFFFF"/>
        </w:rPr>
        <w:t xml:space="preserve"> fasting blood glucose, HbA1C, liver function, renal function, and coagulation tests</w:t>
      </w:r>
      <w:r w:rsidRPr="00F10538">
        <w:rPr>
          <w:rFonts w:asciiTheme="majorBidi" w:hAnsiTheme="majorBidi" w:cstheme="majorBidi"/>
          <w:sz w:val="24"/>
          <w:szCs w:val="24"/>
          <w:shd w:val="clear" w:color="auto" w:fill="FFFFFF"/>
        </w:rPr>
        <w:t>. Additionally, erythrocyte sedimentation rate (ESR), C-reactive protein (CRP), D-dimer, serum ferritin, and fecal calprotectin were measured for all four groups involved in the study</w:t>
      </w:r>
      <w:r w:rsidR="007F703E" w:rsidRPr="00584E14">
        <w:rPr>
          <w:rFonts w:asciiTheme="majorBidi" w:hAnsiTheme="majorBidi" w:cstheme="majorBidi"/>
          <w:sz w:val="24"/>
          <w:szCs w:val="24"/>
          <w:shd w:val="clear" w:color="auto" w:fill="FFFFFF"/>
        </w:rPr>
        <w:t xml:space="preserve">. </w:t>
      </w:r>
    </w:p>
    <w:p w14:paraId="6CFC4C98" w14:textId="20EB3C6B" w:rsidR="006321DA" w:rsidRPr="00F86D95" w:rsidRDefault="007F703E" w:rsidP="000F5D2A">
      <w:pPr>
        <w:spacing w:line="360" w:lineRule="auto"/>
        <w:jc w:val="both"/>
        <w:rPr>
          <w:rFonts w:asciiTheme="majorBidi" w:hAnsiTheme="majorBidi" w:cstheme="majorBidi"/>
          <w:sz w:val="24"/>
          <w:szCs w:val="24"/>
          <w:shd w:val="clear" w:color="auto" w:fill="FFFFFF"/>
        </w:rPr>
      </w:pPr>
      <w:r w:rsidRPr="00584E14">
        <w:rPr>
          <w:rFonts w:asciiTheme="majorBidi" w:hAnsiTheme="majorBidi" w:cstheme="majorBidi"/>
          <w:sz w:val="24"/>
          <w:szCs w:val="24"/>
          <w:shd w:val="clear" w:color="auto" w:fill="FFFFFF"/>
        </w:rPr>
        <w:t xml:space="preserve">The </w:t>
      </w:r>
      <w:r w:rsidR="000F5D2A" w:rsidRPr="00584E14">
        <w:rPr>
          <w:rFonts w:asciiTheme="majorBidi" w:hAnsiTheme="majorBidi" w:cstheme="majorBidi"/>
          <w:sz w:val="24"/>
          <w:szCs w:val="24"/>
          <w:shd w:val="clear" w:color="auto" w:fill="FFFFFF"/>
        </w:rPr>
        <w:t>fecal calprotectin</w:t>
      </w:r>
      <w:r w:rsidR="00455FD5" w:rsidRPr="00584E14">
        <w:rPr>
          <w:rFonts w:asciiTheme="majorBidi" w:hAnsiTheme="majorBidi" w:cstheme="majorBidi"/>
          <w:sz w:val="24"/>
          <w:szCs w:val="24"/>
          <w:shd w:val="clear" w:color="auto" w:fill="FFFFFF"/>
        </w:rPr>
        <w:t xml:space="preserve"> cut</w:t>
      </w:r>
      <w:r w:rsidR="003C1882" w:rsidRPr="00584E14">
        <w:rPr>
          <w:rFonts w:asciiTheme="majorBidi" w:hAnsiTheme="majorBidi" w:cstheme="majorBidi"/>
          <w:sz w:val="24"/>
          <w:szCs w:val="24"/>
          <w:shd w:val="clear" w:color="auto" w:fill="FFFFFF"/>
        </w:rPr>
        <w:t>-off</w:t>
      </w:r>
      <w:r w:rsidRPr="00584E14">
        <w:rPr>
          <w:rFonts w:asciiTheme="majorBidi" w:hAnsiTheme="majorBidi" w:cstheme="majorBidi"/>
          <w:sz w:val="24"/>
          <w:szCs w:val="24"/>
          <w:shd w:val="clear" w:color="auto" w:fill="FFFFFF"/>
        </w:rPr>
        <w:t xml:space="preserve"> was classified into: </w:t>
      </w:r>
      <w:r w:rsidR="00E4726A" w:rsidRPr="00584E14">
        <w:rPr>
          <w:rFonts w:asciiTheme="majorBidi" w:hAnsiTheme="majorBidi" w:cstheme="majorBidi"/>
          <w:sz w:val="24"/>
          <w:szCs w:val="24"/>
          <w:shd w:val="clear" w:color="auto" w:fill="FFFFFF"/>
        </w:rPr>
        <w:t>i</w:t>
      </w:r>
      <w:r w:rsidR="00F85731" w:rsidRPr="00584E14">
        <w:rPr>
          <w:rFonts w:asciiTheme="majorBidi" w:hAnsiTheme="majorBidi" w:cstheme="majorBidi"/>
          <w:sz w:val="24"/>
          <w:szCs w:val="24"/>
          <w:shd w:val="clear" w:color="auto" w:fill="FFFFFF"/>
        </w:rPr>
        <w:t xml:space="preserve">f </w:t>
      </w:r>
      <w:r w:rsidR="00AE7D1C">
        <w:rPr>
          <w:rFonts w:asciiTheme="majorBidi" w:hAnsiTheme="majorBidi" w:cstheme="majorBidi"/>
          <w:sz w:val="24"/>
          <w:szCs w:val="24"/>
          <w:shd w:val="clear" w:color="auto" w:fill="FFFFFF"/>
        </w:rPr>
        <w:t xml:space="preserve">the </w:t>
      </w:r>
      <w:r w:rsidR="00741096" w:rsidRPr="00584E14">
        <w:rPr>
          <w:rFonts w:asciiTheme="majorBidi" w:hAnsiTheme="majorBidi" w:cstheme="majorBidi"/>
          <w:sz w:val="24"/>
          <w:szCs w:val="24"/>
          <w:shd w:val="clear" w:color="auto" w:fill="FFFFFF"/>
        </w:rPr>
        <w:t xml:space="preserve">cut-off </w:t>
      </w:r>
      <w:r w:rsidR="00E4726A" w:rsidRPr="00584E14">
        <w:rPr>
          <w:rFonts w:asciiTheme="majorBidi" w:hAnsiTheme="majorBidi" w:cstheme="majorBidi"/>
          <w:sz w:val="24"/>
          <w:szCs w:val="24"/>
          <w:shd w:val="clear" w:color="auto" w:fill="FFFFFF"/>
        </w:rPr>
        <w:t xml:space="preserve">is </w:t>
      </w:r>
      <w:r w:rsidR="00AE7D1C">
        <w:rPr>
          <w:rFonts w:asciiTheme="majorBidi" w:hAnsiTheme="majorBidi" w:cstheme="majorBidi"/>
          <w:sz w:val="24"/>
          <w:szCs w:val="24"/>
          <w:shd w:val="clear" w:color="auto" w:fill="FFFFFF"/>
        </w:rPr>
        <w:t>equal</w:t>
      </w:r>
      <w:r w:rsidR="00741096" w:rsidRPr="00584E14">
        <w:rPr>
          <w:rFonts w:asciiTheme="majorBidi" w:hAnsiTheme="majorBidi" w:cstheme="majorBidi"/>
          <w:sz w:val="24"/>
          <w:szCs w:val="24"/>
          <w:shd w:val="clear" w:color="auto" w:fill="FFFFFF"/>
        </w:rPr>
        <w:t xml:space="preserve"> to</w:t>
      </w:r>
      <w:r w:rsidR="00E4726A" w:rsidRPr="00584E14">
        <w:rPr>
          <w:rFonts w:asciiTheme="majorBidi" w:hAnsiTheme="majorBidi" w:cstheme="majorBidi"/>
          <w:sz w:val="24"/>
          <w:szCs w:val="24"/>
          <w:shd w:val="clear" w:color="auto" w:fill="FFFFFF"/>
        </w:rPr>
        <w:t xml:space="preserve"> </w:t>
      </w:r>
      <w:bookmarkStart w:id="4" w:name="_Hlk143303490"/>
      <w:r w:rsidR="00455FD5" w:rsidRPr="00584E14">
        <w:rPr>
          <w:rFonts w:asciiTheme="majorBidi" w:hAnsiTheme="majorBidi" w:cstheme="majorBidi"/>
          <w:sz w:val="24"/>
          <w:szCs w:val="24"/>
          <w:shd w:val="clear" w:color="auto" w:fill="FFFFFF"/>
        </w:rPr>
        <w:t>5</w:t>
      </w:r>
      <w:r w:rsidR="00CA5D30" w:rsidRPr="00584E14">
        <w:rPr>
          <w:rFonts w:asciiTheme="majorBidi" w:hAnsiTheme="majorBidi" w:cstheme="majorBidi"/>
          <w:sz w:val="24"/>
          <w:szCs w:val="24"/>
          <w:shd w:val="clear" w:color="auto" w:fill="FFFFFF"/>
        </w:rPr>
        <w:t xml:space="preserve">0 </w:t>
      </w:r>
      <w:r w:rsidR="00F85731" w:rsidRPr="00584E14">
        <w:rPr>
          <w:rFonts w:asciiTheme="majorBidi" w:hAnsiTheme="majorBidi" w:cstheme="majorBidi"/>
          <w:sz w:val="24"/>
          <w:szCs w:val="24"/>
          <w:shd w:val="clear" w:color="auto" w:fill="FFFFFF"/>
        </w:rPr>
        <w:t>mc</w:t>
      </w:r>
      <w:r w:rsidR="00CA5D30" w:rsidRPr="00584E14">
        <w:rPr>
          <w:rFonts w:asciiTheme="majorBidi" w:hAnsiTheme="majorBidi" w:cstheme="majorBidi"/>
          <w:sz w:val="24"/>
          <w:szCs w:val="24"/>
          <w:shd w:val="clear" w:color="auto" w:fill="FFFFFF"/>
        </w:rPr>
        <w:t>g/</w:t>
      </w:r>
      <w:r w:rsidR="00455FD5" w:rsidRPr="00584E14">
        <w:rPr>
          <w:rFonts w:asciiTheme="majorBidi" w:hAnsiTheme="majorBidi" w:cstheme="majorBidi"/>
          <w:sz w:val="24"/>
          <w:szCs w:val="24"/>
          <w:shd w:val="clear" w:color="auto" w:fill="FFFFFF"/>
        </w:rPr>
        <w:t>g</w:t>
      </w:r>
      <w:bookmarkEnd w:id="4"/>
      <w:r w:rsidRPr="00584E14">
        <w:rPr>
          <w:rFonts w:asciiTheme="majorBidi" w:hAnsiTheme="majorBidi" w:cstheme="majorBidi"/>
          <w:sz w:val="24"/>
          <w:szCs w:val="24"/>
          <w:shd w:val="clear" w:color="auto" w:fill="FFFFFF"/>
        </w:rPr>
        <w:t xml:space="preserve">, </w:t>
      </w:r>
      <w:r w:rsidR="003C1882" w:rsidRPr="00584E14">
        <w:rPr>
          <w:rFonts w:asciiTheme="majorBidi" w:hAnsiTheme="majorBidi" w:cstheme="majorBidi"/>
          <w:sz w:val="24"/>
          <w:szCs w:val="24"/>
          <w:shd w:val="clear" w:color="auto" w:fill="FFFFFF"/>
        </w:rPr>
        <w:t xml:space="preserve">specificity </w:t>
      </w:r>
      <w:r w:rsidR="00D5124D" w:rsidRPr="00584E14">
        <w:rPr>
          <w:rFonts w:asciiTheme="majorBidi" w:hAnsiTheme="majorBidi" w:cstheme="majorBidi"/>
          <w:sz w:val="24"/>
          <w:szCs w:val="24"/>
          <w:shd w:val="clear" w:color="auto" w:fill="FFFFFF"/>
        </w:rPr>
        <w:t>0.60 (0</w:t>
      </w:r>
      <w:r w:rsidR="00216C61" w:rsidRPr="00584E14">
        <w:rPr>
          <w:rFonts w:asciiTheme="majorBidi" w:hAnsiTheme="majorBidi" w:cstheme="majorBidi"/>
          <w:sz w:val="24"/>
          <w:szCs w:val="24"/>
          <w:shd w:val="clear" w:color="auto" w:fill="FFFFFF"/>
        </w:rPr>
        <w:t>.</w:t>
      </w:r>
      <w:r w:rsidR="00D5124D" w:rsidRPr="00584E14">
        <w:rPr>
          <w:rFonts w:asciiTheme="majorBidi" w:hAnsiTheme="majorBidi" w:cstheme="majorBidi"/>
          <w:sz w:val="24"/>
          <w:szCs w:val="24"/>
          <w:shd w:val="clear" w:color="auto" w:fill="FFFFFF"/>
        </w:rPr>
        <w:t>52-0.67</w:t>
      </w:r>
      <w:r w:rsidR="00216C61" w:rsidRPr="00584E14">
        <w:rPr>
          <w:rFonts w:asciiTheme="majorBidi" w:hAnsiTheme="majorBidi" w:cstheme="majorBidi"/>
          <w:sz w:val="24"/>
          <w:szCs w:val="24"/>
          <w:shd w:val="clear" w:color="auto" w:fill="FFFFFF"/>
        </w:rPr>
        <w:t xml:space="preserve">) and </w:t>
      </w:r>
      <w:r w:rsidR="00AE7D1C">
        <w:rPr>
          <w:rFonts w:asciiTheme="majorBidi" w:hAnsiTheme="majorBidi" w:cstheme="majorBidi"/>
          <w:sz w:val="24"/>
          <w:szCs w:val="24"/>
          <w:shd w:val="clear" w:color="auto" w:fill="FFFFFF"/>
        </w:rPr>
        <w:t>sensitivity</w:t>
      </w:r>
      <w:r w:rsidR="00216C61" w:rsidRPr="00584E14">
        <w:rPr>
          <w:rFonts w:asciiTheme="majorBidi" w:hAnsiTheme="majorBidi" w:cstheme="majorBidi"/>
          <w:sz w:val="24"/>
          <w:szCs w:val="24"/>
          <w:shd w:val="clear" w:color="auto" w:fill="FFFFFF"/>
        </w:rPr>
        <w:t xml:space="preserve"> 0.92 (0.90-</w:t>
      </w:r>
      <w:r w:rsidR="00675B47" w:rsidRPr="00584E14">
        <w:rPr>
          <w:rFonts w:asciiTheme="majorBidi" w:hAnsiTheme="majorBidi" w:cstheme="majorBidi"/>
          <w:sz w:val="24"/>
          <w:szCs w:val="24"/>
          <w:shd w:val="clear" w:color="auto" w:fill="FFFFFF"/>
        </w:rPr>
        <w:t xml:space="preserve">0.94), if </w:t>
      </w:r>
      <w:r w:rsidR="00AE7D1C">
        <w:rPr>
          <w:rFonts w:asciiTheme="majorBidi" w:hAnsiTheme="majorBidi" w:cstheme="majorBidi"/>
          <w:sz w:val="24"/>
          <w:szCs w:val="24"/>
          <w:shd w:val="clear" w:color="auto" w:fill="FFFFFF"/>
        </w:rPr>
        <w:t xml:space="preserve">the </w:t>
      </w:r>
      <w:r w:rsidR="00741096" w:rsidRPr="00584E14">
        <w:rPr>
          <w:rFonts w:asciiTheme="majorBidi" w:hAnsiTheme="majorBidi" w:cstheme="majorBidi"/>
          <w:sz w:val="24"/>
          <w:szCs w:val="24"/>
          <w:shd w:val="clear" w:color="auto" w:fill="FFFFFF"/>
        </w:rPr>
        <w:t>cut-off</w:t>
      </w:r>
      <w:r w:rsidR="00675B47" w:rsidRPr="00584E14">
        <w:rPr>
          <w:rFonts w:asciiTheme="majorBidi" w:hAnsiTheme="majorBidi" w:cstheme="majorBidi"/>
          <w:sz w:val="24"/>
          <w:szCs w:val="24"/>
          <w:shd w:val="clear" w:color="auto" w:fill="FFFFFF"/>
        </w:rPr>
        <w:t xml:space="preserve"> </w:t>
      </w:r>
      <w:r w:rsidR="00E4726A" w:rsidRPr="00584E14">
        <w:rPr>
          <w:rFonts w:asciiTheme="majorBidi" w:hAnsiTheme="majorBidi" w:cstheme="majorBidi"/>
          <w:sz w:val="24"/>
          <w:szCs w:val="24"/>
          <w:shd w:val="clear" w:color="auto" w:fill="FFFFFF"/>
        </w:rPr>
        <w:t xml:space="preserve">is </w:t>
      </w:r>
      <w:r w:rsidRPr="00584E14">
        <w:rPr>
          <w:rFonts w:asciiTheme="majorBidi" w:hAnsiTheme="majorBidi" w:cstheme="majorBidi"/>
          <w:sz w:val="24"/>
          <w:szCs w:val="24"/>
          <w:shd w:val="clear" w:color="auto" w:fill="FFFFFF"/>
        </w:rPr>
        <w:t>eq</w:t>
      </w:r>
      <w:r w:rsidR="0023501C" w:rsidRPr="00584E14">
        <w:rPr>
          <w:rFonts w:asciiTheme="majorBidi" w:hAnsiTheme="majorBidi" w:cstheme="majorBidi"/>
          <w:sz w:val="24"/>
          <w:szCs w:val="24"/>
          <w:shd w:val="clear" w:color="auto" w:fill="FFFFFF"/>
        </w:rPr>
        <w:t xml:space="preserve">ual </w:t>
      </w:r>
      <w:r w:rsidR="00F5646A" w:rsidRPr="00584E14">
        <w:rPr>
          <w:rFonts w:asciiTheme="majorBidi" w:hAnsiTheme="majorBidi" w:cstheme="majorBidi"/>
          <w:sz w:val="24"/>
          <w:szCs w:val="24"/>
          <w:shd w:val="clear" w:color="auto" w:fill="FFFFFF"/>
        </w:rPr>
        <w:t xml:space="preserve">to </w:t>
      </w:r>
      <w:r w:rsidR="00741096" w:rsidRPr="00584E14">
        <w:rPr>
          <w:rFonts w:asciiTheme="majorBidi" w:hAnsiTheme="majorBidi" w:cstheme="majorBidi"/>
          <w:sz w:val="24"/>
          <w:szCs w:val="24"/>
          <w:shd w:val="clear" w:color="auto" w:fill="FFFFFF"/>
        </w:rPr>
        <w:t>100 mcg/g</w:t>
      </w:r>
      <w:r w:rsidRPr="00584E14">
        <w:rPr>
          <w:rFonts w:asciiTheme="majorBidi" w:hAnsiTheme="majorBidi" w:cstheme="majorBidi"/>
          <w:sz w:val="24"/>
          <w:szCs w:val="24"/>
          <w:shd w:val="clear" w:color="auto" w:fill="FFFFFF"/>
        </w:rPr>
        <w:t xml:space="preserve">, </w:t>
      </w:r>
      <w:r w:rsidR="00741096" w:rsidRPr="00584E14">
        <w:rPr>
          <w:rFonts w:asciiTheme="majorBidi" w:hAnsiTheme="majorBidi" w:cstheme="majorBidi"/>
          <w:sz w:val="24"/>
          <w:szCs w:val="24"/>
          <w:shd w:val="clear" w:color="auto" w:fill="FFFFFF"/>
        </w:rPr>
        <w:t>specificity 0.6</w:t>
      </w:r>
      <w:r w:rsidR="002A7A33" w:rsidRPr="00584E14">
        <w:rPr>
          <w:rFonts w:asciiTheme="majorBidi" w:hAnsiTheme="majorBidi" w:cstheme="majorBidi"/>
          <w:sz w:val="24"/>
          <w:szCs w:val="24"/>
          <w:shd w:val="clear" w:color="auto" w:fill="FFFFFF"/>
        </w:rPr>
        <w:t>6</w:t>
      </w:r>
      <w:r w:rsidR="00741096" w:rsidRPr="00584E14">
        <w:rPr>
          <w:rFonts w:asciiTheme="majorBidi" w:hAnsiTheme="majorBidi" w:cstheme="majorBidi"/>
          <w:sz w:val="24"/>
          <w:szCs w:val="24"/>
          <w:shd w:val="clear" w:color="auto" w:fill="FFFFFF"/>
        </w:rPr>
        <w:t xml:space="preserve"> (0.5</w:t>
      </w:r>
      <w:r w:rsidR="002A7A33" w:rsidRPr="00584E14">
        <w:rPr>
          <w:rFonts w:asciiTheme="majorBidi" w:hAnsiTheme="majorBidi" w:cstheme="majorBidi"/>
          <w:sz w:val="24"/>
          <w:szCs w:val="24"/>
          <w:shd w:val="clear" w:color="auto" w:fill="FFFFFF"/>
        </w:rPr>
        <w:t>9</w:t>
      </w:r>
      <w:r w:rsidR="00741096" w:rsidRPr="00584E14">
        <w:rPr>
          <w:rFonts w:asciiTheme="majorBidi" w:hAnsiTheme="majorBidi" w:cstheme="majorBidi"/>
          <w:sz w:val="24"/>
          <w:szCs w:val="24"/>
          <w:shd w:val="clear" w:color="auto" w:fill="FFFFFF"/>
        </w:rPr>
        <w:t>-0.7</w:t>
      </w:r>
      <w:r w:rsidR="0096129F" w:rsidRPr="00584E14">
        <w:rPr>
          <w:rFonts w:asciiTheme="majorBidi" w:hAnsiTheme="majorBidi" w:cstheme="majorBidi"/>
          <w:sz w:val="24"/>
          <w:szCs w:val="24"/>
          <w:shd w:val="clear" w:color="auto" w:fill="FFFFFF"/>
        </w:rPr>
        <w:t>3</w:t>
      </w:r>
      <w:r w:rsidR="00741096" w:rsidRPr="00584E14">
        <w:rPr>
          <w:rFonts w:asciiTheme="majorBidi" w:hAnsiTheme="majorBidi" w:cstheme="majorBidi"/>
          <w:sz w:val="24"/>
          <w:szCs w:val="24"/>
          <w:shd w:val="clear" w:color="auto" w:fill="FFFFFF"/>
        </w:rPr>
        <w:t xml:space="preserve">) and </w:t>
      </w:r>
      <w:r w:rsidR="00AE7D1C">
        <w:rPr>
          <w:rFonts w:asciiTheme="majorBidi" w:hAnsiTheme="majorBidi" w:cstheme="majorBidi"/>
          <w:sz w:val="24"/>
          <w:szCs w:val="24"/>
          <w:shd w:val="clear" w:color="auto" w:fill="FFFFFF"/>
        </w:rPr>
        <w:t>sensitivity</w:t>
      </w:r>
      <w:r w:rsidR="00741096" w:rsidRPr="00584E14">
        <w:rPr>
          <w:rFonts w:asciiTheme="majorBidi" w:hAnsiTheme="majorBidi" w:cstheme="majorBidi"/>
          <w:sz w:val="24"/>
          <w:szCs w:val="24"/>
          <w:shd w:val="clear" w:color="auto" w:fill="FFFFFF"/>
        </w:rPr>
        <w:t xml:space="preserve"> 0.</w:t>
      </w:r>
      <w:r w:rsidR="0096129F" w:rsidRPr="00584E14">
        <w:rPr>
          <w:rFonts w:asciiTheme="majorBidi" w:hAnsiTheme="majorBidi" w:cstheme="majorBidi"/>
          <w:sz w:val="24"/>
          <w:szCs w:val="24"/>
          <w:shd w:val="clear" w:color="auto" w:fill="FFFFFF"/>
        </w:rPr>
        <w:t>84</w:t>
      </w:r>
      <w:r w:rsidR="00741096" w:rsidRPr="00584E14">
        <w:rPr>
          <w:rFonts w:asciiTheme="majorBidi" w:hAnsiTheme="majorBidi" w:cstheme="majorBidi"/>
          <w:sz w:val="24"/>
          <w:szCs w:val="24"/>
          <w:shd w:val="clear" w:color="auto" w:fill="FFFFFF"/>
        </w:rPr>
        <w:t xml:space="preserve"> (0.</w:t>
      </w:r>
      <w:r w:rsidR="0096129F" w:rsidRPr="00584E14">
        <w:rPr>
          <w:rFonts w:asciiTheme="majorBidi" w:hAnsiTheme="majorBidi" w:cstheme="majorBidi"/>
          <w:sz w:val="24"/>
          <w:szCs w:val="24"/>
          <w:shd w:val="clear" w:color="auto" w:fill="FFFFFF"/>
        </w:rPr>
        <w:t>8</w:t>
      </w:r>
      <w:r w:rsidR="00741096" w:rsidRPr="00584E14">
        <w:rPr>
          <w:rFonts w:asciiTheme="majorBidi" w:hAnsiTheme="majorBidi" w:cstheme="majorBidi"/>
          <w:sz w:val="24"/>
          <w:szCs w:val="24"/>
          <w:shd w:val="clear" w:color="auto" w:fill="FFFFFF"/>
        </w:rPr>
        <w:t>0-0.</w:t>
      </w:r>
      <w:r w:rsidR="0096129F" w:rsidRPr="00584E14">
        <w:rPr>
          <w:rFonts w:asciiTheme="majorBidi" w:hAnsiTheme="majorBidi" w:cstheme="majorBidi"/>
          <w:sz w:val="24"/>
          <w:szCs w:val="24"/>
          <w:shd w:val="clear" w:color="auto" w:fill="FFFFFF"/>
        </w:rPr>
        <w:t>88</w:t>
      </w:r>
      <w:r w:rsidR="00741096" w:rsidRPr="00584E14">
        <w:rPr>
          <w:rFonts w:asciiTheme="majorBidi" w:hAnsiTheme="majorBidi" w:cstheme="majorBidi"/>
          <w:sz w:val="24"/>
          <w:szCs w:val="24"/>
          <w:shd w:val="clear" w:color="auto" w:fill="FFFFFF"/>
        </w:rPr>
        <w:t>),</w:t>
      </w:r>
      <w:r w:rsidR="002A7A33" w:rsidRPr="00584E14">
        <w:rPr>
          <w:rFonts w:asciiTheme="majorBidi" w:hAnsiTheme="majorBidi" w:cstheme="majorBidi"/>
          <w:sz w:val="24"/>
          <w:szCs w:val="24"/>
          <w:shd w:val="clear" w:color="auto" w:fill="FFFFFF"/>
        </w:rPr>
        <w:t xml:space="preserve"> </w:t>
      </w:r>
      <w:r w:rsidRPr="00584E14">
        <w:rPr>
          <w:rFonts w:asciiTheme="majorBidi" w:hAnsiTheme="majorBidi" w:cstheme="majorBidi"/>
          <w:sz w:val="24"/>
          <w:szCs w:val="24"/>
          <w:shd w:val="clear" w:color="auto" w:fill="FFFFFF"/>
        </w:rPr>
        <w:t xml:space="preserve">and </w:t>
      </w:r>
      <w:r w:rsidR="00DC0C86" w:rsidRPr="00584E14">
        <w:rPr>
          <w:rFonts w:asciiTheme="majorBidi" w:hAnsiTheme="majorBidi" w:cstheme="majorBidi"/>
          <w:sz w:val="24"/>
          <w:szCs w:val="24"/>
          <w:shd w:val="clear" w:color="auto" w:fill="FFFFFF"/>
        </w:rPr>
        <w:t xml:space="preserve">if </w:t>
      </w:r>
      <w:r w:rsidR="00AE7D1C">
        <w:rPr>
          <w:rFonts w:asciiTheme="majorBidi" w:hAnsiTheme="majorBidi" w:cstheme="majorBidi"/>
          <w:sz w:val="24"/>
          <w:szCs w:val="24"/>
          <w:shd w:val="clear" w:color="auto" w:fill="FFFFFF"/>
        </w:rPr>
        <w:t xml:space="preserve">the </w:t>
      </w:r>
      <w:r w:rsidR="00DC0C86" w:rsidRPr="00584E14">
        <w:rPr>
          <w:rFonts w:asciiTheme="majorBidi" w:hAnsiTheme="majorBidi" w:cstheme="majorBidi"/>
          <w:sz w:val="24"/>
          <w:szCs w:val="24"/>
          <w:shd w:val="clear" w:color="auto" w:fill="FFFFFF"/>
        </w:rPr>
        <w:t>cut-off is equal to 250 mcg/g, specificity 0.</w:t>
      </w:r>
      <w:r w:rsidR="00A424D6" w:rsidRPr="00584E14">
        <w:rPr>
          <w:rFonts w:asciiTheme="majorBidi" w:hAnsiTheme="majorBidi" w:cstheme="majorBidi"/>
          <w:sz w:val="24"/>
          <w:szCs w:val="24"/>
          <w:shd w:val="clear" w:color="auto" w:fill="FFFFFF"/>
        </w:rPr>
        <w:t>82</w:t>
      </w:r>
      <w:r w:rsidR="00DC0C86" w:rsidRPr="00584E14">
        <w:rPr>
          <w:rFonts w:asciiTheme="majorBidi" w:hAnsiTheme="majorBidi" w:cstheme="majorBidi"/>
          <w:sz w:val="24"/>
          <w:szCs w:val="24"/>
          <w:shd w:val="clear" w:color="auto" w:fill="FFFFFF"/>
        </w:rPr>
        <w:t xml:space="preserve"> (0.</w:t>
      </w:r>
      <w:r w:rsidR="00A424D6" w:rsidRPr="00584E14">
        <w:rPr>
          <w:rFonts w:asciiTheme="majorBidi" w:hAnsiTheme="majorBidi" w:cstheme="majorBidi"/>
          <w:sz w:val="24"/>
          <w:szCs w:val="24"/>
          <w:shd w:val="clear" w:color="auto" w:fill="FFFFFF"/>
        </w:rPr>
        <w:t>77</w:t>
      </w:r>
      <w:r w:rsidR="00DC0C86" w:rsidRPr="00584E14">
        <w:rPr>
          <w:rFonts w:asciiTheme="majorBidi" w:hAnsiTheme="majorBidi" w:cstheme="majorBidi"/>
          <w:sz w:val="24"/>
          <w:szCs w:val="24"/>
          <w:shd w:val="clear" w:color="auto" w:fill="FFFFFF"/>
        </w:rPr>
        <w:t>-0.</w:t>
      </w:r>
      <w:r w:rsidR="00A424D6" w:rsidRPr="00584E14">
        <w:rPr>
          <w:rFonts w:asciiTheme="majorBidi" w:hAnsiTheme="majorBidi" w:cstheme="majorBidi"/>
          <w:sz w:val="24"/>
          <w:szCs w:val="24"/>
          <w:shd w:val="clear" w:color="auto" w:fill="FFFFFF"/>
        </w:rPr>
        <w:t>86</w:t>
      </w:r>
      <w:r w:rsidR="00DC0C86" w:rsidRPr="00584E14">
        <w:rPr>
          <w:rFonts w:asciiTheme="majorBidi" w:hAnsiTheme="majorBidi" w:cstheme="majorBidi"/>
          <w:sz w:val="24"/>
          <w:szCs w:val="24"/>
          <w:shd w:val="clear" w:color="auto" w:fill="FFFFFF"/>
        </w:rPr>
        <w:t xml:space="preserve">) and </w:t>
      </w:r>
      <w:r w:rsidR="00AE7D1C">
        <w:rPr>
          <w:rFonts w:asciiTheme="majorBidi" w:hAnsiTheme="majorBidi" w:cstheme="majorBidi"/>
          <w:sz w:val="24"/>
          <w:szCs w:val="24"/>
          <w:shd w:val="clear" w:color="auto" w:fill="FFFFFF"/>
        </w:rPr>
        <w:t>sensitivity</w:t>
      </w:r>
      <w:r w:rsidR="00DC0C86" w:rsidRPr="00584E14">
        <w:rPr>
          <w:rFonts w:asciiTheme="majorBidi" w:hAnsiTheme="majorBidi" w:cstheme="majorBidi"/>
          <w:sz w:val="24"/>
          <w:szCs w:val="24"/>
          <w:shd w:val="clear" w:color="auto" w:fill="FFFFFF"/>
        </w:rPr>
        <w:t xml:space="preserve"> 0.8</w:t>
      </w:r>
      <w:r w:rsidR="004C50BB" w:rsidRPr="00584E14">
        <w:rPr>
          <w:rFonts w:asciiTheme="majorBidi" w:hAnsiTheme="majorBidi" w:cstheme="majorBidi"/>
          <w:sz w:val="24"/>
          <w:szCs w:val="24"/>
          <w:shd w:val="clear" w:color="auto" w:fill="FFFFFF"/>
        </w:rPr>
        <w:t>0</w:t>
      </w:r>
      <w:r w:rsidR="00DC0C86" w:rsidRPr="00584E14">
        <w:rPr>
          <w:rFonts w:asciiTheme="majorBidi" w:hAnsiTheme="majorBidi" w:cstheme="majorBidi"/>
          <w:sz w:val="24"/>
          <w:szCs w:val="24"/>
          <w:shd w:val="clear" w:color="auto" w:fill="FFFFFF"/>
        </w:rPr>
        <w:t xml:space="preserve"> (0.</w:t>
      </w:r>
      <w:r w:rsidR="004C50BB" w:rsidRPr="00584E14">
        <w:rPr>
          <w:rFonts w:asciiTheme="majorBidi" w:hAnsiTheme="majorBidi" w:cstheme="majorBidi"/>
          <w:sz w:val="24"/>
          <w:szCs w:val="24"/>
          <w:shd w:val="clear" w:color="auto" w:fill="FFFFFF"/>
        </w:rPr>
        <w:t>76</w:t>
      </w:r>
      <w:r w:rsidR="00DC0C86" w:rsidRPr="00584E14">
        <w:rPr>
          <w:rFonts w:asciiTheme="majorBidi" w:hAnsiTheme="majorBidi" w:cstheme="majorBidi"/>
          <w:sz w:val="24"/>
          <w:szCs w:val="24"/>
          <w:shd w:val="clear" w:color="auto" w:fill="FFFFFF"/>
        </w:rPr>
        <w:t>-0.8</w:t>
      </w:r>
      <w:r w:rsidR="004C50BB" w:rsidRPr="00584E14">
        <w:rPr>
          <w:rFonts w:asciiTheme="majorBidi" w:hAnsiTheme="majorBidi" w:cstheme="majorBidi"/>
          <w:sz w:val="24"/>
          <w:szCs w:val="24"/>
          <w:shd w:val="clear" w:color="auto" w:fill="FFFFFF"/>
        </w:rPr>
        <w:t>4</w:t>
      </w:r>
      <w:r w:rsidR="00DC0C86" w:rsidRPr="00584E14">
        <w:rPr>
          <w:rFonts w:asciiTheme="majorBidi" w:hAnsiTheme="majorBidi" w:cstheme="majorBidi"/>
          <w:sz w:val="24"/>
          <w:szCs w:val="24"/>
          <w:shd w:val="clear" w:color="auto" w:fill="FFFFFF"/>
        </w:rPr>
        <w:t>)</w:t>
      </w:r>
      <w:r w:rsidR="00584E14">
        <w:rPr>
          <w:rFonts w:asciiTheme="majorBidi" w:hAnsiTheme="majorBidi" w:cstheme="majorBidi"/>
          <w:b/>
          <w:bCs/>
          <w:sz w:val="24"/>
          <w:szCs w:val="24"/>
          <w:shd w:val="clear" w:color="auto" w:fill="FFFFFF"/>
        </w:rPr>
        <w:t xml:space="preserve"> </w:t>
      </w:r>
      <w:r w:rsidR="00584E14" w:rsidRPr="001937D5">
        <w:rPr>
          <w:rFonts w:ascii="Times New Roman" w:eastAsia="Calibri" w:hAnsi="Times New Roman" w:cs="Times New Roman"/>
          <w:b/>
          <w:bCs/>
          <w:sz w:val="24"/>
          <w:szCs w:val="24"/>
          <w:shd w:val="clear" w:color="auto" w:fill="FFFFFF"/>
        </w:rPr>
        <w:t>[</w:t>
      </w:r>
      <w:r w:rsidR="00BF3651">
        <w:rPr>
          <w:rFonts w:ascii="Times New Roman" w:eastAsia="Calibri" w:hAnsi="Times New Roman" w:cs="Times New Roman"/>
          <w:b/>
          <w:bCs/>
          <w:sz w:val="24"/>
          <w:szCs w:val="24"/>
          <w:shd w:val="clear" w:color="auto" w:fill="FFFFFF"/>
        </w:rPr>
        <w:t>14</w:t>
      </w:r>
      <w:r w:rsidR="00584E14" w:rsidRPr="001937D5">
        <w:rPr>
          <w:rFonts w:ascii="Times New Roman" w:eastAsia="Calibri" w:hAnsi="Times New Roman" w:cs="Times New Roman"/>
          <w:b/>
          <w:bCs/>
          <w:sz w:val="24"/>
          <w:szCs w:val="24"/>
          <w:shd w:val="clear" w:color="auto" w:fill="FFFFFF"/>
        </w:rPr>
        <w:t>]</w:t>
      </w:r>
      <w:r w:rsidR="00584E14" w:rsidRPr="00C26193">
        <w:rPr>
          <w:rFonts w:asciiTheme="majorBidi" w:hAnsiTheme="majorBidi" w:cstheme="majorBidi"/>
          <w:sz w:val="24"/>
          <w:szCs w:val="24"/>
        </w:rPr>
        <w:t xml:space="preserve">. </w:t>
      </w:r>
      <w:r w:rsidR="00DC0C86">
        <w:rPr>
          <w:rFonts w:asciiTheme="majorBidi" w:hAnsiTheme="majorBidi" w:cstheme="majorBidi"/>
          <w:b/>
          <w:bCs/>
          <w:sz w:val="24"/>
          <w:szCs w:val="24"/>
          <w:shd w:val="clear" w:color="auto" w:fill="FFFFFF"/>
        </w:rPr>
        <w:t xml:space="preserve"> </w:t>
      </w:r>
      <w:r w:rsidRPr="00F86D95">
        <w:rPr>
          <w:rFonts w:asciiTheme="majorBidi" w:hAnsiTheme="majorBidi" w:cstheme="majorBidi"/>
          <w:sz w:val="24"/>
          <w:szCs w:val="24"/>
          <w:shd w:val="clear" w:color="auto" w:fill="FFFFFF"/>
        </w:rPr>
        <w:t xml:space="preserve">  </w:t>
      </w:r>
    </w:p>
    <w:p w14:paraId="085BCC85" w14:textId="6638BA7E" w:rsidR="0082113A" w:rsidRPr="00F86D95" w:rsidRDefault="0082113A" w:rsidP="00BE1624">
      <w:pPr>
        <w:pStyle w:val="ListParagraph"/>
        <w:numPr>
          <w:ilvl w:val="2"/>
          <w:numId w:val="4"/>
        </w:numPr>
        <w:spacing w:after="0" w:line="360" w:lineRule="auto"/>
        <w:rPr>
          <w:rFonts w:asciiTheme="majorBidi" w:hAnsiTheme="majorBidi" w:cstheme="majorBidi"/>
          <w:b/>
          <w:bCs/>
          <w:sz w:val="24"/>
          <w:szCs w:val="24"/>
        </w:rPr>
      </w:pPr>
      <w:r w:rsidRPr="00F86D95">
        <w:rPr>
          <w:rFonts w:asciiTheme="majorBidi" w:hAnsiTheme="majorBidi" w:cstheme="majorBidi"/>
          <w:b/>
          <w:bCs/>
          <w:sz w:val="24"/>
          <w:szCs w:val="24"/>
        </w:rPr>
        <w:t>Samples:</w:t>
      </w:r>
    </w:p>
    <w:p w14:paraId="44C1C403" w14:textId="26529271" w:rsidR="0082113A" w:rsidRPr="00F86D95" w:rsidRDefault="00AE7D1C" w:rsidP="00BE1624">
      <w:pPr>
        <w:spacing w:after="0" w:line="360" w:lineRule="auto"/>
        <w:jc w:val="both"/>
        <w:rPr>
          <w:rFonts w:asciiTheme="majorBidi" w:eastAsia="AdvTimes" w:hAnsiTheme="majorBidi" w:cstheme="majorBidi"/>
          <w:sz w:val="24"/>
          <w:szCs w:val="24"/>
        </w:rPr>
      </w:pPr>
      <w:r>
        <w:rPr>
          <w:rFonts w:asciiTheme="majorBidi" w:eastAsia="AdvTimes" w:hAnsiTheme="majorBidi" w:cstheme="majorBidi"/>
          <w:sz w:val="24"/>
          <w:szCs w:val="24"/>
        </w:rPr>
        <w:t xml:space="preserve">Blood and stool samples were obtained in </w:t>
      </w:r>
      <w:r>
        <w:rPr>
          <w:rFonts w:asciiTheme="majorBidi" w:hAnsiTheme="majorBidi" w:cstheme="majorBidi"/>
          <w:sz w:val="24"/>
          <w:szCs w:val="24"/>
        </w:rPr>
        <w:t xml:space="preserve">BD Vacutainer </w:t>
      </w:r>
      <w:r>
        <w:rPr>
          <w:rFonts w:asciiTheme="majorBidi" w:hAnsiTheme="majorBidi" w:cstheme="majorBidi"/>
          <w:i/>
          <w:iCs/>
          <w:sz w:val="24"/>
          <w:szCs w:val="24"/>
        </w:rPr>
        <w:t>(Becton, Dickinson and Company, Franklin Lakes, NJ)</w:t>
      </w:r>
      <w:r w:rsidR="0082113A" w:rsidRPr="00271D19">
        <w:rPr>
          <w:rFonts w:asciiTheme="majorBidi" w:hAnsiTheme="majorBidi" w:cstheme="majorBidi"/>
          <w:sz w:val="24"/>
          <w:szCs w:val="24"/>
        </w:rPr>
        <w:t>.</w:t>
      </w:r>
      <w:r w:rsidR="0082113A" w:rsidRPr="00271D19">
        <w:rPr>
          <w:rFonts w:asciiTheme="majorBidi" w:eastAsia="AdvTimes" w:hAnsiTheme="majorBidi" w:cstheme="majorBidi"/>
          <w:sz w:val="24"/>
          <w:szCs w:val="24"/>
        </w:rPr>
        <w:t xml:space="preserve"> </w:t>
      </w:r>
      <w:r>
        <w:rPr>
          <w:rFonts w:asciiTheme="majorBidi" w:eastAsia="AdvTimes" w:hAnsiTheme="majorBidi" w:cstheme="majorBidi"/>
          <w:sz w:val="24"/>
          <w:szCs w:val="24"/>
        </w:rPr>
        <w:t xml:space="preserve">Six tubes were collected at baseline, </w:t>
      </w:r>
      <w:r w:rsidR="001B5997" w:rsidRPr="00271D19">
        <w:rPr>
          <w:rFonts w:asciiTheme="majorBidi" w:eastAsia="AdvTimes" w:hAnsiTheme="majorBidi" w:cstheme="majorBidi"/>
          <w:sz w:val="24"/>
          <w:szCs w:val="24"/>
        </w:rPr>
        <w:t>including o</w:t>
      </w:r>
      <w:r w:rsidR="0082113A" w:rsidRPr="00271D19">
        <w:rPr>
          <w:rFonts w:asciiTheme="majorBidi" w:eastAsia="AdvTimes" w:hAnsiTheme="majorBidi" w:cstheme="majorBidi"/>
          <w:sz w:val="24"/>
          <w:szCs w:val="24"/>
        </w:rPr>
        <w:t xml:space="preserve">ne citrate, </w:t>
      </w:r>
      <w:r w:rsidR="00D628CB" w:rsidRPr="00271D19">
        <w:rPr>
          <w:rFonts w:asciiTheme="majorBidi" w:eastAsia="AdvTimes" w:hAnsiTheme="majorBidi" w:cstheme="majorBidi"/>
          <w:sz w:val="24"/>
          <w:szCs w:val="24"/>
        </w:rPr>
        <w:t xml:space="preserve">one </w:t>
      </w:r>
      <w:r w:rsidR="00D628CB" w:rsidRPr="00271D19">
        <w:rPr>
          <w:rFonts w:asciiTheme="majorBidi" w:hAnsiTheme="majorBidi" w:cstheme="majorBidi"/>
          <w:sz w:val="24"/>
          <w:szCs w:val="24"/>
        </w:rPr>
        <w:t xml:space="preserve">ESR, </w:t>
      </w:r>
      <w:r w:rsidR="00D628CB" w:rsidRPr="00271D19">
        <w:rPr>
          <w:rFonts w:asciiTheme="majorBidi" w:eastAsia="AdvTimes" w:hAnsiTheme="majorBidi" w:cstheme="majorBidi"/>
          <w:sz w:val="24"/>
          <w:szCs w:val="24"/>
        </w:rPr>
        <w:t>two</w:t>
      </w:r>
      <w:r w:rsidR="0082113A" w:rsidRPr="00271D19">
        <w:rPr>
          <w:rFonts w:asciiTheme="majorBidi" w:eastAsia="AdvTimes" w:hAnsiTheme="majorBidi" w:cstheme="majorBidi"/>
          <w:sz w:val="24"/>
          <w:szCs w:val="24"/>
        </w:rPr>
        <w:t xml:space="preserve"> plain, and </w:t>
      </w:r>
      <w:r w:rsidR="00D628CB" w:rsidRPr="00271D19">
        <w:rPr>
          <w:rFonts w:asciiTheme="majorBidi" w:eastAsia="AdvTimes" w:hAnsiTheme="majorBidi" w:cstheme="majorBidi"/>
          <w:sz w:val="24"/>
          <w:szCs w:val="24"/>
        </w:rPr>
        <w:t>two</w:t>
      </w:r>
      <w:r w:rsidR="0082113A" w:rsidRPr="00271D19">
        <w:rPr>
          <w:rFonts w:asciiTheme="majorBidi" w:eastAsia="AdvTimes" w:hAnsiTheme="majorBidi" w:cstheme="majorBidi"/>
          <w:sz w:val="24"/>
          <w:szCs w:val="24"/>
        </w:rPr>
        <w:t xml:space="preserve"> EDTA tubes from each patient. </w:t>
      </w:r>
      <w:r w:rsidR="0082113A" w:rsidRPr="00271D19">
        <w:rPr>
          <w:rFonts w:asciiTheme="majorBidi" w:hAnsiTheme="majorBidi" w:cstheme="majorBidi"/>
          <w:sz w:val="24"/>
          <w:szCs w:val="24"/>
        </w:rPr>
        <w:t xml:space="preserve">One EDTA tube was used </w:t>
      </w:r>
      <w:r>
        <w:rPr>
          <w:rFonts w:asciiTheme="majorBidi" w:hAnsiTheme="majorBidi" w:cstheme="majorBidi"/>
          <w:sz w:val="24"/>
          <w:szCs w:val="24"/>
        </w:rPr>
        <w:t>to take</w:t>
      </w:r>
      <w:r w:rsidR="0082113A" w:rsidRPr="00271D19">
        <w:rPr>
          <w:rFonts w:asciiTheme="majorBidi" w:hAnsiTheme="majorBidi" w:cstheme="majorBidi"/>
          <w:sz w:val="24"/>
          <w:szCs w:val="24"/>
        </w:rPr>
        <w:t xml:space="preserve"> the complete blood picture. The second EDTA tube was utilized to assess </w:t>
      </w:r>
      <w:r w:rsidR="0082113A" w:rsidRPr="00271D19">
        <w:rPr>
          <w:rFonts w:asciiTheme="majorBidi" w:hAnsiTheme="majorBidi" w:cstheme="majorBidi"/>
          <w:sz w:val="24"/>
          <w:szCs w:val="24"/>
          <w:shd w:val="clear" w:color="auto" w:fill="FFFFFF"/>
        </w:rPr>
        <w:t>HbA1C</w:t>
      </w:r>
      <w:r w:rsidR="0082113A" w:rsidRPr="00271D19">
        <w:rPr>
          <w:rFonts w:asciiTheme="majorBidi" w:hAnsiTheme="majorBidi" w:cstheme="majorBidi"/>
          <w:sz w:val="24"/>
          <w:szCs w:val="24"/>
        </w:rPr>
        <w:t>.</w:t>
      </w:r>
      <w:r w:rsidR="0082113A" w:rsidRPr="00271D19">
        <w:rPr>
          <w:rFonts w:asciiTheme="majorBidi" w:eastAsia="AdvTimes" w:hAnsiTheme="majorBidi" w:cstheme="majorBidi"/>
          <w:sz w:val="24"/>
          <w:szCs w:val="24"/>
        </w:rPr>
        <w:t xml:space="preserve"> </w:t>
      </w:r>
      <w:r w:rsidR="0082113A" w:rsidRPr="00271D19">
        <w:rPr>
          <w:rFonts w:asciiTheme="majorBidi" w:hAnsiTheme="majorBidi" w:cstheme="majorBidi"/>
          <w:sz w:val="24"/>
          <w:szCs w:val="24"/>
        </w:rPr>
        <w:t xml:space="preserve">The plain vacutainer was allowed to clot for 30 minutes after collection. After this period, </w:t>
      </w:r>
      <w:r w:rsidR="00F5646A" w:rsidRPr="00271D19">
        <w:rPr>
          <w:rFonts w:asciiTheme="majorBidi" w:hAnsiTheme="majorBidi" w:cstheme="majorBidi"/>
          <w:sz w:val="24"/>
          <w:szCs w:val="24"/>
        </w:rPr>
        <w:t xml:space="preserve">the </w:t>
      </w:r>
      <w:r w:rsidR="0082113A" w:rsidRPr="00271D19">
        <w:rPr>
          <w:rFonts w:asciiTheme="majorBidi" w:hAnsiTheme="majorBidi" w:cstheme="majorBidi"/>
          <w:sz w:val="24"/>
          <w:szCs w:val="24"/>
        </w:rPr>
        <w:t xml:space="preserve">sample was centrifuged at 1200 x g for 10 minutes to separate serum. The citrate sample </w:t>
      </w:r>
      <w:r>
        <w:rPr>
          <w:rFonts w:asciiTheme="majorBidi" w:hAnsiTheme="majorBidi" w:cstheme="majorBidi"/>
          <w:sz w:val="24"/>
          <w:szCs w:val="24"/>
        </w:rPr>
        <w:t xml:space="preserve">was </w:t>
      </w:r>
      <w:r w:rsidR="0082113A" w:rsidRPr="00271D19">
        <w:rPr>
          <w:rFonts w:asciiTheme="majorBidi" w:hAnsiTheme="majorBidi" w:cstheme="majorBidi"/>
          <w:sz w:val="24"/>
          <w:szCs w:val="24"/>
        </w:rPr>
        <w:t xml:space="preserve">centrifuged at </w:t>
      </w:r>
      <w:r w:rsidR="00CF4F4A" w:rsidRPr="00271D19">
        <w:rPr>
          <w:rFonts w:asciiTheme="majorBidi" w:hAnsiTheme="majorBidi" w:cstheme="majorBidi"/>
          <w:sz w:val="24"/>
          <w:szCs w:val="24"/>
        </w:rPr>
        <w:t>2000</w:t>
      </w:r>
      <w:r w:rsidR="0082113A" w:rsidRPr="00271D19">
        <w:rPr>
          <w:rFonts w:asciiTheme="majorBidi" w:hAnsiTheme="majorBidi" w:cstheme="majorBidi"/>
          <w:sz w:val="24"/>
          <w:szCs w:val="24"/>
        </w:rPr>
        <w:t xml:space="preserve"> x g for 15 minutes to</w:t>
      </w:r>
      <w:r w:rsidR="0082113A" w:rsidRPr="00271D19">
        <w:rPr>
          <w:rFonts w:asciiTheme="majorBidi" w:eastAsia="AdvTimes" w:hAnsiTheme="majorBidi" w:cstheme="majorBidi"/>
          <w:sz w:val="24"/>
          <w:szCs w:val="24"/>
        </w:rPr>
        <w:t xml:space="preserve"> assess </w:t>
      </w:r>
      <w:r w:rsidR="006F20E7" w:rsidRPr="00271D19">
        <w:rPr>
          <w:rFonts w:asciiTheme="majorBidi" w:eastAsia="AdvTimes" w:hAnsiTheme="majorBidi" w:cstheme="majorBidi"/>
          <w:sz w:val="24"/>
          <w:szCs w:val="24"/>
        </w:rPr>
        <w:t>coagulation tests</w:t>
      </w:r>
      <w:r w:rsidR="0082113A" w:rsidRPr="00271D19">
        <w:rPr>
          <w:rFonts w:asciiTheme="majorBidi" w:eastAsia="AdvTimes" w:hAnsiTheme="majorBidi" w:cstheme="majorBidi"/>
          <w:sz w:val="24"/>
          <w:szCs w:val="24"/>
        </w:rPr>
        <w:t>.</w:t>
      </w:r>
      <w:r w:rsidR="001B5997" w:rsidRPr="00271D19">
        <w:rPr>
          <w:rFonts w:asciiTheme="majorBidi" w:eastAsia="AdvTimes" w:hAnsiTheme="majorBidi" w:cstheme="majorBidi"/>
          <w:sz w:val="24"/>
          <w:szCs w:val="24"/>
        </w:rPr>
        <w:t xml:space="preserve"> After 7</w:t>
      </w:r>
      <w:r w:rsidR="0001167A">
        <w:rPr>
          <w:rFonts w:asciiTheme="majorBidi" w:eastAsia="AdvTimes" w:hAnsiTheme="majorBidi" w:cstheme="majorBidi"/>
          <w:sz w:val="24"/>
          <w:szCs w:val="24"/>
        </w:rPr>
        <w:t xml:space="preserve"> and 21</w:t>
      </w:r>
      <w:r w:rsidR="001B5997" w:rsidRPr="00271D19">
        <w:rPr>
          <w:rFonts w:asciiTheme="majorBidi" w:eastAsia="AdvTimes" w:hAnsiTheme="majorBidi" w:cstheme="majorBidi"/>
          <w:sz w:val="24"/>
          <w:szCs w:val="24"/>
        </w:rPr>
        <w:t xml:space="preserve"> days, </w:t>
      </w:r>
      <w:r w:rsidR="000602F9" w:rsidRPr="00271D19">
        <w:rPr>
          <w:rFonts w:asciiTheme="majorBidi" w:eastAsia="AdvTimes" w:hAnsiTheme="majorBidi" w:cstheme="majorBidi"/>
          <w:sz w:val="24"/>
          <w:szCs w:val="24"/>
        </w:rPr>
        <w:t>tubes</w:t>
      </w:r>
      <w:r>
        <w:rPr>
          <w:rFonts w:asciiTheme="majorBidi" w:eastAsia="AdvTimes" w:hAnsiTheme="majorBidi" w:cstheme="majorBidi"/>
          <w:sz w:val="24"/>
          <w:szCs w:val="24"/>
        </w:rPr>
        <w:t xml:space="preserve"> were collected from each patient, including citrate, </w:t>
      </w:r>
      <w:r>
        <w:rPr>
          <w:rFonts w:asciiTheme="majorBidi" w:hAnsiTheme="majorBidi" w:cstheme="majorBidi"/>
          <w:sz w:val="24"/>
          <w:szCs w:val="24"/>
        </w:rPr>
        <w:t xml:space="preserve">ESR, and </w:t>
      </w:r>
      <w:r>
        <w:rPr>
          <w:rFonts w:asciiTheme="majorBidi" w:eastAsia="AdvTimes" w:hAnsiTheme="majorBidi" w:cstheme="majorBidi"/>
          <w:sz w:val="24"/>
          <w:szCs w:val="24"/>
        </w:rPr>
        <w:t>plain</w:t>
      </w:r>
      <w:r w:rsidR="001B5997" w:rsidRPr="00271D19">
        <w:rPr>
          <w:rFonts w:asciiTheme="majorBidi" w:eastAsia="AdvTimes" w:hAnsiTheme="majorBidi" w:cstheme="majorBidi"/>
          <w:sz w:val="24"/>
          <w:szCs w:val="24"/>
        </w:rPr>
        <w:t>.</w:t>
      </w:r>
    </w:p>
    <w:p w14:paraId="1AE96F18" w14:textId="0857A14C" w:rsidR="0017459C" w:rsidRPr="00F86D95" w:rsidRDefault="0017459C" w:rsidP="00BE1624">
      <w:pPr>
        <w:pStyle w:val="Heading2"/>
        <w:spacing w:line="360" w:lineRule="auto"/>
      </w:pPr>
      <w:r w:rsidRPr="00F86D95">
        <w:t>2.3.2 Methods:</w:t>
      </w:r>
    </w:p>
    <w:p w14:paraId="295974D4" w14:textId="4BEE856D" w:rsidR="00257C19" w:rsidRPr="00257C19" w:rsidRDefault="00257C19" w:rsidP="002D1582">
      <w:pPr>
        <w:spacing w:after="0" w:line="360" w:lineRule="auto"/>
        <w:jc w:val="both"/>
        <w:rPr>
          <w:rFonts w:asciiTheme="majorBidi" w:hAnsiTheme="majorBidi" w:cstheme="majorBidi"/>
          <w:sz w:val="24"/>
          <w:szCs w:val="24"/>
        </w:rPr>
      </w:pPr>
      <w:r w:rsidRPr="00257C19">
        <w:rPr>
          <w:rFonts w:asciiTheme="majorBidi" w:hAnsiTheme="majorBidi" w:cstheme="majorBidi"/>
          <w:sz w:val="24"/>
          <w:szCs w:val="24"/>
        </w:rPr>
        <w:t>The complete blood count was conducted using the XS500i Hematology analyzer (Sysmex, Kobe, Japan). Differential cell counts were obtained through blood film analysis. The ESR was measured using the Westergren method. Coagulation tests were performed with the Sysmex CS2100i (Siemens, Munich, Germany). All biochemical tests were quantified using the Cobas 8000 Modular Analyzer (Roche Diagnostics, Mannheim, Germany), except for HbA1C and D-dimer, which were analyzed on the Cobas 6000 Modular Analyzer (Roche Diagnostics, Mannheim, Germany).</w:t>
      </w:r>
    </w:p>
    <w:p w14:paraId="07302D2C" w14:textId="1881774C" w:rsidR="00AA25CD" w:rsidRPr="00F86D95" w:rsidRDefault="00257C19" w:rsidP="00C156E4">
      <w:pPr>
        <w:spacing w:after="0" w:line="360" w:lineRule="auto"/>
        <w:jc w:val="both"/>
        <w:rPr>
          <w:rFonts w:asciiTheme="majorBidi" w:hAnsiTheme="majorBidi" w:cstheme="majorBidi"/>
          <w:sz w:val="24"/>
          <w:szCs w:val="24"/>
        </w:rPr>
      </w:pPr>
      <w:r w:rsidRPr="00257C19">
        <w:rPr>
          <w:rFonts w:asciiTheme="majorBidi" w:hAnsiTheme="majorBidi" w:cstheme="majorBidi"/>
          <w:sz w:val="24"/>
          <w:szCs w:val="24"/>
        </w:rPr>
        <w:t>Fecal calprotectin (FC) concentration was determined via the Calprest ELISA (Eurospital, Trieste, Italy), adhering to the manufacturer's specifications</w:t>
      </w:r>
      <w:r w:rsidR="00C156E4" w:rsidRPr="00E627E9">
        <w:rPr>
          <w:rFonts w:asciiTheme="majorBidi" w:hAnsiTheme="majorBidi" w:cstheme="majorBidi"/>
          <w:sz w:val="24"/>
          <w:szCs w:val="24"/>
        </w:rPr>
        <w:t>.</w:t>
      </w:r>
    </w:p>
    <w:p w14:paraId="474B2940" w14:textId="20488BF2" w:rsidR="000009BE" w:rsidRPr="00F86D95" w:rsidRDefault="000009BE" w:rsidP="00BE1624">
      <w:pPr>
        <w:pStyle w:val="Heading2"/>
        <w:spacing w:before="0" w:line="360" w:lineRule="auto"/>
      </w:pPr>
      <w:r w:rsidRPr="00F86D95">
        <w:t>2.4. Statistical analysis</w:t>
      </w:r>
    </w:p>
    <w:p w14:paraId="59F292C8" w14:textId="740C379B" w:rsidR="005562EF" w:rsidRPr="00F547E6" w:rsidRDefault="00603F23" w:rsidP="005562EF">
      <w:pPr>
        <w:spacing w:after="0" w:line="360" w:lineRule="auto"/>
        <w:jc w:val="both"/>
        <w:rPr>
          <w:rFonts w:asciiTheme="majorBidi" w:hAnsiTheme="majorBidi" w:cstheme="majorBidi"/>
          <w:sz w:val="24"/>
          <w:szCs w:val="24"/>
          <w:shd w:val="clear" w:color="auto" w:fill="FFFFFF"/>
        </w:rPr>
      </w:pPr>
      <w:r w:rsidRPr="00603F23">
        <w:rPr>
          <w:rFonts w:asciiTheme="majorBidi" w:hAnsiTheme="majorBidi" w:cstheme="majorBidi"/>
          <w:sz w:val="24"/>
          <w:szCs w:val="24"/>
        </w:rPr>
        <w:t>Quantitative parameters were presented as the mean and standard deviation (SD), while categorical parameters were presented as absolutes and percentages. The student t-test and paired t-test were employed for unrelated and related quantitative variables, respectively. The chi-squared test was utilized to compare categorical variables. All statistical analyses were conducted using the statistical software program</w:t>
      </w:r>
      <w:r w:rsidR="00AE7D1C">
        <w:rPr>
          <w:rFonts w:asciiTheme="majorBidi" w:hAnsiTheme="majorBidi" w:cstheme="majorBidi"/>
          <w:sz w:val="24"/>
          <w:szCs w:val="24"/>
        </w:rPr>
        <w:t xml:space="preserve"> SPSS</w:t>
      </w:r>
      <w:r w:rsidRPr="00603F23">
        <w:rPr>
          <w:rFonts w:asciiTheme="majorBidi" w:hAnsiTheme="majorBidi" w:cstheme="majorBidi"/>
          <w:sz w:val="24"/>
          <w:szCs w:val="24"/>
        </w:rPr>
        <w:t xml:space="preserve"> for Windows version 25.0 (SPSS; Chicago, IL, USA). A p-value less than 0.05 was considered statistically significant</w:t>
      </w:r>
      <w:r w:rsidR="005562EF" w:rsidRPr="00F547E6">
        <w:rPr>
          <w:rFonts w:asciiTheme="majorBidi" w:hAnsiTheme="majorBidi" w:cstheme="majorBidi"/>
          <w:sz w:val="24"/>
          <w:szCs w:val="24"/>
        </w:rPr>
        <w:t>.</w:t>
      </w:r>
    </w:p>
    <w:p w14:paraId="69D548CD" w14:textId="07058258" w:rsidR="00E73AF5" w:rsidRPr="00904B55" w:rsidRDefault="00E73AF5" w:rsidP="00BE1624">
      <w:pPr>
        <w:pStyle w:val="Heading1"/>
        <w:spacing w:line="360" w:lineRule="auto"/>
      </w:pPr>
      <w:r w:rsidRPr="00904B55">
        <w:t xml:space="preserve">Results </w:t>
      </w:r>
    </w:p>
    <w:p w14:paraId="14E80B82" w14:textId="15133719" w:rsidR="00D2687B" w:rsidRDefault="00CA3EE8" w:rsidP="00700C84">
      <w:pPr>
        <w:spacing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All i</w:t>
      </w:r>
      <w:r w:rsidR="000775CC">
        <w:rPr>
          <w:rFonts w:asciiTheme="majorBidi" w:hAnsiTheme="majorBidi" w:cstheme="majorBidi"/>
          <w:sz w:val="24"/>
          <w:szCs w:val="24"/>
          <w:shd w:val="clear" w:color="auto" w:fill="FFFFFF"/>
        </w:rPr>
        <w:t>ncluded f</w:t>
      </w:r>
      <w:r w:rsidR="005B1992" w:rsidRPr="00C87A86">
        <w:rPr>
          <w:rFonts w:asciiTheme="majorBidi" w:hAnsiTheme="majorBidi" w:cstheme="majorBidi"/>
          <w:sz w:val="24"/>
          <w:szCs w:val="24"/>
          <w:shd w:val="clear" w:color="auto" w:fill="FFFFFF"/>
        </w:rPr>
        <w:t>ifty</w:t>
      </w:r>
      <w:r w:rsidR="00A95632" w:rsidRPr="00C87A86">
        <w:rPr>
          <w:rFonts w:asciiTheme="majorBidi" w:hAnsiTheme="majorBidi" w:cstheme="majorBidi"/>
          <w:sz w:val="24"/>
          <w:szCs w:val="24"/>
          <w:shd w:val="clear" w:color="auto" w:fill="FFFFFF"/>
        </w:rPr>
        <w:t xml:space="preserve"> </w:t>
      </w:r>
      <w:r w:rsidR="00462C80" w:rsidRPr="00C87A86">
        <w:rPr>
          <w:rFonts w:asciiTheme="majorBidi" w:hAnsiTheme="majorBidi" w:cstheme="majorBidi"/>
          <w:sz w:val="24"/>
          <w:szCs w:val="24"/>
          <w:shd w:val="clear" w:color="auto" w:fill="FFFFFF"/>
        </w:rPr>
        <w:t>patients</w:t>
      </w:r>
      <w:r w:rsidR="003E3CB4" w:rsidRPr="00C87A86">
        <w:rPr>
          <w:rFonts w:asciiTheme="majorBidi" w:hAnsiTheme="majorBidi" w:cstheme="majorBidi"/>
          <w:sz w:val="24"/>
          <w:szCs w:val="24"/>
          <w:shd w:val="clear" w:color="auto" w:fill="FFFFFF"/>
        </w:rPr>
        <w:t xml:space="preserve"> with COVID-19 </w:t>
      </w:r>
      <w:r w:rsidR="00CE1EF0" w:rsidRPr="00C87A86">
        <w:rPr>
          <w:rFonts w:asciiTheme="majorBidi" w:hAnsiTheme="majorBidi" w:cstheme="majorBidi"/>
          <w:sz w:val="24"/>
          <w:szCs w:val="24"/>
          <w:shd w:val="clear" w:color="auto" w:fill="FFFFFF"/>
        </w:rPr>
        <w:t>disease</w:t>
      </w:r>
      <w:r w:rsidR="007C5AE5">
        <w:rPr>
          <w:rFonts w:asciiTheme="majorBidi" w:hAnsiTheme="majorBidi" w:cstheme="majorBidi"/>
          <w:sz w:val="24"/>
          <w:szCs w:val="24"/>
          <w:shd w:val="clear" w:color="auto" w:fill="FFFFFF"/>
        </w:rPr>
        <w:t xml:space="preserve"> who</w:t>
      </w:r>
      <w:r w:rsidR="007C5AE5" w:rsidRPr="00C26193">
        <w:rPr>
          <w:rFonts w:asciiTheme="majorBidi" w:hAnsiTheme="majorBidi" w:cstheme="majorBidi"/>
          <w:sz w:val="24"/>
          <w:szCs w:val="24"/>
          <w:shd w:val="clear" w:color="auto" w:fill="FFFFFF"/>
        </w:rPr>
        <w:t xml:space="preserve"> </w:t>
      </w:r>
      <w:r w:rsidR="007C5AE5">
        <w:rPr>
          <w:rFonts w:asciiTheme="majorBidi" w:hAnsiTheme="majorBidi" w:cstheme="majorBidi"/>
          <w:sz w:val="24"/>
          <w:szCs w:val="24"/>
          <w:shd w:val="clear" w:color="auto" w:fill="FFFFFF"/>
        </w:rPr>
        <w:t xml:space="preserve">manifested </w:t>
      </w:r>
      <w:r w:rsidR="007C5AE5" w:rsidRPr="00932F8E">
        <w:rPr>
          <w:rFonts w:asciiTheme="majorBidi" w:hAnsiTheme="majorBidi" w:cstheme="majorBidi"/>
          <w:sz w:val="24"/>
          <w:szCs w:val="24"/>
          <w:shd w:val="clear" w:color="auto" w:fill="FFFFFF"/>
        </w:rPr>
        <w:t>with GI symptoms</w:t>
      </w:r>
      <w:r w:rsidR="00AB3419" w:rsidRPr="00932F8E">
        <w:rPr>
          <w:rFonts w:asciiTheme="majorBidi" w:hAnsiTheme="majorBidi" w:cstheme="majorBidi"/>
          <w:sz w:val="24"/>
          <w:szCs w:val="24"/>
          <w:shd w:val="clear" w:color="auto" w:fill="FFFFFF"/>
        </w:rPr>
        <w:t xml:space="preserve"> with or without</w:t>
      </w:r>
      <w:r w:rsidR="007C5AE5" w:rsidRPr="00932F8E">
        <w:rPr>
          <w:rFonts w:asciiTheme="majorBidi" w:hAnsiTheme="majorBidi" w:cstheme="majorBidi"/>
          <w:sz w:val="24"/>
          <w:szCs w:val="24"/>
          <w:shd w:val="clear" w:color="auto" w:fill="FFFFFF"/>
        </w:rPr>
        <w:t xml:space="preserve"> respiratory symptoms</w:t>
      </w:r>
      <w:r w:rsidR="00AE7D1C">
        <w:rPr>
          <w:rFonts w:asciiTheme="majorBidi" w:hAnsiTheme="majorBidi" w:cstheme="majorBidi"/>
          <w:sz w:val="24"/>
          <w:szCs w:val="24"/>
          <w:shd w:val="clear" w:color="auto" w:fill="FFFFFF"/>
        </w:rPr>
        <w:t>, and others</w:t>
      </w:r>
      <w:r>
        <w:rPr>
          <w:rFonts w:asciiTheme="majorBidi" w:hAnsiTheme="majorBidi" w:cstheme="majorBidi"/>
          <w:sz w:val="24"/>
          <w:szCs w:val="24"/>
          <w:shd w:val="clear" w:color="auto" w:fill="FFFFFF"/>
        </w:rPr>
        <w:t xml:space="preserve"> were</w:t>
      </w:r>
      <w:r w:rsidR="00A35764" w:rsidRPr="00C87A86">
        <w:rPr>
          <w:rFonts w:asciiTheme="majorBidi" w:hAnsiTheme="majorBidi" w:cstheme="majorBidi"/>
          <w:sz w:val="24"/>
          <w:szCs w:val="24"/>
          <w:shd w:val="clear" w:color="auto" w:fill="FFFFFF"/>
        </w:rPr>
        <w:t xml:space="preserve"> </w:t>
      </w:r>
      <w:r w:rsidR="007F7048" w:rsidRPr="00C87A86">
        <w:rPr>
          <w:rFonts w:asciiTheme="majorBidi" w:hAnsiTheme="majorBidi" w:cstheme="majorBidi"/>
          <w:sz w:val="24"/>
          <w:szCs w:val="24"/>
          <w:shd w:val="clear" w:color="auto" w:fill="FFFFFF"/>
        </w:rPr>
        <w:t>classifi</w:t>
      </w:r>
      <w:r w:rsidR="00A35764" w:rsidRPr="00C87A86">
        <w:rPr>
          <w:rFonts w:asciiTheme="majorBidi" w:hAnsiTheme="majorBidi" w:cstheme="majorBidi"/>
          <w:sz w:val="24"/>
          <w:szCs w:val="24"/>
          <w:shd w:val="clear" w:color="auto" w:fill="FFFFFF"/>
        </w:rPr>
        <w:t>ed</w:t>
      </w:r>
      <w:r w:rsidR="00A95632" w:rsidRPr="00C87A86">
        <w:rPr>
          <w:rFonts w:asciiTheme="majorBidi" w:hAnsiTheme="majorBidi" w:cstheme="majorBidi"/>
          <w:sz w:val="24"/>
          <w:szCs w:val="24"/>
          <w:shd w:val="clear" w:color="auto" w:fill="FFFFFF"/>
        </w:rPr>
        <w:t xml:space="preserve"> in</w:t>
      </w:r>
      <w:r w:rsidR="003D2AFF" w:rsidRPr="00C87A86">
        <w:rPr>
          <w:rFonts w:asciiTheme="majorBidi" w:hAnsiTheme="majorBidi" w:cstheme="majorBidi"/>
          <w:sz w:val="24"/>
          <w:szCs w:val="24"/>
          <w:shd w:val="clear" w:color="auto" w:fill="FFFFFF"/>
        </w:rPr>
        <w:t xml:space="preserve">to </w:t>
      </w:r>
      <w:r w:rsidR="00817DD7" w:rsidRPr="00C87A86">
        <w:rPr>
          <w:rFonts w:asciiTheme="majorBidi" w:hAnsiTheme="majorBidi" w:cstheme="majorBidi"/>
          <w:sz w:val="24"/>
          <w:szCs w:val="24"/>
          <w:shd w:val="clear" w:color="auto" w:fill="FFFFFF"/>
        </w:rPr>
        <w:t>four</w:t>
      </w:r>
      <w:r w:rsidR="003D2AFF" w:rsidRPr="00C87A86">
        <w:rPr>
          <w:rFonts w:asciiTheme="majorBidi" w:hAnsiTheme="majorBidi" w:cstheme="majorBidi"/>
          <w:sz w:val="24"/>
          <w:szCs w:val="24"/>
          <w:shd w:val="clear" w:color="auto" w:fill="FFFFFF"/>
        </w:rPr>
        <w:t xml:space="preserve"> arms: the first </w:t>
      </w:r>
      <w:r w:rsidR="00A95632" w:rsidRPr="00C87A86">
        <w:rPr>
          <w:rFonts w:asciiTheme="majorBidi" w:hAnsiTheme="majorBidi" w:cstheme="majorBidi"/>
          <w:sz w:val="24"/>
          <w:szCs w:val="24"/>
          <w:shd w:val="clear" w:color="auto" w:fill="FFFFFF"/>
        </w:rPr>
        <w:t xml:space="preserve">of whom </w:t>
      </w:r>
      <w:r w:rsidR="003E3CB4" w:rsidRPr="00C87A86">
        <w:rPr>
          <w:rFonts w:asciiTheme="majorBidi" w:hAnsiTheme="majorBidi" w:cstheme="majorBidi"/>
          <w:sz w:val="24"/>
          <w:szCs w:val="24"/>
          <w:shd w:val="clear" w:color="auto" w:fill="FFFFFF"/>
        </w:rPr>
        <w:t>1</w:t>
      </w:r>
      <w:r w:rsidR="007F7048" w:rsidRPr="00C87A86">
        <w:rPr>
          <w:rFonts w:asciiTheme="majorBidi" w:hAnsiTheme="majorBidi" w:cstheme="majorBidi"/>
          <w:sz w:val="24"/>
          <w:szCs w:val="24"/>
          <w:shd w:val="clear" w:color="auto" w:fill="FFFFFF"/>
        </w:rPr>
        <w:t>4</w:t>
      </w:r>
      <w:r w:rsidR="00A95632" w:rsidRPr="00C87A86">
        <w:rPr>
          <w:rFonts w:asciiTheme="majorBidi" w:hAnsiTheme="majorBidi" w:cstheme="majorBidi"/>
          <w:sz w:val="24"/>
          <w:szCs w:val="24"/>
          <w:shd w:val="clear" w:color="auto" w:fill="FFFFFF"/>
        </w:rPr>
        <w:t xml:space="preserve"> </w:t>
      </w:r>
      <w:r w:rsidR="008B2F3A" w:rsidRPr="00C87A86">
        <w:rPr>
          <w:rFonts w:asciiTheme="majorBidi" w:hAnsiTheme="majorBidi" w:cstheme="majorBidi"/>
          <w:sz w:val="24"/>
          <w:szCs w:val="24"/>
          <w:shd w:val="clear" w:color="auto" w:fill="FFFFFF"/>
        </w:rPr>
        <w:t>patients with mild symptoms</w:t>
      </w:r>
      <w:r w:rsidR="00A95632" w:rsidRPr="00C87A86">
        <w:rPr>
          <w:rFonts w:asciiTheme="majorBidi" w:hAnsiTheme="majorBidi" w:cstheme="majorBidi"/>
          <w:sz w:val="24"/>
          <w:szCs w:val="24"/>
          <w:shd w:val="clear" w:color="auto" w:fill="FFFFFF"/>
        </w:rPr>
        <w:t xml:space="preserve">, </w:t>
      </w:r>
      <w:r w:rsidR="006F1193" w:rsidRPr="00C87A86">
        <w:rPr>
          <w:rFonts w:asciiTheme="majorBidi" w:hAnsiTheme="majorBidi" w:cstheme="majorBidi"/>
          <w:sz w:val="24"/>
          <w:szCs w:val="24"/>
          <w:shd w:val="clear" w:color="auto" w:fill="FFFFFF"/>
        </w:rPr>
        <w:t>12</w:t>
      </w:r>
      <w:r w:rsidR="00A95632" w:rsidRPr="00C87A86">
        <w:rPr>
          <w:rFonts w:asciiTheme="majorBidi" w:hAnsiTheme="majorBidi" w:cstheme="majorBidi"/>
          <w:sz w:val="24"/>
          <w:szCs w:val="24"/>
          <w:shd w:val="clear" w:color="auto" w:fill="FFFFFF"/>
        </w:rPr>
        <w:t xml:space="preserve"> </w:t>
      </w:r>
      <w:r w:rsidR="00462C80" w:rsidRPr="00C87A86">
        <w:rPr>
          <w:rFonts w:asciiTheme="majorBidi" w:hAnsiTheme="majorBidi" w:cstheme="majorBidi"/>
          <w:sz w:val="24"/>
          <w:szCs w:val="24"/>
          <w:shd w:val="clear" w:color="auto" w:fill="FFFFFF"/>
        </w:rPr>
        <w:t xml:space="preserve">patients </w:t>
      </w:r>
      <w:r w:rsidR="006F1193" w:rsidRPr="00C87A86">
        <w:rPr>
          <w:rFonts w:asciiTheme="majorBidi" w:hAnsiTheme="majorBidi" w:cstheme="majorBidi"/>
          <w:sz w:val="24"/>
          <w:szCs w:val="24"/>
          <w:shd w:val="clear" w:color="auto" w:fill="FFFFFF"/>
        </w:rPr>
        <w:t xml:space="preserve">with moderate </w:t>
      </w:r>
      <w:r w:rsidR="002C083A" w:rsidRPr="00C87A86">
        <w:rPr>
          <w:rFonts w:asciiTheme="majorBidi" w:hAnsiTheme="majorBidi" w:cstheme="majorBidi"/>
          <w:sz w:val="24"/>
          <w:szCs w:val="24"/>
          <w:shd w:val="clear" w:color="auto" w:fill="FFFFFF"/>
        </w:rPr>
        <w:t>manifestations</w:t>
      </w:r>
      <w:r w:rsidR="00CE1EF0" w:rsidRPr="00C87A86">
        <w:rPr>
          <w:rFonts w:asciiTheme="majorBidi" w:hAnsiTheme="majorBidi" w:cstheme="majorBidi"/>
          <w:sz w:val="24"/>
          <w:szCs w:val="24"/>
          <w:shd w:val="clear" w:color="auto" w:fill="FFFFFF"/>
        </w:rPr>
        <w:t>,</w:t>
      </w:r>
      <w:r w:rsidR="00FC4447" w:rsidRPr="00C87A86">
        <w:rPr>
          <w:rFonts w:asciiTheme="majorBidi" w:hAnsiTheme="majorBidi" w:cstheme="majorBidi"/>
          <w:sz w:val="24"/>
          <w:szCs w:val="24"/>
          <w:shd w:val="clear" w:color="auto" w:fill="FFFFFF"/>
        </w:rPr>
        <w:t xml:space="preserve"> </w:t>
      </w:r>
      <w:r w:rsidR="002C083A" w:rsidRPr="00C87A86">
        <w:rPr>
          <w:rFonts w:asciiTheme="majorBidi" w:hAnsiTheme="majorBidi" w:cstheme="majorBidi"/>
          <w:sz w:val="24"/>
          <w:szCs w:val="24"/>
          <w:shd w:val="clear" w:color="auto" w:fill="FFFFFF"/>
        </w:rPr>
        <w:t>12 patients with severe manifestations</w:t>
      </w:r>
      <w:r w:rsidR="00C716FE" w:rsidRPr="00C87A86">
        <w:rPr>
          <w:rFonts w:asciiTheme="majorBidi" w:hAnsiTheme="majorBidi" w:cstheme="majorBidi"/>
          <w:sz w:val="24"/>
          <w:szCs w:val="24"/>
          <w:shd w:val="clear" w:color="auto" w:fill="FFFFFF"/>
        </w:rPr>
        <w:t xml:space="preserve">, lastly 12 </w:t>
      </w:r>
      <w:r w:rsidR="00B33187" w:rsidRPr="00C87A86">
        <w:rPr>
          <w:rFonts w:asciiTheme="majorBidi" w:hAnsiTheme="majorBidi" w:cstheme="majorBidi"/>
          <w:sz w:val="24"/>
          <w:szCs w:val="24"/>
          <w:shd w:val="clear" w:color="auto" w:fill="FFFFFF"/>
        </w:rPr>
        <w:t xml:space="preserve">critically ill </w:t>
      </w:r>
      <w:r w:rsidR="00C716FE" w:rsidRPr="00C87A86">
        <w:rPr>
          <w:rFonts w:asciiTheme="majorBidi" w:hAnsiTheme="majorBidi" w:cstheme="majorBidi"/>
          <w:sz w:val="24"/>
          <w:szCs w:val="24"/>
          <w:shd w:val="clear" w:color="auto" w:fill="FFFFFF"/>
        </w:rPr>
        <w:t>patients</w:t>
      </w:r>
      <w:r w:rsidR="00A87E81" w:rsidRPr="00C87A86">
        <w:rPr>
          <w:rFonts w:asciiTheme="majorBidi" w:hAnsiTheme="majorBidi" w:cstheme="majorBidi"/>
          <w:sz w:val="24"/>
          <w:szCs w:val="24"/>
          <w:shd w:val="clear" w:color="auto" w:fill="FFFFFF"/>
        </w:rPr>
        <w:t xml:space="preserve"> in ICU</w:t>
      </w:r>
      <w:r w:rsidR="00A95632" w:rsidRPr="00C87A86">
        <w:rPr>
          <w:rFonts w:asciiTheme="majorBidi" w:hAnsiTheme="majorBidi" w:cstheme="majorBidi"/>
          <w:sz w:val="24"/>
          <w:szCs w:val="24"/>
          <w:shd w:val="clear" w:color="auto" w:fill="FFFFFF"/>
        </w:rPr>
        <w:t xml:space="preserve">. </w:t>
      </w:r>
    </w:p>
    <w:p w14:paraId="58446C01" w14:textId="649A13D2" w:rsidR="00D2687B" w:rsidRDefault="00D2687B" w:rsidP="00C97377">
      <w:pPr>
        <w:spacing w:line="360" w:lineRule="auto"/>
        <w:jc w:val="both"/>
        <w:rPr>
          <w:rFonts w:asciiTheme="majorBidi" w:hAnsiTheme="majorBidi" w:cstheme="majorBidi"/>
          <w:sz w:val="24"/>
          <w:szCs w:val="24"/>
        </w:rPr>
      </w:pPr>
      <w:r w:rsidRPr="00D2687B">
        <w:rPr>
          <w:rFonts w:asciiTheme="majorBidi" w:hAnsiTheme="majorBidi" w:cstheme="majorBidi"/>
          <w:sz w:val="24"/>
          <w:szCs w:val="24"/>
        </w:rPr>
        <w:t>Age, gender, residence, smoking, diabetes mellitus, diabetes and IHD, diabetes and HTN, gout GIT symptoms, respiratory symptoms, other diseases, BMI, fasting Glucose, HbA1c, white blood cells, hemoglobin, platelet count, total bilirubin, direct bilirubin, AST, ALT, albumin, ALP, INR</w:t>
      </w:r>
      <w:r w:rsidR="00AE7D1C">
        <w:rPr>
          <w:rFonts w:asciiTheme="majorBidi" w:hAnsiTheme="majorBidi" w:cstheme="majorBidi"/>
          <w:sz w:val="24"/>
          <w:szCs w:val="24"/>
        </w:rPr>
        <w:t>,</w:t>
      </w:r>
      <w:r w:rsidRPr="00D2687B">
        <w:rPr>
          <w:rFonts w:asciiTheme="majorBidi" w:hAnsiTheme="majorBidi" w:cstheme="majorBidi"/>
          <w:sz w:val="24"/>
          <w:szCs w:val="24"/>
        </w:rPr>
        <w:t xml:space="preserve"> and BUN were insignificantly </w:t>
      </w:r>
      <w:r w:rsidR="00AE7D1C">
        <w:rPr>
          <w:rFonts w:asciiTheme="majorBidi" w:hAnsiTheme="majorBidi" w:cstheme="majorBidi"/>
          <w:sz w:val="24"/>
          <w:szCs w:val="24"/>
        </w:rPr>
        <w:t>different</w:t>
      </w:r>
      <w:r w:rsidRPr="00D2687B">
        <w:rPr>
          <w:rFonts w:asciiTheme="majorBidi" w:hAnsiTheme="majorBidi" w:cstheme="majorBidi"/>
          <w:sz w:val="24"/>
          <w:szCs w:val="24"/>
        </w:rPr>
        <w:t xml:space="preserve"> among the four groups. Total protein was insignificantly </w:t>
      </w:r>
      <w:r w:rsidR="00AE7D1C">
        <w:rPr>
          <w:rFonts w:asciiTheme="majorBidi" w:hAnsiTheme="majorBidi" w:cstheme="majorBidi"/>
          <w:sz w:val="24"/>
          <w:szCs w:val="24"/>
        </w:rPr>
        <w:t>different</w:t>
      </w:r>
      <w:r w:rsidRPr="00D2687B">
        <w:rPr>
          <w:rFonts w:asciiTheme="majorBidi" w:hAnsiTheme="majorBidi" w:cstheme="majorBidi"/>
          <w:sz w:val="24"/>
          <w:szCs w:val="24"/>
        </w:rPr>
        <w:t xml:space="preserve"> between mild and (moderate and severe), between moderate and (severe and critical) and between severe and critical. Total protein was significantly lower in </w:t>
      </w:r>
      <w:r w:rsidR="00AE7D1C">
        <w:rPr>
          <w:rFonts w:asciiTheme="majorBidi" w:hAnsiTheme="majorBidi" w:cstheme="majorBidi"/>
          <w:sz w:val="24"/>
          <w:szCs w:val="24"/>
        </w:rPr>
        <w:t xml:space="preserve">the </w:t>
      </w:r>
      <w:r w:rsidR="00B530DB">
        <w:rPr>
          <w:rFonts w:asciiTheme="majorBidi" w:hAnsiTheme="majorBidi" w:cstheme="majorBidi"/>
          <w:sz w:val="24"/>
          <w:szCs w:val="24"/>
        </w:rPr>
        <w:t>crucial</w:t>
      </w:r>
      <w:r w:rsidR="00AE7D1C">
        <w:rPr>
          <w:rFonts w:asciiTheme="majorBidi" w:hAnsiTheme="majorBidi" w:cstheme="majorBidi"/>
          <w:sz w:val="24"/>
          <w:szCs w:val="24"/>
        </w:rPr>
        <w:t xml:space="preserve"> group than in the </w:t>
      </w:r>
      <w:r w:rsidRPr="00D2687B">
        <w:rPr>
          <w:rFonts w:asciiTheme="majorBidi" w:hAnsiTheme="majorBidi" w:cstheme="majorBidi"/>
          <w:sz w:val="24"/>
          <w:szCs w:val="24"/>
        </w:rPr>
        <w:t xml:space="preserve">mild group  (P value =0.003). Creatinine was </w:t>
      </w:r>
      <w:r w:rsidR="00EA5BA1">
        <w:rPr>
          <w:rFonts w:asciiTheme="majorBidi" w:hAnsiTheme="majorBidi" w:cstheme="majorBidi"/>
          <w:sz w:val="24"/>
          <w:szCs w:val="24"/>
        </w:rPr>
        <w:t>considerably</w:t>
      </w:r>
      <w:r w:rsidRPr="00D2687B">
        <w:rPr>
          <w:rFonts w:asciiTheme="majorBidi" w:hAnsiTheme="majorBidi" w:cstheme="majorBidi"/>
          <w:sz w:val="24"/>
          <w:szCs w:val="24"/>
        </w:rPr>
        <w:t xml:space="preserve"> lower in critical than (mild, moderate</w:t>
      </w:r>
      <w:r w:rsidR="00AE7D1C">
        <w:rPr>
          <w:rFonts w:asciiTheme="majorBidi" w:hAnsiTheme="majorBidi" w:cstheme="majorBidi"/>
          <w:sz w:val="24"/>
          <w:szCs w:val="24"/>
        </w:rPr>
        <w:t>, and severe) (P value =0.040)., as</w:t>
      </w:r>
      <w:r w:rsidRPr="00D2687B">
        <w:rPr>
          <w:rFonts w:asciiTheme="majorBidi" w:hAnsiTheme="majorBidi" w:cstheme="majorBidi"/>
          <w:sz w:val="24"/>
          <w:szCs w:val="24"/>
        </w:rPr>
        <w:t xml:space="preserve"> presented in </w:t>
      </w:r>
      <w:r w:rsidRPr="00D2687B">
        <w:rPr>
          <w:rFonts w:asciiTheme="majorBidi" w:hAnsiTheme="majorBidi" w:cstheme="majorBidi"/>
          <w:b/>
          <w:bCs/>
          <w:sz w:val="24"/>
          <w:szCs w:val="24"/>
        </w:rPr>
        <w:t>Table 1.</w:t>
      </w:r>
      <w:r w:rsidRPr="00D2687B">
        <w:rPr>
          <w:rFonts w:asciiTheme="majorBidi" w:hAnsiTheme="majorBidi" w:cstheme="majorBidi"/>
          <w:sz w:val="24"/>
          <w:szCs w:val="24"/>
        </w:rPr>
        <w:t xml:space="preserve"> </w:t>
      </w:r>
    </w:p>
    <w:p w14:paraId="10C16FF7" w14:textId="6732149D" w:rsidR="007F5B26" w:rsidRPr="007F5B26" w:rsidRDefault="007F5B26" w:rsidP="007F5B26">
      <w:pPr>
        <w:pStyle w:val="Caption"/>
        <w:keepNext/>
      </w:pPr>
      <w:r>
        <w:t xml:space="preserve">Table </w:t>
      </w:r>
      <w:fldSimple w:instr=" SEQ Table \* ARABIC ">
        <w:r w:rsidR="00650F29">
          <w:rPr>
            <w:noProof/>
          </w:rPr>
          <w:t>1</w:t>
        </w:r>
      </w:fldSimple>
      <w:r>
        <w:t xml:space="preserve">. </w:t>
      </w:r>
      <w:r w:rsidRPr="007F5B26">
        <w:t>Demographic and baseline characteristics of the four study groups (N=50).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Demographic and baseline characteristics of the four study groups (N=50)."/>
        <w:tblDescription w:val="Data are expressed as mean ± SD, median (IQR), or number (%).&#10;F: One way ANOVA, X2: Chi-square H:Kruskal-Wallis test&#10;IHD: ischemic heart disease, GI: Gastrointestinal, Others*: Hepatitis, Neuritis, Myositis, BMI: Body Mass Index, HbA1C: Hemoglobin A1C, INR: International Normalized Ratio, BUN: Blood Urea Nitrogen, ALT: Alanine Transferase, AST: Aspartate Transferase, ALP: Alkaline Phosphatase&#10;P1: P value between mild group and (moderate group, severe group and critical group), P2: P value between moderate group and ( severe group and critical group), P3: P value between severe group and critical group.&#10;"/>
      </w:tblPr>
      <w:tblGrid>
        <w:gridCol w:w="2088"/>
        <w:gridCol w:w="1337"/>
        <w:gridCol w:w="1420"/>
        <w:gridCol w:w="1390"/>
        <w:gridCol w:w="1385"/>
        <w:gridCol w:w="787"/>
        <w:gridCol w:w="850"/>
      </w:tblGrid>
      <w:tr w:rsidR="00E30C2D" w:rsidRPr="00B530DB" w14:paraId="06BBD438" w14:textId="77777777" w:rsidTr="00107073">
        <w:trPr>
          <w:trHeight w:val="432"/>
        </w:trPr>
        <w:tc>
          <w:tcPr>
            <w:tcW w:w="1128" w:type="pct"/>
            <w:tcBorders>
              <w:top w:val="single" w:sz="4" w:space="0" w:color="000000"/>
              <w:bottom w:val="single" w:sz="4" w:space="0" w:color="000000"/>
            </w:tcBorders>
            <w:shd w:val="pct12" w:color="auto" w:fill="auto"/>
            <w:vAlign w:val="center"/>
            <w:hideMark/>
          </w:tcPr>
          <w:p w14:paraId="26D06BE5" w14:textId="77777777" w:rsidR="00E30C2D" w:rsidRPr="00B530DB" w:rsidRDefault="00E30C2D" w:rsidP="00B530DB">
            <w:pPr>
              <w:pStyle w:val="Table"/>
              <w:rPr>
                <w:sz w:val="20"/>
                <w:szCs w:val="20"/>
              </w:rPr>
            </w:pPr>
            <w:r w:rsidRPr="00B530DB">
              <w:rPr>
                <w:sz w:val="20"/>
                <w:szCs w:val="20"/>
              </w:rPr>
              <w:t>Parameters</w:t>
            </w:r>
          </w:p>
        </w:tc>
        <w:tc>
          <w:tcPr>
            <w:tcW w:w="722" w:type="pct"/>
            <w:tcBorders>
              <w:top w:val="single" w:sz="4" w:space="0" w:color="000000"/>
              <w:bottom w:val="single" w:sz="4" w:space="0" w:color="000000"/>
            </w:tcBorders>
            <w:shd w:val="pct12" w:color="auto" w:fill="auto"/>
            <w:vAlign w:val="center"/>
            <w:hideMark/>
          </w:tcPr>
          <w:p w14:paraId="24C800D1" w14:textId="77777777" w:rsidR="00E30C2D" w:rsidRPr="00B530DB" w:rsidRDefault="00E30C2D" w:rsidP="00B530DB">
            <w:pPr>
              <w:pStyle w:val="Table"/>
              <w:rPr>
                <w:sz w:val="20"/>
                <w:szCs w:val="20"/>
              </w:rPr>
            </w:pPr>
            <w:r w:rsidRPr="00B530DB">
              <w:rPr>
                <w:sz w:val="20"/>
                <w:szCs w:val="20"/>
              </w:rPr>
              <w:t>Mild Group</w:t>
            </w:r>
          </w:p>
          <w:p w14:paraId="27D4167D" w14:textId="77777777" w:rsidR="00E30C2D" w:rsidRPr="00B530DB" w:rsidRDefault="00E30C2D" w:rsidP="00B530DB">
            <w:pPr>
              <w:pStyle w:val="Table"/>
              <w:rPr>
                <w:sz w:val="20"/>
                <w:szCs w:val="20"/>
              </w:rPr>
            </w:pPr>
            <w:r w:rsidRPr="00B530DB">
              <w:rPr>
                <w:sz w:val="20"/>
                <w:szCs w:val="20"/>
              </w:rPr>
              <w:t>(N=14)</w:t>
            </w:r>
          </w:p>
        </w:tc>
        <w:tc>
          <w:tcPr>
            <w:tcW w:w="767" w:type="pct"/>
            <w:tcBorders>
              <w:top w:val="single" w:sz="4" w:space="0" w:color="000000"/>
              <w:bottom w:val="single" w:sz="4" w:space="0" w:color="000000"/>
            </w:tcBorders>
            <w:shd w:val="pct12" w:color="auto" w:fill="auto"/>
            <w:vAlign w:val="center"/>
            <w:hideMark/>
          </w:tcPr>
          <w:p w14:paraId="0E6F749B" w14:textId="77777777" w:rsidR="00E30C2D" w:rsidRPr="00B530DB" w:rsidRDefault="00E30C2D" w:rsidP="00B530DB">
            <w:pPr>
              <w:pStyle w:val="Table"/>
              <w:rPr>
                <w:sz w:val="20"/>
                <w:szCs w:val="20"/>
              </w:rPr>
            </w:pPr>
            <w:r w:rsidRPr="00B530DB">
              <w:rPr>
                <w:sz w:val="20"/>
                <w:szCs w:val="20"/>
              </w:rPr>
              <w:t>Moderate Group (N=12)</w:t>
            </w:r>
          </w:p>
        </w:tc>
        <w:tc>
          <w:tcPr>
            <w:tcW w:w="751" w:type="pct"/>
            <w:tcBorders>
              <w:top w:val="single" w:sz="4" w:space="0" w:color="000000"/>
              <w:bottom w:val="single" w:sz="4" w:space="0" w:color="000000"/>
            </w:tcBorders>
            <w:shd w:val="pct12" w:color="auto" w:fill="auto"/>
            <w:vAlign w:val="center"/>
            <w:hideMark/>
          </w:tcPr>
          <w:p w14:paraId="64D924D0" w14:textId="77777777" w:rsidR="00E30C2D" w:rsidRPr="00B530DB" w:rsidRDefault="00E30C2D" w:rsidP="00B530DB">
            <w:pPr>
              <w:pStyle w:val="Table"/>
              <w:rPr>
                <w:sz w:val="20"/>
                <w:szCs w:val="20"/>
              </w:rPr>
            </w:pPr>
            <w:r w:rsidRPr="00B530DB">
              <w:rPr>
                <w:sz w:val="20"/>
                <w:szCs w:val="20"/>
              </w:rPr>
              <w:t>Severe Group</w:t>
            </w:r>
          </w:p>
          <w:p w14:paraId="79663CD7" w14:textId="77777777" w:rsidR="00E30C2D" w:rsidRPr="00B530DB" w:rsidRDefault="00E30C2D" w:rsidP="00B530DB">
            <w:pPr>
              <w:pStyle w:val="Table"/>
              <w:rPr>
                <w:sz w:val="20"/>
                <w:szCs w:val="20"/>
              </w:rPr>
            </w:pPr>
            <w:r w:rsidRPr="00B530DB">
              <w:rPr>
                <w:sz w:val="20"/>
                <w:szCs w:val="20"/>
              </w:rPr>
              <w:t>(N=12)</w:t>
            </w:r>
          </w:p>
        </w:tc>
        <w:tc>
          <w:tcPr>
            <w:tcW w:w="748" w:type="pct"/>
            <w:tcBorders>
              <w:top w:val="single" w:sz="4" w:space="0" w:color="000000"/>
              <w:bottom w:val="single" w:sz="4" w:space="0" w:color="000000"/>
            </w:tcBorders>
            <w:shd w:val="pct12" w:color="auto" w:fill="auto"/>
            <w:vAlign w:val="center"/>
            <w:hideMark/>
          </w:tcPr>
          <w:p w14:paraId="6238F8EB" w14:textId="77777777" w:rsidR="00E30C2D" w:rsidRPr="00B530DB" w:rsidRDefault="00E30C2D" w:rsidP="00B530DB">
            <w:pPr>
              <w:pStyle w:val="Table"/>
              <w:rPr>
                <w:sz w:val="20"/>
                <w:szCs w:val="20"/>
              </w:rPr>
            </w:pPr>
            <w:r w:rsidRPr="00B530DB">
              <w:rPr>
                <w:sz w:val="20"/>
                <w:szCs w:val="20"/>
              </w:rPr>
              <w:t>Critical Group (N=12)</w:t>
            </w:r>
          </w:p>
        </w:tc>
        <w:tc>
          <w:tcPr>
            <w:tcW w:w="425" w:type="pct"/>
            <w:tcBorders>
              <w:top w:val="single" w:sz="4" w:space="0" w:color="000000"/>
              <w:bottom w:val="single" w:sz="4" w:space="0" w:color="000000"/>
            </w:tcBorders>
            <w:shd w:val="pct12" w:color="auto" w:fill="auto"/>
            <w:vAlign w:val="center"/>
          </w:tcPr>
          <w:p w14:paraId="3EB2301B" w14:textId="77777777" w:rsidR="00E30C2D" w:rsidRPr="00B530DB" w:rsidRDefault="00E30C2D" w:rsidP="00B530DB">
            <w:pPr>
              <w:pStyle w:val="Table"/>
              <w:rPr>
                <w:sz w:val="20"/>
                <w:szCs w:val="20"/>
              </w:rPr>
            </w:pPr>
            <w:r w:rsidRPr="00B530DB">
              <w:rPr>
                <w:sz w:val="20"/>
                <w:szCs w:val="20"/>
              </w:rPr>
              <w:t>Test</w:t>
            </w:r>
          </w:p>
        </w:tc>
        <w:tc>
          <w:tcPr>
            <w:tcW w:w="459" w:type="pct"/>
            <w:tcBorders>
              <w:top w:val="single" w:sz="4" w:space="0" w:color="000000"/>
              <w:bottom w:val="single" w:sz="4" w:space="0" w:color="000000"/>
            </w:tcBorders>
            <w:shd w:val="pct12" w:color="auto" w:fill="auto"/>
            <w:vAlign w:val="center"/>
            <w:hideMark/>
          </w:tcPr>
          <w:p w14:paraId="54EC4264" w14:textId="77777777" w:rsidR="00E30C2D" w:rsidRPr="00B530DB" w:rsidRDefault="00E30C2D" w:rsidP="00B530DB">
            <w:pPr>
              <w:pStyle w:val="Table"/>
              <w:rPr>
                <w:sz w:val="20"/>
                <w:szCs w:val="20"/>
              </w:rPr>
            </w:pPr>
            <w:r w:rsidRPr="00B530DB">
              <w:rPr>
                <w:sz w:val="20"/>
                <w:szCs w:val="20"/>
              </w:rPr>
              <w:t>P-value</w:t>
            </w:r>
          </w:p>
        </w:tc>
      </w:tr>
      <w:tr w:rsidR="00E30C2D" w:rsidRPr="00B530DB" w14:paraId="3939123D" w14:textId="77777777" w:rsidTr="00107073">
        <w:trPr>
          <w:trHeight w:val="432"/>
        </w:trPr>
        <w:tc>
          <w:tcPr>
            <w:tcW w:w="1128" w:type="pct"/>
            <w:tcBorders>
              <w:top w:val="single" w:sz="4" w:space="0" w:color="000000"/>
            </w:tcBorders>
            <w:shd w:val="pct12" w:color="auto" w:fill="auto"/>
            <w:vAlign w:val="center"/>
            <w:hideMark/>
          </w:tcPr>
          <w:p w14:paraId="6EC90C4F" w14:textId="77777777" w:rsidR="00E30C2D" w:rsidRPr="00B530DB" w:rsidRDefault="00E30C2D" w:rsidP="00B530DB">
            <w:pPr>
              <w:pStyle w:val="Table"/>
              <w:rPr>
                <w:sz w:val="20"/>
                <w:szCs w:val="20"/>
              </w:rPr>
            </w:pPr>
            <w:r w:rsidRPr="00B530DB">
              <w:rPr>
                <w:sz w:val="20"/>
                <w:szCs w:val="20"/>
              </w:rPr>
              <w:t>Age (year)</w:t>
            </w:r>
          </w:p>
        </w:tc>
        <w:tc>
          <w:tcPr>
            <w:tcW w:w="722" w:type="pct"/>
            <w:tcBorders>
              <w:top w:val="single" w:sz="4" w:space="0" w:color="000000"/>
            </w:tcBorders>
            <w:vAlign w:val="center"/>
            <w:hideMark/>
          </w:tcPr>
          <w:p w14:paraId="31EA13BC" w14:textId="77777777" w:rsidR="00E30C2D" w:rsidRPr="00B530DB" w:rsidRDefault="00E30C2D" w:rsidP="00B530DB">
            <w:pPr>
              <w:pStyle w:val="Table"/>
              <w:rPr>
                <w:color w:val="000000"/>
                <w:sz w:val="20"/>
                <w:szCs w:val="20"/>
              </w:rPr>
            </w:pPr>
            <w:r w:rsidRPr="00B530DB">
              <w:rPr>
                <w:color w:val="000000"/>
                <w:sz w:val="20"/>
                <w:szCs w:val="20"/>
              </w:rPr>
              <w:t>51.3 ± 4.56</w:t>
            </w:r>
          </w:p>
        </w:tc>
        <w:tc>
          <w:tcPr>
            <w:tcW w:w="767" w:type="pct"/>
            <w:tcBorders>
              <w:top w:val="single" w:sz="4" w:space="0" w:color="000000"/>
            </w:tcBorders>
            <w:vAlign w:val="center"/>
            <w:hideMark/>
          </w:tcPr>
          <w:p w14:paraId="7C03CF76" w14:textId="77777777" w:rsidR="00E30C2D" w:rsidRPr="00B530DB" w:rsidRDefault="00E30C2D" w:rsidP="00B530DB">
            <w:pPr>
              <w:pStyle w:val="Table"/>
              <w:rPr>
                <w:sz w:val="20"/>
                <w:szCs w:val="20"/>
              </w:rPr>
            </w:pPr>
            <w:r w:rsidRPr="00B530DB">
              <w:rPr>
                <w:sz w:val="20"/>
                <w:szCs w:val="20"/>
              </w:rPr>
              <w:t>49.8 ± 3.24</w:t>
            </w:r>
          </w:p>
        </w:tc>
        <w:tc>
          <w:tcPr>
            <w:tcW w:w="751" w:type="pct"/>
            <w:tcBorders>
              <w:top w:val="single" w:sz="4" w:space="0" w:color="000000"/>
            </w:tcBorders>
            <w:vAlign w:val="center"/>
            <w:hideMark/>
          </w:tcPr>
          <w:p w14:paraId="393ADC9A" w14:textId="77777777" w:rsidR="00E30C2D" w:rsidRPr="00B530DB" w:rsidRDefault="00E30C2D" w:rsidP="00B530DB">
            <w:pPr>
              <w:pStyle w:val="Table"/>
              <w:rPr>
                <w:color w:val="000000"/>
                <w:sz w:val="20"/>
                <w:szCs w:val="20"/>
              </w:rPr>
            </w:pPr>
            <w:r w:rsidRPr="00B530DB">
              <w:rPr>
                <w:color w:val="000000"/>
                <w:sz w:val="20"/>
                <w:szCs w:val="20"/>
              </w:rPr>
              <w:t>49.6 ± 3.34</w:t>
            </w:r>
          </w:p>
        </w:tc>
        <w:tc>
          <w:tcPr>
            <w:tcW w:w="748" w:type="pct"/>
            <w:tcBorders>
              <w:top w:val="single" w:sz="4" w:space="0" w:color="000000"/>
            </w:tcBorders>
            <w:vAlign w:val="center"/>
            <w:hideMark/>
          </w:tcPr>
          <w:p w14:paraId="222DC7CE" w14:textId="77777777" w:rsidR="00E30C2D" w:rsidRPr="00B530DB" w:rsidRDefault="00E30C2D" w:rsidP="00B530DB">
            <w:pPr>
              <w:pStyle w:val="Table"/>
              <w:rPr>
                <w:color w:val="000000"/>
                <w:sz w:val="20"/>
                <w:szCs w:val="20"/>
              </w:rPr>
            </w:pPr>
            <w:r w:rsidRPr="00B530DB">
              <w:rPr>
                <w:color w:val="000000"/>
                <w:sz w:val="20"/>
                <w:szCs w:val="20"/>
              </w:rPr>
              <w:t>51.7 ± 3.55</w:t>
            </w:r>
          </w:p>
        </w:tc>
        <w:tc>
          <w:tcPr>
            <w:tcW w:w="425" w:type="pct"/>
            <w:tcBorders>
              <w:top w:val="single" w:sz="4" w:space="0" w:color="000000"/>
            </w:tcBorders>
            <w:vAlign w:val="center"/>
          </w:tcPr>
          <w:p w14:paraId="5156E4BB" w14:textId="77777777" w:rsidR="00E30C2D" w:rsidRPr="00B530DB" w:rsidRDefault="00E30C2D" w:rsidP="00B530DB">
            <w:pPr>
              <w:pStyle w:val="Table"/>
              <w:rPr>
                <w:rFonts w:eastAsia="Calibri"/>
                <w:sz w:val="20"/>
                <w:szCs w:val="20"/>
              </w:rPr>
            </w:pPr>
            <w:r w:rsidRPr="00B530DB">
              <w:rPr>
                <w:rFonts w:eastAsia="Calibri"/>
                <w:sz w:val="20"/>
                <w:szCs w:val="20"/>
              </w:rPr>
              <w:t>F</w:t>
            </w:r>
          </w:p>
          <w:p w14:paraId="0D91AAEF" w14:textId="77777777" w:rsidR="00E30C2D" w:rsidRPr="00B530DB" w:rsidRDefault="00E30C2D" w:rsidP="00B530DB">
            <w:pPr>
              <w:pStyle w:val="Table"/>
              <w:rPr>
                <w:rFonts w:eastAsia="Calibri"/>
                <w:sz w:val="20"/>
                <w:szCs w:val="20"/>
              </w:rPr>
            </w:pPr>
            <w:r w:rsidRPr="00B530DB">
              <w:rPr>
                <w:rFonts w:eastAsia="Calibri"/>
                <w:sz w:val="20"/>
                <w:szCs w:val="20"/>
              </w:rPr>
              <w:t>0.94</w:t>
            </w:r>
          </w:p>
        </w:tc>
        <w:tc>
          <w:tcPr>
            <w:tcW w:w="459" w:type="pct"/>
            <w:tcBorders>
              <w:top w:val="single" w:sz="4" w:space="0" w:color="000000"/>
            </w:tcBorders>
            <w:vAlign w:val="center"/>
          </w:tcPr>
          <w:p w14:paraId="285753DD" w14:textId="77777777" w:rsidR="00E30C2D" w:rsidRPr="00B530DB" w:rsidRDefault="00E30C2D" w:rsidP="00B530DB">
            <w:pPr>
              <w:pStyle w:val="Table"/>
              <w:rPr>
                <w:rFonts w:eastAsia="Calibri"/>
                <w:sz w:val="20"/>
                <w:szCs w:val="20"/>
              </w:rPr>
            </w:pPr>
            <w:r w:rsidRPr="00B530DB">
              <w:rPr>
                <w:rFonts w:eastAsia="Calibri"/>
                <w:sz w:val="20"/>
                <w:szCs w:val="20"/>
              </w:rPr>
              <w:t>0.430</w:t>
            </w:r>
          </w:p>
        </w:tc>
      </w:tr>
      <w:tr w:rsidR="00E30C2D" w:rsidRPr="00B530DB" w14:paraId="2E768F6C" w14:textId="77777777" w:rsidTr="00107073">
        <w:trPr>
          <w:trHeight w:val="432"/>
        </w:trPr>
        <w:tc>
          <w:tcPr>
            <w:tcW w:w="1128" w:type="pct"/>
            <w:shd w:val="pct12" w:color="auto" w:fill="auto"/>
            <w:vAlign w:val="center"/>
            <w:hideMark/>
          </w:tcPr>
          <w:p w14:paraId="5D7D768A" w14:textId="77777777" w:rsidR="00E30C2D" w:rsidRPr="00B530DB" w:rsidRDefault="00E30C2D" w:rsidP="00B530DB">
            <w:pPr>
              <w:pStyle w:val="Table"/>
              <w:rPr>
                <w:sz w:val="20"/>
                <w:szCs w:val="20"/>
              </w:rPr>
            </w:pPr>
            <w:r w:rsidRPr="00B530DB">
              <w:rPr>
                <w:sz w:val="20"/>
                <w:szCs w:val="20"/>
              </w:rPr>
              <w:t>Gender (Male/Female)</w:t>
            </w:r>
          </w:p>
        </w:tc>
        <w:tc>
          <w:tcPr>
            <w:tcW w:w="722" w:type="pct"/>
            <w:vAlign w:val="center"/>
            <w:hideMark/>
          </w:tcPr>
          <w:p w14:paraId="313977CE" w14:textId="77777777" w:rsidR="00E30C2D" w:rsidRPr="00B530DB" w:rsidRDefault="00E30C2D" w:rsidP="00B530DB">
            <w:pPr>
              <w:pStyle w:val="Table"/>
              <w:rPr>
                <w:sz w:val="20"/>
                <w:szCs w:val="20"/>
              </w:rPr>
            </w:pPr>
            <w:r w:rsidRPr="00B530DB">
              <w:rPr>
                <w:sz w:val="20"/>
                <w:szCs w:val="20"/>
              </w:rPr>
              <w:t>9/5</w:t>
            </w:r>
          </w:p>
        </w:tc>
        <w:tc>
          <w:tcPr>
            <w:tcW w:w="767" w:type="pct"/>
            <w:vAlign w:val="center"/>
            <w:hideMark/>
          </w:tcPr>
          <w:p w14:paraId="04B5F45A" w14:textId="77777777" w:rsidR="00E30C2D" w:rsidRPr="00B530DB" w:rsidRDefault="00E30C2D" w:rsidP="00B530DB">
            <w:pPr>
              <w:pStyle w:val="Table"/>
              <w:rPr>
                <w:sz w:val="20"/>
                <w:szCs w:val="20"/>
              </w:rPr>
            </w:pPr>
            <w:r w:rsidRPr="00B530DB">
              <w:rPr>
                <w:sz w:val="20"/>
                <w:szCs w:val="20"/>
              </w:rPr>
              <w:t>8/4</w:t>
            </w:r>
          </w:p>
        </w:tc>
        <w:tc>
          <w:tcPr>
            <w:tcW w:w="751" w:type="pct"/>
            <w:vAlign w:val="center"/>
            <w:hideMark/>
          </w:tcPr>
          <w:p w14:paraId="536BE45B" w14:textId="77777777" w:rsidR="00E30C2D" w:rsidRPr="00B530DB" w:rsidRDefault="00E30C2D" w:rsidP="00B530DB">
            <w:pPr>
              <w:pStyle w:val="Table"/>
              <w:rPr>
                <w:sz w:val="20"/>
                <w:szCs w:val="20"/>
              </w:rPr>
            </w:pPr>
            <w:r w:rsidRPr="00B530DB">
              <w:rPr>
                <w:sz w:val="20"/>
                <w:szCs w:val="20"/>
              </w:rPr>
              <w:t>7/5</w:t>
            </w:r>
          </w:p>
        </w:tc>
        <w:tc>
          <w:tcPr>
            <w:tcW w:w="748" w:type="pct"/>
            <w:vAlign w:val="center"/>
            <w:hideMark/>
          </w:tcPr>
          <w:p w14:paraId="6D2451B8" w14:textId="77777777" w:rsidR="00E30C2D" w:rsidRPr="00B530DB" w:rsidRDefault="00E30C2D" w:rsidP="00B530DB">
            <w:pPr>
              <w:pStyle w:val="Table"/>
              <w:rPr>
                <w:sz w:val="20"/>
                <w:szCs w:val="20"/>
              </w:rPr>
            </w:pPr>
            <w:r w:rsidRPr="00B530DB">
              <w:rPr>
                <w:sz w:val="20"/>
                <w:szCs w:val="20"/>
              </w:rPr>
              <w:t>8/4</w:t>
            </w:r>
          </w:p>
        </w:tc>
        <w:tc>
          <w:tcPr>
            <w:tcW w:w="425" w:type="pct"/>
            <w:vAlign w:val="center"/>
          </w:tcPr>
          <w:p w14:paraId="255FF7CE" w14:textId="77777777" w:rsidR="00E30C2D" w:rsidRPr="00B530DB" w:rsidRDefault="00E30C2D" w:rsidP="00B530DB">
            <w:pPr>
              <w:pStyle w:val="Table"/>
              <w:rPr>
                <w:sz w:val="20"/>
                <w:szCs w:val="20"/>
              </w:rPr>
            </w:pPr>
            <w:r w:rsidRPr="00B530DB">
              <w:rPr>
                <w:sz w:val="20"/>
                <w:szCs w:val="20"/>
              </w:rPr>
              <w:t>X</w:t>
            </w:r>
            <w:r w:rsidRPr="00B530DB">
              <w:rPr>
                <w:sz w:val="20"/>
                <w:szCs w:val="20"/>
                <w:vertAlign w:val="superscript"/>
              </w:rPr>
              <w:t>2</w:t>
            </w:r>
          </w:p>
          <w:p w14:paraId="6DB26C54" w14:textId="77777777" w:rsidR="00E30C2D" w:rsidRPr="00B530DB" w:rsidRDefault="00E30C2D" w:rsidP="00B530DB">
            <w:pPr>
              <w:pStyle w:val="Table"/>
              <w:rPr>
                <w:sz w:val="20"/>
                <w:szCs w:val="20"/>
                <w:highlight w:val="yellow"/>
              </w:rPr>
            </w:pPr>
            <w:r w:rsidRPr="00B530DB">
              <w:rPr>
                <w:sz w:val="20"/>
                <w:szCs w:val="20"/>
              </w:rPr>
              <w:t>0.241</w:t>
            </w:r>
          </w:p>
        </w:tc>
        <w:tc>
          <w:tcPr>
            <w:tcW w:w="459" w:type="pct"/>
            <w:vAlign w:val="center"/>
          </w:tcPr>
          <w:p w14:paraId="70F2D231" w14:textId="77777777" w:rsidR="00E30C2D" w:rsidRPr="00B530DB" w:rsidRDefault="00E30C2D" w:rsidP="00B530DB">
            <w:pPr>
              <w:pStyle w:val="Table"/>
              <w:rPr>
                <w:sz w:val="20"/>
                <w:szCs w:val="20"/>
              </w:rPr>
            </w:pPr>
            <w:r w:rsidRPr="00B530DB">
              <w:rPr>
                <w:sz w:val="20"/>
                <w:szCs w:val="20"/>
              </w:rPr>
              <w:t>0.971</w:t>
            </w:r>
          </w:p>
        </w:tc>
      </w:tr>
      <w:tr w:rsidR="00E30C2D" w:rsidRPr="00B530DB" w14:paraId="21DC19F8" w14:textId="77777777" w:rsidTr="00107073">
        <w:trPr>
          <w:trHeight w:val="432"/>
        </w:trPr>
        <w:tc>
          <w:tcPr>
            <w:tcW w:w="1128" w:type="pct"/>
            <w:shd w:val="pct12" w:color="auto" w:fill="auto"/>
            <w:vAlign w:val="center"/>
            <w:hideMark/>
          </w:tcPr>
          <w:p w14:paraId="1568F230" w14:textId="77777777" w:rsidR="00E30C2D" w:rsidRPr="00B530DB" w:rsidRDefault="00E30C2D" w:rsidP="00B530DB">
            <w:pPr>
              <w:pStyle w:val="Table"/>
              <w:rPr>
                <w:sz w:val="20"/>
                <w:szCs w:val="20"/>
              </w:rPr>
            </w:pPr>
            <w:bookmarkStart w:id="5" w:name="_Hlk174449800"/>
            <w:r w:rsidRPr="00B530DB">
              <w:rPr>
                <w:sz w:val="20"/>
                <w:szCs w:val="20"/>
              </w:rPr>
              <w:t xml:space="preserve">Residence </w:t>
            </w:r>
            <w:bookmarkEnd w:id="5"/>
            <w:r w:rsidRPr="00B530DB">
              <w:rPr>
                <w:sz w:val="20"/>
                <w:szCs w:val="20"/>
              </w:rPr>
              <w:t>(Rural/Urban)</w:t>
            </w:r>
          </w:p>
        </w:tc>
        <w:tc>
          <w:tcPr>
            <w:tcW w:w="722" w:type="pct"/>
            <w:vAlign w:val="center"/>
            <w:hideMark/>
          </w:tcPr>
          <w:p w14:paraId="761FC7A4" w14:textId="77777777" w:rsidR="00E30C2D" w:rsidRPr="00B530DB" w:rsidRDefault="00E30C2D" w:rsidP="00B530DB">
            <w:pPr>
              <w:pStyle w:val="Table"/>
              <w:rPr>
                <w:sz w:val="20"/>
                <w:szCs w:val="20"/>
              </w:rPr>
            </w:pPr>
            <w:r w:rsidRPr="00B530DB">
              <w:rPr>
                <w:sz w:val="20"/>
                <w:szCs w:val="20"/>
              </w:rPr>
              <w:t>10/4</w:t>
            </w:r>
          </w:p>
        </w:tc>
        <w:tc>
          <w:tcPr>
            <w:tcW w:w="767" w:type="pct"/>
            <w:vAlign w:val="center"/>
            <w:hideMark/>
          </w:tcPr>
          <w:p w14:paraId="3C3AE53A" w14:textId="77777777" w:rsidR="00E30C2D" w:rsidRPr="00B530DB" w:rsidRDefault="00E30C2D" w:rsidP="00B530DB">
            <w:pPr>
              <w:pStyle w:val="Table"/>
              <w:rPr>
                <w:sz w:val="20"/>
                <w:szCs w:val="20"/>
              </w:rPr>
            </w:pPr>
            <w:r w:rsidRPr="00B530DB">
              <w:rPr>
                <w:sz w:val="20"/>
                <w:szCs w:val="20"/>
              </w:rPr>
              <w:t>9/3</w:t>
            </w:r>
          </w:p>
        </w:tc>
        <w:tc>
          <w:tcPr>
            <w:tcW w:w="751" w:type="pct"/>
            <w:vAlign w:val="center"/>
            <w:hideMark/>
          </w:tcPr>
          <w:p w14:paraId="3A78A548" w14:textId="77777777" w:rsidR="00E30C2D" w:rsidRPr="00B530DB" w:rsidRDefault="00E30C2D" w:rsidP="00B530DB">
            <w:pPr>
              <w:pStyle w:val="Table"/>
              <w:rPr>
                <w:sz w:val="20"/>
                <w:szCs w:val="20"/>
              </w:rPr>
            </w:pPr>
            <w:r w:rsidRPr="00B530DB">
              <w:rPr>
                <w:sz w:val="20"/>
                <w:szCs w:val="20"/>
              </w:rPr>
              <w:t>8/4</w:t>
            </w:r>
          </w:p>
        </w:tc>
        <w:tc>
          <w:tcPr>
            <w:tcW w:w="748" w:type="pct"/>
            <w:vAlign w:val="center"/>
            <w:hideMark/>
          </w:tcPr>
          <w:p w14:paraId="4169925F" w14:textId="77777777" w:rsidR="00E30C2D" w:rsidRPr="00B530DB" w:rsidRDefault="00E30C2D" w:rsidP="00B530DB">
            <w:pPr>
              <w:pStyle w:val="Table"/>
              <w:rPr>
                <w:sz w:val="20"/>
                <w:szCs w:val="20"/>
              </w:rPr>
            </w:pPr>
            <w:r w:rsidRPr="00B530DB">
              <w:rPr>
                <w:sz w:val="20"/>
                <w:szCs w:val="20"/>
              </w:rPr>
              <w:t>7/5</w:t>
            </w:r>
          </w:p>
        </w:tc>
        <w:tc>
          <w:tcPr>
            <w:tcW w:w="425" w:type="pct"/>
            <w:vAlign w:val="center"/>
          </w:tcPr>
          <w:p w14:paraId="0A2130D7" w14:textId="77777777" w:rsidR="00E30C2D" w:rsidRPr="00B530DB" w:rsidRDefault="00E30C2D" w:rsidP="00B530DB">
            <w:pPr>
              <w:pStyle w:val="Table"/>
              <w:rPr>
                <w:sz w:val="20"/>
                <w:szCs w:val="20"/>
              </w:rPr>
            </w:pPr>
            <w:r w:rsidRPr="00B530DB">
              <w:rPr>
                <w:sz w:val="20"/>
                <w:szCs w:val="20"/>
              </w:rPr>
              <w:t>X</w:t>
            </w:r>
            <w:r w:rsidRPr="00B530DB">
              <w:rPr>
                <w:sz w:val="20"/>
                <w:szCs w:val="20"/>
                <w:vertAlign w:val="superscript"/>
              </w:rPr>
              <w:t>2</w:t>
            </w:r>
          </w:p>
          <w:p w14:paraId="365B51EB" w14:textId="77777777" w:rsidR="00E30C2D" w:rsidRPr="00B530DB" w:rsidRDefault="00E30C2D" w:rsidP="00B530DB">
            <w:pPr>
              <w:pStyle w:val="Table"/>
              <w:rPr>
                <w:sz w:val="20"/>
                <w:szCs w:val="20"/>
                <w:highlight w:val="yellow"/>
              </w:rPr>
            </w:pPr>
            <w:r w:rsidRPr="00B530DB">
              <w:rPr>
                <w:sz w:val="20"/>
                <w:szCs w:val="20"/>
              </w:rPr>
              <w:t>0.871</w:t>
            </w:r>
          </w:p>
        </w:tc>
        <w:tc>
          <w:tcPr>
            <w:tcW w:w="459" w:type="pct"/>
            <w:vAlign w:val="center"/>
          </w:tcPr>
          <w:p w14:paraId="6862657B" w14:textId="77777777" w:rsidR="00E30C2D" w:rsidRPr="00B530DB" w:rsidRDefault="00E30C2D" w:rsidP="00B530DB">
            <w:pPr>
              <w:pStyle w:val="Table"/>
              <w:rPr>
                <w:sz w:val="20"/>
                <w:szCs w:val="20"/>
              </w:rPr>
            </w:pPr>
            <w:r w:rsidRPr="00B530DB">
              <w:rPr>
                <w:sz w:val="20"/>
                <w:szCs w:val="20"/>
              </w:rPr>
              <w:t>0.832</w:t>
            </w:r>
          </w:p>
        </w:tc>
      </w:tr>
      <w:tr w:rsidR="00E30C2D" w:rsidRPr="00B530DB" w14:paraId="6184FFF7" w14:textId="77777777" w:rsidTr="00107073">
        <w:trPr>
          <w:trHeight w:val="432"/>
        </w:trPr>
        <w:tc>
          <w:tcPr>
            <w:tcW w:w="1128" w:type="pct"/>
            <w:shd w:val="pct12" w:color="auto" w:fill="auto"/>
            <w:vAlign w:val="center"/>
            <w:hideMark/>
          </w:tcPr>
          <w:p w14:paraId="13DD035B" w14:textId="77777777" w:rsidR="00E30C2D" w:rsidRPr="00B530DB" w:rsidRDefault="00E30C2D" w:rsidP="00B530DB">
            <w:pPr>
              <w:pStyle w:val="Table"/>
              <w:rPr>
                <w:sz w:val="20"/>
                <w:szCs w:val="20"/>
              </w:rPr>
            </w:pPr>
            <w:r w:rsidRPr="00B530DB">
              <w:rPr>
                <w:sz w:val="20"/>
                <w:szCs w:val="20"/>
              </w:rPr>
              <w:t>Smoking: (Non/Smoker)</w:t>
            </w:r>
          </w:p>
        </w:tc>
        <w:tc>
          <w:tcPr>
            <w:tcW w:w="722" w:type="pct"/>
            <w:vAlign w:val="center"/>
            <w:hideMark/>
          </w:tcPr>
          <w:p w14:paraId="20D67FBE" w14:textId="77777777" w:rsidR="00E30C2D" w:rsidRPr="00B530DB" w:rsidRDefault="00E30C2D" w:rsidP="00B530DB">
            <w:pPr>
              <w:pStyle w:val="Table"/>
              <w:rPr>
                <w:sz w:val="20"/>
                <w:szCs w:val="20"/>
              </w:rPr>
            </w:pPr>
            <w:r w:rsidRPr="00B530DB">
              <w:rPr>
                <w:sz w:val="20"/>
                <w:szCs w:val="20"/>
              </w:rPr>
              <w:t>9/5</w:t>
            </w:r>
          </w:p>
        </w:tc>
        <w:tc>
          <w:tcPr>
            <w:tcW w:w="767" w:type="pct"/>
            <w:vAlign w:val="center"/>
            <w:hideMark/>
          </w:tcPr>
          <w:p w14:paraId="5FEF7303" w14:textId="77777777" w:rsidR="00E30C2D" w:rsidRPr="00B530DB" w:rsidRDefault="00E30C2D" w:rsidP="00B530DB">
            <w:pPr>
              <w:pStyle w:val="Table"/>
              <w:rPr>
                <w:sz w:val="20"/>
                <w:szCs w:val="20"/>
              </w:rPr>
            </w:pPr>
            <w:r w:rsidRPr="00B530DB">
              <w:rPr>
                <w:sz w:val="20"/>
                <w:szCs w:val="20"/>
              </w:rPr>
              <w:t>7/5</w:t>
            </w:r>
          </w:p>
        </w:tc>
        <w:tc>
          <w:tcPr>
            <w:tcW w:w="751" w:type="pct"/>
            <w:vAlign w:val="center"/>
            <w:hideMark/>
          </w:tcPr>
          <w:p w14:paraId="001C35E0" w14:textId="77777777" w:rsidR="00E30C2D" w:rsidRPr="00B530DB" w:rsidRDefault="00E30C2D" w:rsidP="00B530DB">
            <w:pPr>
              <w:pStyle w:val="Table"/>
              <w:rPr>
                <w:sz w:val="20"/>
                <w:szCs w:val="20"/>
              </w:rPr>
            </w:pPr>
            <w:r w:rsidRPr="00B530DB">
              <w:rPr>
                <w:sz w:val="20"/>
                <w:szCs w:val="20"/>
              </w:rPr>
              <w:t>8/4</w:t>
            </w:r>
          </w:p>
        </w:tc>
        <w:tc>
          <w:tcPr>
            <w:tcW w:w="748" w:type="pct"/>
            <w:vAlign w:val="center"/>
            <w:hideMark/>
          </w:tcPr>
          <w:p w14:paraId="554B888C" w14:textId="77777777" w:rsidR="00E30C2D" w:rsidRPr="00B530DB" w:rsidRDefault="00E30C2D" w:rsidP="00B530DB">
            <w:pPr>
              <w:pStyle w:val="Table"/>
              <w:rPr>
                <w:sz w:val="20"/>
                <w:szCs w:val="20"/>
              </w:rPr>
            </w:pPr>
            <w:r w:rsidRPr="00B530DB">
              <w:rPr>
                <w:sz w:val="20"/>
                <w:szCs w:val="20"/>
              </w:rPr>
              <w:t>8/4</w:t>
            </w:r>
          </w:p>
        </w:tc>
        <w:tc>
          <w:tcPr>
            <w:tcW w:w="425" w:type="pct"/>
            <w:vAlign w:val="center"/>
          </w:tcPr>
          <w:p w14:paraId="4DC24936" w14:textId="77777777" w:rsidR="00E30C2D" w:rsidRPr="00B530DB" w:rsidRDefault="00E30C2D" w:rsidP="00B530DB">
            <w:pPr>
              <w:pStyle w:val="Table"/>
              <w:rPr>
                <w:sz w:val="20"/>
                <w:szCs w:val="20"/>
              </w:rPr>
            </w:pPr>
            <w:r w:rsidRPr="00B530DB">
              <w:rPr>
                <w:sz w:val="20"/>
                <w:szCs w:val="20"/>
              </w:rPr>
              <w:t>X</w:t>
            </w:r>
            <w:r w:rsidRPr="00B530DB">
              <w:rPr>
                <w:sz w:val="20"/>
                <w:szCs w:val="20"/>
                <w:vertAlign w:val="superscript"/>
              </w:rPr>
              <w:t>2</w:t>
            </w:r>
          </w:p>
          <w:p w14:paraId="317F897D" w14:textId="77777777" w:rsidR="00E30C2D" w:rsidRPr="00B530DB" w:rsidRDefault="00E30C2D" w:rsidP="00B530DB">
            <w:pPr>
              <w:pStyle w:val="Table"/>
              <w:rPr>
                <w:sz w:val="20"/>
                <w:szCs w:val="20"/>
                <w:highlight w:val="yellow"/>
              </w:rPr>
            </w:pPr>
            <w:r w:rsidRPr="00B530DB">
              <w:rPr>
                <w:sz w:val="20"/>
                <w:szCs w:val="20"/>
              </w:rPr>
              <w:t>0.241</w:t>
            </w:r>
          </w:p>
        </w:tc>
        <w:tc>
          <w:tcPr>
            <w:tcW w:w="459" w:type="pct"/>
            <w:vAlign w:val="center"/>
          </w:tcPr>
          <w:p w14:paraId="04CA5755" w14:textId="77777777" w:rsidR="00E30C2D" w:rsidRPr="00B530DB" w:rsidRDefault="00E30C2D" w:rsidP="00B530DB">
            <w:pPr>
              <w:pStyle w:val="Table"/>
              <w:rPr>
                <w:sz w:val="20"/>
                <w:szCs w:val="20"/>
                <w:highlight w:val="yellow"/>
              </w:rPr>
            </w:pPr>
            <w:r w:rsidRPr="00B530DB">
              <w:rPr>
                <w:sz w:val="20"/>
                <w:szCs w:val="20"/>
              </w:rPr>
              <w:t>0.970</w:t>
            </w:r>
          </w:p>
        </w:tc>
      </w:tr>
      <w:tr w:rsidR="00E30C2D" w:rsidRPr="00B530DB" w14:paraId="6153132A" w14:textId="77777777" w:rsidTr="00107073">
        <w:trPr>
          <w:trHeight w:val="432"/>
        </w:trPr>
        <w:tc>
          <w:tcPr>
            <w:tcW w:w="1128" w:type="pct"/>
            <w:shd w:val="pct12" w:color="auto" w:fill="auto"/>
            <w:vAlign w:val="center"/>
            <w:hideMark/>
          </w:tcPr>
          <w:p w14:paraId="465C8763" w14:textId="77777777" w:rsidR="00E30C2D" w:rsidRPr="00B530DB" w:rsidRDefault="00E30C2D" w:rsidP="00B530DB">
            <w:pPr>
              <w:pStyle w:val="Table"/>
              <w:rPr>
                <w:sz w:val="20"/>
                <w:szCs w:val="20"/>
              </w:rPr>
            </w:pPr>
            <w:r w:rsidRPr="00B530DB">
              <w:rPr>
                <w:sz w:val="20"/>
                <w:szCs w:val="20"/>
              </w:rPr>
              <w:t>Comorbidity:</w:t>
            </w:r>
          </w:p>
        </w:tc>
        <w:tc>
          <w:tcPr>
            <w:tcW w:w="722" w:type="pct"/>
            <w:vAlign w:val="center"/>
          </w:tcPr>
          <w:p w14:paraId="66C2C6F1" w14:textId="77777777" w:rsidR="00E30C2D" w:rsidRPr="00B530DB" w:rsidRDefault="00E30C2D" w:rsidP="00B530DB">
            <w:pPr>
              <w:pStyle w:val="Table"/>
              <w:rPr>
                <w:sz w:val="20"/>
                <w:szCs w:val="20"/>
              </w:rPr>
            </w:pPr>
          </w:p>
        </w:tc>
        <w:tc>
          <w:tcPr>
            <w:tcW w:w="767" w:type="pct"/>
            <w:vAlign w:val="center"/>
          </w:tcPr>
          <w:p w14:paraId="5956ED8E" w14:textId="77777777" w:rsidR="00E30C2D" w:rsidRPr="00B530DB" w:rsidRDefault="00E30C2D" w:rsidP="00B530DB">
            <w:pPr>
              <w:pStyle w:val="Table"/>
              <w:rPr>
                <w:sz w:val="20"/>
                <w:szCs w:val="20"/>
              </w:rPr>
            </w:pPr>
          </w:p>
        </w:tc>
        <w:tc>
          <w:tcPr>
            <w:tcW w:w="751" w:type="pct"/>
            <w:vAlign w:val="center"/>
          </w:tcPr>
          <w:p w14:paraId="76E450E7" w14:textId="77777777" w:rsidR="00E30C2D" w:rsidRPr="00B530DB" w:rsidRDefault="00E30C2D" w:rsidP="00B530DB">
            <w:pPr>
              <w:pStyle w:val="Table"/>
              <w:rPr>
                <w:sz w:val="20"/>
                <w:szCs w:val="20"/>
              </w:rPr>
            </w:pPr>
          </w:p>
        </w:tc>
        <w:tc>
          <w:tcPr>
            <w:tcW w:w="748" w:type="pct"/>
            <w:vAlign w:val="center"/>
          </w:tcPr>
          <w:p w14:paraId="30009279" w14:textId="77777777" w:rsidR="00E30C2D" w:rsidRPr="00B530DB" w:rsidRDefault="00E30C2D" w:rsidP="00B530DB">
            <w:pPr>
              <w:pStyle w:val="Table"/>
              <w:rPr>
                <w:sz w:val="20"/>
                <w:szCs w:val="20"/>
              </w:rPr>
            </w:pPr>
          </w:p>
        </w:tc>
        <w:tc>
          <w:tcPr>
            <w:tcW w:w="425" w:type="pct"/>
            <w:vAlign w:val="center"/>
          </w:tcPr>
          <w:p w14:paraId="20FFFCCF" w14:textId="77777777" w:rsidR="00E30C2D" w:rsidRPr="00B530DB" w:rsidRDefault="00E30C2D" w:rsidP="00B530DB">
            <w:pPr>
              <w:pStyle w:val="Table"/>
              <w:rPr>
                <w:sz w:val="20"/>
                <w:szCs w:val="20"/>
              </w:rPr>
            </w:pPr>
          </w:p>
        </w:tc>
        <w:tc>
          <w:tcPr>
            <w:tcW w:w="459" w:type="pct"/>
            <w:vAlign w:val="center"/>
          </w:tcPr>
          <w:p w14:paraId="1792444E" w14:textId="77777777" w:rsidR="00E30C2D" w:rsidRPr="00B530DB" w:rsidRDefault="00E30C2D" w:rsidP="00B530DB">
            <w:pPr>
              <w:pStyle w:val="Table"/>
              <w:rPr>
                <w:sz w:val="20"/>
                <w:szCs w:val="20"/>
              </w:rPr>
            </w:pPr>
          </w:p>
        </w:tc>
      </w:tr>
      <w:tr w:rsidR="00E30C2D" w:rsidRPr="00B530DB" w14:paraId="7ACF6806" w14:textId="77777777" w:rsidTr="00107073">
        <w:trPr>
          <w:trHeight w:val="432"/>
        </w:trPr>
        <w:tc>
          <w:tcPr>
            <w:tcW w:w="1128" w:type="pct"/>
            <w:shd w:val="pct12" w:color="auto" w:fill="auto"/>
            <w:vAlign w:val="center"/>
            <w:hideMark/>
          </w:tcPr>
          <w:p w14:paraId="4B132041" w14:textId="77777777" w:rsidR="00E30C2D" w:rsidRPr="00B530DB" w:rsidRDefault="00E30C2D" w:rsidP="00B530DB">
            <w:pPr>
              <w:pStyle w:val="Table"/>
              <w:rPr>
                <w:sz w:val="20"/>
                <w:szCs w:val="20"/>
              </w:rPr>
            </w:pPr>
            <w:r w:rsidRPr="00B530DB">
              <w:rPr>
                <w:sz w:val="20"/>
                <w:szCs w:val="20"/>
              </w:rPr>
              <w:t>No</w:t>
            </w:r>
          </w:p>
        </w:tc>
        <w:tc>
          <w:tcPr>
            <w:tcW w:w="722" w:type="pct"/>
            <w:vAlign w:val="center"/>
            <w:hideMark/>
          </w:tcPr>
          <w:p w14:paraId="37C929F7" w14:textId="77777777" w:rsidR="00E30C2D" w:rsidRPr="00B530DB" w:rsidRDefault="00E30C2D" w:rsidP="00B530DB">
            <w:pPr>
              <w:pStyle w:val="Table"/>
              <w:rPr>
                <w:sz w:val="20"/>
                <w:szCs w:val="20"/>
              </w:rPr>
            </w:pPr>
            <w:r w:rsidRPr="00B530DB">
              <w:rPr>
                <w:sz w:val="20"/>
                <w:szCs w:val="20"/>
              </w:rPr>
              <w:t>7 (50%)</w:t>
            </w:r>
          </w:p>
        </w:tc>
        <w:tc>
          <w:tcPr>
            <w:tcW w:w="767" w:type="pct"/>
            <w:vAlign w:val="center"/>
            <w:hideMark/>
          </w:tcPr>
          <w:p w14:paraId="3B5BC617" w14:textId="77777777" w:rsidR="00E30C2D" w:rsidRPr="00B530DB" w:rsidRDefault="00E30C2D" w:rsidP="00B530DB">
            <w:pPr>
              <w:pStyle w:val="Table"/>
              <w:rPr>
                <w:sz w:val="20"/>
                <w:szCs w:val="20"/>
              </w:rPr>
            </w:pPr>
            <w:r w:rsidRPr="00B530DB">
              <w:rPr>
                <w:sz w:val="20"/>
                <w:szCs w:val="20"/>
              </w:rPr>
              <w:t>6 (42.86%)</w:t>
            </w:r>
          </w:p>
        </w:tc>
        <w:tc>
          <w:tcPr>
            <w:tcW w:w="751" w:type="pct"/>
            <w:vAlign w:val="center"/>
            <w:hideMark/>
          </w:tcPr>
          <w:p w14:paraId="4ACB46A2" w14:textId="77777777" w:rsidR="00E30C2D" w:rsidRPr="00B530DB" w:rsidRDefault="00E30C2D" w:rsidP="00B530DB">
            <w:pPr>
              <w:pStyle w:val="Table"/>
              <w:rPr>
                <w:sz w:val="20"/>
                <w:szCs w:val="20"/>
              </w:rPr>
            </w:pPr>
            <w:r w:rsidRPr="00B530DB">
              <w:rPr>
                <w:sz w:val="20"/>
                <w:szCs w:val="20"/>
              </w:rPr>
              <w:t>4 (28.57%)</w:t>
            </w:r>
          </w:p>
        </w:tc>
        <w:tc>
          <w:tcPr>
            <w:tcW w:w="748" w:type="pct"/>
            <w:vAlign w:val="center"/>
            <w:hideMark/>
          </w:tcPr>
          <w:p w14:paraId="73618C5D" w14:textId="77777777" w:rsidR="00E30C2D" w:rsidRPr="00B530DB" w:rsidRDefault="00E30C2D" w:rsidP="00B530DB">
            <w:pPr>
              <w:pStyle w:val="Table"/>
              <w:rPr>
                <w:sz w:val="20"/>
                <w:szCs w:val="20"/>
              </w:rPr>
            </w:pPr>
            <w:r w:rsidRPr="00B530DB">
              <w:rPr>
                <w:sz w:val="20"/>
                <w:szCs w:val="20"/>
              </w:rPr>
              <w:t>3 (21.43%)</w:t>
            </w:r>
          </w:p>
        </w:tc>
        <w:tc>
          <w:tcPr>
            <w:tcW w:w="425" w:type="pct"/>
            <w:vMerge w:val="restart"/>
            <w:vAlign w:val="center"/>
          </w:tcPr>
          <w:p w14:paraId="0052D1FC" w14:textId="77777777" w:rsidR="00E30C2D" w:rsidRPr="00B530DB" w:rsidRDefault="00E30C2D" w:rsidP="00B530DB">
            <w:pPr>
              <w:pStyle w:val="Table"/>
              <w:rPr>
                <w:sz w:val="20"/>
                <w:szCs w:val="20"/>
              </w:rPr>
            </w:pPr>
            <w:r w:rsidRPr="00B530DB">
              <w:rPr>
                <w:sz w:val="20"/>
                <w:szCs w:val="20"/>
              </w:rPr>
              <w:t>X</w:t>
            </w:r>
            <w:r w:rsidRPr="00B530DB">
              <w:rPr>
                <w:sz w:val="20"/>
                <w:szCs w:val="20"/>
                <w:vertAlign w:val="superscript"/>
              </w:rPr>
              <w:t>2</w:t>
            </w:r>
          </w:p>
          <w:p w14:paraId="044E7051" w14:textId="77777777" w:rsidR="00E30C2D" w:rsidRPr="00B530DB" w:rsidRDefault="00E30C2D" w:rsidP="00B530DB">
            <w:pPr>
              <w:pStyle w:val="Table"/>
              <w:rPr>
                <w:sz w:val="20"/>
                <w:szCs w:val="20"/>
                <w:highlight w:val="yellow"/>
              </w:rPr>
            </w:pPr>
            <w:r w:rsidRPr="00B530DB">
              <w:rPr>
                <w:sz w:val="20"/>
                <w:szCs w:val="20"/>
              </w:rPr>
              <w:t>9.158</w:t>
            </w:r>
          </w:p>
        </w:tc>
        <w:tc>
          <w:tcPr>
            <w:tcW w:w="459" w:type="pct"/>
            <w:vMerge w:val="restart"/>
            <w:vAlign w:val="center"/>
          </w:tcPr>
          <w:p w14:paraId="503776A5" w14:textId="77777777" w:rsidR="00E30C2D" w:rsidRPr="00B530DB" w:rsidRDefault="00E30C2D" w:rsidP="00B530DB">
            <w:pPr>
              <w:pStyle w:val="Table"/>
              <w:rPr>
                <w:sz w:val="20"/>
                <w:szCs w:val="20"/>
              </w:rPr>
            </w:pPr>
            <w:r w:rsidRPr="00B530DB">
              <w:rPr>
                <w:sz w:val="20"/>
                <w:szCs w:val="20"/>
              </w:rPr>
              <w:t>0.689</w:t>
            </w:r>
          </w:p>
        </w:tc>
      </w:tr>
      <w:tr w:rsidR="00E30C2D" w:rsidRPr="00B530DB" w14:paraId="3C19D87E" w14:textId="77777777" w:rsidTr="00107073">
        <w:trPr>
          <w:trHeight w:val="432"/>
        </w:trPr>
        <w:tc>
          <w:tcPr>
            <w:tcW w:w="1128" w:type="pct"/>
            <w:shd w:val="pct12" w:color="auto" w:fill="auto"/>
            <w:vAlign w:val="center"/>
            <w:hideMark/>
          </w:tcPr>
          <w:p w14:paraId="01D69E34" w14:textId="77777777" w:rsidR="00E30C2D" w:rsidRPr="00B530DB" w:rsidRDefault="00E30C2D" w:rsidP="00B530DB">
            <w:pPr>
              <w:pStyle w:val="Table"/>
              <w:rPr>
                <w:sz w:val="20"/>
                <w:szCs w:val="20"/>
              </w:rPr>
            </w:pPr>
            <w:r w:rsidRPr="00B530DB">
              <w:rPr>
                <w:sz w:val="20"/>
                <w:szCs w:val="20"/>
              </w:rPr>
              <w:t>Diabetes Mellitus</w:t>
            </w:r>
          </w:p>
        </w:tc>
        <w:tc>
          <w:tcPr>
            <w:tcW w:w="722" w:type="pct"/>
            <w:vAlign w:val="center"/>
            <w:hideMark/>
          </w:tcPr>
          <w:p w14:paraId="217FD349" w14:textId="77777777" w:rsidR="00E30C2D" w:rsidRPr="00B530DB" w:rsidRDefault="00E30C2D" w:rsidP="00B530DB">
            <w:pPr>
              <w:pStyle w:val="Table"/>
              <w:rPr>
                <w:sz w:val="20"/>
                <w:szCs w:val="20"/>
              </w:rPr>
            </w:pPr>
            <w:r w:rsidRPr="00B530DB">
              <w:rPr>
                <w:sz w:val="20"/>
                <w:szCs w:val="20"/>
              </w:rPr>
              <w:t>3 (21.43%)</w:t>
            </w:r>
          </w:p>
        </w:tc>
        <w:tc>
          <w:tcPr>
            <w:tcW w:w="767" w:type="pct"/>
            <w:vAlign w:val="center"/>
            <w:hideMark/>
          </w:tcPr>
          <w:p w14:paraId="3FD9594F" w14:textId="77777777" w:rsidR="00E30C2D" w:rsidRPr="00B530DB" w:rsidRDefault="00E30C2D" w:rsidP="00B530DB">
            <w:pPr>
              <w:pStyle w:val="Table"/>
              <w:rPr>
                <w:sz w:val="20"/>
                <w:szCs w:val="20"/>
              </w:rPr>
            </w:pPr>
            <w:r w:rsidRPr="00B530DB">
              <w:rPr>
                <w:sz w:val="20"/>
                <w:szCs w:val="20"/>
              </w:rPr>
              <w:t>3 (21.43%)</w:t>
            </w:r>
          </w:p>
        </w:tc>
        <w:tc>
          <w:tcPr>
            <w:tcW w:w="751" w:type="pct"/>
            <w:vAlign w:val="center"/>
            <w:hideMark/>
          </w:tcPr>
          <w:p w14:paraId="1044089D" w14:textId="77777777" w:rsidR="00E30C2D" w:rsidRPr="00B530DB" w:rsidRDefault="00E30C2D" w:rsidP="00B530DB">
            <w:pPr>
              <w:pStyle w:val="Table"/>
              <w:rPr>
                <w:sz w:val="20"/>
                <w:szCs w:val="20"/>
              </w:rPr>
            </w:pPr>
            <w:r w:rsidRPr="00B530DB">
              <w:rPr>
                <w:sz w:val="20"/>
                <w:szCs w:val="20"/>
              </w:rPr>
              <w:t>4 (28.57%)</w:t>
            </w:r>
          </w:p>
        </w:tc>
        <w:tc>
          <w:tcPr>
            <w:tcW w:w="748" w:type="pct"/>
            <w:vAlign w:val="center"/>
            <w:hideMark/>
          </w:tcPr>
          <w:p w14:paraId="1D0B2B81" w14:textId="77777777" w:rsidR="00E30C2D" w:rsidRPr="00B530DB" w:rsidRDefault="00E30C2D" w:rsidP="00B530DB">
            <w:pPr>
              <w:pStyle w:val="Table"/>
              <w:rPr>
                <w:sz w:val="20"/>
                <w:szCs w:val="20"/>
              </w:rPr>
            </w:pPr>
            <w:r w:rsidRPr="00B530DB">
              <w:rPr>
                <w:sz w:val="20"/>
                <w:szCs w:val="20"/>
              </w:rPr>
              <w:t>4 (28.57%)</w:t>
            </w:r>
          </w:p>
        </w:tc>
        <w:tc>
          <w:tcPr>
            <w:tcW w:w="425" w:type="pct"/>
            <w:vMerge/>
            <w:vAlign w:val="center"/>
          </w:tcPr>
          <w:p w14:paraId="5090BDBE" w14:textId="77777777" w:rsidR="00E30C2D" w:rsidRPr="00B530DB" w:rsidRDefault="00E30C2D" w:rsidP="00B530DB">
            <w:pPr>
              <w:pStyle w:val="Table"/>
              <w:rPr>
                <w:sz w:val="20"/>
                <w:szCs w:val="20"/>
              </w:rPr>
            </w:pPr>
          </w:p>
        </w:tc>
        <w:tc>
          <w:tcPr>
            <w:tcW w:w="459" w:type="pct"/>
            <w:vMerge/>
            <w:vAlign w:val="center"/>
          </w:tcPr>
          <w:p w14:paraId="5BCBFF9C" w14:textId="77777777" w:rsidR="00E30C2D" w:rsidRPr="00B530DB" w:rsidRDefault="00E30C2D" w:rsidP="00B530DB">
            <w:pPr>
              <w:pStyle w:val="Table"/>
              <w:rPr>
                <w:sz w:val="20"/>
                <w:szCs w:val="20"/>
              </w:rPr>
            </w:pPr>
          </w:p>
        </w:tc>
      </w:tr>
      <w:tr w:rsidR="00E30C2D" w:rsidRPr="00B530DB" w14:paraId="0C70775C" w14:textId="77777777" w:rsidTr="00107073">
        <w:trPr>
          <w:trHeight w:val="432"/>
        </w:trPr>
        <w:tc>
          <w:tcPr>
            <w:tcW w:w="1128" w:type="pct"/>
            <w:shd w:val="pct12" w:color="auto" w:fill="auto"/>
            <w:vAlign w:val="center"/>
            <w:hideMark/>
          </w:tcPr>
          <w:p w14:paraId="469324ED" w14:textId="77777777" w:rsidR="00E30C2D" w:rsidRPr="00B530DB" w:rsidRDefault="00E30C2D" w:rsidP="00B530DB">
            <w:pPr>
              <w:pStyle w:val="Table"/>
              <w:rPr>
                <w:sz w:val="20"/>
                <w:szCs w:val="20"/>
              </w:rPr>
            </w:pPr>
            <w:r w:rsidRPr="00B530DB">
              <w:rPr>
                <w:sz w:val="20"/>
                <w:szCs w:val="20"/>
              </w:rPr>
              <w:t>Diabetes and IHD</w:t>
            </w:r>
          </w:p>
        </w:tc>
        <w:tc>
          <w:tcPr>
            <w:tcW w:w="722" w:type="pct"/>
            <w:vAlign w:val="center"/>
            <w:hideMark/>
          </w:tcPr>
          <w:p w14:paraId="15FC790F" w14:textId="77777777" w:rsidR="00E30C2D" w:rsidRPr="00B530DB" w:rsidRDefault="00E30C2D" w:rsidP="00B530DB">
            <w:pPr>
              <w:pStyle w:val="Table"/>
              <w:rPr>
                <w:sz w:val="20"/>
                <w:szCs w:val="20"/>
              </w:rPr>
            </w:pPr>
            <w:r w:rsidRPr="00B530DB">
              <w:rPr>
                <w:sz w:val="20"/>
                <w:szCs w:val="20"/>
              </w:rPr>
              <w:t>1 (7.14%)</w:t>
            </w:r>
          </w:p>
        </w:tc>
        <w:tc>
          <w:tcPr>
            <w:tcW w:w="767" w:type="pct"/>
            <w:vAlign w:val="center"/>
            <w:hideMark/>
          </w:tcPr>
          <w:p w14:paraId="11BCE994" w14:textId="77777777" w:rsidR="00E30C2D" w:rsidRPr="00B530DB" w:rsidRDefault="00E30C2D" w:rsidP="00B530DB">
            <w:pPr>
              <w:pStyle w:val="Table"/>
              <w:rPr>
                <w:sz w:val="20"/>
                <w:szCs w:val="20"/>
              </w:rPr>
            </w:pPr>
            <w:r w:rsidRPr="00B530DB">
              <w:rPr>
                <w:sz w:val="20"/>
                <w:szCs w:val="20"/>
              </w:rPr>
              <w:t>0 (0%)</w:t>
            </w:r>
          </w:p>
        </w:tc>
        <w:tc>
          <w:tcPr>
            <w:tcW w:w="751" w:type="pct"/>
            <w:vAlign w:val="center"/>
            <w:hideMark/>
          </w:tcPr>
          <w:p w14:paraId="17597DED" w14:textId="77777777" w:rsidR="00E30C2D" w:rsidRPr="00B530DB" w:rsidRDefault="00E30C2D" w:rsidP="00B530DB">
            <w:pPr>
              <w:pStyle w:val="Table"/>
              <w:rPr>
                <w:sz w:val="20"/>
                <w:szCs w:val="20"/>
              </w:rPr>
            </w:pPr>
            <w:r w:rsidRPr="00B530DB">
              <w:rPr>
                <w:sz w:val="20"/>
                <w:szCs w:val="20"/>
              </w:rPr>
              <w:t>2 (14.29%)</w:t>
            </w:r>
          </w:p>
        </w:tc>
        <w:tc>
          <w:tcPr>
            <w:tcW w:w="748" w:type="pct"/>
            <w:vAlign w:val="center"/>
            <w:hideMark/>
          </w:tcPr>
          <w:p w14:paraId="5F40B88D" w14:textId="77777777" w:rsidR="00E30C2D" w:rsidRPr="00B530DB" w:rsidRDefault="00E30C2D" w:rsidP="00B530DB">
            <w:pPr>
              <w:pStyle w:val="Table"/>
              <w:rPr>
                <w:sz w:val="20"/>
                <w:szCs w:val="20"/>
              </w:rPr>
            </w:pPr>
            <w:r w:rsidRPr="00B530DB">
              <w:rPr>
                <w:sz w:val="20"/>
                <w:szCs w:val="20"/>
              </w:rPr>
              <w:t>1 (7.14%)</w:t>
            </w:r>
          </w:p>
        </w:tc>
        <w:tc>
          <w:tcPr>
            <w:tcW w:w="425" w:type="pct"/>
            <w:vMerge/>
            <w:vAlign w:val="center"/>
          </w:tcPr>
          <w:p w14:paraId="50F4CFB0" w14:textId="77777777" w:rsidR="00E30C2D" w:rsidRPr="00B530DB" w:rsidRDefault="00E30C2D" w:rsidP="00B530DB">
            <w:pPr>
              <w:pStyle w:val="Table"/>
              <w:rPr>
                <w:sz w:val="20"/>
                <w:szCs w:val="20"/>
              </w:rPr>
            </w:pPr>
          </w:p>
        </w:tc>
        <w:tc>
          <w:tcPr>
            <w:tcW w:w="459" w:type="pct"/>
            <w:vMerge/>
            <w:vAlign w:val="center"/>
          </w:tcPr>
          <w:p w14:paraId="5AD0844D" w14:textId="77777777" w:rsidR="00E30C2D" w:rsidRPr="00B530DB" w:rsidRDefault="00E30C2D" w:rsidP="00B530DB">
            <w:pPr>
              <w:pStyle w:val="Table"/>
              <w:rPr>
                <w:sz w:val="20"/>
                <w:szCs w:val="20"/>
              </w:rPr>
            </w:pPr>
          </w:p>
        </w:tc>
      </w:tr>
      <w:tr w:rsidR="00E30C2D" w:rsidRPr="00B530DB" w14:paraId="59831E5C" w14:textId="77777777" w:rsidTr="00107073">
        <w:trPr>
          <w:trHeight w:val="432"/>
        </w:trPr>
        <w:tc>
          <w:tcPr>
            <w:tcW w:w="1128" w:type="pct"/>
            <w:shd w:val="pct12" w:color="auto" w:fill="auto"/>
            <w:vAlign w:val="center"/>
            <w:hideMark/>
          </w:tcPr>
          <w:p w14:paraId="519FC1CA" w14:textId="77777777" w:rsidR="00E30C2D" w:rsidRPr="00B530DB" w:rsidRDefault="00E30C2D" w:rsidP="00B530DB">
            <w:pPr>
              <w:pStyle w:val="Table"/>
              <w:rPr>
                <w:sz w:val="20"/>
                <w:szCs w:val="20"/>
              </w:rPr>
            </w:pPr>
            <w:r w:rsidRPr="00B530DB">
              <w:rPr>
                <w:sz w:val="20"/>
                <w:szCs w:val="20"/>
              </w:rPr>
              <w:t>Diabetes and HTN</w:t>
            </w:r>
          </w:p>
        </w:tc>
        <w:tc>
          <w:tcPr>
            <w:tcW w:w="722" w:type="pct"/>
            <w:vAlign w:val="center"/>
            <w:hideMark/>
          </w:tcPr>
          <w:p w14:paraId="78DA3327" w14:textId="77777777" w:rsidR="00E30C2D" w:rsidRPr="00B530DB" w:rsidRDefault="00E30C2D" w:rsidP="00B530DB">
            <w:pPr>
              <w:pStyle w:val="Table"/>
              <w:rPr>
                <w:sz w:val="20"/>
                <w:szCs w:val="20"/>
              </w:rPr>
            </w:pPr>
            <w:r w:rsidRPr="00B530DB">
              <w:rPr>
                <w:sz w:val="20"/>
                <w:szCs w:val="20"/>
              </w:rPr>
              <w:t>2 (14.29%)</w:t>
            </w:r>
          </w:p>
        </w:tc>
        <w:tc>
          <w:tcPr>
            <w:tcW w:w="767" w:type="pct"/>
            <w:vAlign w:val="center"/>
            <w:hideMark/>
          </w:tcPr>
          <w:p w14:paraId="65E95806" w14:textId="77777777" w:rsidR="00E30C2D" w:rsidRPr="00B530DB" w:rsidRDefault="00E30C2D" w:rsidP="00B530DB">
            <w:pPr>
              <w:pStyle w:val="Table"/>
              <w:rPr>
                <w:sz w:val="20"/>
                <w:szCs w:val="20"/>
              </w:rPr>
            </w:pPr>
            <w:r w:rsidRPr="00B530DB">
              <w:rPr>
                <w:sz w:val="20"/>
                <w:szCs w:val="20"/>
              </w:rPr>
              <w:t>3 (21.43%)</w:t>
            </w:r>
          </w:p>
        </w:tc>
        <w:tc>
          <w:tcPr>
            <w:tcW w:w="751" w:type="pct"/>
            <w:vAlign w:val="center"/>
            <w:hideMark/>
          </w:tcPr>
          <w:p w14:paraId="43E2DDEF" w14:textId="77777777" w:rsidR="00E30C2D" w:rsidRPr="00B530DB" w:rsidRDefault="00E30C2D" w:rsidP="00B530DB">
            <w:pPr>
              <w:pStyle w:val="Table"/>
              <w:rPr>
                <w:sz w:val="20"/>
                <w:szCs w:val="20"/>
              </w:rPr>
            </w:pPr>
            <w:r w:rsidRPr="00B530DB">
              <w:rPr>
                <w:sz w:val="20"/>
                <w:szCs w:val="20"/>
              </w:rPr>
              <w:t>0 (0%)</w:t>
            </w:r>
          </w:p>
        </w:tc>
        <w:tc>
          <w:tcPr>
            <w:tcW w:w="748" w:type="pct"/>
            <w:vAlign w:val="center"/>
            <w:hideMark/>
          </w:tcPr>
          <w:p w14:paraId="7168E80C" w14:textId="77777777" w:rsidR="00E30C2D" w:rsidRPr="00B530DB" w:rsidRDefault="00E30C2D" w:rsidP="00B530DB">
            <w:pPr>
              <w:pStyle w:val="Table"/>
              <w:rPr>
                <w:sz w:val="20"/>
                <w:szCs w:val="20"/>
              </w:rPr>
            </w:pPr>
            <w:r w:rsidRPr="00B530DB">
              <w:rPr>
                <w:sz w:val="20"/>
                <w:szCs w:val="20"/>
              </w:rPr>
              <w:t>3 (21.43%)</w:t>
            </w:r>
          </w:p>
        </w:tc>
        <w:tc>
          <w:tcPr>
            <w:tcW w:w="425" w:type="pct"/>
            <w:vMerge/>
            <w:vAlign w:val="center"/>
          </w:tcPr>
          <w:p w14:paraId="609B0679" w14:textId="77777777" w:rsidR="00E30C2D" w:rsidRPr="00B530DB" w:rsidRDefault="00E30C2D" w:rsidP="00B530DB">
            <w:pPr>
              <w:pStyle w:val="Table"/>
              <w:rPr>
                <w:sz w:val="20"/>
                <w:szCs w:val="20"/>
              </w:rPr>
            </w:pPr>
          </w:p>
        </w:tc>
        <w:tc>
          <w:tcPr>
            <w:tcW w:w="459" w:type="pct"/>
            <w:vMerge/>
            <w:vAlign w:val="center"/>
          </w:tcPr>
          <w:p w14:paraId="36544260" w14:textId="77777777" w:rsidR="00E30C2D" w:rsidRPr="00B530DB" w:rsidRDefault="00E30C2D" w:rsidP="00B530DB">
            <w:pPr>
              <w:pStyle w:val="Table"/>
              <w:rPr>
                <w:sz w:val="20"/>
                <w:szCs w:val="20"/>
              </w:rPr>
            </w:pPr>
          </w:p>
        </w:tc>
      </w:tr>
      <w:tr w:rsidR="00E30C2D" w:rsidRPr="00B530DB" w14:paraId="1EB0431D" w14:textId="77777777" w:rsidTr="00107073">
        <w:trPr>
          <w:trHeight w:val="432"/>
        </w:trPr>
        <w:tc>
          <w:tcPr>
            <w:tcW w:w="1128" w:type="pct"/>
            <w:shd w:val="pct12" w:color="auto" w:fill="auto"/>
            <w:vAlign w:val="center"/>
            <w:hideMark/>
          </w:tcPr>
          <w:p w14:paraId="1630A630" w14:textId="77777777" w:rsidR="00E30C2D" w:rsidRPr="00B530DB" w:rsidRDefault="00E30C2D" w:rsidP="00B530DB">
            <w:pPr>
              <w:pStyle w:val="Table"/>
              <w:rPr>
                <w:sz w:val="20"/>
                <w:szCs w:val="20"/>
              </w:rPr>
            </w:pPr>
            <w:r w:rsidRPr="00B530DB">
              <w:rPr>
                <w:sz w:val="20"/>
                <w:szCs w:val="20"/>
              </w:rPr>
              <w:t>Gout</w:t>
            </w:r>
          </w:p>
        </w:tc>
        <w:tc>
          <w:tcPr>
            <w:tcW w:w="722" w:type="pct"/>
            <w:vAlign w:val="center"/>
            <w:hideMark/>
          </w:tcPr>
          <w:p w14:paraId="63642F17" w14:textId="77777777" w:rsidR="00E30C2D" w:rsidRPr="00B530DB" w:rsidRDefault="00E30C2D" w:rsidP="00B530DB">
            <w:pPr>
              <w:pStyle w:val="Table"/>
              <w:rPr>
                <w:sz w:val="20"/>
                <w:szCs w:val="20"/>
              </w:rPr>
            </w:pPr>
            <w:r w:rsidRPr="00B530DB">
              <w:rPr>
                <w:sz w:val="20"/>
                <w:szCs w:val="20"/>
              </w:rPr>
              <w:t>1 (7.14%)</w:t>
            </w:r>
          </w:p>
        </w:tc>
        <w:tc>
          <w:tcPr>
            <w:tcW w:w="767" w:type="pct"/>
            <w:vAlign w:val="center"/>
            <w:hideMark/>
          </w:tcPr>
          <w:p w14:paraId="156F7347" w14:textId="77777777" w:rsidR="00E30C2D" w:rsidRPr="00B530DB" w:rsidRDefault="00E30C2D" w:rsidP="00B530DB">
            <w:pPr>
              <w:pStyle w:val="Table"/>
              <w:rPr>
                <w:sz w:val="20"/>
                <w:szCs w:val="20"/>
              </w:rPr>
            </w:pPr>
            <w:r w:rsidRPr="00B530DB">
              <w:rPr>
                <w:sz w:val="20"/>
                <w:szCs w:val="20"/>
              </w:rPr>
              <w:t>0 (0%)</w:t>
            </w:r>
          </w:p>
        </w:tc>
        <w:tc>
          <w:tcPr>
            <w:tcW w:w="751" w:type="pct"/>
            <w:vAlign w:val="center"/>
            <w:hideMark/>
          </w:tcPr>
          <w:p w14:paraId="6FA6302D" w14:textId="77777777" w:rsidR="00E30C2D" w:rsidRPr="00B530DB" w:rsidRDefault="00E30C2D" w:rsidP="00B530DB">
            <w:pPr>
              <w:pStyle w:val="Table"/>
              <w:rPr>
                <w:sz w:val="20"/>
                <w:szCs w:val="20"/>
              </w:rPr>
            </w:pPr>
            <w:r w:rsidRPr="00B530DB">
              <w:rPr>
                <w:sz w:val="20"/>
                <w:szCs w:val="20"/>
              </w:rPr>
              <w:t>0 (0%)</w:t>
            </w:r>
          </w:p>
        </w:tc>
        <w:tc>
          <w:tcPr>
            <w:tcW w:w="748" w:type="pct"/>
            <w:vAlign w:val="center"/>
            <w:hideMark/>
          </w:tcPr>
          <w:p w14:paraId="55930FD4" w14:textId="77777777" w:rsidR="00E30C2D" w:rsidRPr="00B530DB" w:rsidRDefault="00E30C2D" w:rsidP="00B530DB">
            <w:pPr>
              <w:pStyle w:val="Table"/>
              <w:rPr>
                <w:sz w:val="20"/>
                <w:szCs w:val="20"/>
              </w:rPr>
            </w:pPr>
            <w:r w:rsidRPr="00B530DB">
              <w:rPr>
                <w:sz w:val="20"/>
                <w:szCs w:val="20"/>
              </w:rPr>
              <w:t>1 (7.14%)</w:t>
            </w:r>
          </w:p>
        </w:tc>
        <w:tc>
          <w:tcPr>
            <w:tcW w:w="425" w:type="pct"/>
            <w:vMerge/>
            <w:vAlign w:val="center"/>
          </w:tcPr>
          <w:p w14:paraId="05D31DFF" w14:textId="77777777" w:rsidR="00E30C2D" w:rsidRPr="00B530DB" w:rsidRDefault="00E30C2D" w:rsidP="00B530DB">
            <w:pPr>
              <w:pStyle w:val="Table"/>
              <w:rPr>
                <w:sz w:val="20"/>
                <w:szCs w:val="20"/>
              </w:rPr>
            </w:pPr>
          </w:p>
        </w:tc>
        <w:tc>
          <w:tcPr>
            <w:tcW w:w="459" w:type="pct"/>
            <w:vMerge/>
            <w:vAlign w:val="center"/>
          </w:tcPr>
          <w:p w14:paraId="0F327B48" w14:textId="77777777" w:rsidR="00E30C2D" w:rsidRPr="00B530DB" w:rsidRDefault="00E30C2D" w:rsidP="00B530DB">
            <w:pPr>
              <w:pStyle w:val="Table"/>
              <w:rPr>
                <w:sz w:val="20"/>
                <w:szCs w:val="20"/>
              </w:rPr>
            </w:pPr>
          </w:p>
        </w:tc>
      </w:tr>
      <w:tr w:rsidR="00E30C2D" w:rsidRPr="00B530DB" w14:paraId="58151490" w14:textId="77777777" w:rsidTr="00107073">
        <w:trPr>
          <w:trHeight w:val="432"/>
        </w:trPr>
        <w:tc>
          <w:tcPr>
            <w:tcW w:w="1128" w:type="pct"/>
            <w:shd w:val="pct12" w:color="auto" w:fill="auto"/>
            <w:vAlign w:val="center"/>
            <w:hideMark/>
          </w:tcPr>
          <w:p w14:paraId="6B0B6DB9" w14:textId="77777777" w:rsidR="00E30C2D" w:rsidRPr="00B530DB" w:rsidRDefault="00E30C2D" w:rsidP="00B530DB">
            <w:pPr>
              <w:pStyle w:val="Table"/>
              <w:rPr>
                <w:sz w:val="20"/>
                <w:szCs w:val="20"/>
              </w:rPr>
            </w:pPr>
            <w:bookmarkStart w:id="6" w:name="_Hlk174449920"/>
            <w:r w:rsidRPr="00B530DB">
              <w:rPr>
                <w:sz w:val="20"/>
                <w:szCs w:val="20"/>
              </w:rPr>
              <w:t>Clinical manifestations</w:t>
            </w:r>
            <w:bookmarkEnd w:id="6"/>
            <w:r w:rsidRPr="00B530DB">
              <w:rPr>
                <w:sz w:val="20"/>
                <w:szCs w:val="20"/>
              </w:rPr>
              <w:t>:</w:t>
            </w:r>
          </w:p>
        </w:tc>
        <w:tc>
          <w:tcPr>
            <w:tcW w:w="722" w:type="pct"/>
            <w:vAlign w:val="center"/>
          </w:tcPr>
          <w:p w14:paraId="307D4945" w14:textId="77777777" w:rsidR="00E30C2D" w:rsidRPr="00B530DB" w:rsidRDefault="00E30C2D" w:rsidP="00B530DB">
            <w:pPr>
              <w:pStyle w:val="Table"/>
              <w:rPr>
                <w:sz w:val="20"/>
                <w:szCs w:val="20"/>
              </w:rPr>
            </w:pPr>
          </w:p>
        </w:tc>
        <w:tc>
          <w:tcPr>
            <w:tcW w:w="767" w:type="pct"/>
            <w:vAlign w:val="center"/>
          </w:tcPr>
          <w:p w14:paraId="5170A7AB" w14:textId="77777777" w:rsidR="00E30C2D" w:rsidRPr="00B530DB" w:rsidRDefault="00E30C2D" w:rsidP="00B530DB">
            <w:pPr>
              <w:pStyle w:val="Table"/>
              <w:rPr>
                <w:sz w:val="20"/>
                <w:szCs w:val="20"/>
              </w:rPr>
            </w:pPr>
          </w:p>
        </w:tc>
        <w:tc>
          <w:tcPr>
            <w:tcW w:w="751" w:type="pct"/>
            <w:vAlign w:val="center"/>
          </w:tcPr>
          <w:p w14:paraId="69DD2F86" w14:textId="77777777" w:rsidR="00E30C2D" w:rsidRPr="00B530DB" w:rsidRDefault="00E30C2D" w:rsidP="00B530DB">
            <w:pPr>
              <w:pStyle w:val="Table"/>
              <w:rPr>
                <w:sz w:val="20"/>
                <w:szCs w:val="20"/>
              </w:rPr>
            </w:pPr>
          </w:p>
        </w:tc>
        <w:tc>
          <w:tcPr>
            <w:tcW w:w="748" w:type="pct"/>
            <w:vAlign w:val="center"/>
          </w:tcPr>
          <w:p w14:paraId="657510CD" w14:textId="77777777" w:rsidR="00E30C2D" w:rsidRPr="00B530DB" w:rsidRDefault="00E30C2D" w:rsidP="00B530DB">
            <w:pPr>
              <w:pStyle w:val="Table"/>
              <w:rPr>
                <w:sz w:val="20"/>
                <w:szCs w:val="20"/>
              </w:rPr>
            </w:pPr>
          </w:p>
        </w:tc>
        <w:tc>
          <w:tcPr>
            <w:tcW w:w="425" w:type="pct"/>
            <w:vAlign w:val="center"/>
          </w:tcPr>
          <w:p w14:paraId="5712829B" w14:textId="77777777" w:rsidR="00E30C2D" w:rsidRPr="00B530DB" w:rsidRDefault="00E30C2D" w:rsidP="00B530DB">
            <w:pPr>
              <w:pStyle w:val="Table"/>
              <w:rPr>
                <w:sz w:val="20"/>
                <w:szCs w:val="20"/>
              </w:rPr>
            </w:pPr>
          </w:p>
        </w:tc>
        <w:tc>
          <w:tcPr>
            <w:tcW w:w="459" w:type="pct"/>
            <w:vAlign w:val="center"/>
          </w:tcPr>
          <w:p w14:paraId="7C2950FE" w14:textId="77777777" w:rsidR="00E30C2D" w:rsidRPr="00B530DB" w:rsidRDefault="00E30C2D" w:rsidP="00B530DB">
            <w:pPr>
              <w:pStyle w:val="Table"/>
              <w:rPr>
                <w:sz w:val="20"/>
                <w:szCs w:val="20"/>
              </w:rPr>
            </w:pPr>
          </w:p>
        </w:tc>
      </w:tr>
      <w:tr w:rsidR="00E30C2D" w:rsidRPr="00B530DB" w14:paraId="5DA03FE2" w14:textId="77777777" w:rsidTr="00107073">
        <w:trPr>
          <w:trHeight w:val="432"/>
        </w:trPr>
        <w:tc>
          <w:tcPr>
            <w:tcW w:w="1128" w:type="pct"/>
            <w:shd w:val="pct12" w:color="auto" w:fill="auto"/>
            <w:vAlign w:val="center"/>
            <w:hideMark/>
          </w:tcPr>
          <w:p w14:paraId="3BC2AE8E" w14:textId="77777777" w:rsidR="00E30C2D" w:rsidRPr="00B530DB" w:rsidRDefault="00E30C2D" w:rsidP="00B530DB">
            <w:pPr>
              <w:pStyle w:val="Table"/>
              <w:rPr>
                <w:sz w:val="20"/>
                <w:szCs w:val="20"/>
              </w:rPr>
            </w:pPr>
            <w:r w:rsidRPr="00B530DB">
              <w:rPr>
                <w:sz w:val="20"/>
                <w:szCs w:val="20"/>
              </w:rPr>
              <w:t>GIT symptoms</w:t>
            </w:r>
          </w:p>
        </w:tc>
        <w:tc>
          <w:tcPr>
            <w:tcW w:w="722" w:type="pct"/>
            <w:vAlign w:val="center"/>
            <w:hideMark/>
          </w:tcPr>
          <w:p w14:paraId="36AF5A0C" w14:textId="77777777" w:rsidR="00E30C2D" w:rsidRPr="00B530DB" w:rsidRDefault="00E30C2D" w:rsidP="00B530DB">
            <w:pPr>
              <w:pStyle w:val="Table"/>
              <w:rPr>
                <w:sz w:val="20"/>
                <w:szCs w:val="20"/>
              </w:rPr>
            </w:pPr>
            <w:r w:rsidRPr="00B530DB">
              <w:rPr>
                <w:sz w:val="20"/>
                <w:szCs w:val="20"/>
              </w:rPr>
              <w:t>14 (100%)</w:t>
            </w:r>
          </w:p>
        </w:tc>
        <w:tc>
          <w:tcPr>
            <w:tcW w:w="767" w:type="pct"/>
            <w:vAlign w:val="center"/>
            <w:hideMark/>
          </w:tcPr>
          <w:p w14:paraId="001E5DBF" w14:textId="77777777" w:rsidR="00E30C2D" w:rsidRPr="00B530DB" w:rsidRDefault="00E30C2D" w:rsidP="00B530DB">
            <w:pPr>
              <w:pStyle w:val="Table"/>
              <w:rPr>
                <w:sz w:val="20"/>
                <w:szCs w:val="20"/>
              </w:rPr>
            </w:pPr>
            <w:r w:rsidRPr="00B530DB">
              <w:rPr>
                <w:sz w:val="20"/>
                <w:szCs w:val="20"/>
              </w:rPr>
              <w:t>12 (85.71%)</w:t>
            </w:r>
          </w:p>
        </w:tc>
        <w:tc>
          <w:tcPr>
            <w:tcW w:w="751" w:type="pct"/>
            <w:vAlign w:val="center"/>
            <w:hideMark/>
          </w:tcPr>
          <w:p w14:paraId="27FF24A2" w14:textId="77777777" w:rsidR="00E30C2D" w:rsidRPr="00B530DB" w:rsidRDefault="00E30C2D" w:rsidP="00B530DB">
            <w:pPr>
              <w:pStyle w:val="Table"/>
              <w:rPr>
                <w:sz w:val="20"/>
                <w:szCs w:val="20"/>
              </w:rPr>
            </w:pPr>
            <w:r w:rsidRPr="00B530DB">
              <w:rPr>
                <w:sz w:val="20"/>
                <w:szCs w:val="20"/>
              </w:rPr>
              <w:t>12 (85.71%)</w:t>
            </w:r>
          </w:p>
        </w:tc>
        <w:tc>
          <w:tcPr>
            <w:tcW w:w="748" w:type="pct"/>
            <w:vAlign w:val="center"/>
            <w:hideMark/>
          </w:tcPr>
          <w:p w14:paraId="022D0FD5" w14:textId="77777777" w:rsidR="00E30C2D" w:rsidRPr="00B530DB" w:rsidRDefault="00E30C2D" w:rsidP="00B530DB">
            <w:pPr>
              <w:pStyle w:val="Table"/>
              <w:rPr>
                <w:sz w:val="20"/>
                <w:szCs w:val="20"/>
              </w:rPr>
            </w:pPr>
            <w:r w:rsidRPr="00B530DB">
              <w:rPr>
                <w:sz w:val="20"/>
                <w:szCs w:val="20"/>
              </w:rPr>
              <w:t>11 (78.57%)</w:t>
            </w:r>
          </w:p>
        </w:tc>
        <w:tc>
          <w:tcPr>
            <w:tcW w:w="425" w:type="pct"/>
            <w:vMerge w:val="restart"/>
            <w:vAlign w:val="center"/>
          </w:tcPr>
          <w:p w14:paraId="15C509FD" w14:textId="77777777" w:rsidR="00E30C2D" w:rsidRPr="00B530DB" w:rsidRDefault="00E30C2D" w:rsidP="00B530DB">
            <w:pPr>
              <w:pStyle w:val="Table"/>
              <w:rPr>
                <w:sz w:val="20"/>
                <w:szCs w:val="20"/>
              </w:rPr>
            </w:pPr>
            <w:r w:rsidRPr="00B530DB">
              <w:rPr>
                <w:sz w:val="20"/>
                <w:szCs w:val="20"/>
              </w:rPr>
              <w:t>X</w:t>
            </w:r>
            <w:r w:rsidRPr="00B530DB">
              <w:rPr>
                <w:sz w:val="20"/>
                <w:szCs w:val="20"/>
                <w:vertAlign w:val="superscript"/>
              </w:rPr>
              <w:t>2</w:t>
            </w:r>
          </w:p>
          <w:p w14:paraId="431CFDD0" w14:textId="77777777" w:rsidR="00E30C2D" w:rsidRPr="00B530DB" w:rsidRDefault="00E30C2D" w:rsidP="00B530DB">
            <w:pPr>
              <w:pStyle w:val="Table"/>
              <w:rPr>
                <w:sz w:val="20"/>
                <w:szCs w:val="20"/>
                <w:highlight w:val="green"/>
              </w:rPr>
            </w:pPr>
            <w:r w:rsidRPr="00B530DB">
              <w:rPr>
                <w:sz w:val="20"/>
                <w:szCs w:val="20"/>
              </w:rPr>
              <w:t>2.693</w:t>
            </w:r>
          </w:p>
        </w:tc>
        <w:tc>
          <w:tcPr>
            <w:tcW w:w="459" w:type="pct"/>
            <w:vMerge w:val="restart"/>
            <w:vAlign w:val="center"/>
          </w:tcPr>
          <w:p w14:paraId="4A41E94E" w14:textId="77777777" w:rsidR="00E30C2D" w:rsidRPr="00B530DB" w:rsidRDefault="00E30C2D" w:rsidP="00B530DB">
            <w:pPr>
              <w:pStyle w:val="Table"/>
              <w:rPr>
                <w:sz w:val="20"/>
                <w:szCs w:val="20"/>
                <w:highlight w:val="green"/>
              </w:rPr>
            </w:pPr>
            <w:r w:rsidRPr="00B530DB">
              <w:rPr>
                <w:sz w:val="20"/>
                <w:szCs w:val="20"/>
              </w:rPr>
              <w:t>0.615</w:t>
            </w:r>
          </w:p>
        </w:tc>
      </w:tr>
      <w:tr w:rsidR="00E30C2D" w:rsidRPr="00B530DB" w14:paraId="786DFE87" w14:textId="77777777" w:rsidTr="00107073">
        <w:trPr>
          <w:trHeight w:val="432"/>
        </w:trPr>
        <w:tc>
          <w:tcPr>
            <w:tcW w:w="1128" w:type="pct"/>
            <w:shd w:val="pct12" w:color="auto" w:fill="auto"/>
            <w:vAlign w:val="center"/>
            <w:hideMark/>
          </w:tcPr>
          <w:p w14:paraId="67BFA62D" w14:textId="77777777" w:rsidR="00E30C2D" w:rsidRPr="00B530DB" w:rsidRDefault="00E30C2D" w:rsidP="00B530DB">
            <w:pPr>
              <w:pStyle w:val="Table"/>
              <w:rPr>
                <w:sz w:val="20"/>
                <w:szCs w:val="20"/>
              </w:rPr>
            </w:pPr>
            <w:r w:rsidRPr="00B530DB">
              <w:rPr>
                <w:sz w:val="20"/>
                <w:szCs w:val="20"/>
              </w:rPr>
              <w:t>Respiratory symptoms</w:t>
            </w:r>
          </w:p>
        </w:tc>
        <w:tc>
          <w:tcPr>
            <w:tcW w:w="722" w:type="pct"/>
            <w:vAlign w:val="center"/>
            <w:hideMark/>
          </w:tcPr>
          <w:p w14:paraId="3E570DD3" w14:textId="77777777" w:rsidR="00E30C2D" w:rsidRPr="00B530DB" w:rsidRDefault="00E30C2D" w:rsidP="00B530DB">
            <w:pPr>
              <w:pStyle w:val="Table"/>
              <w:rPr>
                <w:sz w:val="20"/>
                <w:szCs w:val="20"/>
              </w:rPr>
            </w:pPr>
            <w:r w:rsidRPr="00B530DB">
              <w:rPr>
                <w:sz w:val="20"/>
                <w:szCs w:val="20"/>
              </w:rPr>
              <w:t>7 (50%)</w:t>
            </w:r>
          </w:p>
        </w:tc>
        <w:tc>
          <w:tcPr>
            <w:tcW w:w="767" w:type="pct"/>
            <w:vAlign w:val="center"/>
            <w:hideMark/>
          </w:tcPr>
          <w:p w14:paraId="2CBA2CB3" w14:textId="77777777" w:rsidR="00E30C2D" w:rsidRPr="00B530DB" w:rsidRDefault="00E30C2D" w:rsidP="00B530DB">
            <w:pPr>
              <w:pStyle w:val="Table"/>
              <w:rPr>
                <w:sz w:val="20"/>
                <w:szCs w:val="20"/>
              </w:rPr>
            </w:pPr>
            <w:r w:rsidRPr="00B530DB">
              <w:rPr>
                <w:sz w:val="20"/>
                <w:szCs w:val="20"/>
              </w:rPr>
              <w:t>6 (42.86%)</w:t>
            </w:r>
          </w:p>
        </w:tc>
        <w:tc>
          <w:tcPr>
            <w:tcW w:w="751" w:type="pct"/>
            <w:vAlign w:val="center"/>
            <w:hideMark/>
          </w:tcPr>
          <w:p w14:paraId="7D5188B8" w14:textId="77777777" w:rsidR="00E30C2D" w:rsidRPr="00B530DB" w:rsidRDefault="00E30C2D" w:rsidP="00B530DB">
            <w:pPr>
              <w:pStyle w:val="Table"/>
              <w:rPr>
                <w:sz w:val="20"/>
                <w:szCs w:val="20"/>
              </w:rPr>
            </w:pPr>
            <w:r w:rsidRPr="00B530DB">
              <w:rPr>
                <w:sz w:val="20"/>
                <w:szCs w:val="20"/>
              </w:rPr>
              <w:t>7 (50%)</w:t>
            </w:r>
          </w:p>
        </w:tc>
        <w:tc>
          <w:tcPr>
            <w:tcW w:w="748" w:type="pct"/>
            <w:vAlign w:val="center"/>
            <w:hideMark/>
          </w:tcPr>
          <w:p w14:paraId="3BF6F5CD" w14:textId="77777777" w:rsidR="00E30C2D" w:rsidRPr="00B530DB" w:rsidRDefault="00E30C2D" w:rsidP="00B530DB">
            <w:pPr>
              <w:pStyle w:val="Table"/>
              <w:rPr>
                <w:sz w:val="20"/>
                <w:szCs w:val="20"/>
              </w:rPr>
            </w:pPr>
            <w:r w:rsidRPr="00B530DB">
              <w:rPr>
                <w:sz w:val="20"/>
                <w:szCs w:val="20"/>
              </w:rPr>
              <w:t>9 (64.29%)</w:t>
            </w:r>
          </w:p>
        </w:tc>
        <w:tc>
          <w:tcPr>
            <w:tcW w:w="425" w:type="pct"/>
            <w:vMerge/>
            <w:vAlign w:val="center"/>
          </w:tcPr>
          <w:p w14:paraId="0C40962A" w14:textId="77777777" w:rsidR="00E30C2D" w:rsidRPr="00B530DB" w:rsidRDefault="00E30C2D" w:rsidP="00B530DB">
            <w:pPr>
              <w:pStyle w:val="Table"/>
              <w:rPr>
                <w:sz w:val="20"/>
                <w:szCs w:val="20"/>
              </w:rPr>
            </w:pPr>
          </w:p>
        </w:tc>
        <w:tc>
          <w:tcPr>
            <w:tcW w:w="459" w:type="pct"/>
            <w:vMerge/>
            <w:vAlign w:val="center"/>
          </w:tcPr>
          <w:p w14:paraId="24CD70D2" w14:textId="77777777" w:rsidR="00E30C2D" w:rsidRPr="00B530DB" w:rsidRDefault="00E30C2D" w:rsidP="00B530DB">
            <w:pPr>
              <w:pStyle w:val="Table"/>
              <w:rPr>
                <w:sz w:val="20"/>
                <w:szCs w:val="20"/>
              </w:rPr>
            </w:pPr>
          </w:p>
        </w:tc>
      </w:tr>
      <w:tr w:rsidR="00E30C2D" w:rsidRPr="00B530DB" w14:paraId="1E403D10" w14:textId="77777777" w:rsidTr="00107073">
        <w:trPr>
          <w:trHeight w:val="432"/>
        </w:trPr>
        <w:tc>
          <w:tcPr>
            <w:tcW w:w="1128" w:type="pct"/>
            <w:shd w:val="pct12" w:color="auto" w:fill="auto"/>
            <w:vAlign w:val="center"/>
            <w:hideMark/>
          </w:tcPr>
          <w:p w14:paraId="2ECA83DF" w14:textId="77777777" w:rsidR="00E30C2D" w:rsidRPr="00B530DB" w:rsidRDefault="00E30C2D" w:rsidP="00B530DB">
            <w:pPr>
              <w:pStyle w:val="Table"/>
              <w:rPr>
                <w:sz w:val="20"/>
                <w:szCs w:val="20"/>
              </w:rPr>
            </w:pPr>
            <w:r w:rsidRPr="00B530DB">
              <w:rPr>
                <w:sz w:val="20"/>
                <w:szCs w:val="20"/>
              </w:rPr>
              <w:t>others</w:t>
            </w:r>
          </w:p>
        </w:tc>
        <w:tc>
          <w:tcPr>
            <w:tcW w:w="722" w:type="pct"/>
            <w:vAlign w:val="center"/>
            <w:hideMark/>
          </w:tcPr>
          <w:p w14:paraId="2A31BB2F" w14:textId="77777777" w:rsidR="00E30C2D" w:rsidRPr="00B530DB" w:rsidRDefault="00E30C2D" w:rsidP="00B530DB">
            <w:pPr>
              <w:pStyle w:val="Table"/>
              <w:rPr>
                <w:sz w:val="20"/>
                <w:szCs w:val="20"/>
              </w:rPr>
            </w:pPr>
            <w:r w:rsidRPr="00B530DB">
              <w:rPr>
                <w:sz w:val="20"/>
                <w:szCs w:val="20"/>
              </w:rPr>
              <w:t>0 (0%)</w:t>
            </w:r>
          </w:p>
        </w:tc>
        <w:tc>
          <w:tcPr>
            <w:tcW w:w="767" w:type="pct"/>
            <w:vAlign w:val="center"/>
            <w:hideMark/>
          </w:tcPr>
          <w:p w14:paraId="50E6C441" w14:textId="77777777" w:rsidR="00E30C2D" w:rsidRPr="00B530DB" w:rsidRDefault="00E30C2D" w:rsidP="00B530DB">
            <w:pPr>
              <w:pStyle w:val="Table"/>
              <w:rPr>
                <w:sz w:val="20"/>
                <w:szCs w:val="20"/>
              </w:rPr>
            </w:pPr>
            <w:r w:rsidRPr="00B530DB">
              <w:rPr>
                <w:sz w:val="20"/>
                <w:szCs w:val="20"/>
              </w:rPr>
              <w:t>1 (7.14%)</w:t>
            </w:r>
          </w:p>
        </w:tc>
        <w:tc>
          <w:tcPr>
            <w:tcW w:w="751" w:type="pct"/>
            <w:vAlign w:val="center"/>
            <w:hideMark/>
          </w:tcPr>
          <w:p w14:paraId="4003C4B6" w14:textId="77777777" w:rsidR="00E30C2D" w:rsidRPr="00B530DB" w:rsidRDefault="00E30C2D" w:rsidP="00B530DB">
            <w:pPr>
              <w:pStyle w:val="Table"/>
              <w:rPr>
                <w:sz w:val="20"/>
                <w:szCs w:val="20"/>
              </w:rPr>
            </w:pPr>
            <w:r w:rsidRPr="00B530DB">
              <w:rPr>
                <w:sz w:val="20"/>
                <w:szCs w:val="20"/>
              </w:rPr>
              <w:t>2 (14.29%)</w:t>
            </w:r>
          </w:p>
        </w:tc>
        <w:tc>
          <w:tcPr>
            <w:tcW w:w="748" w:type="pct"/>
            <w:vAlign w:val="center"/>
            <w:hideMark/>
          </w:tcPr>
          <w:p w14:paraId="6B9E3E73" w14:textId="77777777" w:rsidR="00E30C2D" w:rsidRPr="00B530DB" w:rsidRDefault="00E30C2D" w:rsidP="00B530DB">
            <w:pPr>
              <w:pStyle w:val="Table"/>
              <w:rPr>
                <w:sz w:val="20"/>
                <w:szCs w:val="20"/>
              </w:rPr>
            </w:pPr>
            <w:r w:rsidRPr="00B530DB">
              <w:rPr>
                <w:sz w:val="20"/>
                <w:szCs w:val="20"/>
              </w:rPr>
              <w:t>2 (14.29%)</w:t>
            </w:r>
          </w:p>
        </w:tc>
        <w:tc>
          <w:tcPr>
            <w:tcW w:w="425" w:type="pct"/>
            <w:vMerge/>
            <w:vAlign w:val="center"/>
          </w:tcPr>
          <w:p w14:paraId="30CEB4CB" w14:textId="77777777" w:rsidR="00E30C2D" w:rsidRPr="00B530DB" w:rsidRDefault="00E30C2D" w:rsidP="00B530DB">
            <w:pPr>
              <w:pStyle w:val="Table"/>
              <w:rPr>
                <w:sz w:val="20"/>
                <w:szCs w:val="20"/>
              </w:rPr>
            </w:pPr>
          </w:p>
        </w:tc>
        <w:tc>
          <w:tcPr>
            <w:tcW w:w="459" w:type="pct"/>
            <w:vMerge/>
            <w:vAlign w:val="center"/>
          </w:tcPr>
          <w:p w14:paraId="04FAA2B2" w14:textId="77777777" w:rsidR="00E30C2D" w:rsidRPr="00B530DB" w:rsidRDefault="00E30C2D" w:rsidP="00B530DB">
            <w:pPr>
              <w:pStyle w:val="Table"/>
              <w:rPr>
                <w:sz w:val="20"/>
                <w:szCs w:val="20"/>
              </w:rPr>
            </w:pPr>
          </w:p>
        </w:tc>
      </w:tr>
      <w:tr w:rsidR="00E30C2D" w:rsidRPr="00B530DB" w14:paraId="2B0B1EBE" w14:textId="77777777" w:rsidTr="00107073">
        <w:trPr>
          <w:trHeight w:val="432"/>
        </w:trPr>
        <w:tc>
          <w:tcPr>
            <w:tcW w:w="1128" w:type="pct"/>
            <w:shd w:val="pct12" w:color="auto" w:fill="auto"/>
            <w:vAlign w:val="center"/>
          </w:tcPr>
          <w:p w14:paraId="217363B5" w14:textId="77777777" w:rsidR="00E30C2D" w:rsidRPr="00B530DB" w:rsidRDefault="00E30C2D" w:rsidP="00B530DB">
            <w:pPr>
              <w:pStyle w:val="Table"/>
              <w:rPr>
                <w:sz w:val="20"/>
                <w:szCs w:val="20"/>
              </w:rPr>
            </w:pPr>
            <w:bookmarkStart w:id="7" w:name="_Hlk174449971"/>
            <w:r w:rsidRPr="00B530DB">
              <w:rPr>
                <w:sz w:val="20"/>
                <w:szCs w:val="20"/>
              </w:rPr>
              <w:t>BMI</w:t>
            </w:r>
            <w:bookmarkEnd w:id="7"/>
            <w:r w:rsidRPr="00B530DB">
              <w:rPr>
                <w:sz w:val="20"/>
                <w:szCs w:val="20"/>
              </w:rPr>
              <w:t xml:space="preserve"> (kg/m</w:t>
            </w:r>
            <w:r w:rsidRPr="00B530DB">
              <w:rPr>
                <w:sz w:val="20"/>
                <w:szCs w:val="20"/>
                <w:vertAlign w:val="superscript"/>
              </w:rPr>
              <w:t>2</w:t>
            </w:r>
            <w:r w:rsidRPr="00B530DB">
              <w:rPr>
                <w:sz w:val="20"/>
                <w:szCs w:val="20"/>
              </w:rPr>
              <w:t>)</w:t>
            </w:r>
          </w:p>
        </w:tc>
        <w:tc>
          <w:tcPr>
            <w:tcW w:w="722" w:type="pct"/>
            <w:vAlign w:val="center"/>
          </w:tcPr>
          <w:p w14:paraId="62C4E8E0" w14:textId="77777777" w:rsidR="00E30C2D" w:rsidRPr="00B530DB" w:rsidRDefault="00E30C2D" w:rsidP="00B530DB">
            <w:pPr>
              <w:pStyle w:val="Table"/>
              <w:rPr>
                <w:sz w:val="20"/>
                <w:szCs w:val="20"/>
              </w:rPr>
            </w:pPr>
            <w:r w:rsidRPr="00B530DB">
              <w:rPr>
                <w:sz w:val="20"/>
                <w:szCs w:val="20"/>
              </w:rPr>
              <w:t>25.3 ± 2.05</w:t>
            </w:r>
          </w:p>
        </w:tc>
        <w:tc>
          <w:tcPr>
            <w:tcW w:w="767" w:type="pct"/>
            <w:vAlign w:val="center"/>
          </w:tcPr>
          <w:p w14:paraId="3726B636" w14:textId="77777777" w:rsidR="00E30C2D" w:rsidRPr="00B530DB" w:rsidRDefault="00E30C2D" w:rsidP="00B530DB">
            <w:pPr>
              <w:pStyle w:val="Table"/>
              <w:rPr>
                <w:sz w:val="20"/>
                <w:szCs w:val="20"/>
              </w:rPr>
            </w:pPr>
            <w:r w:rsidRPr="00B530DB">
              <w:rPr>
                <w:sz w:val="20"/>
                <w:szCs w:val="20"/>
              </w:rPr>
              <w:t>24.7 ± 2.1</w:t>
            </w:r>
          </w:p>
        </w:tc>
        <w:tc>
          <w:tcPr>
            <w:tcW w:w="751" w:type="pct"/>
            <w:vAlign w:val="center"/>
          </w:tcPr>
          <w:p w14:paraId="6329117A" w14:textId="77777777" w:rsidR="00E30C2D" w:rsidRPr="00B530DB" w:rsidRDefault="00E30C2D" w:rsidP="00B530DB">
            <w:pPr>
              <w:pStyle w:val="Table"/>
              <w:rPr>
                <w:sz w:val="20"/>
                <w:szCs w:val="20"/>
              </w:rPr>
            </w:pPr>
            <w:r w:rsidRPr="00B530DB">
              <w:rPr>
                <w:sz w:val="20"/>
                <w:szCs w:val="20"/>
              </w:rPr>
              <w:t>25 ± 1.35</w:t>
            </w:r>
          </w:p>
        </w:tc>
        <w:tc>
          <w:tcPr>
            <w:tcW w:w="748" w:type="pct"/>
            <w:vAlign w:val="center"/>
          </w:tcPr>
          <w:p w14:paraId="399069AF" w14:textId="77777777" w:rsidR="00E30C2D" w:rsidRPr="00B530DB" w:rsidRDefault="00E30C2D" w:rsidP="00B530DB">
            <w:pPr>
              <w:pStyle w:val="Table"/>
              <w:rPr>
                <w:sz w:val="20"/>
                <w:szCs w:val="20"/>
              </w:rPr>
            </w:pPr>
            <w:r w:rsidRPr="00B530DB">
              <w:rPr>
                <w:sz w:val="20"/>
                <w:szCs w:val="20"/>
              </w:rPr>
              <w:t>24.3 ± 2.48</w:t>
            </w:r>
          </w:p>
        </w:tc>
        <w:tc>
          <w:tcPr>
            <w:tcW w:w="425" w:type="pct"/>
            <w:vAlign w:val="center"/>
          </w:tcPr>
          <w:p w14:paraId="74333BC8" w14:textId="77777777" w:rsidR="00E30C2D" w:rsidRPr="00B530DB" w:rsidRDefault="00E30C2D" w:rsidP="00B530DB">
            <w:pPr>
              <w:pStyle w:val="Table"/>
              <w:rPr>
                <w:sz w:val="20"/>
                <w:szCs w:val="20"/>
              </w:rPr>
            </w:pPr>
            <w:r w:rsidRPr="00B530DB">
              <w:rPr>
                <w:sz w:val="20"/>
                <w:szCs w:val="20"/>
              </w:rPr>
              <w:t>F</w:t>
            </w:r>
          </w:p>
          <w:p w14:paraId="6C89665C" w14:textId="77777777" w:rsidR="00E30C2D" w:rsidRPr="00B530DB" w:rsidRDefault="00E30C2D" w:rsidP="00B530DB">
            <w:pPr>
              <w:pStyle w:val="Table"/>
              <w:rPr>
                <w:sz w:val="20"/>
                <w:szCs w:val="20"/>
              </w:rPr>
            </w:pPr>
            <w:r w:rsidRPr="00B530DB">
              <w:rPr>
                <w:sz w:val="20"/>
                <w:szCs w:val="20"/>
              </w:rPr>
              <w:t>0.57</w:t>
            </w:r>
          </w:p>
        </w:tc>
        <w:tc>
          <w:tcPr>
            <w:tcW w:w="459" w:type="pct"/>
            <w:vAlign w:val="center"/>
          </w:tcPr>
          <w:p w14:paraId="6E28B741" w14:textId="77777777" w:rsidR="00E30C2D" w:rsidRPr="00B530DB" w:rsidRDefault="00E30C2D" w:rsidP="00B530DB">
            <w:pPr>
              <w:pStyle w:val="Table"/>
              <w:rPr>
                <w:sz w:val="20"/>
                <w:szCs w:val="20"/>
              </w:rPr>
            </w:pPr>
            <w:r w:rsidRPr="00B530DB">
              <w:rPr>
                <w:sz w:val="20"/>
                <w:szCs w:val="20"/>
              </w:rPr>
              <w:t>0.637</w:t>
            </w:r>
          </w:p>
        </w:tc>
      </w:tr>
      <w:tr w:rsidR="00E30C2D" w:rsidRPr="00B530DB" w14:paraId="150F1DBB" w14:textId="77777777" w:rsidTr="00107073">
        <w:trPr>
          <w:trHeight w:val="432"/>
        </w:trPr>
        <w:tc>
          <w:tcPr>
            <w:tcW w:w="1128" w:type="pct"/>
            <w:shd w:val="pct12" w:color="auto" w:fill="auto"/>
            <w:vAlign w:val="center"/>
            <w:hideMark/>
          </w:tcPr>
          <w:p w14:paraId="64A728AD" w14:textId="77777777" w:rsidR="00E30C2D" w:rsidRPr="00B530DB" w:rsidRDefault="00E30C2D" w:rsidP="00B530DB">
            <w:pPr>
              <w:pStyle w:val="Table"/>
              <w:rPr>
                <w:sz w:val="20"/>
                <w:szCs w:val="20"/>
              </w:rPr>
            </w:pPr>
            <w:r w:rsidRPr="00B530DB">
              <w:rPr>
                <w:sz w:val="20"/>
                <w:szCs w:val="20"/>
              </w:rPr>
              <w:t>Fasting Glucose (mg/dL)</w:t>
            </w:r>
          </w:p>
        </w:tc>
        <w:tc>
          <w:tcPr>
            <w:tcW w:w="722" w:type="pct"/>
            <w:vAlign w:val="center"/>
            <w:hideMark/>
          </w:tcPr>
          <w:p w14:paraId="7BD063E3" w14:textId="77777777" w:rsidR="00E30C2D" w:rsidRPr="00B530DB" w:rsidRDefault="00E30C2D" w:rsidP="00B530DB">
            <w:pPr>
              <w:pStyle w:val="Table"/>
              <w:rPr>
                <w:sz w:val="20"/>
                <w:szCs w:val="20"/>
              </w:rPr>
            </w:pPr>
            <w:r w:rsidRPr="00B530DB">
              <w:rPr>
                <w:sz w:val="20"/>
                <w:szCs w:val="20"/>
              </w:rPr>
              <w:t>143.6 ± 55.34</w:t>
            </w:r>
          </w:p>
        </w:tc>
        <w:tc>
          <w:tcPr>
            <w:tcW w:w="767" w:type="pct"/>
            <w:vAlign w:val="center"/>
            <w:hideMark/>
          </w:tcPr>
          <w:p w14:paraId="04950304" w14:textId="77777777" w:rsidR="00E30C2D" w:rsidRPr="00B530DB" w:rsidRDefault="00E30C2D" w:rsidP="00B530DB">
            <w:pPr>
              <w:pStyle w:val="Table"/>
              <w:rPr>
                <w:sz w:val="20"/>
                <w:szCs w:val="20"/>
              </w:rPr>
            </w:pPr>
            <w:r w:rsidRPr="00B530DB">
              <w:rPr>
                <w:sz w:val="20"/>
                <w:szCs w:val="20"/>
              </w:rPr>
              <w:t>121.8 ± 33.3</w:t>
            </w:r>
          </w:p>
        </w:tc>
        <w:tc>
          <w:tcPr>
            <w:tcW w:w="751" w:type="pct"/>
            <w:vAlign w:val="center"/>
            <w:hideMark/>
          </w:tcPr>
          <w:p w14:paraId="63A15431" w14:textId="77777777" w:rsidR="00E30C2D" w:rsidRPr="00B530DB" w:rsidRDefault="00E30C2D" w:rsidP="00B530DB">
            <w:pPr>
              <w:pStyle w:val="Table"/>
              <w:rPr>
                <w:sz w:val="20"/>
                <w:szCs w:val="20"/>
              </w:rPr>
            </w:pPr>
            <w:r w:rsidRPr="00B530DB">
              <w:rPr>
                <w:sz w:val="20"/>
                <w:szCs w:val="20"/>
              </w:rPr>
              <w:t>143 ± 41.74</w:t>
            </w:r>
          </w:p>
        </w:tc>
        <w:tc>
          <w:tcPr>
            <w:tcW w:w="748" w:type="pct"/>
            <w:vAlign w:val="center"/>
            <w:hideMark/>
          </w:tcPr>
          <w:p w14:paraId="3F27CE4B" w14:textId="77777777" w:rsidR="00E30C2D" w:rsidRPr="00B530DB" w:rsidRDefault="00E30C2D" w:rsidP="00B530DB">
            <w:pPr>
              <w:pStyle w:val="Table"/>
              <w:rPr>
                <w:sz w:val="20"/>
                <w:szCs w:val="20"/>
              </w:rPr>
            </w:pPr>
            <w:r w:rsidRPr="00B530DB">
              <w:rPr>
                <w:sz w:val="20"/>
                <w:szCs w:val="20"/>
              </w:rPr>
              <w:t>140.7 ± 37.34</w:t>
            </w:r>
          </w:p>
        </w:tc>
        <w:tc>
          <w:tcPr>
            <w:tcW w:w="425" w:type="pct"/>
            <w:vAlign w:val="center"/>
          </w:tcPr>
          <w:p w14:paraId="7521DBB3" w14:textId="77777777" w:rsidR="00E30C2D" w:rsidRPr="00B530DB" w:rsidRDefault="00E30C2D" w:rsidP="00B530DB">
            <w:pPr>
              <w:pStyle w:val="Table"/>
              <w:rPr>
                <w:sz w:val="20"/>
                <w:szCs w:val="20"/>
              </w:rPr>
            </w:pPr>
            <w:r w:rsidRPr="00B530DB">
              <w:rPr>
                <w:sz w:val="20"/>
                <w:szCs w:val="20"/>
              </w:rPr>
              <w:t>F</w:t>
            </w:r>
          </w:p>
          <w:p w14:paraId="2EF654AB" w14:textId="77777777" w:rsidR="00E30C2D" w:rsidRPr="00B530DB" w:rsidRDefault="00E30C2D" w:rsidP="00B530DB">
            <w:pPr>
              <w:pStyle w:val="Table"/>
              <w:rPr>
                <w:sz w:val="20"/>
                <w:szCs w:val="20"/>
              </w:rPr>
            </w:pPr>
            <w:r w:rsidRPr="00B530DB">
              <w:rPr>
                <w:sz w:val="20"/>
                <w:szCs w:val="20"/>
              </w:rPr>
              <w:t>0.71</w:t>
            </w:r>
          </w:p>
        </w:tc>
        <w:tc>
          <w:tcPr>
            <w:tcW w:w="459" w:type="pct"/>
            <w:vAlign w:val="center"/>
          </w:tcPr>
          <w:p w14:paraId="3B1AFAAA" w14:textId="77777777" w:rsidR="00E30C2D" w:rsidRPr="00B530DB" w:rsidRDefault="00E30C2D" w:rsidP="00B530DB">
            <w:pPr>
              <w:pStyle w:val="Table"/>
              <w:rPr>
                <w:sz w:val="20"/>
                <w:szCs w:val="20"/>
              </w:rPr>
            </w:pPr>
            <w:r w:rsidRPr="00B530DB">
              <w:rPr>
                <w:sz w:val="20"/>
                <w:szCs w:val="20"/>
              </w:rPr>
              <w:t>0.553</w:t>
            </w:r>
          </w:p>
        </w:tc>
      </w:tr>
      <w:tr w:rsidR="00E30C2D" w:rsidRPr="00B530DB" w14:paraId="2102C178" w14:textId="77777777" w:rsidTr="00107073">
        <w:trPr>
          <w:trHeight w:val="432"/>
        </w:trPr>
        <w:tc>
          <w:tcPr>
            <w:tcW w:w="1128" w:type="pct"/>
            <w:shd w:val="pct12" w:color="auto" w:fill="auto"/>
            <w:vAlign w:val="center"/>
            <w:hideMark/>
          </w:tcPr>
          <w:p w14:paraId="7FF45DD4" w14:textId="77777777" w:rsidR="00E30C2D" w:rsidRPr="00B530DB" w:rsidRDefault="00E30C2D" w:rsidP="00B530DB">
            <w:pPr>
              <w:pStyle w:val="Table"/>
              <w:rPr>
                <w:sz w:val="20"/>
                <w:szCs w:val="20"/>
              </w:rPr>
            </w:pPr>
            <w:bookmarkStart w:id="8" w:name="_Hlk174450055"/>
            <w:r w:rsidRPr="00B530DB">
              <w:rPr>
                <w:sz w:val="20"/>
                <w:szCs w:val="20"/>
              </w:rPr>
              <w:t>HbA1c</w:t>
            </w:r>
            <w:bookmarkEnd w:id="8"/>
            <w:r w:rsidRPr="00B530DB">
              <w:rPr>
                <w:sz w:val="20"/>
                <w:szCs w:val="20"/>
              </w:rPr>
              <w:t xml:space="preserve"> (%)</w:t>
            </w:r>
          </w:p>
        </w:tc>
        <w:tc>
          <w:tcPr>
            <w:tcW w:w="722" w:type="pct"/>
            <w:vAlign w:val="center"/>
            <w:hideMark/>
          </w:tcPr>
          <w:p w14:paraId="5CC0987B" w14:textId="77777777" w:rsidR="00E30C2D" w:rsidRPr="00B530DB" w:rsidRDefault="00E30C2D" w:rsidP="00B530DB">
            <w:pPr>
              <w:pStyle w:val="Table"/>
              <w:rPr>
                <w:sz w:val="20"/>
                <w:szCs w:val="20"/>
              </w:rPr>
            </w:pPr>
            <w:r w:rsidRPr="00B530DB">
              <w:rPr>
                <w:sz w:val="20"/>
                <w:szCs w:val="20"/>
              </w:rPr>
              <w:t>8.2 ± 0.99</w:t>
            </w:r>
          </w:p>
        </w:tc>
        <w:tc>
          <w:tcPr>
            <w:tcW w:w="767" w:type="pct"/>
            <w:vAlign w:val="center"/>
            <w:hideMark/>
          </w:tcPr>
          <w:p w14:paraId="63A69A4C" w14:textId="77777777" w:rsidR="00E30C2D" w:rsidRPr="00B530DB" w:rsidRDefault="00E30C2D" w:rsidP="00B530DB">
            <w:pPr>
              <w:pStyle w:val="Table"/>
              <w:rPr>
                <w:sz w:val="20"/>
                <w:szCs w:val="20"/>
              </w:rPr>
            </w:pPr>
            <w:r w:rsidRPr="00B530DB">
              <w:rPr>
                <w:sz w:val="20"/>
                <w:szCs w:val="20"/>
              </w:rPr>
              <w:t>8.1 ± 1.07</w:t>
            </w:r>
          </w:p>
        </w:tc>
        <w:tc>
          <w:tcPr>
            <w:tcW w:w="751" w:type="pct"/>
            <w:vAlign w:val="center"/>
            <w:hideMark/>
          </w:tcPr>
          <w:p w14:paraId="097A39DE" w14:textId="77777777" w:rsidR="00E30C2D" w:rsidRPr="00B530DB" w:rsidRDefault="00E30C2D" w:rsidP="00B530DB">
            <w:pPr>
              <w:pStyle w:val="Table"/>
              <w:rPr>
                <w:sz w:val="20"/>
                <w:szCs w:val="20"/>
              </w:rPr>
            </w:pPr>
            <w:r w:rsidRPr="00B530DB">
              <w:rPr>
                <w:sz w:val="20"/>
                <w:szCs w:val="20"/>
              </w:rPr>
              <w:t>7.8 ± 0.56</w:t>
            </w:r>
          </w:p>
        </w:tc>
        <w:tc>
          <w:tcPr>
            <w:tcW w:w="748" w:type="pct"/>
            <w:vAlign w:val="center"/>
            <w:hideMark/>
          </w:tcPr>
          <w:p w14:paraId="310AAE79" w14:textId="77777777" w:rsidR="00E30C2D" w:rsidRPr="00B530DB" w:rsidRDefault="00E30C2D" w:rsidP="00B530DB">
            <w:pPr>
              <w:pStyle w:val="Table"/>
              <w:rPr>
                <w:sz w:val="20"/>
                <w:szCs w:val="20"/>
              </w:rPr>
            </w:pPr>
            <w:r w:rsidRPr="00B530DB">
              <w:rPr>
                <w:sz w:val="20"/>
                <w:szCs w:val="20"/>
              </w:rPr>
              <w:t>7.4 ± 0.59</w:t>
            </w:r>
          </w:p>
        </w:tc>
        <w:tc>
          <w:tcPr>
            <w:tcW w:w="425" w:type="pct"/>
            <w:vAlign w:val="center"/>
          </w:tcPr>
          <w:p w14:paraId="01D433F9" w14:textId="77777777" w:rsidR="00E30C2D" w:rsidRPr="00B530DB" w:rsidRDefault="00E30C2D" w:rsidP="00B530DB">
            <w:pPr>
              <w:pStyle w:val="Table"/>
              <w:rPr>
                <w:sz w:val="20"/>
                <w:szCs w:val="20"/>
              </w:rPr>
            </w:pPr>
            <w:r w:rsidRPr="00B530DB">
              <w:rPr>
                <w:sz w:val="20"/>
                <w:szCs w:val="20"/>
              </w:rPr>
              <w:t>F</w:t>
            </w:r>
          </w:p>
          <w:p w14:paraId="44DA8D08" w14:textId="77777777" w:rsidR="00E30C2D" w:rsidRPr="00B530DB" w:rsidRDefault="00E30C2D" w:rsidP="00B530DB">
            <w:pPr>
              <w:pStyle w:val="Table"/>
              <w:rPr>
                <w:sz w:val="20"/>
                <w:szCs w:val="20"/>
              </w:rPr>
            </w:pPr>
            <w:r w:rsidRPr="00B530DB">
              <w:rPr>
                <w:sz w:val="20"/>
                <w:szCs w:val="20"/>
              </w:rPr>
              <w:t>1.62</w:t>
            </w:r>
          </w:p>
        </w:tc>
        <w:tc>
          <w:tcPr>
            <w:tcW w:w="459" w:type="pct"/>
            <w:vAlign w:val="center"/>
          </w:tcPr>
          <w:p w14:paraId="0F6140E1" w14:textId="77777777" w:rsidR="00E30C2D" w:rsidRPr="00B530DB" w:rsidRDefault="00E30C2D" w:rsidP="00B530DB">
            <w:pPr>
              <w:pStyle w:val="Table"/>
              <w:rPr>
                <w:sz w:val="20"/>
                <w:szCs w:val="20"/>
              </w:rPr>
            </w:pPr>
            <w:r w:rsidRPr="00B530DB">
              <w:rPr>
                <w:sz w:val="20"/>
                <w:szCs w:val="20"/>
              </w:rPr>
              <w:t>0.212</w:t>
            </w:r>
          </w:p>
        </w:tc>
      </w:tr>
      <w:tr w:rsidR="00E30C2D" w:rsidRPr="00B530DB" w14:paraId="3A695547" w14:textId="77777777" w:rsidTr="00107073">
        <w:trPr>
          <w:trHeight w:val="432"/>
        </w:trPr>
        <w:tc>
          <w:tcPr>
            <w:tcW w:w="1128" w:type="pct"/>
            <w:shd w:val="pct12" w:color="auto" w:fill="auto"/>
            <w:vAlign w:val="center"/>
            <w:hideMark/>
          </w:tcPr>
          <w:p w14:paraId="01C4E83F" w14:textId="77777777" w:rsidR="00E30C2D" w:rsidRPr="00B530DB" w:rsidRDefault="00E30C2D" w:rsidP="00B530DB">
            <w:pPr>
              <w:pStyle w:val="Table"/>
              <w:rPr>
                <w:sz w:val="20"/>
                <w:szCs w:val="20"/>
                <w:highlight w:val="yellow"/>
              </w:rPr>
            </w:pPr>
            <w:r w:rsidRPr="00B530DB">
              <w:rPr>
                <w:sz w:val="20"/>
                <w:szCs w:val="20"/>
              </w:rPr>
              <w:t>White Blood Cells(10</w:t>
            </w:r>
            <w:r w:rsidRPr="00B530DB">
              <w:rPr>
                <w:sz w:val="20"/>
                <w:szCs w:val="20"/>
                <w:vertAlign w:val="superscript"/>
              </w:rPr>
              <w:t>9</w:t>
            </w:r>
            <w:r w:rsidRPr="00B530DB">
              <w:rPr>
                <w:sz w:val="20"/>
                <w:szCs w:val="20"/>
              </w:rPr>
              <w:t>/L)</w:t>
            </w:r>
          </w:p>
        </w:tc>
        <w:tc>
          <w:tcPr>
            <w:tcW w:w="722" w:type="pct"/>
            <w:vAlign w:val="center"/>
            <w:hideMark/>
          </w:tcPr>
          <w:p w14:paraId="7A0E6F95" w14:textId="77777777" w:rsidR="00E30C2D" w:rsidRPr="00B530DB" w:rsidRDefault="00E30C2D" w:rsidP="00B530DB">
            <w:pPr>
              <w:pStyle w:val="Table"/>
              <w:rPr>
                <w:sz w:val="20"/>
                <w:szCs w:val="20"/>
              </w:rPr>
            </w:pPr>
            <w:r w:rsidRPr="00B530DB">
              <w:rPr>
                <w:sz w:val="20"/>
                <w:szCs w:val="20"/>
              </w:rPr>
              <w:t>9.5 ± 1.57</w:t>
            </w:r>
          </w:p>
        </w:tc>
        <w:tc>
          <w:tcPr>
            <w:tcW w:w="767" w:type="pct"/>
            <w:vAlign w:val="center"/>
            <w:hideMark/>
          </w:tcPr>
          <w:p w14:paraId="16DB97E7" w14:textId="77777777" w:rsidR="00E30C2D" w:rsidRPr="00B530DB" w:rsidRDefault="00E30C2D" w:rsidP="00B530DB">
            <w:pPr>
              <w:pStyle w:val="Table"/>
              <w:rPr>
                <w:sz w:val="20"/>
                <w:szCs w:val="20"/>
              </w:rPr>
            </w:pPr>
            <w:r w:rsidRPr="00B530DB">
              <w:rPr>
                <w:sz w:val="20"/>
                <w:szCs w:val="20"/>
              </w:rPr>
              <w:t>8.8 ± 2.12</w:t>
            </w:r>
          </w:p>
        </w:tc>
        <w:tc>
          <w:tcPr>
            <w:tcW w:w="751" w:type="pct"/>
            <w:vAlign w:val="center"/>
            <w:hideMark/>
          </w:tcPr>
          <w:p w14:paraId="015F2B33" w14:textId="77777777" w:rsidR="00E30C2D" w:rsidRPr="00B530DB" w:rsidRDefault="00E30C2D" w:rsidP="00B530DB">
            <w:pPr>
              <w:pStyle w:val="Table"/>
              <w:rPr>
                <w:sz w:val="20"/>
                <w:szCs w:val="20"/>
              </w:rPr>
            </w:pPr>
            <w:r w:rsidRPr="00B530DB">
              <w:rPr>
                <w:sz w:val="20"/>
                <w:szCs w:val="20"/>
              </w:rPr>
              <w:t>9.7 ± 1.92</w:t>
            </w:r>
          </w:p>
        </w:tc>
        <w:tc>
          <w:tcPr>
            <w:tcW w:w="748" w:type="pct"/>
            <w:vAlign w:val="center"/>
            <w:hideMark/>
          </w:tcPr>
          <w:p w14:paraId="3B08F26F" w14:textId="77777777" w:rsidR="00E30C2D" w:rsidRPr="00B530DB" w:rsidRDefault="00E30C2D" w:rsidP="00B530DB">
            <w:pPr>
              <w:pStyle w:val="Table"/>
              <w:rPr>
                <w:sz w:val="20"/>
                <w:szCs w:val="20"/>
              </w:rPr>
            </w:pPr>
            <w:r w:rsidRPr="00B530DB">
              <w:rPr>
                <w:sz w:val="20"/>
                <w:szCs w:val="20"/>
              </w:rPr>
              <w:t>8.5 ± 1.92</w:t>
            </w:r>
          </w:p>
        </w:tc>
        <w:tc>
          <w:tcPr>
            <w:tcW w:w="425" w:type="pct"/>
            <w:vAlign w:val="center"/>
          </w:tcPr>
          <w:p w14:paraId="61495AEC" w14:textId="77777777" w:rsidR="00E30C2D" w:rsidRPr="00B530DB" w:rsidRDefault="00E30C2D" w:rsidP="00B530DB">
            <w:pPr>
              <w:pStyle w:val="Table"/>
              <w:rPr>
                <w:sz w:val="20"/>
                <w:szCs w:val="20"/>
              </w:rPr>
            </w:pPr>
            <w:r w:rsidRPr="00B530DB">
              <w:rPr>
                <w:sz w:val="20"/>
                <w:szCs w:val="20"/>
              </w:rPr>
              <w:t>F</w:t>
            </w:r>
          </w:p>
          <w:p w14:paraId="563209CB" w14:textId="77777777" w:rsidR="00E30C2D" w:rsidRPr="00B530DB" w:rsidRDefault="00E30C2D" w:rsidP="00B530DB">
            <w:pPr>
              <w:pStyle w:val="Table"/>
              <w:rPr>
                <w:sz w:val="20"/>
                <w:szCs w:val="20"/>
              </w:rPr>
            </w:pPr>
            <w:r w:rsidRPr="00B530DB">
              <w:rPr>
                <w:sz w:val="20"/>
                <w:szCs w:val="20"/>
              </w:rPr>
              <w:t>1.15</w:t>
            </w:r>
          </w:p>
        </w:tc>
        <w:tc>
          <w:tcPr>
            <w:tcW w:w="459" w:type="pct"/>
            <w:vAlign w:val="center"/>
          </w:tcPr>
          <w:p w14:paraId="58AE8676" w14:textId="77777777" w:rsidR="00E30C2D" w:rsidRPr="00B530DB" w:rsidRDefault="00E30C2D" w:rsidP="00B530DB">
            <w:pPr>
              <w:pStyle w:val="Table"/>
              <w:rPr>
                <w:sz w:val="20"/>
                <w:szCs w:val="20"/>
              </w:rPr>
            </w:pPr>
            <w:r w:rsidRPr="00B530DB">
              <w:rPr>
                <w:sz w:val="20"/>
                <w:szCs w:val="20"/>
              </w:rPr>
              <w:t>0.338</w:t>
            </w:r>
          </w:p>
        </w:tc>
      </w:tr>
      <w:tr w:rsidR="00E30C2D" w:rsidRPr="00B530DB" w14:paraId="420D17F1" w14:textId="77777777" w:rsidTr="00107073">
        <w:trPr>
          <w:trHeight w:val="432"/>
        </w:trPr>
        <w:tc>
          <w:tcPr>
            <w:tcW w:w="1128" w:type="pct"/>
            <w:shd w:val="pct12" w:color="auto" w:fill="auto"/>
            <w:vAlign w:val="center"/>
            <w:hideMark/>
          </w:tcPr>
          <w:p w14:paraId="75F95AA8" w14:textId="77777777" w:rsidR="00E30C2D" w:rsidRPr="00B530DB" w:rsidRDefault="00E30C2D" w:rsidP="00B530DB">
            <w:pPr>
              <w:pStyle w:val="Table"/>
              <w:rPr>
                <w:sz w:val="20"/>
                <w:szCs w:val="20"/>
              </w:rPr>
            </w:pPr>
            <w:bookmarkStart w:id="9" w:name="_Hlk174450118"/>
            <w:r w:rsidRPr="00B530DB">
              <w:rPr>
                <w:sz w:val="20"/>
                <w:szCs w:val="20"/>
              </w:rPr>
              <w:t>Hemoglobin</w:t>
            </w:r>
            <w:bookmarkEnd w:id="9"/>
            <w:r w:rsidRPr="00B530DB">
              <w:rPr>
                <w:sz w:val="20"/>
                <w:szCs w:val="20"/>
              </w:rPr>
              <w:t xml:space="preserve"> (g/dL)</w:t>
            </w:r>
          </w:p>
        </w:tc>
        <w:tc>
          <w:tcPr>
            <w:tcW w:w="722" w:type="pct"/>
            <w:vAlign w:val="center"/>
            <w:hideMark/>
          </w:tcPr>
          <w:p w14:paraId="7A17E560" w14:textId="77777777" w:rsidR="00E30C2D" w:rsidRPr="00B530DB" w:rsidRDefault="00E30C2D" w:rsidP="00B530DB">
            <w:pPr>
              <w:pStyle w:val="Table"/>
              <w:rPr>
                <w:sz w:val="20"/>
                <w:szCs w:val="20"/>
              </w:rPr>
            </w:pPr>
            <w:r w:rsidRPr="00B530DB">
              <w:rPr>
                <w:sz w:val="20"/>
                <w:szCs w:val="20"/>
              </w:rPr>
              <w:t>12.5 ± 0.83</w:t>
            </w:r>
          </w:p>
        </w:tc>
        <w:tc>
          <w:tcPr>
            <w:tcW w:w="767" w:type="pct"/>
            <w:vAlign w:val="center"/>
            <w:hideMark/>
          </w:tcPr>
          <w:p w14:paraId="01C787F1" w14:textId="77777777" w:rsidR="00E30C2D" w:rsidRPr="00B530DB" w:rsidRDefault="00E30C2D" w:rsidP="00B530DB">
            <w:pPr>
              <w:pStyle w:val="Table"/>
              <w:rPr>
                <w:sz w:val="20"/>
                <w:szCs w:val="20"/>
              </w:rPr>
            </w:pPr>
            <w:r w:rsidRPr="00B530DB">
              <w:rPr>
                <w:sz w:val="20"/>
                <w:szCs w:val="20"/>
              </w:rPr>
              <w:t>12.3 ± 0.76</w:t>
            </w:r>
          </w:p>
        </w:tc>
        <w:tc>
          <w:tcPr>
            <w:tcW w:w="751" w:type="pct"/>
            <w:vAlign w:val="center"/>
            <w:hideMark/>
          </w:tcPr>
          <w:p w14:paraId="5EB6E9F6" w14:textId="77777777" w:rsidR="00E30C2D" w:rsidRPr="00B530DB" w:rsidRDefault="00E30C2D" w:rsidP="00B530DB">
            <w:pPr>
              <w:pStyle w:val="Table"/>
              <w:rPr>
                <w:sz w:val="20"/>
                <w:szCs w:val="20"/>
              </w:rPr>
            </w:pPr>
            <w:r w:rsidRPr="00B530DB">
              <w:rPr>
                <w:sz w:val="20"/>
                <w:szCs w:val="20"/>
              </w:rPr>
              <w:t>12.1 ± 0.74</w:t>
            </w:r>
          </w:p>
        </w:tc>
        <w:tc>
          <w:tcPr>
            <w:tcW w:w="748" w:type="pct"/>
            <w:vAlign w:val="center"/>
            <w:hideMark/>
          </w:tcPr>
          <w:p w14:paraId="2A3A722A" w14:textId="77777777" w:rsidR="00E30C2D" w:rsidRPr="00B530DB" w:rsidRDefault="00E30C2D" w:rsidP="00B530DB">
            <w:pPr>
              <w:pStyle w:val="Table"/>
              <w:rPr>
                <w:sz w:val="20"/>
                <w:szCs w:val="20"/>
              </w:rPr>
            </w:pPr>
            <w:r w:rsidRPr="00B530DB">
              <w:rPr>
                <w:sz w:val="20"/>
                <w:szCs w:val="20"/>
              </w:rPr>
              <w:t>12.4 ± 0.8</w:t>
            </w:r>
          </w:p>
        </w:tc>
        <w:tc>
          <w:tcPr>
            <w:tcW w:w="425" w:type="pct"/>
            <w:vAlign w:val="center"/>
          </w:tcPr>
          <w:p w14:paraId="1F3A800A" w14:textId="77777777" w:rsidR="00E30C2D" w:rsidRPr="00B530DB" w:rsidRDefault="00E30C2D" w:rsidP="00B530DB">
            <w:pPr>
              <w:pStyle w:val="Table"/>
              <w:rPr>
                <w:sz w:val="20"/>
                <w:szCs w:val="20"/>
              </w:rPr>
            </w:pPr>
            <w:r w:rsidRPr="00B530DB">
              <w:rPr>
                <w:sz w:val="20"/>
                <w:szCs w:val="20"/>
              </w:rPr>
              <w:t>F</w:t>
            </w:r>
          </w:p>
          <w:p w14:paraId="224EBDC0" w14:textId="77777777" w:rsidR="00E30C2D" w:rsidRPr="00B530DB" w:rsidRDefault="00E30C2D" w:rsidP="00B530DB">
            <w:pPr>
              <w:pStyle w:val="Table"/>
              <w:rPr>
                <w:sz w:val="20"/>
                <w:szCs w:val="20"/>
              </w:rPr>
            </w:pPr>
            <w:r w:rsidRPr="00B530DB">
              <w:rPr>
                <w:sz w:val="20"/>
                <w:szCs w:val="20"/>
              </w:rPr>
              <w:t>0.59</w:t>
            </w:r>
          </w:p>
          <w:p w14:paraId="41D2387B" w14:textId="77777777" w:rsidR="00E30C2D" w:rsidRPr="00B530DB" w:rsidRDefault="00E30C2D" w:rsidP="00B530DB">
            <w:pPr>
              <w:pStyle w:val="Table"/>
              <w:rPr>
                <w:sz w:val="20"/>
                <w:szCs w:val="20"/>
              </w:rPr>
            </w:pPr>
          </w:p>
        </w:tc>
        <w:tc>
          <w:tcPr>
            <w:tcW w:w="459" w:type="pct"/>
            <w:vAlign w:val="center"/>
          </w:tcPr>
          <w:p w14:paraId="38CD9655" w14:textId="77777777" w:rsidR="00E30C2D" w:rsidRPr="00B530DB" w:rsidRDefault="00E30C2D" w:rsidP="00B530DB">
            <w:pPr>
              <w:pStyle w:val="Table"/>
              <w:rPr>
                <w:sz w:val="20"/>
                <w:szCs w:val="20"/>
              </w:rPr>
            </w:pPr>
            <w:r w:rsidRPr="00B530DB">
              <w:rPr>
                <w:sz w:val="20"/>
                <w:szCs w:val="20"/>
              </w:rPr>
              <w:t>0.622</w:t>
            </w:r>
          </w:p>
        </w:tc>
      </w:tr>
      <w:tr w:rsidR="00E30C2D" w:rsidRPr="00B530DB" w14:paraId="67084DDE" w14:textId="77777777" w:rsidTr="00107073">
        <w:trPr>
          <w:trHeight w:val="432"/>
        </w:trPr>
        <w:tc>
          <w:tcPr>
            <w:tcW w:w="1128" w:type="pct"/>
            <w:shd w:val="pct12" w:color="auto" w:fill="auto"/>
            <w:vAlign w:val="center"/>
            <w:hideMark/>
          </w:tcPr>
          <w:p w14:paraId="0B5C42F5" w14:textId="77777777" w:rsidR="00E30C2D" w:rsidRPr="00B530DB" w:rsidRDefault="00E30C2D" w:rsidP="00B530DB">
            <w:pPr>
              <w:pStyle w:val="Table"/>
              <w:rPr>
                <w:sz w:val="20"/>
                <w:szCs w:val="20"/>
              </w:rPr>
            </w:pPr>
            <w:bookmarkStart w:id="10" w:name="_Hlk174450143"/>
            <w:r w:rsidRPr="00B530DB">
              <w:rPr>
                <w:sz w:val="20"/>
                <w:szCs w:val="20"/>
              </w:rPr>
              <w:t xml:space="preserve">Platelet count </w:t>
            </w:r>
            <w:bookmarkEnd w:id="10"/>
            <w:r w:rsidRPr="00B530DB">
              <w:rPr>
                <w:sz w:val="20"/>
                <w:szCs w:val="20"/>
              </w:rPr>
              <w:t>(10</w:t>
            </w:r>
            <w:r w:rsidRPr="00B530DB">
              <w:rPr>
                <w:sz w:val="20"/>
                <w:szCs w:val="20"/>
                <w:vertAlign w:val="superscript"/>
              </w:rPr>
              <w:t>9</w:t>
            </w:r>
            <w:r w:rsidRPr="00B530DB">
              <w:rPr>
                <w:sz w:val="20"/>
                <w:szCs w:val="20"/>
              </w:rPr>
              <w:t>/L)</w:t>
            </w:r>
          </w:p>
        </w:tc>
        <w:tc>
          <w:tcPr>
            <w:tcW w:w="722" w:type="pct"/>
            <w:vAlign w:val="center"/>
            <w:hideMark/>
          </w:tcPr>
          <w:p w14:paraId="6D8172A3" w14:textId="77777777" w:rsidR="00E30C2D" w:rsidRPr="00B530DB" w:rsidRDefault="00E30C2D" w:rsidP="00B530DB">
            <w:pPr>
              <w:pStyle w:val="Table"/>
              <w:rPr>
                <w:sz w:val="20"/>
                <w:szCs w:val="20"/>
              </w:rPr>
            </w:pPr>
            <w:r w:rsidRPr="00B530DB">
              <w:rPr>
                <w:sz w:val="20"/>
                <w:szCs w:val="20"/>
              </w:rPr>
              <w:t>311.1 ± 29.13</w:t>
            </w:r>
          </w:p>
        </w:tc>
        <w:tc>
          <w:tcPr>
            <w:tcW w:w="767" w:type="pct"/>
            <w:vAlign w:val="center"/>
            <w:hideMark/>
          </w:tcPr>
          <w:p w14:paraId="1A17DBEA" w14:textId="77777777" w:rsidR="00E30C2D" w:rsidRPr="00B530DB" w:rsidRDefault="00E30C2D" w:rsidP="00B530DB">
            <w:pPr>
              <w:pStyle w:val="Table"/>
              <w:rPr>
                <w:sz w:val="20"/>
                <w:szCs w:val="20"/>
              </w:rPr>
            </w:pPr>
            <w:r w:rsidRPr="00B530DB">
              <w:rPr>
                <w:sz w:val="20"/>
                <w:szCs w:val="20"/>
              </w:rPr>
              <w:t>307.8 ± 30.63</w:t>
            </w:r>
          </w:p>
        </w:tc>
        <w:tc>
          <w:tcPr>
            <w:tcW w:w="751" w:type="pct"/>
            <w:vAlign w:val="center"/>
            <w:hideMark/>
          </w:tcPr>
          <w:p w14:paraId="205C6DDC" w14:textId="77777777" w:rsidR="00E30C2D" w:rsidRPr="00B530DB" w:rsidRDefault="00E30C2D" w:rsidP="00B530DB">
            <w:pPr>
              <w:pStyle w:val="Table"/>
              <w:rPr>
                <w:sz w:val="20"/>
                <w:szCs w:val="20"/>
              </w:rPr>
            </w:pPr>
            <w:r w:rsidRPr="00B530DB">
              <w:rPr>
                <w:sz w:val="20"/>
                <w:szCs w:val="20"/>
              </w:rPr>
              <w:t>276.8 ± 58.63</w:t>
            </w:r>
          </w:p>
        </w:tc>
        <w:tc>
          <w:tcPr>
            <w:tcW w:w="748" w:type="pct"/>
            <w:vAlign w:val="center"/>
            <w:hideMark/>
          </w:tcPr>
          <w:p w14:paraId="14EF6033" w14:textId="77777777" w:rsidR="00E30C2D" w:rsidRPr="00B530DB" w:rsidRDefault="00E30C2D" w:rsidP="00B530DB">
            <w:pPr>
              <w:pStyle w:val="Table"/>
              <w:rPr>
                <w:rFonts w:eastAsia="Calibri"/>
                <w:sz w:val="20"/>
                <w:szCs w:val="20"/>
              </w:rPr>
            </w:pPr>
            <w:r w:rsidRPr="00B530DB">
              <w:rPr>
                <w:sz w:val="20"/>
                <w:szCs w:val="20"/>
              </w:rPr>
              <w:t>275.5 ± 52.36</w:t>
            </w:r>
          </w:p>
        </w:tc>
        <w:tc>
          <w:tcPr>
            <w:tcW w:w="425" w:type="pct"/>
            <w:vAlign w:val="center"/>
          </w:tcPr>
          <w:p w14:paraId="3E4A3EBF" w14:textId="77777777" w:rsidR="00E30C2D" w:rsidRPr="00B530DB" w:rsidRDefault="00E30C2D" w:rsidP="00B530DB">
            <w:pPr>
              <w:pStyle w:val="Table"/>
              <w:rPr>
                <w:sz w:val="20"/>
                <w:szCs w:val="20"/>
              </w:rPr>
            </w:pPr>
            <w:r w:rsidRPr="00B530DB">
              <w:rPr>
                <w:sz w:val="20"/>
                <w:szCs w:val="20"/>
              </w:rPr>
              <w:t>F</w:t>
            </w:r>
          </w:p>
          <w:p w14:paraId="41560465" w14:textId="77777777" w:rsidR="00E30C2D" w:rsidRPr="00B530DB" w:rsidRDefault="00E30C2D" w:rsidP="00B530DB">
            <w:pPr>
              <w:pStyle w:val="Table"/>
              <w:rPr>
                <w:sz w:val="20"/>
                <w:szCs w:val="20"/>
              </w:rPr>
            </w:pPr>
            <w:r w:rsidRPr="00B530DB">
              <w:rPr>
                <w:sz w:val="20"/>
                <w:szCs w:val="20"/>
              </w:rPr>
              <w:t>2.41</w:t>
            </w:r>
          </w:p>
        </w:tc>
        <w:tc>
          <w:tcPr>
            <w:tcW w:w="459" w:type="pct"/>
            <w:vAlign w:val="center"/>
          </w:tcPr>
          <w:p w14:paraId="1BF37CD2" w14:textId="77777777" w:rsidR="00E30C2D" w:rsidRPr="00B530DB" w:rsidRDefault="00E30C2D" w:rsidP="00B530DB">
            <w:pPr>
              <w:pStyle w:val="Table"/>
              <w:rPr>
                <w:sz w:val="20"/>
                <w:szCs w:val="20"/>
              </w:rPr>
            </w:pPr>
            <w:r w:rsidRPr="00B530DB">
              <w:rPr>
                <w:sz w:val="20"/>
                <w:szCs w:val="20"/>
              </w:rPr>
              <w:t>0.079</w:t>
            </w:r>
          </w:p>
        </w:tc>
      </w:tr>
      <w:tr w:rsidR="00E30C2D" w:rsidRPr="00B530DB" w14:paraId="0CF28FA1" w14:textId="77777777" w:rsidTr="00107073">
        <w:trPr>
          <w:trHeight w:val="432"/>
        </w:trPr>
        <w:tc>
          <w:tcPr>
            <w:tcW w:w="1128" w:type="pct"/>
            <w:shd w:val="pct12" w:color="auto" w:fill="auto"/>
            <w:vAlign w:val="center"/>
            <w:hideMark/>
          </w:tcPr>
          <w:p w14:paraId="44A025B9" w14:textId="77777777" w:rsidR="00E30C2D" w:rsidRPr="00B530DB" w:rsidRDefault="00E30C2D" w:rsidP="00B530DB">
            <w:pPr>
              <w:pStyle w:val="Table"/>
              <w:rPr>
                <w:sz w:val="20"/>
                <w:szCs w:val="20"/>
              </w:rPr>
            </w:pPr>
            <w:r w:rsidRPr="00B530DB">
              <w:rPr>
                <w:sz w:val="20"/>
                <w:szCs w:val="20"/>
              </w:rPr>
              <w:t>Total bilirubin (mg/dL)</w:t>
            </w:r>
          </w:p>
        </w:tc>
        <w:tc>
          <w:tcPr>
            <w:tcW w:w="722" w:type="pct"/>
            <w:vAlign w:val="center"/>
            <w:hideMark/>
          </w:tcPr>
          <w:p w14:paraId="4ED40F82" w14:textId="77777777" w:rsidR="00E30C2D" w:rsidRPr="00B530DB" w:rsidRDefault="00E30C2D" w:rsidP="00B530DB">
            <w:pPr>
              <w:pStyle w:val="Table"/>
              <w:rPr>
                <w:sz w:val="20"/>
                <w:szCs w:val="20"/>
              </w:rPr>
            </w:pPr>
            <w:r w:rsidRPr="00B530DB">
              <w:rPr>
                <w:sz w:val="20"/>
                <w:szCs w:val="20"/>
              </w:rPr>
              <w:t>0.8 ± 0.2</w:t>
            </w:r>
          </w:p>
        </w:tc>
        <w:tc>
          <w:tcPr>
            <w:tcW w:w="767" w:type="pct"/>
            <w:vAlign w:val="center"/>
            <w:hideMark/>
          </w:tcPr>
          <w:p w14:paraId="3863DE3F" w14:textId="77777777" w:rsidR="00E30C2D" w:rsidRPr="00B530DB" w:rsidRDefault="00E30C2D" w:rsidP="00B530DB">
            <w:pPr>
              <w:pStyle w:val="Table"/>
              <w:rPr>
                <w:sz w:val="20"/>
                <w:szCs w:val="20"/>
              </w:rPr>
            </w:pPr>
            <w:r w:rsidRPr="00B530DB">
              <w:rPr>
                <w:sz w:val="20"/>
                <w:szCs w:val="20"/>
              </w:rPr>
              <w:t>0.8 ± 0.19</w:t>
            </w:r>
          </w:p>
        </w:tc>
        <w:tc>
          <w:tcPr>
            <w:tcW w:w="751" w:type="pct"/>
            <w:vAlign w:val="center"/>
            <w:hideMark/>
          </w:tcPr>
          <w:p w14:paraId="6A51DF91" w14:textId="77777777" w:rsidR="00E30C2D" w:rsidRPr="00B530DB" w:rsidRDefault="00E30C2D" w:rsidP="00B530DB">
            <w:pPr>
              <w:pStyle w:val="Table"/>
              <w:rPr>
                <w:sz w:val="20"/>
                <w:szCs w:val="20"/>
              </w:rPr>
            </w:pPr>
            <w:r w:rsidRPr="00B530DB">
              <w:rPr>
                <w:sz w:val="20"/>
                <w:szCs w:val="20"/>
              </w:rPr>
              <w:t>0.8 ± 0.21</w:t>
            </w:r>
          </w:p>
        </w:tc>
        <w:tc>
          <w:tcPr>
            <w:tcW w:w="748" w:type="pct"/>
            <w:vAlign w:val="center"/>
            <w:hideMark/>
          </w:tcPr>
          <w:p w14:paraId="61FA9EDB" w14:textId="77777777" w:rsidR="00E30C2D" w:rsidRPr="00B530DB" w:rsidRDefault="00E30C2D" w:rsidP="00B530DB">
            <w:pPr>
              <w:pStyle w:val="Table"/>
              <w:rPr>
                <w:rFonts w:eastAsia="Calibri"/>
                <w:sz w:val="20"/>
                <w:szCs w:val="20"/>
              </w:rPr>
            </w:pPr>
            <w:r w:rsidRPr="00B530DB">
              <w:rPr>
                <w:sz w:val="20"/>
                <w:szCs w:val="20"/>
              </w:rPr>
              <w:t>0.7 ± 0.13</w:t>
            </w:r>
          </w:p>
        </w:tc>
        <w:tc>
          <w:tcPr>
            <w:tcW w:w="425" w:type="pct"/>
            <w:vAlign w:val="center"/>
          </w:tcPr>
          <w:p w14:paraId="66AD27F3" w14:textId="77777777" w:rsidR="00E30C2D" w:rsidRPr="00B530DB" w:rsidRDefault="00E30C2D" w:rsidP="00B530DB">
            <w:pPr>
              <w:pStyle w:val="Table"/>
              <w:rPr>
                <w:sz w:val="20"/>
                <w:szCs w:val="20"/>
              </w:rPr>
            </w:pPr>
            <w:r w:rsidRPr="00B530DB">
              <w:rPr>
                <w:sz w:val="20"/>
                <w:szCs w:val="20"/>
              </w:rPr>
              <w:t>F</w:t>
            </w:r>
          </w:p>
          <w:p w14:paraId="1BE280CD" w14:textId="77777777" w:rsidR="00E30C2D" w:rsidRPr="00B530DB" w:rsidRDefault="00E30C2D" w:rsidP="00B530DB">
            <w:pPr>
              <w:pStyle w:val="Table"/>
              <w:rPr>
                <w:sz w:val="20"/>
                <w:szCs w:val="20"/>
              </w:rPr>
            </w:pPr>
            <w:r w:rsidRPr="00B530DB">
              <w:rPr>
                <w:sz w:val="20"/>
                <w:szCs w:val="20"/>
              </w:rPr>
              <w:t>0.29</w:t>
            </w:r>
          </w:p>
        </w:tc>
        <w:tc>
          <w:tcPr>
            <w:tcW w:w="459" w:type="pct"/>
            <w:vAlign w:val="center"/>
          </w:tcPr>
          <w:p w14:paraId="5B74050C" w14:textId="77777777" w:rsidR="00E30C2D" w:rsidRPr="00B530DB" w:rsidRDefault="00E30C2D" w:rsidP="00B530DB">
            <w:pPr>
              <w:pStyle w:val="Table"/>
              <w:rPr>
                <w:sz w:val="20"/>
                <w:szCs w:val="20"/>
              </w:rPr>
            </w:pPr>
            <w:r w:rsidRPr="00B530DB">
              <w:rPr>
                <w:sz w:val="20"/>
                <w:szCs w:val="20"/>
              </w:rPr>
              <w:t>0.832</w:t>
            </w:r>
          </w:p>
        </w:tc>
      </w:tr>
      <w:tr w:rsidR="00E30C2D" w:rsidRPr="00B530DB" w14:paraId="01A03391" w14:textId="77777777" w:rsidTr="00107073">
        <w:trPr>
          <w:trHeight w:val="432"/>
        </w:trPr>
        <w:tc>
          <w:tcPr>
            <w:tcW w:w="1128" w:type="pct"/>
            <w:shd w:val="pct12" w:color="auto" w:fill="auto"/>
            <w:vAlign w:val="center"/>
            <w:hideMark/>
          </w:tcPr>
          <w:p w14:paraId="507CC70A" w14:textId="77777777" w:rsidR="00E30C2D" w:rsidRPr="00B530DB" w:rsidRDefault="00E30C2D" w:rsidP="00B530DB">
            <w:pPr>
              <w:pStyle w:val="Table"/>
              <w:rPr>
                <w:sz w:val="20"/>
                <w:szCs w:val="20"/>
              </w:rPr>
            </w:pPr>
            <w:bookmarkStart w:id="11" w:name="_Hlk174450222"/>
            <w:r w:rsidRPr="00B530DB">
              <w:rPr>
                <w:sz w:val="20"/>
                <w:szCs w:val="20"/>
              </w:rPr>
              <w:t>Direct bilirubin</w:t>
            </w:r>
            <w:bookmarkEnd w:id="11"/>
            <w:r w:rsidRPr="00B530DB">
              <w:rPr>
                <w:sz w:val="20"/>
                <w:szCs w:val="20"/>
              </w:rPr>
              <w:t>: (mg/dL)</w:t>
            </w:r>
          </w:p>
        </w:tc>
        <w:tc>
          <w:tcPr>
            <w:tcW w:w="722" w:type="pct"/>
            <w:vAlign w:val="center"/>
            <w:hideMark/>
          </w:tcPr>
          <w:p w14:paraId="5DECA345" w14:textId="77777777" w:rsidR="00E30C2D" w:rsidRPr="00B530DB" w:rsidRDefault="00E30C2D" w:rsidP="00B530DB">
            <w:pPr>
              <w:pStyle w:val="Table"/>
              <w:rPr>
                <w:sz w:val="20"/>
                <w:szCs w:val="20"/>
              </w:rPr>
            </w:pPr>
            <w:r w:rsidRPr="00B530DB">
              <w:rPr>
                <w:sz w:val="20"/>
                <w:szCs w:val="20"/>
              </w:rPr>
              <w:t>0.2 ± 0.05</w:t>
            </w:r>
          </w:p>
        </w:tc>
        <w:tc>
          <w:tcPr>
            <w:tcW w:w="767" w:type="pct"/>
            <w:vAlign w:val="center"/>
            <w:hideMark/>
          </w:tcPr>
          <w:p w14:paraId="5A4089B2" w14:textId="77777777" w:rsidR="00E30C2D" w:rsidRPr="00B530DB" w:rsidRDefault="00E30C2D" w:rsidP="00B530DB">
            <w:pPr>
              <w:pStyle w:val="Table"/>
              <w:rPr>
                <w:sz w:val="20"/>
                <w:szCs w:val="20"/>
              </w:rPr>
            </w:pPr>
            <w:r w:rsidRPr="00B530DB">
              <w:rPr>
                <w:sz w:val="20"/>
                <w:szCs w:val="20"/>
              </w:rPr>
              <w:t>0.2 ± 0.06</w:t>
            </w:r>
          </w:p>
        </w:tc>
        <w:tc>
          <w:tcPr>
            <w:tcW w:w="751" w:type="pct"/>
            <w:vAlign w:val="center"/>
            <w:hideMark/>
          </w:tcPr>
          <w:p w14:paraId="78EF66A0" w14:textId="77777777" w:rsidR="00E30C2D" w:rsidRPr="00B530DB" w:rsidRDefault="00E30C2D" w:rsidP="00B530DB">
            <w:pPr>
              <w:pStyle w:val="Table"/>
              <w:rPr>
                <w:sz w:val="20"/>
                <w:szCs w:val="20"/>
              </w:rPr>
            </w:pPr>
            <w:r w:rsidRPr="00B530DB">
              <w:rPr>
                <w:sz w:val="20"/>
                <w:szCs w:val="20"/>
              </w:rPr>
              <w:t>0.2 ± 0.16</w:t>
            </w:r>
          </w:p>
        </w:tc>
        <w:tc>
          <w:tcPr>
            <w:tcW w:w="748" w:type="pct"/>
            <w:vAlign w:val="center"/>
            <w:hideMark/>
          </w:tcPr>
          <w:p w14:paraId="1340F6B9" w14:textId="77777777" w:rsidR="00E30C2D" w:rsidRPr="00B530DB" w:rsidRDefault="00E30C2D" w:rsidP="00B530DB">
            <w:pPr>
              <w:pStyle w:val="Table"/>
              <w:rPr>
                <w:rFonts w:eastAsia="Calibri"/>
                <w:sz w:val="20"/>
                <w:szCs w:val="20"/>
              </w:rPr>
            </w:pPr>
            <w:r w:rsidRPr="00B530DB">
              <w:rPr>
                <w:sz w:val="20"/>
                <w:szCs w:val="20"/>
              </w:rPr>
              <w:t>0.2 ± 0.03</w:t>
            </w:r>
          </w:p>
        </w:tc>
        <w:tc>
          <w:tcPr>
            <w:tcW w:w="425" w:type="pct"/>
            <w:vAlign w:val="center"/>
          </w:tcPr>
          <w:p w14:paraId="3E45CE94" w14:textId="77777777" w:rsidR="00E30C2D" w:rsidRPr="00B530DB" w:rsidRDefault="00E30C2D" w:rsidP="00B530DB">
            <w:pPr>
              <w:pStyle w:val="Table"/>
              <w:rPr>
                <w:sz w:val="20"/>
                <w:szCs w:val="20"/>
              </w:rPr>
            </w:pPr>
            <w:r w:rsidRPr="00B530DB">
              <w:rPr>
                <w:sz w:val="20"/>
                <w:szCs w:val="20"/>
              </w:rPr>
              <w:t xml:space="preserve">F </w:t>
            </w:r>
          </w:p>
          <w:p w14:paraId="1712E686" w14:textId="77777777" w:rsidR="00E30C2D" w:rsidRPr="00B530DB" w:rsidRDefault="00E30C2D" w:rsidP="00B530DB">
            <w:pPr>
              <w:pStyle w:val="Table"/>
              <w:rPr>
                <w:sz w:val="20"/>
                <w:szCs w:val="20"/>
              </w:rPr>
            </w:pPr>
            <w:r w:rsidRPr="00B530DB">
              <w:rPr>
                <w:sz w:val="20"/>
                <w:szCs w:val="20"/>
              </w:rPr>
              <w:t>1.11</w:t>
            </w:r>
          </w:p>
        </w:tc>
        <w:tc>
          <w:tcPr>
            <w:tcW w:w="459" w:type="pct"/>
            <w:vAlign w:val="center"/>
          </w:tcPr>
          <w:p w14:paraId="4B226597" w14:textId="77777777" w:rsidR="00E30C2D" w:rsidRPr="00B530DB" w:rsidRDefault="00E30C2D" w:rsidP="00B530DB">
            <w:pPr>
              <w:pStyle w:val="Table"/>
              <w:rPr>
                <w:sz w:val="20"/>
                <w:szCs w:val="20"/>
              </w:rPr>
            </w:pPr>
            <w:r w:rsidRPr="00B530DB">
              <w:rPr>
                <w:sz w:val="20"/>
                <w:szCs w:val="20"/>
              </w:rPr>
              <w:t>0.356</w:t>
            </w:r>
          </w:p>
        </w:tc>
      </w:tr>
      <w:tr w:rsidR="00E30C2D" w:rsidRPr="00B530DB" w14:paraId="1B10B02B" w14:textId="77777777" w:rsidTr="00107073">
        <w:trPr>
          <w:trHeight w:val="432"/>
        </w:trPr>
        <w:tc>
          <w:tcPr>
            <w:tcW w:w="1128" w:type="pct"/>
            <w:shd w:val="pct12" w:color="auto" w:fill="auto"/>
            <w:vAlign w:val="center"/>
            <w:hideMark/>
          </w:tcPr>
          <w:p w14:paraId="79E6EFC1" w14:textId="77777777" w:rsidR="00E30C2D" w:rsidRPr="00B530DB" w:rsidRDefault="00E30C2D" w:rsidP="00B530DB">
            <w:pPr>
              <w:pStyle w:val="Table"/>
              <w:rPr>
                <w:sz w:val="20"/>
                <w:szCs w:val="20"/>
              </w:rPr>
            </w:pPr>
            <w:r w:rsidRPr="00B530DB">
              <w:rPr>
                <w:sz w:val="20"/>
                <w:szCs w:val="20"/>
              </w:rPr>
              <w:t>AST (U/L)</w:t>
            </w:r>
          </w:p>
        </w:tc>
        <w:tc>
          <w:tcPr>
            <w:tcW w:w="722" w:type="pct"/>
            <w:vAlign w:val="center"/>
            <w:hideMark/>
          </w:tcPr>
          <w:p w14:paraId="2B88B427" w14:textId="77777777" w:rsidR="00E30C2D" w:rsidRPr="00B530DB" w:rsidRDefault="00E30C2D" w:rsidP="00B530DB">
            <w:pPr>
              <w:pStyle w:val="Table"/>
              <w:rPr>
                <w:sz w:val="20"/>
                <w:szCs w:val="20"/>
              </w:rPr>
            </w:pPr>
            <w:r w:rsidRPr="00B530DB">
              <w:rPr>
                <w:sz w:val="20"/>
                <w:szCs w:val="20"/>
              </w:rPr>
              <w:t>42 (36.75 – 45.5)</w:t>
            </w:r>
          </w:p>
        </w:tc>
        <w:tc>
          <w:tcPr>
            <w:tcW w:w="767" w:type="pct"/>
            <w:vAlign w:val="center"/>
            <w:hideMark/>
          </w:tcPr>
          <w:p w14:paraId="367416E8" w14:textId="77777777" w:rsidR="00E30C2D" w:rsidRPr="00B530DB" w:rsidRDefault="00E30C2D" w:rsidP="00B530DB">
            <w:pPr>
              <w:pStyle w:val="Table"/>
              <w:rPr>
                <w:sz w:val="20"/>
                <w:szCs w:val="20"/>
              </w:rPr>
            </w:pPr>
            <w:r w:rsidRPr="00B530DB">
              <w:rPr>
                <w:sz w:val="20"/>
                <w:szCs w:val="20"/>
              </w:rPr>
              <w:t>38.5 (36.25 – 45)</w:t>
            </w:r>
          </w:p>
        </w:tc>
        <w:tc>
          <w:tcPr>
            <w:tcW w:w="751" w:type="pct"/>
            <w:vAlign w:val="center"/>
            <w:hideMark/>
          </w:tcPr>
          <w:p w14:paraId="1E9F9AD9" w14:textId="77777777" w:rsidR="00E30C2D" w:rsidRPr="00B530DB" w:rsidRDefault="00E30C2D" w:rsidP="00B530DB">
            <w:pPr>
              <w:pStyle w:val="Table"/>
              <w:rPr>
                <w:sz w:val="20"/>
                <w:szCs w:val="20"/>
              </w:rPr>
            </w:pPr>
            <w:r w:rsidRPr="00B530DB">
              <w:rPr>
                <w:sz w:val="20"/>
                <w:szCs w:val="20"/>
              </w:rPr>
              <w:t>38 (37 – 48.25)</w:t>
            </w:r>
          </w:p>
        </w:tc>
        <w:tc>
          <w:tcPr>
            <w:tcW w:w="748" w:type="pct"/>
            <w:vAlign w:val="center"/>
            <w:hideMark/>
          </w:tcPr>
          <w:p w14:paraId="6C044521" w14:textId="77777777" w:rsidR="00E30C2D" w:rsidRPr="00B530DB" w:rsidRDefault="00E30C2D" w:rsidP="00B530DB">
            <w:pPr>
              <w:pStyle w:val="Table"/>
              <w:rPr>
                <w:rFonts w:eastAsia="Calibri"/>
                <w:sz w:val="20"/>
                <w:szCs w:val="20"/>
              </w:rPr>
            </w:pPr>
            <w:r w:rsidRPr="00B530DB">
              <w:rPr>
                <w:sz w:val="20"/>
                <w:szCs w:val="20"/>
              </w:rPr>
              <w:t>44.5 (38 -48.75)</w:t>
            </w:r>
          </w:p>
        </w:tc>
        <w:tc>
          <w:tcPr>
            <w:tcW w:w="425" w:type="pct"/>
            <w:vAlign w:val="center"/>
          </w:tcPr>
          <w:p w14:paraId="7ADCFC12" w14:textId="77777777" w:rsidR="00E30C2D" w:rsidRPr="00B530DB" w:rsidRDefault="00E30C2D" w:rsidP="00B530DB">
            <w:pPr>
              <w:pStyle w:val="Table"/>
              <w:rPr>
                <w:sz w:val="20"/>
                <w:szCs w:val="20"/>
              </w:rPr>
            </w:pPr>
            <w:r w:rsidRPr="00B530DB">
              <w:rPr>
                <w:sz w:val="20"/>
                <w:szCs w:val="20"/>
              </w:rPr>
              <w:t>H</w:t>
            </w:r>
          </w:p>
          <w:p w14:paraId="0ABF2CC3" w14:textId="77777777" w:rsidR="00E30C2D" w:rsidRPr="00B530DB" w:rsidRDefault="00E30C2D" w:rsidP="00B530DB">
            <w:pPr>
              <w:pStyle w:val="Table"/>
              <w:rPr>
                <w:sz w:val="20"/>
                <w:szCs w:val="20"/>
              </w:rPr>
            </w:pPr>
            <w:r w:rsidRPr="00B530DB">
              <w:rPr>
                <w:sz w:val="20"/>
                <w:szCs w:val="20"/>
              </w:rPr>
              <w:t>2.21</w:t>
            </w:r>
          </w:p>
        </w:tc>
        <w:tc>
          <w:tcPr>
            <w:tcW w:w="459" w:type="pct"/>
            <w:vAlign w:val="center"/>
          </w:tcPr>
          <w:p w14:paraId="6324EFCE" w14:textId="77777777" w:rsidR="00E30C2D" w:rsidRPr="00B530DB" w:rsidRDefault="00E30C2D" w:rsidP="00B530DB">
            <w:pPr>
              <w:pStyle w:val="Table"/>
              <w:rPr>
                <w:sz w:val="20"/>
                <w:szCs w:val="20"/>
              </w:rPr>
            </w:pPr>
            <w:r w:rsidRPr="00B530DB">
              <w:rPr>
                <w:sz w:val="20"/>
                <w:szCs w:val="20"/>
              </w:rPr>
              <w:t>0.530</w:t>
            </w:r>
          </w:p>
        </w:tc>
      </w:tr>
      <w:tr w:rsidR="00E30C2D" w:rsidRPr="00B530DB" w14:paraId="55AC29D3" w14:textId="77777777" w:rsidTr="00107073">
        <w:trPr>
          <w:trHeight w:val="432"/>
        </w:trPr>
        <w:tc>
          <w:tcPr>
            <w:tcW w:w="1128" w:type="pct"/>
            <w:shd w:val="pct12" w:color="auto" w:fill="auto"/>
            <w:vAlign w:val="center"/>
            <w:hideMark/>
          </w:tcPr>
          <w:p w14:paraId="6A431E89" w14:textId="77777777" w:rsidR="00E30C2D" w:rsidRPr="00B530DB" w:rsidRDefault="00E30C2D" w:rsidP="00B530DB">
            <w:pPr>
              <w:pStyle w:val="Table"/>
              <w:rPr>
                <w:sz w:val="20"/>
                <w:szCs w:val="20"/>
              </w:rPr>
            </w:pPr>
            <w:r w:rsidRPr="00B530DB">
              <w:rPr>
                <w:sz w:val="20"/>
                <w:szCs w:val="20"/>
              </w:rPr>
              <w:t>ALT (U/L)</w:t>
            </w:r>
          </w:p>
        </w:tc>
        <w:tc>
          <w:tcPr>
            <w:tcW w:w="722" w:type="pct"/>
            <w:vAlign w:val="center"/>
            <w:hideMark/>
          </w:tcPr>
          <w:p w14:paraId="2BF76176" w14:textId="77777777" w:rsidR="00E30C2D" w:rsidRPr="00B530DB" w:rsidRDefault="00E30C2D" w:rsidP="00B530DB">
            <w:pPr>
              <w:pStyle w:val="Table"/>
              <w:rPr>
                <w:sz w:val="20"/>
                <w:szCs w:val="20"/>
              </w:rPr>
            </w:pPr>
            <w:r w:rsidRPr="00B530DB">
              <w:rPr>
                <w:sz w:val="20"/>
                <w:szCs w:val="20"/>
              </w:rPr>
              <w:t>35 (29.75 – 38.5)</w:t>
            </w:r>
          </w:p>
        </w:tc>
        <w:tc>
          <w:tcPr>
            <w:tcW w:w="767" w:type="pct"/>
            <w:vAlign w:val="center"/>
            <w:hideMark/>
          </w:tcPr>
          <w:p w14:paraId="4C62B0BA" w14:textId="77777777" w:rsidR="00E30C2D" w:rsidRPr="00B530DB" w:rsidRDefault="00E30C2D" w:rsidP="00B530DB">
            <w:pPr>
              <w:pStyle w:val="Table"/>
              <w:rPr>
                <w:sz w:val="20"/>
                <w:szCs w:val="20"/>
              </w:rPr>
            </w:pPr>
            <w:r w:rsidRPr="00B530DB">
              <w:rPr>
                <w:sz w:val="20"/>
                <w:szCs w:val="20"/>
              </w:rPr>
              <w:t>27 (24.75 – 37.5)</w:t>
            </w:r>
          </w:p>
        </w:tc>
        <w:tc>
          <w:tcPr>
            <w:tcW w:w="751" w:type="pct"/>
            <w:vAlign w:val="center"/>
            <w:hideMark/>
          </w:tcPr>
          <w:p w14:paraId="0122A6A4" w14:textId="77777777" w:rsidR="00E30C2D" w:rsidRPr="00B530DB" w:rsidRDefault="00E30C2D" w:rsidP="00B530DB">
            <w:pPr>
              <w:pStyle w:val="Table"/>
              <w:rPr>
                <w:sz w:val="20"/>
                <w:szCs w:val="20"/>
              </w:rPr>
            </w:pPr>
            <w:r w:rsidRPr="00B530DB">
              <w:rPr>
                <w:sz w:val="20"/>
                <w:szCs w:val="20"/>
              </w:rPr>
              <w:t>26 (25 – 38.25)</w:t>
            </w:r>
          </w:p>
        </w:tc>
        <w:tc>
          <w:tcPr>
            <w:tcW w:w="748" w:type="pct"/>
            <w:vAlign w:val="center"/>
            <w:hideMark/>
          </w:tcPr>
          <w:p w14:paraId="295F979A" w14:textId="77777777" w:rsidR="00E30C2D" w:rsidRPr="00B530DB" w:rsidRDefault="00E30C2D" w:rsidP="00B530DB">
            <w:pPr>
              <w:pStyle w:val="Table"/>
              <w:rPr>
                <w:rFonts w:eastAsia="Calibri"/>
                <w:sz w:val="20"/>
                <w:szCs w:val="20"/>
              </w:rPr>
            </w:pPr>
            <w:r w:rsidRPr="00B530DB">
              <w:rPr>
                <w:sz w:val="20"/>
                <w:szCs w:val="20"/>
              </w:rPr>
              <w:t>35.5 (27.5 -42)</w:t>
            </w:r>
          </w:p>
        </w:tc>
        <w:tc>
          <w:tcPr>
            <w:tcW w:w="425" w:type="pct"/>
            <w:vAlign w:val="center"/>
          </w:tcPr>
          <w:p w14:paraId="5347C75C" w14:textId="77777777" w:rsidR="00E30C2D" w:rsidRPr="00B530DB" w:rsidRDefault="00E30C2D" w:rsidP="00B530DB">
            <w:pPr>
              <w:pStyle w:val="Table"/>
              <w:rPr>
                <w:sz w:val="20"/>
                <w:szCs w:val="20"/>
              </w:rPr>
            </w:pPr>
            <w:r w:rsidRPr="00B530DB">
              <w:rPr>
                <w:sz w:val="20"/>
                <w:szCs w:val="20"/>
              </w:rPr>
              <w:t>H</w:t>
            </w:r>
          </w:p>
          <w:p w14:paraId="03B806A7" w14:textId="77777777" w:rsidR="00E30C2D" w:rsidRPr="00B530DB" w:rsidRDefault="00E30C2D" w:rsidP="00B530DB">
            <w:pPr>
              <w:pStyle w:val="Table"/>
              <w:rPr>
                <w:sz w:val="20"/>
                <w:szCs w:val="20"/>
              </w:rPr>
            </w:pPr>
            <w:r w:rsidRPr="00B530DB">
              <w:rPr>
                <w:sz w:val="20"/>
                <w:szCs w:val="20"/>
              </w:rPr>
              <w:t>2.69</w:t>
            </w:r>
          </w:p>
        </w:tc>
        <w:tc>
          <w:tcPr>
            <w:tcW w:w="459" w:type="pct"/>
            <w:vAlign w:val="center"/>
          </w:tcPr>
          <w:p w14:paraId="45E3F7F4" w14:textId="77777777" w:rsidR="00E30C2D" w:rsidRPr="00B530DB" w:rsidRDefault="00E30C2D" w:rsidP="00B530DB">
            <w:pPr>
              <w:pStyle w:val="Table"/>
              <w:rPr>
                <w:sz w:val="20"/>
                <w:szCs w:val="20"/>
              </w:rPr>
            </w:pPr>
            <w:r w:rsidRPr="00B530DB">
              <w:rPr>
                <w:sz w:val="20"/>
                <w:szCs w:val="20"/>
              </w:rPr>
              <w:t>0.442</w:t>
            </w:r>
          </w:p>
        </w:tc>
      </w:tr>
      <w:tr w:rsidR="00E30C2D" w:rsidRPr="00B530DB" w14:paraId="74C2FD61" w14:textId="77777777" w:rsidTr="00107073">
        <w:trPr>
          <w:trHeight w:val="432"/>
        </w:trPr>
        <w:tc>
          <w:tcPr>
            <w:tcW w:w="1128" w:type="pct"/>
            <w:shd w:val="pct12" w:color="auto" w:fill="auto"/>
            <w:vAlign w:val="center"/>
            <w:hideMark/>
          </w:tcPr>
          <w:p w14:paraId="48CD69DB" w14:textId="77777777" w:rsidR="00E30C2D" w:rsidRPr="00B530DB" w:rsidRDefault="00E30C2D" w:rsidP="00B530DB">
            <w:pPr>
              <w:pStyle w:val="Table"/>
              <w:rPr>
                <w:sz w:val="20"/>
                <w:szCs w:val="20"/>
              </w:rPr>
            </w:pPr>
            <w:r w:rsidRPr="00B530DB">
              <w:rPr>
                <w:sz w:val="20"/>
                <w:szCs w:val="20"/>
              </w:rPr>
              <w:t>Albumin (g/dL)</w:t>
            </w:r>
          </w:p>
        </w:tc>
        <w:tc>
          <w:tcPr>
            <w:tcW w:w="722" w:type="pct"/>
            <w:vAlign w:val="center"/>
            <w:hideMark/>
          </w:tcPr>
          <w:p w14:paraId="0B62C71C" w14:textId="77777777" w:rsidR="00E30C2D" w:rsidRPr="00B530DB" w:rsidRDefault="00E30C2D" w:rsidP="00B530DB">
            <w:pPr>
              <w:pStyle w:val="Table"/>
              <w:rPr>
                <w:sz w:val="20"/>
                <w:szCs w:val="20"/>
              </w:rPr>
            </w:pPr>
            <w:r w:rsidRPr="00B530DB">
              <w:rPr>
                <w:sz w:val="20"/>
                <w:szCs w:val="20"/>
              </w:rPr>
              <w:t>4 ± 0.29</w:t>
            </w:r>
          </w:p>
        </w:tc>
        <w:tc>
          <w:tcPr>
            <w:tcW w:w="767" w:type="pct"/>
            <w:vAlign w:val="center"/>
            <w:hideMark/>
          </w:tcPr>
          <w:p w14:paraId="677D3AC3" w14:textId="77777777" w:rsidR="00E30C2D" w:rsidRPr="00B530DB" w:rsidRDefault="00E30C2D" w:rsidP="00B530DB">
            <w:pPr>
              <w:pStyle w:val="Table"/>
              <w:rPr>
                <w:sz w:val="20"/>
                <w:szCs w:val="20"/>
              </w:rPr>
            </w:pPr>
            <w:r w:rsidRPr="00B530DB">
              <w:rPr>
                <w:sz w:val="20"/>
                <w:szCs w:val="20"/>
              </w:rPr>
              <w:t>4.1 ± 0.37</w:t>
            </w:r>
          </w:p>
        </w:tc>
        <w:tc>
          <w:tcPr>
            <w:tcW w:w="751" w:type="pct"/>
            <w:vAlign w:val="center"/>
            <w:hideMark/>
          </w:tcPr>
          <w:p w14:paraId="4A443084" w14:textId="77777777" w:rsidR="00E30C2D" w:rsidRPr="00B530DB" w:rsidRDefault="00E30C2D" w:rsidP="00B530DB">
            <w:pPr>
              <w:pStyle w:val="Table"/>
              <w:rPr>
                <w:sz w:val="20"/>
                <w:szCs w:val="20"/>
              </w:rPr>
            </w:pPr>
            <w:r w:rsidRPr="00B530DB">
              <w:rPr>
                <w:sz w:val="20"/>
                <w:szCs w:val="20"/>
              </w:rPr>
              <w:t>4.1 ± 0.35</w:t>
            </w:r>
          </w:p>
        </w:tc>
        <w:tc>
          <w:tcPr>
            <w:tcW w:w="748" w:type="pct"/>
            <w:vAlign w:val="center"/>
            <w:hideMark/>
          </w:tcPr>
          <w:p w14:paraId="35062473" w14:textId="77777777" w:rsidR="00E30C2D" w:rsidRPr="00B530DB" w:rsidRDefault="00E30C2D" w:rsidP="00B530DB">
            <w:pPr>
              <w:pStyle w:val="Table"/>
              <w:rPr>
                <w:rFonts w:eastAsia="Calibri"/>
                <w:sz w:val="20"/>
                <w:szCs w:val="20"/>
              </w:rPr>
            </w:pPr>
            <w:r w:rsidRPr="00B530DB">
              <w:rPr>
                <w:sz w:val="20"/>
                <w:szCs w:val="20"/>
              </w:rPr>
              <w:t>4.2 ± 0.36</w:t>
            </w:r>
          </w:p>
        </w:tc>
        <w:tc>
          <w:tcPr>
            <w:tcW w:w="425" w:type="pct"/>
            <w:vAlign w:val="center"/>
          </w:tcPr>
          <w:p w14:paraId="47B12A37" w14:textId="77777777" w:rsidR="00E30C2D" w:rsidRPr="00B530DB" w:rsidRDefault="00E30C2D" w:rsidP="00B530DB">
            <w:pPr>
              <w:pStyle w:val="Table"/>
              <w:rPr>
                <w:rFonts w:eastAsia="Calibri"/>
                <w:sz w:val="20"/>
                <w:szCs w:val="20"/>
              </w:rPr>
            </w:pPr>
            <w:r w:rsidRPr="00B530DB">
              <w:rPr>
                <w:rFonts w:eastAsia="Calibri"/>
                <w:sz w:val="20"/>
                <w:szCs w:val="20"/>
              </w:rPr>
              <w:t>F</w:t>
            </w:r>
          </w:p>
          <w:p w14:paraId="72AD6308" w14:textId="77777777" w:rsidR="00E30C2D" w:rsidRPr="00B530DB" w:rsidRDefault="00E30C2D" w:rsidP="00B530DB">
            <w:pPr>
              <w:pStyle w:val="Table"/>
              <w:rPr>
                <w:rFonts w:eastAsia="Calibri"/>
                <w:sz w:val="20"/>
                <w:szCs w:val="20"/>
              </w:rPr>
            </w:pPr>
            <w:r w:rsidRPr="00B530DB">
              <w:rPr>
                <w:rFonts w:eastAsia="Calibri"/>
                <w:sz w:val="20"/>
                <w:szCs w:val="20"/>
              </w:rPr>
              <w:t>0.78</w:t>
            </w:r>
          </w:p>
        </w:tc>
        <w:tc>
          <w:tcPr>
            <w:tcW w:w="459" w:type="pct"/>
            <w:vAlign w:val="center"/>
          </w:tcPr>
          <w:p w14:paraId="00BD2F0F" w14:textId="77777777" w:rsidR="00E30C2D" w:rsidRPr="00B530DB" w:rsidRDefault="00E30C2D" w:rsidP="00B530DB">
            <w:pPr>
              <w:pStyle w:val="Table"/>
              <w:rPr>
                <w:rFonts w:eastAsia="Calibri"/>
                <w:sz w:val="20"/>
                <w:szCs w:val="20"/>
              </w:rPr>
            </w:pPr>
            <w:r w:rsidRPr="00B530DB">
              <w:rPr>
                <w:rFonts w:eastAsia="Calibri"/>
                <w:sz w:val="20"/>
                <w:szCs w:val="20"/>
              </w:rPr>
              <w:t>0.512</w:t>
            </w:r>
          </w:p>
        </w:tc>
      </w:tr>
      <w:tr w:rsidR="00E30C2D" w:rsidRPr="00B530DB" w14:paraId="5C581AAB" w14:textId="77777777" w:rsidTr="00107073">
        <w:trPr>
          <w:trHeight w:val="432"/>
        </w:trPr>
        <w:tc>
          <w:tcPr>
            <w:tcW w:w="1128" w:type="pct"/>
            <w:shd w:val="pct12" w:color="auto" w:fill="auto"/>
            <w:vAlign w:val="center"/>
            <w:hideMark/>
          </w:tcPr>
          <w:p w14:paraId="777F7583" w14:textId="77777777" w:rsidR="00E30C2D" w:rsidRPr="00B530DB" w:rsidRDefault="00E30C2D" w:rsidP="00B530DB">
            <w:pPr>
              <w:pStyle w:val="Table"/>
              <w:rPr>
                <w:sz w:val="20"/>
                <w:szCs w:val="20"/>
              </w:rPr>
            </w:pPr>
            <w:r w:rsidRPr="00B530DB">
              <w:rPr>
                <w:sz w:val="20"/>
                <w:szCs w:val="20"/>
              </w:rPr>
              <w:t>Total protein (g/dL)</w:t>
            </w:r>
          </w:p>
        </w:tc>
        <w:tc>
          <w:tcPr>
            <w:tcW w:w="722" w:type="pct"/>
            <w:vAlign w:val="center"/>
            <w:hideMark/>
          </w:tcPr>
          <w:p w14:paraId="6FCC10F5" w14:textId="77777777" w:rsidR="00E30C2D" w:rsidRPr="00B530DB" w:rsidRDefault="00E30C2D" w:rsidP="00B530DB">
            <w:pPr>
              <w:pStyle w:val="Table"/>
              <w:rPr>
                <w:sz w:val="20"/>
                <w:szCs w:val="20"/>
              </w:rPr>
            </w:pPr>
            <w:r w:rsidRPr="00B530DB">
              <w:rPr>
                <w:sz w:val="20"/>
                <w:szCs w:val="20"/>
              </w:rPr>
              <w:t>7.7 ± 0.3</w:t>
            </w:r>
          </w:p>
        </w:tc>
        <w:tc>
          <w:tcPr>
            <w:tcW w:w="767" w:type="pct"/>
            <w:vAlign w:val="center"/>
            <w:hideMark/>
          </w:tcPr>
          <w:p w14:paraId="02B37647" w14:textId="77777777" w:rsidR="00E30C2D" w:rsidRPr="00B530DB" w:rsidRDefault="00E30C2D" w:rsidP="00B530DB">
            <w:pPr>
              <w:pStyle w:val="Table"/>
              <w:rPr>
                <w:sz w:val="20"/>
                <w:szCs w:val="20"/>
              </w:rPr>
            </w:pPr>
            <w:r w:rsidRPr="00B530DB">
              <w:rPr>
                <w:sz w:val="20"/>
                <w:szCs w:val="20"/>
              </w:rPr>
              <w:t>7.5 ± 0.37</w:t>
            </w:r>
          </w:p>
        </w:tc>
        <w:tc>
          <w:tcPr>
            <w:tcW w:w="751" w:type="pct"/>
            <w:vAlign w:val="center"/>
            <w:hideMark/>
          </w:tcPr>
          <w:p w14:paraId="39CD2B3B" w14:textId="77777777" w:rsidR="00E30C2D" w:rsidRPr="00B530DB" w:rsidRDefault="00E30C2D" w:rsidP="00B530DB">
            <w:pPr>
              <w:pStyle w:val="Table"/>
              <w:rPr>
                <w:sz w:val="20"/>
                <w:szCs w:val="20"/>
              </w:rPr>
            </w:pPr>
            <w:r w:rsidRPr="00B530DB">
              <w:rPr>
                <w:sz w:val="20"/>
                <w:szCs w:val="20"/>
              </w:rPr>
              <w:t>7.4 ± 0.35</w:t>
            </w:r>
          </w:p>
        </w:tc>
        <w:tc>
          <w:tcPr>
            <w:tcW w:w="748" w:type="pct"/>
            <w:vAlign w:val="center"/>
            <w:hideMark/>
          </w:tcPr>
          <w:p w14:paraId="0F003B13" w14:textId="77777777" w:rsidR="00E30C2D" w:rsidRPr="00B530DB" w:rsidRDefault="00E30C2D" w:rsidP="00B530DB">
            <w:pPr>
              <w:pStyle w:val="Table"/>
              <w:rPr>
                <w:rFonts w:eastAsia="Calibri"/>
                <w:sz w:val="20"/>
                <w:szCs w:val="20"/>
              </w:rPr>
            </w:pPr>
            <w:r w:rsidRPr="00B530DB">
              <w:rPr>
                <w:sz w:val="20"/>
                <w:szCs w:val="20"/>
              </w:rPr>
              <w:t>7.2 ± 0.45</w:t>
            </w:r>
          </w:p>
        </w:tc>
        <w:tc>
          <w:tcPr>
            <w:tcW w:w="425" w:type="pct"/>
            <w:vMerge w:val="restart"/>
            <w:vAlign w:val="center"/>
          </w:tcPr>
          <w:p w14:paraId="16E6FAB5" w14:textId="77777777" w:rsidR="00E30C2D" w:rsidRPr="00B530DB" w:rsidRDefault="00E30C2D" w:rsidP="00B530DB">
            <w:pPr>
              <w:pStyle w:val="Table"/>
              <w:rPr>
                <w:sz w:val="20"/>
                <w:szCs w:val="20"/>
              </w:rPr>
            </w:pPr>
            <w:r w:rsidRPr="00B530DB">
              <w:rPr>
                <w:sz w:val="20"/>
                <w:szCs w:val="20"/>
              </w:rPr>
              <w:t>F</w:t>
            </w:r>
          </w:p>
          <w:p w14:paraId="362CAB13" w14:textId="77777777" w:rsidR="00E30C2D" w:rsidRPr="00B530DB" w:rsidRDefault="00E30C2D" w:rsidP="00B530DB">
            <w:pPr>
              <w:pStyle w:val="Table"/>
              <w:rPr>
                <w:sz w:val="20"/>
                <w:szCs w:val="20"/>
              </w:rPr>
            </w:pPr>
            <w:r w:rsidRPr="00B530DB">
              <w:rPr>
                <w:sz w:val="20"/>
                <w:szCs w:val="20"/>
              </w:rPr>
              <w:t>4.89</w:t>
            </w:r>
          </w:p>
        </w:tc>
        <w:tc>
          <w:tcPr>
            <w:tcW w:w="459" w:type="pct"/>
            <w:vMerge w:val="restart"/>
            <w:vAlign w:val="center"/>
          </w:tcPr>
          <w:p w14:paraId="6AABD004" w14:textId="77777777" w:rsidR="00E30C2D" w:rsidRPr="00B530DB" w:rsidRDefault="00E30C2D" w:rsidP="00B530DB">
            <w:pPr>
              <w:pStyle w:val="Table"/>
              <w:rPr>
                <w:sz w:val="20"/>
                <w:szCs w:val="20"/>
              </w:rPr>
            </w:pPr>
            <w:r w:rsidRPr="00B530DB">
              <w:rPr>
                <w:sz w:val="20"/>
                <w:szCs w:val="20"/>
              </w:rPr>
              <w:t>0.005*</w:t>
            </w:r>
          </w:p>
        </w:tc>
      </w:tr>
      <w:tr w:rsidR="00E30C2D" w:rsidRPr="00B530DB" w14:paraId="39C75792" w14:textId="77777777" w:rsidTr="00107073">
        <w:trPr>
          <w:trHeight w:val="432"/>
        </w:trPr>
        <w:tc>
          <w:tcPr>
            <w:tcW w:w="1850" w:type="pct"/>
            <w:gridSpan w:val="2"/>
            <w:shd w:val="pct12" w:color="auto" w:fill="auto"/>
            <w:vAlign w:val="center"/>
          </w:tcPr>
          <w:p w14:paraId="3B03FD92" w14:textId="77777777" w:rsidR="00E30C2D" w:rsidRPr="00B530DB" w:rsidRDefault="00E30C2D" w:rsidP="00B530DB">
            <w:pPr>
              <w:pStyle w:val="Table"/>
              <w:rPr>
                <w:sz w:val="20"/>
                <w:szCs w:val="20"/>
              </w:rPr>
            </w:pPr>
            <w:r w:rsidRPr="00B530DB">
              <w:rPr>
                <w:sz w:val="20"/>
                <w:szCs w:val="20"/>
              </w:rPr>
              <w:t>P1</w:t>
            </w:r>
          </w:p>
        </w:tc>
        <w:tc>
          <w:tcPr>
            <w:tcW w:w="767" w:type="pct"/>
            <w:vAlign w:val="center"/>
          </w:tcPr>
          <w:p w14:paraId="23238FA6" w14:textId="77777777" w:rsidR="00E30C2D" w:rsidRPr="00B530DB" w:rsidRDefault="00E30C2D" w:rsidP="00B530DB">
            <w:pPr>
              <w:pStyle w:val="Table"/>
              <w:rPr>
                <w:sz w:val="20"/>
                <w:szCs w:val="20"/>
              </w:rPr>
            </w:pPr>
            <w:r w:rsidRPr="00B530DB">
              <w:rPr>
                <w:sz w:val="20"/>
                <w:szCs w:val="20"/>
              </w:rPr>
              <w:t>0.213</w:t>
            </w:r>
          </w:p>
        </w:tc>
        <w:tc>
          <w:tcPr>
            <w:tcW w:w="751" w:type="pct"/>
            <w:vAlign w:val="center"/>
          </w:tcPr>
          <w:p w14:paraId="264AA354" w14:textId="77777777" w:rsidR="00E30C2D" w:rsidRPr="00B530DB" w:rsidRDefault="00E30C2D" w:rsidP="00B530DB">
            <w:pPr>
              <w:pStyle w:val="Table"/>
              <w:rPr>
                <w:sz w:val="20"/>
                <w:szCs w:val="20"/>
              </w:rPr>
            </w:pPr>
            <w:r w:rsidRPr="00B530DB">
              <w:rPr>
                <w:sz w:val="20"/>
                <w:szCs w:val="20"/>
              </w:rPr>
              <w:t>0.096</w:t>
            </w:r>
          </w:p>
        </w:tc>
        <w:tc>
          <w:tcPr>
            <w:tcW w:w="748" w:type="pct"/>
            <w:vAlign w:val="center"/>
          </w:tcPr>
          <w:p w14:paraId="1868A70F" w14:textId="77777777" w:rsidR="00E30C2D" w:rsidRPr="00B530DB" w:rsidRDefault="00E30C2D" w:rsidP="00B530DB">
            <w:pPr>
              <w:pStyle w:val="Table"/>
              <w:rPr>
                <w:sz w:val="20"/>
                <w:szCs w:val="20"/>
              </w:rPr>
            </w:pPr>
            <w:r w:rsidRPr="00B530DB">
              <w:rPr>
                <w:sz w:val="20"/>
                <w:szCs w:val="20"/>
              </w:rPr>
              <w:t>0.003*</w:t>
            </w:r>
          </w:p>
        </w:tc>
        <w:tc>
          <w:tcPr>
            <w:tcW w:w="425" w:type="pct"/>
            <w:vMerge/>
            <w:vAlign w:val="center"/>
          </w:tcPr>
          <w:p w14:paraId="01DDA040" w14:textId="77777777" w:rsidR="00E30C2D" w:rsidRPr="00B530DB" w:rsidRDefault="00E30C2D" w:rsidP="00B530DB">
            <w:pPr>
              <w:pStyle w:val="Table"/>
              <w:rPr>
                <w:sz w:val="20"/>
                <w:szCs w:val="20"/>
                <w:highlight w:val="red"/>
              </w:rPr>
            </w:pPr>
          </w:p>
        </w:tc>
        <w:tc>
          <w:tcPr>
            <w:tcW w:w="459" w:type="pct"/>
            <w:vMerge/>
            <w:vAlign w:val="center"/>
          </w:tcPr>
          <w:p w14:paraId="2E597AC3" w14:textId="77777777" w:rsidR="00E30C2D" w:rsidRPr="00B530DB" w:rsidRDefault="00E30C2D" w:rsidP="00B530DB">
            <w:pPr>
              <w:pStyle w:val="Table"/>
              <w:rPr>
                <w:sz w:val="20"/>
                <w:szCs w:val="20"/>
                <w:highlight w:val="red"/>
              </w:rPr>
            </w:pPr>
          </w:p>
        </w:tc>
      </w:tr>
      <w:tr w:rsidR="00E30C2D" w:rsidRPr="00B530DB" w14:paraId="77F21E7B" w14:textId="77777777" w:rsidTr="00107073">
        <w:trPr>
          <w:trHeight w:val="432"/>
        </w:trPr>
        <w:tc>
          <w:tcPr>
            <w:tcW w:w="2617" w:type="pct"/>
            <w:gridSpan w:val="3"/>
            <w:shd w:val="pct12" w:color="auto" w:fill="auto"/>
            <w:vAlign w:val="center"/>
          </w:tcPr>
          <w:p w14:paraId="2F774685" w14:textId="77777777" w:rsidR="00E30C2D" w:rsidRPr="00B530DB" w:rsidRDefault="00E30C2D" w:rsidP="00B530DB">
            <w:pPr>
              <w:pStyle w:val="Table"/>
              <w:rPr>
                <w:sz w:val="20"/>
                <w:szCs w:val="20"/>
              </w:rPr>
            </w:pPr>
            <w:r w:rsidRPr="00B530DB">
              <w:rPr>
                <w:sz w:val="20"/>
                <w:szCs w:val="20"/>
              </w:rPr>
              <w:t>P2</w:t>
            </w:r>
          </w:p>
        </w:tc>
        <w:tc>
          <w:tcPr>
            <w:tcW w:w="751" w:type="pct"/>
            <w:vAlign w:val="center"/>
          </w:tcPr>
          <w:p w14:paraId="0DD924ED" w14:textId="77777777" w:rsidR="00E30C2D" w:rsidRPr="00B530DB" w:rsidRDefault="00E30C2D" w:rsidP="00B530DB">
            <w:pPr>
              <w:pStyle w:val="Table"/>
              <w:rPr>
                <w:sz w:val="20"/>
                <w:szCs w:val="20"/>
              </w:rPr>
            </w:pPr>
            <w:r w:rsidRPr="00B530DB">
              <w:rPr>
                <w:sz w:val="20"/>
                <w:szCs w:val="20"/>
              </w:rPr>
              <w:t>0.980</w:t>
            </w:r>
          </w:p>
        </w:tc>
        <w:tc>
          <w:tcPr>
            <w:tcW w:w="748" w:type="pct"/>
            <w:vAlign w:val="center"/>
          </w:tcPr>
          <w:p w14:paraId="5E6A4BF2" w14:textId="77777777" w:rsidR="00E30C2D" w:rsidRPr="00B530DB" w:rsidRDefault="00E30C2D" w:rsidP="00B530DB">
            <w:pPr>
              <w:pStyle w:val="Table"/>
              <w:rPr>
                <w:sz w:val="20"/>
                <w:szCs w:val="20"/>
              </w:rPr>
            </w:pPr>
            <w:r w:rsidRPr="00B530DB">
              <w:rPr>
                <w:sz w:val="20"/>
                <w:szCs w:val="20"/>
              </w:rPr>
              <w:t>0.324</w:t>
            </w:r>
          </w:p>
        </w:tc>
        <w:tc>
          <w:tcPr>
            <w:tcW w:w="425" w:type="pct"/>
            <w:vMerge/>
            <w:vAlign w:val="center"/>
          </w:tcPr>
          <w:p w14:paraId="2EF0776E" w14:textId="77777777" w:rsidR="00E30C2D" w:rsidRPr="00B530DB" w:rsidRDefault="00E30C2D" w:rsidP="00B530DB">
            <w:pPr>
              <w:pStyle w:val="Table"/>
              <w:rPr>
                <w:sz w:val="20"/>
                <w:szCs w:val="20"/>
              </w:rPr>
            </w:pPr>
          </w:p>
        </w:tc>
        <w:tc>
          <w:tcPr>
            <w:tcW w:w="459" w:type="pct"/>
            <w:vMerge/>
            <w:vAlign w:val="center"/>
          </w:tcPr>
          <w:p w14:paraId="5A227BBE" w14:textId="77777777" w:rsidR="00E30C2D" w:rsidRPr="00B530DB" w:rsidRDefault="00E30C2D" w:rsidP="00B530DB">
            <w:pPr>
              <w:pStyle w:val="Table"/>
              <w:rPr>
                <w:sz w:val="20"/>
                <w:szCs w:val="20"/>
                <w:highlight w:val="red"/>
              </w:rPr>
            </w:pPr>
          </w:p>
        </w:tc>
      </w:tr>
      <w:tr w:rsidR="00E30C2D" w:rsidRPr="00B530DB" w14:paraId="0B99909C" w14:textId="77777777" w:rsidTr="00107073">
        <w:trPr>
          <w:trHeight w:val="432"/>
        </w:trPr>
        <w:tc>
          <w:tcPr>
            <w:tcW w:w="3368" w:type="pct"/>
            <w:gridSpan w:val="4"/>
            <w:shd w:val="pct12" w:color="auto" w:fill="auto"/>
            <w:vAlign w:val="center"/>
          </w:tcPr>
          <w:p w14:paraId="1E885B8F" w14:textId="77777777" w:rsidR="00E30C2D" w:rsidRPr="00B530DB" w:rsidRDefault="00E30C2D" w:rsidP="00B530DB">
            <w:pPr>
              <w:pStyle w:val="Table"/>
              <w:rPr>
                <w:sz w:val="20"/>
                <w:szCs w:val="20"/>
              </w:rPr>
            </w:pPr>
            <w:r w:rsidRPr="00B530DB">
              <w:rPr>
                <w:sz w:val="20"/>
                <w:szCs w:val="20"/>
              </w:rPr>
              <w:t>P3</w:t>
            </w:r>
          </w:p>
        </w:tc>
        <w:tc>
          <w:tcPr>
            <w:tcW w:w="748" w:type="pct"/>
            <w:vAlign w:val="center"/>
          </w:tcPr>
          <w:p w14:paraId="702D2EA0" w14:textId="77777777" w:rsidR="00E30C2D" w:rsidRPr="00B530DB" w:rsidRDefault="00E30C2D" w:rsidP="00B530DB">
            <w:pPr>
              <w:pStyle w:val="Table"/>
              <w:rPr>
                <w:sz w:val="20"/>
                <w:szCs w:val="20"/>
              </w:rPr>
            </w:pPr>
            <w:r w:rsidRPr="00B530DB">
              <w:rPr>
                <w:sz w:val="20"/>
                <w:szCs w:val="20"/>
              </w:rPr>
              <w:t>0.546</w:t>
            </w:r>
          </w:p>
        </w:tc>
        <w:tc>
          <w:tcPr>
            <w:tcW w:w="425" w:type="pct"/>
            <w:vMerge/>
            <w:vAlign w:val="center"/>
          </w:tcPr>
          <w:p w14:paraId="10629A60" w14:textId="77777777" w:rsidR="00E30C2D" w:rsidRPr="00B530DB" w:rsidRDefault="00E30C2D" w:rsidP="00B530DB">
            <w:pPr>
              <w:pStyle w:val="Table"/>
              <w:rPr>
                <w:sz w:val="20"/>
                <w:szCs w:val="20"/>
              </w:rPr>
            </w:pPr>
          </w:p>
        </w:tc>
        <w:tc>
          <w:tcPr>
            <w:tcW w:w="459" w:type="pct"/>
            <w:vMerge/>
            <w:vAlign w:val="center"/>
          </w:tcPr>
          <w:p w14:paraId="31C91E3B" w14:textId="77777777" w:rsidR="00E30C2D" w:rsidRPr="00B530DB" w:rsidRDefault="00E30C2D" w:rsidP="00B530DB">
            <w:pPr>
              <w:pStyle w:val="Table"/>
              <w:rPr>
                <w:sz w:val="20"/>
                <w:szCs w:val="20"/>
                <w:highlight w:val="red"/>
              </w:rPr>
            </w:pPr>
          </w:p>
        </w:tc>
      </w:tr>
      <w:tr w:rsidR="00E30C2D" w:rsidRPr="00B530DB" w14:paraId="1D06ABB2" w14:textId="77777777" w:rsidTr="00107073">
        <w:trPr>
          <w:trHeight w:val="432"/>
        </w:trPr>
        <w:tc>
          <w:tcPr>
            <w:tcW w:w="1128" w:type="pct"/>
            <w:shd w:val="pct12" w:color="auto" w:fill="auto"/>
            <w:vAlign w:val="center"/>
            <w:hideMark/>
          </w:tcPr>
          <w:p w14:paraId="1D4D559D" w14:textId="77777777" w:rsidR="00E30C2D" w:rsidRPr="00B530DB" w:rsidRDefault="00E30C2D" w:rsidP="00B530DB">
            <w:pPr>
              <w:pStyle w:val="Table"/>
              <w:rPr>
                <w:sz w:val="20"/>
                <w:szCs w:val="20"/>
              </w:rPr>
            </w:pPr>
            <w:r w:rsidRPr="00B530DB">
              <w:rPr>
                <w:sz w:val="20"/>
                <w:szCs w:val="20"/>
              </w:rPr>
              <w:t>ALP (U/L)</w:t>
            </w:r>
          </w:p>
        </w:tc>
        <w:tc>
          <w:tcPr>
            <w:tcW w:w="722" w:type="pct"/>
            <w:vAlign w:val="center"/>
            <w:hideMark/>
          </w:tcPr>
          <w:p w14:paraId="3ADA3091" w14:textId="77777777" w:rsidR="00E30C2D" w:rsidRPr="00B530DB" w:rsidRDefault="00E30C2D" w:rsidP="00B530DB">
            <w:pPr>
              <w:pStyle w:val="Table"/>
              <w:rPr>
                <w:sz w:val="20"/>
                <w:szCs w:val="20"/>
              </w:rPr>
            </w:pPr>
            <w:r w:rsidRPr="00B530DB">
              <w:rPr>
                <w:sz w:val="20"/>
                <w:szCs w:val="20"/>
              </w:rPr>
              <w:t>108.5 ± 22.38</w:t>
            </w:r>
          </w:p>
        </w:tc>
        <w:tc>
          <w:tcPr>
            <w:tcW w:w="767" w:type="pct"/>
            <w:vAlign w:val="center"/>
            <w:hideMark/>
          </w:tcPr>
          <w:p w14:paraId="5F85FDEB" w14:textId="77777777" w:rsidR="00E30C2D" w:rsidRPr="00B530DB" w:rsidRDefault="00E30C2D" w:rsidP="00B530DB">
            <w:pPr>
              <w:pStyle w:val="Table"/>
              <w:rPr>
                <w:sz w:val="20"/>
                <w:szCs w:val="20"/>
              </w:rPr>
            </w:pPr>
            <w:r w:rsidRPr="00B530DB">
              <w:rPr>
                <w:sz w:val="20"/>
                <w:szCs w:val="20"/>
              </w:rPr>
              <w:t>100.3 ± 14.97</w:t>
            </w:r>
          </w:p>
        </w:tc>
        <w:tc>
          <w:tcPr>
            <w:tcW w:w="751" w:type="pct"/>
            <w:vAlign w:val="center"/>
            <w:hideMark/>
          </w:tcPr>
          <w:p w14:paraId="326B1902" w14:textId="77777777" w:rsidR="00E30C2D" w:rsidRPr="00B530DB" w:rsidRDefault="00E30C2D" w:rsidP="00B530DB">
            <w:pPr>
              <w:pStyle w:val="Table"/>
              <w:rPr>
                <w:sz w:val="20"/>
                <w:szCs w:val="20"/>
              </w:rPr>
            </w:pPr>
            <w:r w:rsidRPr="00B530DB">
              <w:rPr>
                <w:sz w:val="20"/>
                <w:szCs w:val="20"/>
              </w:rPr>
              <w:t>112.8 ± 28.07</w:t>
            </w:r>
          </w:p>
        </w:tc>
        <w:tc>
          <w:tcPr>
            <w:tcW w:w="748" w:type="pct"/>
            <w:vAlign w:val="center"/>
            <w:hideMark/>
          </w:tcPr>
          <w:p w14:paraId="51AB2623" w14:textId="77777777" w:rsidR="00E30C2D" w:rsidRPr="00B530DB" w:rsidRDefault="00E30C2D" w:rsidP="00B530DB">
            <w:pPr>
              <w:pStyle w:val="Table"/>
              <w:rPr>
                <w:rFonts w:eastAsia="Calibri"/>
                <w:sz w:val="20"/>
                <w:szCs w:val="20"/>
              </w:rPr>
            </w:pPr>
            <w:r w:rsidRPr="00B530DB">
              <w:rPr>
                <w:sz w:val="20"/>
                <w:szCs w:val="20"/>
              </w:rPr>
              <w:t>100.2 ± 15.03</w:t>
            </w:r>
          </w:p>
        </w:tc>
        <w:tc>
          <w:tcPr>
            <w:tcW w:w="425" w:type="pct"/>
            <w:vAlign w:val="center"/>
          </w:tcPr>
          <w:p w14:paraId="2DE2E056" w14:textId="77777777" w:rsidR="00E30C2D" w:rsidRPr="00B530DB" w:rsidRDefault="00E30C2D" w:rsidP="00B530DB">
            <w:pPr>
              <w:pStyle w:val="Table"/>
              <w:rPr>
                <w:sz w:val="20"/>
                <w:szCs w:val="20"/>
              </w:rPr>
            </w:pPr>
            <w:r w:rsidRPr="00B530DB">
              <w:rPr>
                <w:sz w:val="20"/>
                <w:szCs w:val="20"/>
              </w:rPr>
              <w:t>F</w:t>
            </w:r>
          </w:p>
          <w:p w14:paraId="73C511FD" w14:textId="77777777" w:rsidR="00E30C2D" w:rsidRPr="00B530DB" w:rsidRDefault="00E30C2D" w:rsidP="00B530DB">
            <w:pPr>
              <w:pStyle w:val="Table"/>
              <w:rPr>
                <w:sz w:val="20"/>
                <w:szCs w:val="20"/>
              </w:rPr>
            </w:pPr>
            <w:r w:rsidRPr="00B530DB">
              <w:rPr>
                <w:sz w:val="20"/>
                <w:szCs w:val="20"/>
              </w:rPr>
              <w:t>1.1</w:t>
            </w:r>
          </w:p>
        </w:tc>
        <w:tc>
          <w:tcPr>
            <w:tcW w:w="459" w:type="pct"/>
            <w:vAlign w:val="center"/>
          </w:tcPr>
          <w:p w14:paraId="6A501370" w14:textId="77777777" w:rsidR="00E30C2D" w:rsidRPr="00B530DB" w:rsidRDefault="00E30C2D" w:rsidP="00B530DB">
            <w:pPr>
              <w:pStyle w:val="Table"/>
              <w:rPr>
                <w:sz w:val="20"/>
                <w:szCs w:val="20"/>
              </w:rPr>
            </w:pPr>
            <w:r w:rsidRPr="00B530DB">
              <w:rPr>
                <w:sz w:val="20"/>
                <w:szCs w:val="20"/>
              </w:rPr>
              <w:t>0.359</w:t>
            </w:r>
          </w:p>
        </w:tc>
      </w:tr>
      <w:tr w:rsidR="00E30C2D" w:rsidRPr="00B530DB" w14:paraId="3888DC62" w14:textId="77777777" w:rsidTr="00107073">
        <w:trPr>
          <w:trHeight w:val="432"/>
        </w:trPr>
        <w:tc>
          <w:tcPr>
            <w:tcW w:w="1128" w:type="pct"/>
            <w:shd w:val="pct12" w:color="auto" w:fill="auto"/>
            <w:vAlign w:val="center"/>
            <w:hideMark/>
          </w:tcPr>
          <w:p w14:paraId="23F596BF" w14:textId="77777777" w:rsidR="00E30C2D" w:rsidRPr="00B530DB" w:rsidRDefault="00E30C2D" w:rsidP="00B530DB">
            <w:pPr>
              <w:pStyle w:val="Table"/>
              <w:rPr>
                <w:sz w:val="20"/>
                <w:szCs w:val="20"/>
              </w:rPr>
            </w:pPr>
            <w:bookmarkStart w:id="12" w:name="_Hlk174450330"/>
            <w:r w:rsidRPr="00B530DB">
              <w:rPr>
                <w:sz w:val="20"/>
                <w:szCs w:val="20"/>
              </w:rPr>
              <w:t>INR</w:t>
            </w:r>
          </w:p>
        </w:tc>
        <w:tc>
          <w:tcPr>
            <w:tcW w:w="722" w:type="pct"/>
            <w:vAlign w:val="center"/>
            <w:hideMark/>
          </w:tcPr>
          <w:p w14:paraId="1FA4D104" w14:textId="77777777" w:rsidR="00E30C2D" w:rsidRPr="00B530DB" w:rsidRDefault="00E30C2D" w:rsidP="00B530DB">
            <w:pPr>
              <w:pStyle w:val="Table"/>
              <w:rPr>
                <w:sz w:val="20"/>
                <w:szCs w:val="20"/>
              </w:rPr>
            </w:pPr>
            <w:r w:rsidRPr="00B530DB">
              <w:rPr>
                <w:sz w:val="20"/>
                <w:szCs w:val="20"/>
              </w:rPr>
              <w:t>1 ± 0.11</w:t>
            </w:r>
          </w:p>
        </w:tc>
        <w:tc>
          <w:tcPr>
            <w:tcW w:w="767" w:type="pct"/>
            <w:vAlign w:val="center"/>
            <w:hideMark/>
          </w:tcPr>
          <w:p w14:paraId="10F33FB4" w14:textId="77777777" w:rsidR="00E30C2D" w:rsidRPr="00B530DB" w:rsidRDefault="00E30C2D" w:rsidP="00B530DB">
            <w:pPr>
              <w:pStyle w:val="Table"/>
              <w:rPr>
                <w:sz w:val="20"/>
                <w:szCs w:val="20"/>
              </w:rPr>
            </w:pPr>
            <w:r w:rsidRPr="00B530DB">
              <w:rPr>
                <w:sz w:val="20"/>
                <w:szCs w:val="20"/>
              </w:rPr>
              <w:t>1 ± 0.07</w:t>
            </w:r>
          </w:p>
        </w:tc>
        <w:tc>
          <w:tcPr>
            <w:tcW w:w="751" w:type="pct"/>
            <w:vAlign w:val="center"/>
            <w:hideMark/>
          </w:tcPr>
          <w:p w14:paraId="5EDF872C" w14:textId="77777777" w:rsidR="00E30C2D" w:rsidRPr="00B530DB" w:rsidRDefault="00E30C2D" w:rsidP="00B530DB">
            <w:pPr>
              <w:pStyle w:val="Table"/>
              <w:rPr>
                <w:sz w:val="20"/>
                <w:szCs w:val="20"/>
              </w:rPr>
            </w:pPr>
            <w:r w:rsidRPr="00B530DB">
              <w:rPr>
                <w:sz w:val="20"/>
                <w:szCs w:val="20"/>
              </w:rPr>
              <w:t>1 ± 0.11</w:t>
            </w:r>
          </w:p>
        </w:tc>
        <w:tc>
          <w:tcPr>
            <w:tcW w:w="748" w:type="pct"/>
            <w:vAlign w:val="center"/>
            <w:hideMark/>
          </w:tcPr>
          <w:p w14:paraId="40519853" w14:textId="77777777" w:rsidR="00E30C2D" w:rsidRPr="00B530DB" w:rsidRDefault="00E30C2D" w:rsidP="00B530DB">
            <w:pPr>
              <w:pStyle w:val="Table"/>
              <w:rPr>
                <w:rFonts w:eastAsia="Calibri"/>
                <w:sz w:val="20"/>
                <w:szCs w:val="20"/>
              </w:rPr>
            </w:pPr>
            <w:r w:rsidRPr="00B530DB">
              <w:rPr>
                <w:sz w:val="20"/>
                <w:szCs w:val="20"/>
              </w:rPr>
              <w:t>1 ± 0.08</w:t>
            </w:r>
          </w:p>
        </w:tc>
        <w:tc>
          <w:tcPr>
            <w:tcW w:w="425" w:type="pct"/>
            <w:vAlign w:val="center"/>
          </w:tcPr>
          <w:p w14:paraId="154D6CDD" w14:textId="77777777" w:rsidR="00E30C2D" w:rsidRPr="00B530DB" w:rsidRDefault="00E30C2D" w:rsidP="00B530DB">
            <w:pPr>
              <w:pStyle w:val="Table"/>
              <w:rPr>
                <w:rFonts w:eastAsia="Calibri"/>
                <w:sz w:val="20"/>
                <w:szCs w:val="20"/>
              </w:rPr>
            </w:pPr>
            <w:r w:rsidRPr="00B530DB">
              <w:rPr>
                <w:rFonts w:eastAsia="Calibri"/>
                <w:sz w:val="20"/>
                <w:szCs w:val="20"/>
              </w:rPr>
              <w:t>F</w:t>
            </w:r>
          </w:p>
          <w:p w14:paraId="5656236A" w14:textId="77777777" w:rsidR="00E30C2D" w:rsidRPr="00B530DB" w:rsidRDefault="00E30C2D" w:rsidP="00B530DB">
            <w:pPr>
              <w:pStyle w:val="Table"/>
              <w:rPr>
                <w:rFonts w:eastAsia="Calibri"/>
                <w:sz w:val="20"/>
                <w:szCs w:val="20"/>
              </w:rPr>
            </w:pPr>
            <w:r w:rsidRPr="00B530DB">
              <w:rPr>
                <w:rFonts w:eastAsia="Calibri"/>
                <w:sz w:val="20"/>
                <w:szCs w:val="20"/>
              </w:rPr>
              <w:t>0.72</w:t>
            </w:r>
          </w:p>
        </w:tc>
        <w:tc>
          <w:tcPr>
            <w:tcW w:w="459" w:type="pct"/>
            <w:vAlign w:val="center"/>
          </w:tcPr>
          <w:p w14:paraId="41997E23" w14:textId="77777777" w:rsidR="00E30C2D" w:rsidRPr="00B530DB" w:rsidRDefault="00E30C2D" w:rsidP="00B530DB">
            <w:pPr>
              <w:pStyle w:val="Table"/>
              <w:rPr>
                <w:rFonts w:eastAsia="Calibri"/>
                <w:sz w:val="20"/>
                <w:szCs w:val="20"/>
              </w:rPr>
            </w:pPr>
            <w:r w:rsidRPr="00B530DB">
              <w:rPr>
                <w:rFonts w:eastAsia="Calibri"/>
                <w:sz w:val="20"/>
                <w:szCs w:val="20"/>
              </w:rPr>
              <w:t>0.544</w:t>
            </w:r>
          </w:p>
        </w:tc>
      </w:tr>
      <w:bookmarkEnd w:id="12"/>
      <w:tr w:rsidR="00E30C2D" w:rsidRPr="00B530DB" w14:paraId="543C22A8" w14:textId="77777777" w:rsidTr="00107073">
        <w:trPr>
          <w:trHeight w:val="432"/>
        </w:trPr>
        <w:tc>
          <w:tcPr>
            <w:tcW w:w="1128" w:type="pct"/>
            <w:shd w:val="pct12" w:color="auto" w:fill="auto"/>
            <w:vAlign w:val="center"/>
            <w:hideMark/>
          </w:tcPr>
          <w:p w14:paraId="757B6301" w14:textId="77777777" w:rsidR="00E30C2D" w:rsidRPr="00B530DB" w:rsidRDefault="00E30C2D" w:rsidP="00B530DB">
            <w:pPr>
              <w:pStyle w:val="Table"/>
              <w:rPr>
                <w:sz w:val="20"/>
                <w:szCs w:val="20"/>
              </w:rPr>
            </w:pPr>
            <w:r w:rsidRPr="00B530DB">
              <w:rPr>
                <w:sz w:val="20"/>
                <w:szCs w:val="20"/>
              </w:rPr>
              <w:t>Creatinine (mg/dL)</w:t>
            </w:r>
          </w:p>
        </w:tc>
        <w:tc>
          <w:tcPr>
            <w:tcW w:w="722" w:type="pct"/>
            <w:vAlign w:val="center"/>
            <w:hideMark/>
          </w:tcPr>
          <w:p w14:paraId="1992218A" w14:textId="77777777" w:rsidR="00E30C2D" w:rsidRPr="00B530DB" w:rsidRDefault="00E30C2D" w:rsidP="00B530DB">
            <w:pPr>
              <w:pStyle w:val="Table"/>
              <w:rPr>
                <w:sz w:val="20"/>
                <w:szCs w:val="20"/>
              </w:rPr>
            </w:pPr>
            <w:r w:rsidRPr="00B530DB">
              <w:rPr>
                <w:color w:val="000000"/>
                <w:sz w:val="20"/>
                <w:szCs w:val="20"/>
              </w:rPr>
              <w:t>0.86 ± 0.09</w:t>
            </w:r>
          </w:p>
        </w:tc>
        <w:tc>
          <w:tcPr>
            <w:tcW w:w="767" w:type="pct"/>
            <w:vAlign w:val="center"/>
            <w:hideMark/>
          </w:tcPr>
          <w:p w14:paraId="161D6E7F" w14:textId="77777777" w:rsidR="00E30C2D" w:rsidRPr="00B530DB" w:rsidRDefault="00E30C2D" w:rsidP="00B530DB">
            <w:pPr>
              <w:pStyle w:val="Table"/>
              <w:rPr>
                <w:sz w:val="20"/>
                <w:szCs w:val="20"/>
              </w:rPr>
            </w:pPr>
            <w:r w:rsidRPr="00B530DB">
              <w:rPr>
                <w:color w:val="000000"/>
                <w:sz w:val="20"/>
                <w:szCs w:val="20"/>
              </w:rPr>
              <w:t>0.91 ± 0.13</w:t>
            </w:r>
          </w:p>
        </w:tc>
        <w:tc>
          <w:tcPr>
            <w:tcW w:w="751" w:type="pct"/>
            <w:vAlign w:val="center"/>
            <w:hideMark/>
          </w:tcPr>
          <w:p w14:paraId="0224BCEE" w14:textId="77777777" w:rsidR="00E30C2D" w:rsidRPr="00B530DB" w:rsidRDefault="00E30C2D" w:rsidP="00B530DB">
            <w:pPr>
              <w:pStyle w:val="Table"/>
              <w:rPr>
                <w:sz w:val="20"/>
                <w:szCs w:val="20"/>
              </w:rPr>
            </w:pPr>
            <w:r w:rsidRPr="00B530DB">
              <w:rPr>
                <w:color w:val="000000"/>
                <w:sz w:val="20"/>
                <w:szCs w:val="20"/>
              </w:rPr>
              <w:t>0.79 ± 0.12</w:t>
            </w:r>
          </w:p>
        </w:tc>
        <w:tc>
          <w:tcPr>
            <w:tcW w:w="748" w:type="pct"/>
            <w:vAlign w:val="center"/>
            <w:hideMark/>
          </w:tcPr>
          <w:p w14:paraId="5670B22E" w14:textId="77777777" w:rsidR="00E30C2D" w:rsidRPr="00B530DB" w:rsidRDefault="00E30C2D" w:rsidP="00B530DB">
            <w:pPr>
              <w:pStyle w:val="Table"/>
              <w:rPr>
                <w:rFonts w:eastAsia="Calibri"/>
                <w:sz w:val="20"/>
                <w:szCs w:val="20"/>
              </w:rPr>
            </w:pPr>
            <w:r w:rsidRPr="00B530DB">
              <w:rPr>
                <w:color w:val="000000"/>
                <w:sz w:val="20"/>
                <w:szCs w:val="20"/>
              </w:rPr>
              <w:t>0.79 ± 0.13</w:t>
            </w:r>
          </w:p>
        </w:tc>
        <w:tc>
          <w:tcPr>
            <w:tcW w:w="425" w:type="pct"/>
            <w:vMerge w:val="restart"/>
            <w:vAlign w:val="center"/>
          </w:tcPr>
          <w:p w14:paraId="3C705FA3" w14:textId="77777777" w:rsidR="00E30C2D" w:rsidRPr="00B530DB" w:rsidRDefault="00E30C2D" w:rsidP="00B530DB">
            <w:pPr>
              <w:pStyle w:val="Table"/>
              <w:rPr>
                <w:sz w:val="20"/>
                <w:szCs w:val="20"/>
              </w:rPr>
            </w:pPr>
            <w:r w:rsidRPr="00B530DB">
              <w:rPr>
                <w:sz w:val="20"/>
                <w:szCs w:val="20"/>
              </w:rPr>
              <w:t>F</w:t>
            </w:r>
          </w:p>
          <w:p w14:paraId="3E11C14A" w14:textId="77777777" w:rsidR="00E30C2D" w:rsidRPr="00B530DB" w:rsidRDefault="00E30C2D" w:rsidP="00B530DB">
            <w:pPr>
              <w:pStyle w:val="Table"/>
              <w:rPr>
                <w:sz w:val="20"/>
                <w:szCs w:val="20"/>
              </w:rPr>
            </w:pPr>
            <w:r w:rsidRPr="00B530DB">
              <w:rPr>
                <w:sz w:val="20"/>
                <w:szCs w:val="20"/>
              </w:rPr>
              <w:t>3</w:t>
            </w:r>
          </w:p>
        </w:tc>
        <w:tc>
          <w:tcPr>
            <w:tcW w:w="459" w:type="pct"/>
            <w:vMerge w:val="restart"/>
            <w:vAlign w:val="center"/>
          </w:tcPr>
          <w:p w14:paraId="4A30FBE3" w14:textId="77777777" w:rsidR="00E30C2D" w:rsidRPr="00B530DB" w:rsidRDefault="00E30C2D" w:rsidP="00B530DB">
            <w:pPr>
              <w:pStyle w:val="Table"/>
              <w:rPr>
                <w:sz w:val="20"/>
                <w:szCs w:val="20"/>
              </w:rPr>
            </w:pPr>
            <w:r w:rsidRPr="00B530DB">
              <w:rPr>
                <w:sz w:val="20"/>
                <w:szCs w:val="20"/>
              </w:rPr>
              <w:t>0.04*</w:t>
            </w:r>
          </w:p>
        </w:tc>
      </w:tr>
      <w:tr w:rsidR="00E30C2D" w:rsidRPr="00B530DB" w14:paraId="006BD9E5" w14:textId="77777777" w:rsidTr="00107073">
        <w:trPr>
          <w:trHeight w:val="432"/>
        </w:trPr>
        <w:tc>
          <w:tcPr>
            <w:tcW w:w="1850" w:type="pct"/>
            <w:gridSpan w:val="2"/>
            <w:shd w:val="pct12" w:color="auto" w:fill="auto"/>
            <w:vAlign w:val="center"/>
          </w:tcPr>
          <w:p w14:paraId="220A7627" w14:textId="77777777" w:rsidR="00E30C2D" w:rsidRPr="00B530DB" w:rsidRDefault="00E30C2D" w:rsidP="00B530DB">
            <w:pPr>
              <w:pStyle w:val="Table"/>
              <w:rPr>
                <w:sz w:val="20"/>
                <w:szCs w:val="20"/>
              </w:rPr>
            </w:pPr>
            <w:r w:rsidRPr="00B530DB">
              <w:rPr>
                <w:sz w:val="20"/>
                <w:szCs w:val="20"/>
              </w:rPr>
              <w:t>P1</w:t>
            </w:r>
          </w:p>
        </w:tc>
        <w:tc>
          <w:tcPr>
            <w:tcW w:w="767" w:type="pct"/>
            <w:vAlign w:val="center"/>
          </w:tcPr>
          <w:p w14:paraId="066377F5" w14:textId="77777777" w:rsidR="00E30C2D" w:rsidRPr="00B530DB" w:rsidRDefault="00E30C2D" w:rsidP="00B530DB">
            <w:pPr>
              <w:pStyle w:val="Table"/>
              <w:rPr>
                <w:sz w:val="20"/>
                <w:szCs w:val="20"/>
              </w:rPr>
            </w:pPr>
            <w:r w:rsidRPr="00B530DB">
              <w:rPr>
                <w:sz w:val="20"/>
                <w:szCs w:val="20"/>
              </w:rPr>
              <w:t>0.645</w:t>
            </w:r>
          </w:p>
        </w:tc>
        <w:tc>
          <w:tcPr>
            <w:tcW w:w="751" w:type="pct"/>
            <w:vAlign w:val="center"/>
          </w:tcPr>
          <w:p w14:paraId="30FDB7EA" w14:textId="77777777" w:rsidR="00E30C2D" w:rsidRPr="00B530DB" w:rsidRDefault="00E30C2D" w:rsidP="00B530DB">
            <w:pPr>
              <w:pStyle w:val="Table"/>
              <w:rPr>
                <w:sz w:val="20"/>
                <w:szCs w:val="20"/>
              </w:rPr>
            </w:pPr>
            <w:r w:rsidRPr="00B530DB">
              <w:rPr>
                <w:sz w:val="20"/>
                <w:szCs w:val="20"/>
              </w:rPr>
              <w:t>0.452</w:t>
            </w:r>
          </w:p>
        </w:tc>
        <w:tc>
          <w:tcPr>
            <w:tcW w:w="748" w:type="pct"/>
            <w:vAlign w:val="center"/>
          </w:tcPr>
          <w:p w14:paraId="1085518B" w14:textId="77777777" w:rsidR="00E30C2D" w:rsidRPr="00B530DB" w:rsidRDefault="00E30C2D" w:rsidP="00B530DB">
            <w:pPr>
              <w:pStyle w:val="Table"/>
              <w:rPr>
                <w:sz w:val="20"/>
                <w:szCs w:val="20"/>
              </w:rPr>
            </w:pPr>
            <w:r w:rsidRPr="00B530DB">
              <w:rPr>
                <w:sz w:val="20"/>
                <w:szCs w:val="20"/>
              </w:rPr>
              <w:t>0.506</w:t>
            </w:r>
          </w:p>
        </w:tc>
        <w:tc>
          <w:tcPr>
            <w:tcW w:w="425" w:type="pct"/>
            <w:vMerge/>
            <w:vAlign w:val="center"/>
          </w:tcPr>
          <w:p w14:paraId="65960A8D" w14:textId="77777777" w:rsidR="00E30C2D" w:rsidRPr="00B530DB" w:rsidRDefault="00E30C2D" w:rsidP="00B530DB">
            <w:pPr>
              <w:pStyle w:val="Table"/>
              <w:rPr>
                <w:sz w:val="20"/>
                <w:szCs w:val="20"/>
                <w:highlight w:val="red"/>
              </w:rPr>
            </w:pPr>
          </w:p>
        </w:tc>
        <w:tc>
          <w:tcPr>
            <w:tcW w:w="459" w:type="pct"/>
            <w:vMerge/>
            <w:vAlign w:val="center"/>
          </w:tcPr>
          <w:p w14:paraId="481FA0E2" w14:textId="77777777" w:rsidR="00E30C2D" w:rsidRPr="00B530DB" w:rsidRDefault="00E30C2D" w:rsidP="00B530DB">
            <w:pPr>
              <w:pStyle w:val="Table"/>
              <w:rPr>
                <w:sz w:val="20"/>
                <w:szCs w:val="20"/>
              </w:rPr>
            </w:pPr>
          </w:p>
        </w:tc>
      </w:tr>
      <w:tr w:rsidR="00E30C2D" w:rsidRPr="00B530DB" w14:paraId="0ABB61D3" w14:textId="77777777" w:rsidTr="00107073">
        <w:trPr>
          <w:trHeight w:val="432"/>
        </w:trPr>
        <w:tc>
          <w:tcPr>
            <w:tcW w:w="2617" w:type="pct"/>
            <w:gridSpan w:val="3"/>
            <w:shd w:val="pct12" w:color="auto" w:fill="auto"/>
            <w:vAlign w:val="center"/>
          </w:tcPr>
          <w:p w14:paraId="4492C6DC" w14:textId="77777777" w:rsidR="00E30C2D" w:rsidRPr="00B530DB" w:rsidRDefault="00E30C2D" w:rsidP="00B530DB">
            <w:pPr>
              <w:pStyle w:val="Table"/>
              <w:rPr>
                <w:sz w:val="20"/>
                <w:szCs w:val="20"/>
              </w:rPr>
            </w:pPr>
            <w:r w:rsidRPr="00B530DB">
              <w:rPr>
                <w:sz w:val="20"/>
                <w:szCs w:val="20"/>
              </w:rPr>
              <w:t>P2</w:t>
            </w:r>
          </w:p>
        </w:tc>
        <w:tc>
          <w:tcPr>
            <w:tcW w:w="751" w:type="pct"/>
            <w:vAlign w:val="center"/>
          </w:tcPr>
          <w:p w14:paraId="4DE3C741" w14:textId="77777777" w:rsidR="00E30C2D" w:rsidRPr="00B530DB" w:rsidRDefault="00E30C2D" w:rsidP="00B530DB">
            <w:pPr>
              <w:pStyle w:val="Table"/>
              <w:rPr>
                <w:sz w:val="20"/>
                <w:szCs w:val="20"/>
              </w:rPr>
            </w:pPr>
            <w:r w:rsidRPr="00B530DB">
              <w:rPr>
                <w:sz w:val="20"/>
                <w:szCs w:val="20"/>
              </w:rPr>
              <w:t>0.063</w:t>
            </w:r>
          </w:p>
        </w:tc>
        <w:tc>
          <w:tcPr>
            <w:tcW w:w="748" w:type="pct"/>
            <w:vAlign w:val="center"/>
          </w:tcPr>
          <w:p w14:paraId="365FEC0B" w14:textId="77777777" w:rsidR="00E30C2D" w:rsidRPr="00B530DB" w:rsidRDefault="00E30C2D" w:rsidP="00B530DB">
            <w:pPr>
              <w:pStyle w:val="Table"/>
              <w:rPr>
                <w:sz w:val="20"/>
                <w:szCs w:val="20"/>
              </w:rPr>
            </w:pPr>
            <w:r w:rsidRPr="00B530DB">
              <w:rPr>
                <w:sz w:val="20"/>
                <w:szCs w:val="20"/>
              </w:rPr>
              <w:t>0.076</w:t>
            </w:r>
          </w:p>
        </w:tc>
        <w:tc>
          <w:tcPr>
            <w:tcW w:w="425" w:type="pct"/>
            <w:vMerge/>
            <w:vAlign w:val="center"/>
          </w:tcPr>
          <w:p w14:paraId="18EF3D43" w14:textId="77777777" w:rsidR="00E30C2D" w:rsidRPr="00B530DB" w:rsidRDefault="00E30C2D" w:rsidP="00B530DB">
            <w:pPr>
              <w:pStyle w:val="Table"/>
              <w:rPr>
                <w:sz w:val="20"/>
                <w:szCs w:val="20"/>
              </w:rPr>
            </w:pPr>
          </w:p>
        </w:tc>
        <w:tc>
          <w:tcPr>
            <w:tcW w:w="459" w:type="pct"/>
            <w:vMerge/>
            <w:vAlign w:val="center"/>
          </w:tcPr>
          <w:p w14:paraId="2D0DEFF5" w14:textId="77777777" w:rsidR="00E30C2D" w:rsidRPr="00B530DB" w:rsidRDefault="00E30C2D" w:rsidP="00B530DB">
            <w:pPr>
              <w:pStyle w:val="Table"/>
              <w:rPr>
                <w:sz w:val="20"/>
                <w:szCs w:val="20"/>
              </w:rPr>
            </w:pPr>
          </w:p>
        </w:tc>
      </w:tr>
      <w:tr w:rsidR="00E30C2D" w:rsidRPr="00B530DB" w14:paraId="7C30F57F" w14:textId="77777777" w:rsidTr="00107073">
        <w:trPr>
          <w:trHeight w:val="432"/>
        </w:trPr>
        <w:tc>
          <w:tcPr>
            <w:tcW w:w="3368" w:type="pct"/>
            <w:gridSpan w:val="4"/>
            <w:shd w:val="pct12" w:color="auto" w:fill="auto"/>
            <w:vAlign w:val="center"/>
          </w:tcPr>
          <w:p w14:paraId="51A48AA2" w14:textId="77777777" w:rsidR="00E30C2D" w:rsidRPr="00B530DB" w:rsidRDefault="00E30C2D" w:rsidP="00B530DB">
            <w:pPr>
              <w:pStyle w:val="Table"/>
              <w:rPr>
                <w:sz w:val="20"/>
                <w:szCs w:val="20"/>
              </w:rPr>
            </w:pPr>
            <w:r w:rsidRPr="00B530DB">
              <w:rPr>
                <w:sz w:val="20"/>
                <w:szCs w:val="20"/>
              </w:rPr>
              <w:t>P3</w:t>
            </w:r>
          </w:p>
        </w:tc>
        <w:tc>
          <w:tcPr>
            <w:tcW w:w="748" w:type="pct"/>
            <w:vAlign w:val="center"/>
          </w:tcPr>
          <w:p w14:paraId="30673E6C" w14:textId="77777777" w:rsidR="00E30C2D" w:rsidRPr="00B530DB" w:rsidRDefault="00E30C2D" w:rsidP="00B530DB">
            <w:pPr>
              <w:pStyle w:val="Table"/>
              <w:rPr>
                <w:sz w:val="20"/>
                <w:szCs w:val="20"/>
              </w:rPr>
            </w:pPr>
            <w:r w:rsidRPr="00B530DB">
              <w:rPr>
                <w:sz w:val="20"/>
                <w:szCs w:val="20"/>
              </w:rPr>
              <w:t>1.000</w:t>
            </w:r>
          </w:p>
        </w:tc>
        <w:tc>
          <w:tcPr>
            <w:tcW w:w="425" w:type="pct"/>
            <w:vMerge/>
            <w:vAlign w:val="center"/>
          </w:tcPr>
          <w:p w14:paraId="03D27959" w14:textId="77777777" w:rsidR="00E30C2D" w:rsidRPr="00B530DB" w:rsidRDefault="00E30C2D" w:rsidP="00B530DB">
            <w:pPr>
              <w:pStyle w:val="Table"/>
              <w:rPr>
                <w:sz w:val="20"/>
                <w:szCs w:val="20"/>
              </w:rPr>
            </w:pPr>
          </w:p>
        </w:tc>
        <w:tc>
          <w:tcPr>
            <w:tcW w:w="459" w:type="pct"/>
            <w:vMerge/>
            <w:vAlign w:val="center"/>
          </w:tcPr>
          <w:p w14:paraId="3C860314" w14:textId="77777777" w:rsidR="00E30C2D" w:rsidRPr="00B530DB" w:rsidRDefault="00E30C2D" w:rsidP="00B530DB">
            <w:pPr>
              <w:pStyle w:val="Table"/>
              <w:rPr>
                <w:sz w:val="20"/>
                <w:szCs w:val="20"/>
              </w:rPr>
            </w:pPr>
          </w:p>
        </w:tc>
      </w:tr>
      <w:tr w:rsidR="00E30C2D" w:rsidRPr="00B530DB" w14:paraId="70024479" w14:textId="77777777" w:rsidTr="00107073">
        <w:trPr>
          <w:trHeight w:val="432"/>
        </w:trPr>
        <w:tc>
          <w:tcPr>
            <w:tcW w:w="1128" w:type="pct"/>
            <w:tcBorders>
              <w:bottom w:val="single" w:sz="4" w:space="0" w:color="000000"/>
            </w:tcBorders>
            <w:shd w:val="pct12" w:color="auto" w:fill="auto"/>
            <w:vAlign w:val="center"/>
            <w:hideMark/>
          </w:tcPr>
          <w:p w14:paraId="7D47042A" w14:textId="77777777" w:rsidR="00E30C2D" w:rsidRPr="00B530DB" w:rsidRDefault="00E30C2D" w:rsidP="00B530DB">
            <w:pPr>
              <w:pStyle w:val="Table"/>
              <w:rPr>
                <w:sz w:val="20"/>
                <w:szCs w:val="20"/>
              </w:rPr>
            </w:pPr>
            <w:r w:rsidRPr="00B530DB">
              <w:rPr>
                <w:sz w:val="20"/>
                <w:szCs w:val="20"/>
              </w:rPr>
              <w:t>BUN (mg/dL)</w:t>
            </w:r>
          </w:p>
        </w:tc>
        <w:tc>
          <w:tcPr>
            <w:tcW w:w="722" w:type="pct"/>
            <w:tcBorders>
              <w:bottom w:val="single" w:sz="4" w:space="0" w:color="000000"/>
            </w:tcBorders>
            <w:vAlign w:val="center"/>
            <w:hideMark/>
          </w:tcPr>
          <w:p w14:paraId="2877C95A" w14:textId="77777777" w:rsidR="00E30C2D" w:rsidRPr="00B530DB" w:rsidRDefault="00E30C2D" w:rsidP="00B530DB">
            <w:pPr>
              <w:pStyle w:val="Table"/>
              <w:rPr>
                <w:sz w:val="20"/>
                <w:szCs w:val="20"/>
              </w:rPr>
            </w:pPr>
            <w:r w:rsidRPr="00B530DB">
              <w:rPr>
                <w:sz w:val="20"/>
                <w:szCs w:val="20"/>
              </w:rPr>
              <w:t>14.3 ± 1.85</w:t>
            </w:r>
          </w:p>
        </w:tc>
        <w:tc>
          <w:tcPr>
            <w:tcW w:w="767" w:type="pct"/>
            <w:tcBorders>
              <w:bottom w:val="single" w:sz="4" w:space="0" w:color="000000"/>
            </w:tcBorders>
            <w:vAlign w:val="center"/>
            <w:hideMark/>
          </w:tcPr>
          <w:p w14:paraId="1674528C" w14:textId="77777777" w:rsidR="00E30C2D" w:rsidRPr="00B530DB" w:rsidRDefault="00E30C2D" w:rsidP="00B530DB">
            <w:pPr>
              <w:pStyle w:val="Table"/>
              <w:rPr>
                <w:sz w:val="20"/>
                <w:szCs w:val="20"/>
              </w:rPr>
            </w:pPr>
            <w:r w:rsidRPr="00B530DB">
              <w:rPr>
                <w:sz w:val="20"/>
                <w:szCs w:val="20"/>
              </w:rPr>
              <w:t>14.8 ± 2.12</w:t>
            </w:r>
          </w:p>
        </w:tc>
        <w:tc>
          <w:tcPr>
            <w:tcW w:w="751" w:type="pct"/>
            <w:tcBorders>
              <w:bottom w:val="single" w:sz="4" w:space="0" w:color="000000"/>
            </w:tcBorders>
            <w:vAlign w:val="center"/>
            <w:hideMark/>
          </w:tcPr>
          <w:p w14:paraId="078F77F7" w14:textId="77777777" w:rsidR="00E30C2D" w:rsidRPr="00B530DB" w:rsidRDefault="00E30C2D" w:rsidP="00B530DB">
            <w:pPr>
              <w:pStyle w:val="Table"/>
              <w:rPr>
                <w:sz w:val="20"/>
                <w:szCs w:val="20"/>
              </w:rPr>
            </w:pPr>
            <w:r w:rsidRPr="00B530DB">
              <w:rPr>
                <w:sz w:val="20"/>
                <w:szCs w:val="20"/>
              </w:rPr>
              <w:t>14.3 ± 1.81</w:t>
            </w:r>
          </w:p>
        </w:tc>
        <w:tc>
          <w:tcPr>
            <w:tcW w:w="748" w:type="pct"/>
            <w:tcBorders>
              <w:bottom w:val="single" w:sz="4" w:space="0" w:color="000000"/>
            </w:tcBorders>
            <w:vAlign w:val="center"/>
            <w:hideMark/>
          </w:tcPr>
          <w:p w14:paraId="25F9ED90" w14:textId="77777777" w:rsidR="00E30C2D" w:rsidRPr="00B530DB" w:rsidRDefault="00E30C2D" w:rsidP="00B530DB">
            <w:pPr>
              <w:pStyle w:val="Table"/>
              <w:rPr>
                <w:rFonts w:eastAsia="Calibri"/>
                <w:sz w:val="20"/>
                <w:szCs w:val="20"/>
              </w:rPr>
            </w:pPr>
            <w:r w:rsidRPr="00B530DB">
              <w:rPr>
                <w:sz w:val="20"/>
                <w:szCs w:val="20"/>
              </w:rPr>
              <w:t>14.4 ± 2.19</w:t>
            </w:r>
          </w:p>
        </w:tc>
        <w:tc>
          <w:tcPr>
            <w:tcW w:w="425" w:type="pct"/>
            <w:tcBorders>
              <w:bottom w:val="single" w:sz="4" w:space="0" w:color="000000"/>
            </w:tcBorders>
            <w:vAlign w:val="center"/>
          </w:tcPr>
          <w:p w14:paraId="001B74F3" w14:textId="77777777" w:rsidR="00E30C2D" w:rsidRPr="00B530DB" w:rsidRDefault="00E30C2D" w:rsidP="00B530DB">
            <w:pPr>
              <w:pStyle w:val="Table"/>
              <w:rPr>
                <w:sz w:val="20"/>
                <w:szCs w:val="20"/>
              </w:rPr>
            </w:pPr>
            <w:r w:rsidRPr="00B530DB">
              <w:rPr>
                <w:sz w:val="20"/>
                <w:szCs w:val="20"/>
              </w:rPr>
              <w:t>F</w:t>
            </w:r>
          </w:p>
          <w:p w14:paraId="38623444" w14:textId="77777777" w:rsidR="00E30C2D" w:rsidRPr="00B530DB" w:rsidRDefault="00E30C2D" w:rsidP="00B530DB">
            <w:pPr>
              <w:pStyle w:val="Table"/>
              <w:rPr>
                <w:sz w:val="20"/>
                <w:szCs w:val="20"/>
              </w:rPr>
            </w:pPr>
            <w:r w:rsidRPr="00B530DB">
              <w:rPr>
                <w:sz w:val="20"/>
                <w:szCs w:val="20"/>
              </w:rPr>
              <w:t>0.15</w:t>
            </w:r>
          </w:p>
        </w:tc>
        <w:tc>
          <w:tcPr>
            <w:tcW w:w="459" w:type="pct"/>
            <w:tcBorders>
              <w:bottom w:val="single" w:sz="4" w:space="0" w:color="000000"/>
            </w:tcBorders>
            <w:vAlign w:val="center"/>
          </w:tcPr>
          <w:p w14:paraId="2A7BF211" w14:textId="77777777" w:rsidR="00E30C2D" w:rsidRPr="00B530DB" w:rsidRDefault="00E30C2D" w:rsidP="007F5B26">
            <w:pPr>
              <w:pStyle w:val="Table"/>
              <w:keepNext/>
              <w:rPr>
                <w:sz w:val="20"/>
                <w:szCs w:val="20"/>
              </w:rPr>
            </w:pPr>
            <w:r w:rsidRPr="00B530DB">
              <w:rPr>
                <w:sz w:val="20"/>
                <w:szCs w:val="20"/>
              </w:rPr>
              <w:t>0.930</w:t>
            </w:r>
          </w:p>
        </w:tc>
      </w:tr>
    </w:tbl>
    <w:p w14:paraId="1B868A30" w14:textId="45743CCA" w:rsidR="007F5B26" w:rsidRPr="007F5B26" w:rsidRDefault="007F5B26" w:rsidP="007F5B26">
      <w:pPr>
        <w:spacing w:after="0" w:line="240" w:lineRule="auto"/>
        <w:rPr>
          <w:b/>
          <w:bCs/>
          <w:color w:val="4472C4" w:themeColor="accent1"/>
          <w:sz w:val="18"/>
          <w:szCs w:val="18"/>
        </w:rPr>
      </w:pPr>
      <w:r w:rsidRPr="007F5B26">
        <w:rPr>
          <w:b/>
          <w:bCs/>
          <w:i/>
          <w:iCs/>
          <w:color w:val="4472C4" w:themeColor="accent1"/>
          <w:sz w:val="18"/>
          <w:szCs w:val="18"/>
        </w:rPr>
        <w:t>Data are expressed as mean ± SD, median (IQR), or number (%).</w:t>
      </w:r>
      <w:r>
        <w:rPr>
          <w:b/>
          <w:bCs/>
          <w:i/>
          <w:iCs/>
          <w:color w:val="4472C4" w:themeColor="accent1"/>
          <w:sz w:val="18"/>
          <w:szCs w:val="18"/>
        </w:rPr>
        <w:t xml:space="preserve"> </w:t>
      </w:r>
      <w:r w:rsidRPr="007F5B26">
        <w:rPr>
          <w:b/>
          <w:bCs/>
          <w:i/>
          <w:iCs/>
          <w:color w:val="4472C4" w:themeColor="accent1"/>
          <w:sz w:val="18"/>
          <w:szCs w:val="18"/>
        </w:rPr>
        <w:t>F: One way ANOVA, X</w:t>
      </w:r>
      <w:r w:rsidRPr="007F5B26">
        <w:rPr>
          <w:b/>
          <w:bCs/>
          <w:i/>
          <w:iCs/>
          <w:color w:val="4472C4" w:themeColor="accent1"/>
          <w:sz w:val="18"/>
          <w:szCs w:val="18"/>
          <w:vertAlign w:val="superscript"/>
        </w:rPr>
        <w:t>2</w:t>
      </w:r>
      <w:r w:rsidRPr="007F5B26">
        <w:rPr>
          <w:b/>
          <w:bCs/>
          <w:i/>
          <w:iCs/>
          <w:color w:val="4472C4" w:themeColor="accent1"/>
          <w:sz w:val="18"/>
          <w:szCs w:val="18"/>
        </w:rPr>
        <w:t>:</w:t>
      </w:r>
      <w:r w:rsidRPr="007F5B26">
        <w:rPr>
          <w:b/>
          <w:bCs/>
          <w:color w:val="4472C4" w:themeColor="accent1"/>
          <w:sz w:val="18"/>
          <w:szCs w:val="18"/>
        </w:rPr>
        <w:t xml:space="preserve"> </w:t>
      </w:r>
      <w:r w:rsidRPr="007F5B26">
        <w:rPr>
          <w:b/>
          <w:bCs/>
          <w:i/>
          <w:iCs/>
          <w:color w:val="4472C4" w:themeColor="accent1"/>
          <w:sz w:val="18"/>
          <w:szCs w:val="18"/>
        </w:rPr>
        <w:t>Chi-square</w:t>
      </w:r>
      <w:r w:rsidRPr="007F5B26">
        <w:rPr>
          <w:b/>
          <w:bCs/>
          <w:color w:val="4472C4" w:themeColor="accent1"/>
          <w:sz w:val="18"/>
          <w:szCs w:val="18"/>
        </w:rPr>
        <w:t xml:space="preserve"> H:Kruskal-Wallis test</w:t>
      </w:r>
    </w:p>
    <w:p w14:paraId="04FD158D" w14:textId="6A359384" w:rsidR="00D2687B" w:rsidRDefault="007F5B26" w:rsidP="006B5021">
      <w:pPr>
        <w:spacing w:after="0" w:line="240" w:lineRule="auto"/>
        <w:rPr>
          <w:rFonts w:asciiTheme="majorBidi" w:hAnsiTheme="majorBidi" w:cstheme="majorBidi"/>
          <w:sz w:val="24"/>
          <w:szCs w:val="24"/>
        </w:rPr>
      </w:pPr>
      <w:r w:rsidRPr="007F5B26">
        <w:rPr>
          <w:b/>
          <w:bCs/>
          <w:i/>
          <w:iCs/>
          <w:color w:val="4472C4" w:themeColor="accent1"/>
          <w:sz w:val="18"/>
          <w:szCs w:val="18"/>
        </w:rPr>
        <w:t>IHD: ischemic heart disease, GI: Gastrointestinal, Others*: Hepatitis, Neuritis, Myositis, BMI: Body Mass Index, HbA1C: Hemoglobin A1C, INR: International Normalized Ratio, BUN: Blood Urea Nitrogen, ALT: Alanine Transferase, AST: Aspartate Transferase,</w:t>
      </w:r>
      <w:r w:rsidRPr="007F5B26">
        <w:rPr>
          <w:b/>
          <w:bCs/>
          <w:color w:val="4472C4" w:themeColor="accent1"/>
          <w:sz w:val="18"/>
          <w:szCs w:val="18"/>
        </w:rPr>
        <w:t xml:space="preserve"> </w:t>
      </w:r>
      <w:r w:rsidRPr="007F5B26">
        <w:rPr>
          <w:b/>
          <w:bCs/>
          <w:i/>
          <w:iCs/>
          <w:color w:val="4472C4" w:themeColor="accent1"/>
          <w:sz w:val="18"/>
          <w:szCs w:val="18"/>
        </w:rPr>
        <w:t>ALP: Alkaline Phosphatase</w:t>
      </w:r>
      <w:r>
        <w:rPr>
          <w:b/>
          <w:bCs/>
          <w:i/>
          <w:iCs/>
          <w:color w:val="4472C4" w:themeColor="accent1"/>
          <w:sz w:val="18"/>
          <w:szCs w:val="18"/>
        </w:rPr>
        <w:t xml:space="preserve">. </w:t>
      </w:r>
      <w:r w:rsidRPr="007F5B26">
        <w:rPr>
          <w:b/>
          <w:bCs/>
          <w:i/>
          <w:iCs/>
          <w:color w:val="4472C4" w:themeColor="accent1"/>
          <w:sz w:val="18"/>
          <w:szCs w:val="18"/>
        </w:rPr>
        <w:t>P1: P value between mild group and (moderate group, severe group and critical group), P2: P value between moderate group and ( severe group and critical group), P3: P value between severe group and critical group.</w:t>
      </w:r>
    </w:p>
    <w:p w14:paraId="0F633BDC" w14:textId="24692D6F" w:rsidR="00D639F6" w:rsidRPr="00F547E6" w:rsidRDefault="00BD6681" w:rsidP="006B5021">
      <w:pPr>
        <w:spacing w:before="200" w:line="360" w:lineRule="auto"/>
        <w:jc w:val="both"/>
        <w:rPr>
          <w:rFonts w:asciiTheme="majorBidi" w:hAnsiTheme="majorBidi" w:cstheme="majorBidi"/>
        </w:rPr>
      </w:pPr>
      <w:r w:rsidRPr="00BD6681">
        <w:rPr>
          <w:rFonts w:asciiTheme="majorBidi" w:hAnsiTheme="majorBidi" w:cstheme="majorBidi"/>
          <w:sz w:val="24"/>
          <w:szCs w:val="24"/>
        </w:rPr>
        <w:t>Fecal calprotectin (mcg/g) at baseline was significantly higher in (</w:t>
      </w:r>
      <w:r w:rsidR="00AE7D1C">
        <w:rPr>
          <w:rFonts w:asciiTheme="majorBidi" w:hAnsiTheme="majorBidi" w:cstheme="majorBidi"/>
          <w:sz w:val="24"/>
          <w:szCs w:val="24"/>
        </w:rPr>
        <w:t xml:space="preserve">the </w:t>
      </w:r>
      <w:r w:rsidRPr="00BD6681">
        <w:rPr>
          <w:rFonts w:asciiTheme="majorBidi" w:hAnsiTheme="majorBidi" w:cstheme="majorBidi"/>
          <w:sz w:val="24"/>
          <w:szCs w:val="24"/>
        </w:rPr>
        <w:t>moderate group, severe group</w:t>
      </w:r>
      <w:r w:rsidR="00AE7D1C">
        <w:rPr>
          <w:rFonts w:asciiTheme="majorBidi" w:hAnsiTheme="majorBidi" w:cstheme="majorBidi"/>
          <w:sz w:val="24"/>
          <w:szCs w:val="24"/>
        </w:rPr>
        <w:t>,</w:t>
      </w:r>
      <w:r w:rsidRPr="00BD6681">
        <w:rPr>
          <w:rFonts w:asciiTheme="majorBidi" w:hAnsiTheme="majorBidi" w:cstheme="majorBidi"/>
          <w:sz w:val="24"/>
          <w:szCs w:val="24"/>
        </w:rPr>
        <w:t xml:space="preserve"> and critical group) than mild group (P value &lt;0.001), </w:t>
      </w:r>
      <w:r w:rsidR="00AE7D1C">
        <w:rPr>
          <w:rFonts w:asciiTheme="majorBidi" w:hAnsiTheme="majorBidi" w:cstheme="majorBidi"/>
          <w:sz w:val="24"/>
          <w:szCs w:val="24"/>
        </w:rPr>
        <w:t>considerably</w:t>
      </w:r>
      <w:r w:rsidRPr="00BD6681">
        <w:rPr>
          <w:rFonts w:asciiTheme="majorBidi" w:hAnsiTheme="majorBidi" w:cstheme="majorBidi"/>
          <w:sz w:val="24"/>
          <w:szCs w:val="24"/>
        </w:rPr>
        <w:t xml:space="preserve"> higher in (</w:t>
      </w:r>
      <w:r w:rsidR="00AE7D1C">
        <w:rPr>
          <w:rFonts w:asciiTheme="majorBidi" w:hAnsiTheme="majorBidi" w:cstheme="majorBidi"/>
          <w:sz w:val="24"/>
          <w:szCs w:val="24"/>
        </w:rPr>
        <w:t xml:space="preserve">the </w:t>
      </w:r>
      <w:r w:rsidRPr="00BD6681">
        <w:rPr>
          <w:rFonts w:asciiTheme="majorBidi" w:hAnsiTheme="majorBidi" w:cstheme="majorBidi"/>
          <w:sz w:val="24"/>
          <w:szCs w:val="24"/>
        </w:rPr>
        <w:t>severe and critical group) than moderate (P value &lt;0.001) and significantly higher in critical group than severe group (P value &lt;0.001). Fecal calprotectin (mcg/g) after 21 days was significantly higher in (</w:t>
      </w:r>
      <w:r w:rsidR="00AE7D1C">
        <w:rPr>
          <w:rFonts w:asciiTheme="majorBidi" w:hAnsiTheme="majorBidi" w:cstheme="majorBidi"/>
          <w:sz w:val="24"/>
          <w:szCs w:val="24"/>
        </w:rPr>
        <w:t xml:space="preserve">the </w:t>
      </w:r>
      <w:r w:rsidRPr="00BD6681">
        <w:rPr>
          <w:rFonts w:asciiTheme="majorBidi" w:hAnsiTheme="majorBidi" w:cstheme="majorBidi"/>
          <w:sz w:val="24"/>
          <w:szCs w:val="24"/>
        </w:rPr>
        <w:t>moderate group, severe group</w:t>
      </w:r>
      <w:r w:rsidR="00AE7D1C">
        <w:rPr>
          <w:rFonts w:asciiTheme="majorBidi" w:hAnsiTheme="majorBidi" w:cstheme="majorBidi"/>
          <w:sz w:val="24"/>
          <w:szCs w:val="24"/>
        </w:rPr>
        <w:t>,</w:t>
      </w:r>
      <w:r w:rsidRPr="00BD6681">
        <w:rPr>
          <w:rFonts w:asciiTheme="majorBidi" w:hAnsiTheme="majorBidi" w:cstheme="majorBidi"/>
          <w:sz w:val="24"/>
          <w:szCs w:val="24"/>
        </w:rPr>
        <w:t xml:space="preserve"> and critical group) than mild group (P value &lt;0.001), </w:t>
      </w:r>
      <w:r w:rsidR="00AE7D1C">
        <w:rPr>
          <w:rFonts w:asciiTheme="majorBidi" w:hAnsiTheme="majorBidi" w:cstheme="majorBidi"/>
          <w:sz w:val="24"/>
          <w:szCs w:val="24"/>
        </w:rPr>
        <w:t>considerably</w:t>
      </w:r>
      <w:r w:rsidRPr="00BD6681">
        <w:rPr>
          <w:rFonts w:asciiTheme="majorBidi" w:hAnsiTheme="majorBidi" w:cstheme="majorBidi"/>
          <w:sz w:val="24"/>
          <w:szCs w:val="24"/>
        </w:rPr>
        <w:t xml:space="preserve"> higher in (severe and critical group) than moderate (P value &lt;0.001) and significantly higher in critical group than severe group (P value &lt;0.001). Fecal calprotectin status was significantly higher at baseline than after 21 days among the four groups (P value &lt;0.001</w:t>
      </w:r>
      <w:r w:rsidR="00AE7D1C">
        <w:rPr>
          <w:rFonts w:asciiTheme="majorBidi" w:hAnsiTheme="majorBidi" w:cstheme="majorBidi"/>
          <w:sz w:val="24"/>
          <w:szCs w:val="24"/>
        </w:rPr>
        <w:t>,</w:t>
      </w:r>
      <w:r w:rsidRPr="00BD6681">
        <w:rPr>
          <w:rFonts w:asciiTheme="majorBidi" w:hAnsiTheme="majorBidi" w:cstheme="majorBidi"/>
          <w:sz w:val="24"/>
          <w:szCs w:val="24"/>
        </w:rPr>
        <w:t xml:space="preserve"> as presented in </w:t>
      </w:r>
      <w:r w:rsidRPr="00BD6681">
        <w:rPr>
          <w:rFonts w:asciiTheme="majorBidi" w:hAnsiTheme="majorBidi" w:cstheme="majorBidi"/>
          <w:b/>
          <w:bCs/>
          <w:sz w:val="24"/>
          <w:szCs w:val="24"/>
        </w:rPr>
        <w:t>Tab 2 and Fig 1.</w:t>
      </w:r>
    </w:p>
    <w:p w14:paraId="1848C872" w14:textId="19B33C25" w:rsidR="00107073" w:rsidRPr="006B5021" w:rsidRDefault="00107073" w:rsidP="00107073">
      <w:pPr>
        <w:pStyle w:val="Caption"/>
        <w:keepNext/>
        <w:rPr>
          <w:sz w:val="20"/>
          <w:szCs w:val="20"/>
        </w:rPr>
      </w:pPr>
      <w:r w:rsidRPr="006B5021">
        <w:rPr>
          <w:sz w:val="20"/>
          <w:szCs w:val="20"/>
        </w:rPr>
        <w:t xml:space="preserve">Table </w:t>
      </w:r>
      <w:r w:rsidR="00000000" w:rsidRPr="006B5021">
        <w:rPr>
          <w:sz w:val="20"/>
          <w:szCs w:val="20"/>
        </w:rPr>
        <w:fldChar w:fldCharType="begin"/>
      </w:r>
      <w:r w:rsidR="00000000" w:rsidRPr="006B5021">
        <w:rPr>
          <w:sz w:val="20"/>
          <w:szCs w:val="20"/>
        </w:rPr>
        <w:instrText xml:space="preserve"> SEQ Table \* ARABIC </w:instrText>
      </w:r>
      <w:r w:rsidR="00000000" w:rsidRPr="006B5021">
        <w:rPr>
          <w:sz w:val="20"/>
          <w:szCs w:val="20"/>
        </w:rPr>
        <w:fldChar w:fldCharType="separate"/>
      </w:r>
      <w:r w:rsidR="00650F29" w:rsidRPr="006B5021">
        <w:rPr>
          <w:noProof/>
          <w:sz w:val="20"/>
          <w:szCs w:val="20"/>
        </w:rPr>
        <w:t>2</w:t>
      </w:r>
      <w:r w:rsidR="00000000" w:rsidRPr="006B5021">
        <w:rPr>
          <w:noProof/>
          <w:sz w:val="20"/>
          <w:szCs w:val="20"/>
        </w:rPr>
        <w:fldChar w:fldCharType="end"/>
      </w:r>
      <w:r w:rsidRPr="006B5021">
        <w:rPr>
          <w:sz w:val="20"/>
          <w:szCs w:val="20"/>
        </w:rPr>
        <w:t>. Comparison of the fecal calprotectin status and COVID-19 severity in four groups of this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Comparison of the fecal calprotectin status and COVID-19 severity in four groups of this study."/>
        <w:tblDescription w:val="Data are expressed as mean ± SD or number (%)&#10; F: One-way ANOVA, X2: Chi-square&#10;A P-value of comparison between the four groups regarding the mean Fecal Calprotectin Level. (%), P1: P value between mild group and (moderate group, severe group and critical group), P2: P value between moderate group and ( severe group and critical group), P3: P value between severe group and critical group.&#10;"/>
      </w:tblPr>
      <w:tblGrid>
        <w:gridCol w:w="1327"/>
        <w:gridCol w:w="1327"/>
        <w:gridCol w:w="901"/>
        <w:gridCol w:w="913"/>
        <w:gridCol w:w="1188"/>
        <w:gridCol w:w="913"/>
        <w:gridCol w:w="901"/>
        <w:gridCol w:w="886"/>
        <w:gridCol w:w="901"/>
      </w:tblGrid>
      <w:tr w:rsidR="00D639F6" w:rsidRPr="00F547E6" w14:paraId="4743C889" w14:textId="77777777" w:rsidTr="00107073">
        <w:trPr>
          <w:trHeight w:val="432"/>
        </w:trPr>
        <w:tc>
          <w:tcPr>
            <w:tcW w:w="718" w:type="pct"/>
            <w:tcBorders>
              <w:top w:val="single" w:sz="4" w:space="0" w:color="000000"/>
              <w:bottom w:val="single" w:sz="4" w:space="0" w:color="000000"/>
            </w:tcBorders>
            <w:shd w:val="pct12" w:color="auto" w:fill="auto"/>
            <w:vAlign w:val="center"/>
            <w:hideMark/>
          </w:tcPr>
          <w:p w14:paraId="6CFC1B72" w14:textId="77777777" w:rsidR="00D639F6" w:rsidRPr="00F547E6" w:rsidRDefault="00D639F6" w:rsidP="0034709C">
            <w:pPr>
              <w:jc w:val="center"/>
              <w:rPr>
                <w:rFonts w:asciiTheme="majorBidi" w:hAnsiTheme="majorBidi" w:cstheme="majorBidi"/>
              </w:rPr>
            </w:pPr>
            <w:r w:rsidRPr="00AF2DF6">
              <w:rPr>
                <w:rFonts w:asciiTheme="majorBidi" w:hAnsiTheme="majorBidi" w:cstheme="majorBidi"/>
                <w:b/>
                <w:bCs/>
              </w:rPr>
              <w:t>COVID-19 severity</w:t>
            </w:r>
          </w:p>
        </w:tc>
        <w:tc>
          <w:tcPr>
            <w:tcW w:w="718" w:type="pct"/>
            <w:tcBorders>
              <w:top w:val="single" w:sz="4" w:space="0" w:color="000000"/>
              <w:bottom w:val="single" w:sz="4" w:space="0" w:color="000000"/>
            </w:tcBorders>
            <w:shd w:val="pct12" w:color="auto" w:fill="auto"/>
          </w:tcPr>
          <w:p w14:paraId="1EB5CAEB" w14:textId="77777777" w:rsidR="00D639F6" w:rsidRDefault="00D639F6" w:rsidP="0034709C">
            <w:pPr>
              <w:autoSpaceDE w:val="0"/>
              <w:autoSpaceDN w:val="0"/>
              <w:adjustRightInd w:val="0"/>
              <w:ind w:left="60" w:right="60"/>
              <w:jc w:val="center"/>
              <w:rPr>
                <w:rFonts w:asciiTheme="majorBidi" w:hAnsiTheme="majorBidi" w:cstheme="majorBidi"/>
                <w:b/>
                <w:bCs/>
              </w:rPr>
            </w:pPr>
          </w:p>
        </w:tc>
        <w:tc>
          <w:tcPr>
            <w:tcW w:w="486" w:type="pct"/>
            <w:tcBorders>
              <w:top w:val="single" w:sz="4" w:space="0" w:color="000000"/>
              <w:bottom w:val="single" w:sz="4" w:space="0" w:color="000000"/>
            </w:tcBorders>
            <w:shd w:val="pct12" w:color="auto" w:fill="auto"/>
          </w:tcPr>
          <w:p w14:paraId="3F365F6E" w14:textId="77777777" w:rsidR="00D639F6" w:rsidRPr="00F547E6" w:rsidRDefault="00D639F6" w:rsidP="0034709C">
            <w:pPr>
              <w:autoSpaceDE w:val="0"/>
              <w:autoSpaceDN w:val="0"/>
              <w:adjustRightInd w:val="0"/>
              <w:ind w:left="60" w:right="60"/>
              <w:jc w:val="center"/>
              <w:rPr>
                <w:rFonts w:asciiTheme="majorBidi" w:hAnsiTheme="majorBidi" w:cstheme="majorBidi"/>
                <w:b/>
                <w:bCs/>
              </w:rPr>
            </w:pPr>
            <w:r>
              <w:rPr>
                <w:rFonts w:asciiTheme="majorBidi" w:hAnsiTheme="majorBidi" w:cstheme="majorBidi"/>
                <w:b/>
                <w:bCs/>
              </w:rPr>
              <w:t xml:space="preserve">All cases </w:t>
            </w:r>
          </w:p>
        </w:tc>
        <w:tc>
          <w:tcPr>
            <w:tcW w:w="493" w:type="pct"/>
            <w:tcBorders>
              <w:top w:val="single" w:sz="4" w:space="0" w:color="000000"/>
              <w:bottom w:val="single" w:sz="4" w:space="0" w:color="000000"/>
            </w:tcBorders>
            <w:shd w:val="pct12" w:color="auto" w:fill="auto"/>
            <w:vAlign w:val="center"/>
            <w:hideMark/>
          </w:tcPr>
          <w:p w14:paraId="23F7D26F" w14:textId="77777777" w:rsidR="00D639F6" w:rsidRPr="00F547E6" w:rsidRDefault="00D639F6"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Mild Group</w:t>
            </w:r>
          </w:p>
          <w:p w14:paraId="7550AD22" w14:textId="77777777" w:rsidR="00D639F6" w:rsidRPr="00F547E6" w:rsidRDefault="00D639F6" w:rsidP="0034709C">
            <w:pPr>
              <w:jc w:val="center"/>
              <w:rPr>
                <w:rFonts w:asciiTheme="majorBidi" w:hAnsiTheme="majorBidi" w:cstheme="majorBidi"/>
              </w:rPr>
            </w:pPr>
            <w:r w:rsidRPr="00F547E6">
              <w:rPr>
                <w:rFonts w:asciiTheme="majorBidi" w:hAnsiTheme="majorBidi" w:cstheme="majorBidi"/>
                <w:b/>
                <w:bCs/>
              </w:rPr>
              <w:t>(N=14)</w:t>
            </w:r>
          </w:p>
        </w:tc>
        <w:tc>
          <w:tcPr>
            <w:tcW w:w="642" w:type="pct"/>
            <w:tcBorders>
              <w:top w:val="single" w:sz="4" w:space="0" w:color="000000"/>
              <w:bottom w:val="single" w:sz="4" w:space="0" w:color="000000"/>
            </w:tcBorders>
            <w:shd w:val="pct12" w:color="auto" w:fill="auto"/>
            <w:vAlign w:val="center"/>
            <w:hideMark/>
          </w:tcPr>
          <w:p w14:paraId="330EF620" w14:textId="77777777" w:rsidR="00D639F6" w:rsidRPr="00F547E6" w:rsidRDefault="00D639F6"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Moderate Group (N=12)</w:t>
            </w:r>
          </w:p>
        </w:tc>
        <w:tc>
          <w:tcPr>
            <w:tcW w:w="493" w:type="pct"/>
            <w:tcBorders>
              <w:top w:val="single" w:sz="4" w:space="0" w:color="000000"/>
              <w:bottom w:val="single" w:sz="4" w:space="0" w:color="000000"/>
            </w:tcBorders>
            <w:shd w:val="pct12" w:color="auto" w:fill="auto"/>
            <w:vAlign w:val="center"/>
            <w:hideMark/>
          </w:tcPr>
          <w:p w14:paraId="6004FE5E" w14:textId="77777777" w:rsidR="00D639F6" w:rsidRPr="00F547E6" w:rsidRDefault="00D639F6"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Severe Group</w:t>
            </w:r>
          </w:p>
          <w:p w14:paraId="3A9F46B2" w14:textId="77777777" w:rsidR="00D639F6" w:rsidRPr="00F547E6" w:rsidRDefault="00D639F6" w:rsidP="0034709C">
            <w:pPr>
              <w:jc w:val="center"/>
              <w:rPr>
                <w:rFonts w:asciiTheme="majorBidi" w:hAnsiTheme="majorBidi" w:cstheme="majorBidi"/>
              </w:rPr>
            </w:pPr>
            <w:r w:rsidRPr="00F547E6">
              <w:rPr>
                <w:rFonts w:asciiTheme="majorBidi" w:hAnsiTheme="majorBidi" w:cstheme="majorBidi"/>
                <w:b/>
                <w:bCs/>
              </w:rPr>
              <w:t>(N=12)</w:t>
            </w:r>
          </w:p>
        </w:tc>
        <w:tc>
          <w:tcPr>
            <w:tcW w:w="486" w:type="pct"/>
            <w:tcBorders>
              <w:top w:val="single" w:sz="4" w:space="0" w:color="000000"/>
              <w:bottom w:val="single" w:sz="4" w:space="0" w:color="000000"/>
            </w:tcBorders>
            <w:shd w:val="pct12" w:color="auto" w:fill="auto"/>
            <w:vAlign w:val="center"/>
            <w:hideMark/>
          </w:tcPr>
          <w:p w14:paraId="0B67FFBF" w14:textId="77777777" w:rsidR="00D639F6" w:rsidRPr="00F547E6" w:rsidRDefault="00D639F6" w:rsidP="0034709C">
            <w:pPr>
              <w:jc w:val="center"/>
              <w:rPr>
                <w:rFonts w:asciiTheme="majorBidi" w:hAnsiTheme="majorBidi" w:cstheme="majorBidi"/>
                <w:b/>
                <w:bCs/>
              </w:rPr>
            </w:pPr>
            <w:r w:rsidRPr="00F547E6">
              <w:rPr>
                <w:rFonts w:asciiTheme="majorBidi" w:hAnsiTheme="majorBidi" w:cstheme="majorBidi"/>
                <w:b/>
                <w:bCs/>
              </w:rPr>
              <w:t>Critical Group (N=12)</w:t>
            </w:r>
          </w:p>
        </w:tc>
        <w:tc>
          <w:tcPr>
            <w:tcW w:w="478" w:type="pct"/>
            <w:tcBorders>
              <w:top w:val="single" w:sz="4" w:space="0" w:color="000000"/>
              <w:bottom w:val="single" w:sz="4" w:space="0" w:color="000000"/>
            </w:tcBorders>
            <w:shd w:val="pct12" w:color="auto" w:fill="auto"/>
          </w:tcPr>
          <w:p w14:paraId="2FCAF723" w14:textId="77777777" w:rsidR="00D639F6" w:rsidRDefault="00D639F6" w:rsidP="0034709C">
            <w:pPr>
              <w:jc w:val="center"/>
              <w:rPr>
                <w:rFonts w:asciiTheme="majorBidi" w:hAnsiTheme="majorBidi" w:cstheme="majorBidi"/>
                <w:b/>
                <w:bCs/>
              </w:rPr>
            </w:pPr>
            <w:r>
              <w:rPr>
                <w:rFonts w:asciiTheme="majorBidi" w:hAnsiTheme="majorBidi" w:cstheme="majorBidi"/>
                <w:b/>
                <w:bCs/>
              </w:rPr>
              <w:t>Test</w:t>
            </w:r>
          </w:p>
        </w:tc>
        <w:tc>
          <w:tcPr>
            <w:tcW w:w="486" w:type="pct"/>
            <w:tcBorders>
              <w:top w:val="single" w:sz="4" w:space="0" w:color="000000"/>
              <w:bottom w:val="single" w:sz="4" w:space="0" w:color="000000"/>
            </w:tcBorders>
            <w:shd w:val="pct12" w:color="auto" w:fill="auto"/>
          </w:tcPr>
          <w:p w14:paraId="1877CEC3" w14:textId="77777777" w:rsidR="00D639F6" w:rsidRPr="00F547E6" w:rsidRDefault="00D639F6" w:rsidP="0034709C">
            <w:pPr>
              <w:jc w:val="center"/>
              <w:rPr>
                <w:rFonts w:asciiTheme="majorBidi" w:hAnsiTheme="majorBidi" w:cstheme="majorBidi"/>
                <w:b/>
                <w:bCs/>
              </w:rPr>
            </w:pPr>
            <w:r>
              <w:rPr>
                <w:rFonts w:asciiTheme="majorBidi" w:hAnsiTheme="majorBidi" w:cstheme="majorBidi"/>
                <w:b/>
                <w:bCs/>
              </w:rPr>
              <w:t>P value</w:t>
            </w:r>
          </w:p>
        </w:tc>
      </w:tr>
      <w:tr w:rsidR="00D639F6" w:rsidRPr="00F547E6" w14:paraId="5AD04EB0" w14:textId="77777777" w:rsidTr="00107073">
        <w:trPr>
          <w:trHeight w:val="432"/>
        </w:trPr>
        <w:tc>
          <w:tcPr>
            <w:tcW w:w="718" w:type="pct"/>
            <w:vMerge w:val="restart"/>
            <w:tcBorders>
              <w:top w:val="single" w:sz="4" w:space="0" w:color="000000"/>
            </w:tcBorders>
            <w:shd w:val="pct12" w:color="auto" w:fill="auto"/>
            <w:vAlign w:val="center"/>
            <w:hideMark/>
          </w:tcPr>
          <w:p w14:paraId="0E71045E" w14:textId="77777777" w:rsidR="00D639F6" w:rsidRPr="00AF2DF6" w:rsidRDefault="00D639F6" w:rsidP="0034709C">
            <w:pPr>
              <w:jc w:val="center"/>
              <w:rPr>
                <w:rFonts w:asciiTheme="majorBidi" w:hAnsiTheme="majorBidi" w:cstheme="majorBidi"/>
                <w:b/>
                <w:bCs/>
              </w:rPr>
            </w:pPr>
            <w:r w:rsidRPr="00AF2DF6">
              <w:rPr>
                <w:rFonts w:asciiTheme="majorBidi" w:hAnsiTheme="majorBidi" w:cstheme="majorBidi"/>
                <w:b/>
                <w:bCs/>
              </w:rPr>
              <w:t>Fecal Calprotectin (mcg/g)</w:t>
            </w:r>
          </w:p>
          <w:p w14:paraId="20C14066" w14:textId="77777777" w:rsidR="00D639F6" w:rsidRPr="00F547E6" w:rsidRDefault="00D639F6" w:rsidP="0034709C">
            <w:pPr>
              <w:jc w:val="center"/>
              <w:rPr>
                <w:rFonts w:asciiTheme="majorBidi" w:hAnsiTheme="majorBidi" w:cstheme="majorBidi"/>
                <w:b/>
                <w:bCs/>
              </w:rPr>
            </w:pPr>
            <w:r w:rsidRPr="00AF2DF6">
              <w:rPr>
                <w:rFonts w:asciiTheme="majorBidi" w:hAnsiTheme="majorBidi" w:cstheme="majorBidi"/>
                <w:b/>
                <w:bCs/>
              </w:rPr>
              <w:t>(At baseline)</w:t>
            </w:r>
          </w:p>
        </w:tc>
        <w:tc>
          <w:tcPr>
            <w:tcW w:w="718" w:type="pct"/>
            <w:tcBorders>
              <w:top w:val="single" w:sz="4" w:space="0" w:color="000000"/>
            </w:tcBorders>
          </w:tcPr>
          <w:p w14:paraId="30D05003" w14:textId="77777777" w:rsidR="00D639F6" w:rsidRPr="00AF2DF6" w:rsidRDefault="00D639F6" w:rsidP="0034709C">
            <w:pPr>
              <w:jc w:val="center"/>
              <w:rPr>
                <w:rFonts w:asciiTheme="majorBidi" w:hAnsiTheme="majorBidi" w:cstheme="majorBidi"/>
                <w:b/>
                <w:bCs/>
                <w:color w:val="000000"/>
              </w:rPr>
            </w:pPr>
            <w:r w:rsidRPr="00AF2DF6">
              <w:rPr>
                <w:rFonts w:asciiTheme="majorBidi" w:hAnsiTheme="majorBidi" w:cstheme="majorBidi"/>
                <w:b/>
                <w:bCs/>
                <w:color w:val="000000"/>
              </w:rPr>
              <w:t>No (%)</w:t>
            </w:r>
          </w:p>
        </w:tc>
        <w:tc>
          <w:tcPr>
            <w:tcW w:w="486" w:type="pct"/>
            <w:tcBorders>
              <w:top w:val="single" w:sz="4" w:space="0" w:color="000000"/>
            </w:tcBorders>
          </w:tcPr>
          <w:p w14:paraId="429A5D74" w14:textId="77777777" w:rsidR="00D639F6" w:rsidRPr="00F547E6" w:rsidRDefault="00D639F6" w:rsidP="0034709C">
            <w:pPr>
              <w:jc w:val="center"/>
              <w:rPr>
                <w:rFonts w:asciiTheme="majorBidi" w:hAnsiTheme="majorBidi" w:cstheme="majorBidi"/>
                <w:color w:val="000000"/>
              </w:rPr>
            </w:pPr>
            <w:r w:rsidRPr="00F547E6">
              <w:rPr>
                <w:rFonts w:asciiTheme="majorBidi" w:eastAsia="Calibri" w:hAnsiTheme="majorBidi" w:cstheme="majorBidi"/>
              </w:rPr>
              <w:t>50 (100</w:t>
            </w:r>
            <w:r>
              <w:rPr>
                <w:rFonts w:asciiTheme="majorBidi" w:eastAsia="Calibri" w:hAnsiTheme="majorBidi" w:cstheme="majorBidi"/>
              </w:rPr>
              <w:t>)</w:t>
            </w:r>
          </w:p>
        </w:tc>
        <w:tc>
          <w:tcPr>
            <w:tcW w:w="493" w:type="pct"/>
            <w:tcBorders>
              <w:top w:val="single" w:sz="4" w:space="0" w:color="000000"/>
            </w:tcBorders>
            <w:hideMark/>
          </w:tcPr>
          <w:p w14:paraId="3700073A" w14:textId="77777777" w:rsidR="00D639F6" w:rsidRPr="00F547E6" w:rsidRDefault="00D639F6" w:rsidP="0034709C">
            <w:pPr>
              <w:jc w:val="center"/>
              <w:rPr>
                <w:rFonts w:asciiTheme="majorBidi" w:hAnsiTheme="majorBidi" w:cstheme="majorBidi"/>
                <w:color w:val="000000"/>
              </w:rPr>
            </w:pPr>
            <w:r w:rsidRPr="00F547E6">
              <w:rPr>
                <w:rFonts w:asciiTheme="majorBidi" w:eastAsia="Calibri" w:hAnsiTheme="majorBidi" w:cstheme="majorBidi"/>
              </w:rPr>
              <w:t>14 (28)</w:t>
            </w:r>
          </w:p>
        </w:tc>
        <w:tc>
          <w:tcPr>
            <w:tcW w:w="642" w:type="pct"/>
            <w:tcBorders>
              <w:top w:val="single" w:sz="4" w:space="0" w:color="000000"/>
            </w:tcBorders>
            <w:hideMark/>
          </w:tcPr>
          <w:p w14:paraId="17221EFA"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12 (24)</w:t>
            </w:r>
          </w:p>
        </w:tc>
        <w:tc>
          <w:tcPr>
            <w:tcW w:w="493" w:type="pct"/>
            <w:tcBorders>
              <w:top w:val="single" w:sz="4" w:space="0" w:color="000000"/>
            </w:tcBorders>
            <w:hideMark/>
          </w:tcPr>
          <w:p w14:paraId="130B2DAC" w14:textId="77777777" w:rsidR="00D639F6" w:rsidRPr="00F547E6" w:rsidRDefault="00D639F6" w:rsidP="0034709C">
            <w:pPr>
              <w:jc w:val="center"/>
              <w:rPr>
                <w:rFonts w:asciiTheme="majorBidi" w:hAnsiTheme="majorBidi" w:cstheme="majorBidi"/>
                <w:color w:val="000000"/>
              </w:rPr>
            </w:pPr>
            <w:r w:rsidRPr="00F547E6">
              <w:rPr>
                <w:rFonts w:asciiTheme="majorBidi" w:eastAsia="Calibri" w:hAnsiTheme="majorBidi" w:cstheme="majorBidi"/>
              </w:rPr>
              <w:t>12 (24)</w:t>
            </w:r>
          </w:p>
        </w:tc>
        <w:tc>
          <w:tcPr>
            <w:tcW w:w="486" w:type="pct"/>
            <w:tcBorders>
              <w:top w:val="single" w:sz="4" w:space="0" w:color="000000"/>
            </w:tcBorders>
            <w:hideMark/>
          </w:tcPr>
          <w:p w14:paraId="2EE3D296" w14:textId="77777777" w:rsidR="00D639F6" w:rsidRPr="00F547E6" w:rsidRDefault="00D639F6" w:rsidP="0034709C">
            <w:pPr>
              <w:jc w:val="center"/>
              <w:rPr>
                <w:rFonts w:asciiTheme="majorBidi" w:hAnsiTheme="majorBidi" w:cstheme="majorBidi"/>
                <w:color w:val="000000"/>
              </w:rPr>
            </w:pPr>
            <w:r w:rsidRPr="00F547E6">
              <w:rPr>
                <w:rFonts w:asciiTheme="majorBidi" w:eastAsia="Calibri" w:hAnsiTheme="majorBidi" w:cstheme="majorBidi"/>
              </w:rPr>
              <w:t>12 (24)</w:t>
            </w:r>
          </w:p>
        </w:tc>
        <w:tc>
          <w:tcPr>
            <w:tcW w:w="478" w:type="pct"/>
            <w:vMerge w:val="restart"/>
            <w:tcBorders>
              <w:top w:val="single" w:sz="4" w:space="0" w:color="000000"/>
            </w:tcBorders>
            <w:vAlign w:val="center"/>
          </w:tcPr>
          <w:p w14:paraId="751299AF" w14:textId="77777777" w:rsidR="00D639F6" w:rsidRPr="00442A3C" w:rsidRDefault="00D639F6" w:rsidP="0034709C">
            <w:pPr>
              <w:jc w:val="center"/>
              <w:rPr>
                <w:rFonts w:asciiTheme="majorBidi" w:eastAsia="Calibri" w:hAnsiTheme="majorBidi" w:cstheme="majorBidi"/>
              </w:rPr>
            </w:pPr>
            <w:r w:rsidRPr="00442A3C">
              <w:rPr>
                <w:rFonts w:asciiTheme="majorBidi" w:eastAsia="Calibri" w:hAnsiTheme="majorBidi" w:cstheme="majorBidi"/>
              </w:rPr>
              <w:t>F</w:t>
            </w:r>
          </w:p>
          <w:p w14:paraId="659EBC91" w14:textId="77777777" w:rsidR="00D639F6" w:rsidRPr="00442A3C" w:rsidRDefault="00D639F6" w:rsidP="0034709C">
            <w:pPr>
              <w:jc w:val="center"/>
              <w:rPr>
                <w:rFonts w:asciiTheme="majorBidi" w:eastAsia="Calibri" w:hAnsiTheme="majorBidi" w:cstheme="majorBidi"/>
              </w:rPr>
            </w:pPr>
            <w:r w:rsidRPr="00442A3C">
              <w:rPr>
                <w:rFonts w:asciiTheme="majorBidi" w:eastAsia="Calibri" w:hAnsiTheme="majorBidi" w:cstheme="majorBidi"/>
              </w:rPr>
              <w:t>10463.4</w:t>
            </w:r>
          </w:p>
        </w:tc>
        <w:tc>
          <w:tcPr>
            <w:tcW w:w="486" w:type="pct"/>
            <w:vMerge w:val="restart"/>
            <w:tcBorders>
              <w:top w:val="single" w:sz="4" w:space="0" w:color="000000"/>
            </w:tcBorders>
            <w:vAlign w:val="center"/>
          </w:tcPr>
          <w:p w14:paraId="15B4F965" w14:textId="77777777" w:rsidR="00D639F6" w:rsidRPr="00F547E6" w:rsidRDefault="00D639F6" w:rsidP="0034709C">
            <w:pPr>
              <w:jc w:val="center"/>
              <w:rPr>
                <w:rFonts w:asciiTheme="majorBidi" w:eastAsia="Calibri" w:hAnsiTheme="majorBidi" w:cstheme="majorBidi"/>
              </w:rPr>
            </w:pPr>
            <w:r w:rsidRPr="00F547E6">
              <w:rPr>
                <w:rFonts w:asciiTheme="majorBidi" w:eastAsia="Calibri" w:hAnsiTheme="majorBidi" w:cstheme="majorBidi"/>
                <w:b/>
                <w:bCs/>
              </w:rPr>
              <w:t>&lt;0.001*</w:t>
            </w:r>
          </w:p>
        </w:tc>
      </w:tr>
      <w:tr w:rsidR="00D639F6" w:rsidRPr="00F547E6" w14:paraId="646147C3" w14:textId="77777777" w:rsidTr="00107073">
        <w:trPr>
          <w:trHeight w:val="432"/>
        </w:trPr>
        <w:tc>
          <w:tcPr>
            <w:tcW w:w="718" w:type="pct"/>
            <w:vMerge/>
            <w:shd w:val="pct12" w:color="auto" w:fill="auto"/>
            <w:vAlign w:val="center"/>
            <w:hideMark/>
          </w:tcPr>
          <w:p w14:paraId="04679C38" w14:textId="77777777" w:rsidR="00D639F6" w:rsidRPr="00F547E6" w:rsidRDefault="00D639F6" w:rsidP="0034709C">
            <w:pPr>
              <w:jc w:val="center"/>
              <w:rPr>
                <w:rFonts w:asciiTheme="majorBidi" w:hAnsiTheme="majorBidi" w:cstheme="majorBidi"/>
              </w:rPr>
            </w:pPr>
          </w:p>
        </w:tc>
        <w:tc>
          <w:tcPr>
            <w:tcW w:w="718" w:type="pct"/>
          </w:tcPr>
          <w:p w14:paraId="15E0C180" w14:textId="77777777" w:rsidR="00D639F6" w:rsidRPr="00AF2DF6" w:rsidRDefault="00D639F6" w:rsidP="0034709C">
            <w:pPr>
              <w:jc w:val="center"/>
              <w:rPr>
                <w:rFonts w:asciiTheme="majorBidi" w:hAnsiTheme="majorBidi" w:cstheme="majorBidi"/>
                <w:b/>
                <w:bCs/>
              </w:rPr>
            </w:pPr>
            <w:r w:rsidRPr="00AF2DF6">
              <w:rPr>
                <w:rFonts w:asciiTheme="majorBidi" w:hAnsiTheme="majorBidi" w:cstheme="majorBidi"/>
                <w:b/>
                <w:bCs/>
              </w:rPr>
              <w:t>Fecal Calprotectin</w:t>
            </w:r>
          </w:p>
        </w:tc>
        <w:tc>
          <w:tcPr>
            <w:tcW w:w="486" w:type="pct"/>
          </w:tcPr>
          <w:p w14:paraId="6A6C04F8" w14:textId="77777777" w:rsidR="00D639F6" w:rsidRPr="00F547E6" w:rsidRDefault="00D639F6" w:rsidP="0034709C">
            <w:pPr>
              <w:jc w:val="center"/>
              <w:rPr>
                <w:rFonts w:asciiTheme="majorBidi" w:hAnsiTheme="majorBidi" w:cstheme="majorBidi"/>
              </w:rPr>
            </w:pPr>
            <w:r w:rsidRPr="00F547E6">
              <w:rPr>
                <w:rFonts w:asciiTheme="majorBidi" w:hAnsiTheme="majorBidi" w:cstheme="majorBidi"/>
                <w:sz w:val="20"/>
                <w:szCs w:val="20"/>
              </w:rPr>
              <w:t>145.15 ± 64.11</w:t>
            </w:r>
          </w:p>
        </w:tc>
        <w:tc>
          <w:tcPr>
            <w:tcW w:w="493" w:type="pct"/>
            <w:hideMark/>
          </w:tcPr>
          <w:p w14:paraId="4D078425"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69.96 ± 2.06</w:t>
            </w:r>
          </w:p>
        </w:tc>
        <w:tc>
          <w:tcPr>
            <w:tcW w:w="642" w:type="pct"/>
            <w:hideMark/>
          </w:tcPr>
          <w:p w14:paraId="3465686B"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114.42 ± 1.56</w:t>
            </w:r>
          </w:p>
        </w:tc>
        <w:tc>
          <w:tcPr>
            <w:tcW w:w="493" w:type="pct"/>
            <w:hideMark/>
          </w:tcPr>
          <w:p w14:paraId="316396B5"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171.17 ± 2.98</w:t>
            </w:r>
          </w:p>
        </w:tc>
        <w:tc>
          <w:tcPr>
            <w:tcW w:w="486" w:type="pct"/>
            <w:hideMark/>
          </w:tcPr>
          <w:p w14:paraId="54995C51" w14:textId="77777777" w:rsidR="00D639F6" w:rsidRPr="00F547E6" w:rsidRDefault="00D639F6" w:rsidP="0034709C">
            <w:pPr>
              <w:jc w:val="center"/>
              <w:rPr>
                <w:rFonts w:asciiTheme="majorBidi" w:hAnsiTheme="majorBidi" w:cstheme="majorBidi"/>
              </w:rPr>
            </w:pPr>
            <w:r w:rsidRPr="00AF13A3">
              <w:rPr>
                <w:rFonts w:asciiTheme="majorBidi" w:eastAsia="Calibri" w:hAnsiTheme="majorBidi" w:cstheme="majorBidi"/>
              </w:rPr>
              <w:t>237.58 ± 3.23</w:t>
            </w:r>
          </w:p>
        </w:tc>
        <w:tc>
          <w:tcPr>
            <w:tcW w:w="478" w:type="pct"/>
            <w:vMerge/>
            <w:vAlign w:val="center"/>
          </w:tcPr>
          <w:p w14:paraId="1A7782F8" w14:textId="77777777" w:rsidR="00D639F6" w:rsidRPr="00442A3C" w:rsidRDefault="00D639F6" w:rsidP="0034709C">
            <w:pPr>
              <w:jc w:val="center"/>
              <w:rPr>
                <w:rFonts w:asciiTheme="majorBidi" w:eastAsia="Calibri" w:hAnsiTheme="majorBidi" w:cstheme="majorBidi"/>
              </w:rPr>
            </w:pPr>
          </w:p>
        </w:tc>
        <w:tc>
          <w:tcPr>
            <w:tcW w:w="486" w:type="pct"/>
            <w:vMerge/>
            <w:vAlign w:val="center"/>
          </w:tcPr>
          <w:p w14:paraId="75E81B03" w14:textId="77777777" w:rsidR="00D639F6" w:rsidRPr="00AF13A3" w:rsidRDefault="00D639F6" w:rsidP="0034709C">
            <w:pPr>
              <w:jc w:val="center"/>
              <w:rPr>
                <w:rFonts w:asciiTheme="majorBidi" w:eastAsia="Calibri" w:hAnsiTheme="majorBidi" w:cstheme="majorBidi"/>
              </w:rPr>
            </w:pPr>
          </w:p>
        </w:tc>
      </w:tr>
      <w:tr w:rsidR="00D639F6" w:rsidRPr="00F547E6" w14:paraId="259A6AFD" w14:textId="77777777" w:rsidTr="00107073">
        <w:trPr>
          <w:trHeight w:val="432"/>
        </w:trPr>
        <w:tc>
          <w:tcPr>
            <w:tcW w:w="718" w:type="pct"/>
            <w:vMerge/>
            <w:shd w:val="pct12" w:color="auto" w:fill="auto"/>
            <w:vAlign w:val="center"/>
          </w:tcPr>
          <w:p w14:paraId="030ADF7B" w14:textId="77777777" w:rsidR="00D639F6" w:rsidRPr="00F547E6" w:rsidRDefault="00D639F6" w:rsidP="0034709C">
            <w:pPr>
              <w:jc w:val="center"/>
              <w:rPr>
                <w:rFonts w:asciiTheme="majorBidi" w:hAnsiTheme="majorBidi" w:cstheme="majorBidi"/>
              </w:rPr>
            </w:pPr>
          </w:p>
        </w:tc>
        <w:tc>
          <w:tcPr>
            <w:tcW w:w="1697" w:type="pct"/>
            <w:gridSpan w:val="3"/>
          </w:tcPr>
          <w:p w14:paraId="532C2AC7" w14:textId="77777777" w:rsidR="00D639F6" w:rsidRPr="001300CC" w:rsidRDefault="00D639F6" w:rsidP="0034709C">
            <w:pPr>
              <w:jc w:val="center"/>
              <w:rPr>
                <w:rFonts w:asciiTheme="majorBidi" w:eastAsia="Calibri" w:hAnsiTheme="majorBidi" w:cstheme="majorBidi"/>
                <w:b/>
                <w:bCs/>
              </w:rPr>
            </w:pPr>
            <w:r w:rsidRPr="001300CC">
              <w:rPr>
                <w:rFonts w:asciiTheme="majorBidi" w:hAnsiTheme="majorBidi" w:cstheme="majorBidi"/>
                <w:b/>
                <w:bCs/>
                <w:sz w:val="20"/>
                <w:szCs w:val="20"/>
              </w:rPr>
              <w:t>P1</w:t>
            </w:r>
          </w:p>
        </w:tc>
        <w:tc>
          <w:tcPr>
            <w:tcW w:w="642" w:type="pct"/>
          </w:tcPr>
          <w:p w14:paraId="6071FDDE" w14:textId="77777777" w:rsidR="00D639F6" w:rsidRPr="001300CC"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&lt;0.001*</w:t>
            </w:r>
          </w:p>
        </w:tc>
        <w:tc>
          <w:tcPr>
            <w:tcW w:w="493" w:type="pct"/>
          </w:tcPr>
          <w:p w14:paraId="10251BDF" w14:textId="77777777" w:rsidR="00D639F6" w:rsidRPr="001300CC"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&lt;0.001*</w:t>
            </w:r>
          </w:p>
        </w:tc>
        <w:tc>
          <w:tcPr>
            <w:tcW w:w="486" w:type="pct"/>
          </w:tcPr>
          <w:p w14:paraId="7AAAF4E7" w14:textId="77777777" w:rsidR="00D639F6" w:rsidRPr="00AF13A3" w:rsidRDefault="00D639F6" w:rsidP="0034709C">
            <w:pPr>
              <w:jc w:val="center"/>
              <w:rPr>
                <w:rFonts w:asciiTheme="majorBidi" w:eastAsia="Calibri" w:hAnsiTheme="majorBidi" w:cstheme="majorBidi"/>
              </w:rPr>
            </w:pPr>
            <w:r w:rsidRPr="00F547E6">
              <w:rPr>
                <w:rFonts w:asciiTheme="majorBidi" w:eastAsia="Calibri" w:hAnsiTheme="majorBidi" w:cstheme="majorBidi"/>
                <w:b/>
                <w:bCs/>
              </w:rPr>
              <w:t>&lt;0.001*</w:t>
            </w:r>
          </w:p>
        </w:tc>
        <w:tc>
          <w:tcPr>
            <w:tcW w:w="478" w:type="pct"/>
            <w:vMerge/>
            <w:vAlign w:val="center"/>
          </w:tcPr>
          <w:p w14:paraId="0B823948" w14:textId="77777777" w:rsidR="00D639F6" w:rsidRPr="00442A3C" w:rsidRDefault="00D639F6" w:rsidP="0034709C">
            <w:pPr>
              <w:jc w:val="center"/>
              <w:rPr>
                <w:rFonts w:asciiTheme="majorBidi" w:eastAsia="Calibri" w:hAnsiTheme="majorBidi" w:cstheme="majorBidi"/>
              </w:rPr>
            </w:pPr>
          </w:p>
        </w:tc>
        <w:tc>
          <w:tcPr>
            <w:tcW w:w="486" w:type="pct"/>
            <w:vMerge/>
            <w:vAlign w:val="center"/>
          </w:tcPr>
          <w:p w14:paraId="1DDC4045" w14:textId="77777777" w:rsidR="00D639F6" w:rsidRPr="00AF13A3" w:rsidRDefault="00D639F6" w:rsidP="0034709C">
            <w:pPr>
              <w:jc w:val="center"/>
              <w:rPr>
                <w:rFonts w:asciiTheme="majorBidi" w:eastAsia="Calibri" w:hAnsiTheme="majorBidi" w:cstheme="majorBidi"/>
              </w:rPr>
            </w:pPr>
          </w:p>
        </w:tc>
      </w:tr>
      <w:tr w:rsidR="00D639F6" w:rsidRPr="00F547E6" w14:paraId="0A9CAB84" w14:textId="77777777" w:rsidTr="00107073">
        <w:trPr>
          <w:trHeight w:val="432"/>
        </w:trPr>
        <w:tc>
          <w:tcPr>
            <w:tcW w:w="718" w:type="pct"/>
            <w:vMerge/>
            <w:shd w:val="pct12" w:color="auto" w:fill="auto"/>
            <w:vAlign w:val="center"/>
          </w:tcPr>
          <w:p w14:paraId="3007302C" w14:textId="77777777" w:rsidR="00D639F6" w:rsidRPr="00F547E6" w:rsidRDefault="00D639F6" w:rsidP="0034709C">
            <w:pPr>
              <w:jc w:val="center"/>
              <w:rPr>
                <w:rFonts w:asciiTheme="majorBidi" w:hAnsiTheme="majorBidi" w:cstheme="majorBidi"/>
              </w:rPr>
            </w:pPr>
          </w:p>
        </w:tc>
        <w:tc>
          <w:tcPr>
            <w:tcW w:w="2339" w:type="pct"/>
            <w:gridSpan w:val="4"/>
          </w:tcPr>
          <w:p w14:paraId="1ECFCDAC" w14:textId="77777777" w:rsidR="00D639F6" w:rsidRPr="001300CC" w:rsidRDefault="00D639F6" w:rsidP="0034709C">
            <w:pPr>
              <w:jc w:val="center"/>
              <w:rPr>
                <w:rFonts w:asciiTheme="majorBidi" w:eastAsia="Calibri" w:hAnsiTheme="majorBidi" w:cstheme="majorBidi"/>
                <w:b/>
                <w:bCs/>
              </w:rPr>
            </w:pPr>
            <w:r w:rsidRPr="001300CC">
              <w:rPr>
                <w:rFonts w:asciiTheme="majorBidi" w:eastAsia="Calibri" w:hAnsiTheme="majorBidi" w:cstheme="majorBidi"/>
                <w:b/>
                <w:bCs/>
              </w:rPr>
              <w:t>P2</w:t>
            </w:r>
          </w:p>
        </w:tc>
        <w:tc>
          <w:tcPr>
            <w:tcW w:w="493" w:type="pct"/>
          </w:tcPr>
          <w:p w14:paraId="2511F01D" w14:textId="77777777" w:rsidR="00D639F6" w:rsidRPr="001300CC"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&lt;0.001*</w:t>
            </w:r>
          </w:p>
        </w:tc>
        <w:tc>
          <w:tcPr>
            <w:tcW w:w="486" w:type="pct"/>
          </w:tcPr>
          <w:p w14:paraId="3C355DF4" w14:textId="77777777" w:rsidR="00D639F6" w:rsidRPr="00AF13A3" w:rsidRDefault="00D639F6" w:rsidP="0034709C">
            <w:pPr>
              <w:jc w:val="center"/>
              <w:rPr>
                <w:rFonts w:asciiTheme="majorBidi" w:eastAsia="Calibri" w:hAnsiTheme="majorBidi" w:cstheme="majorBidi"/>
              </w:rPr>
            </w:pPr>
            <w:r w:rsidRPr="00F547E6">
              <w:rPr>
                <w:rFonts w:asciiTheme="majorBidi" w:eastAsia="Calibri" w:hAnsiTheme="majorBidi" w:cstheme="majorBidi"/>
                <w:b/>
                <w:bCs/>
              </w:rPr>
              <w:t>&lt;0.001*</w:t>
            </w:r>
          </w:p>
        </w:tc>
        <w:tc>
          <w:tcPr>
            <w:tcW w:w="478" w:type="pct"/>
            <w:vMerge/>
            <w:vAlign w:val="center"/>
          </w:tcPr>
          <w:p w14:paraId="6662362D" w14:textId="77777777" w:rsidR="00D639F6" w:rsidRPr="00442A3C" w:rsidRDefault="00D639F6" w:rsidP="0034709C">
            <w:pPr>
              <w:jc w:val="center"/>
              <w:rPr>
                <w:rFonts w:asciiTheme="majorBidi" w:eastAsia="Calibri" w:hAnsiTheme="majorBidi" w:cstheme="majorBidi"/>
              </w:rPr>
            </w:pPr>
          </w:p>
        </w:tc>
        <w:tc>
          <w:tcPr>
            <w:tcW w:w="486" w:type="pct"/>
            <w:vMerge/>
            <w:vAlign w:val="center"/>
          </w:tcPr>
          <w:p w14:paraId="60C542B3" w14:textId="77777777" w:rsidR="00D639F6" w:rsidRPr="00AF13A3" w:rsidRDefault="00D639F6" w:rsidP="0034709C">
            <w:pPr>
              <w:jc w:val="center"/>
              <w:rPr>
                <w:rFonts w:asciiTheme="majorBidi" w:eastAsia="Calibri" w:hAnsiTheme="majorBidi" w:cstheme="majorBidi"/>
              </w:rPr>
            </w:pPr>
          </w:p>
        </w:tc>
      </w:tr>
      <w:tr w:rsidR="00D639F6" w:rsidRPr="00F547E6" w14:paraId="65103D80" w14:textId="77777777" w:rsidTr="00107073">
        <w:trPr>
          <w:trHeight w:val="432"/>
        </w:trPr>
        <w:tc>
          <w:tcPr>
            <w:tcW w:w="718" w:type="pct"/>
            <w:vMerge/>
            <w:shd w:val="pct12" w:color="auto" w:fill="auto"/>
            <w:vAlign w:val="center"/>
          </w:tcPr>
          <w:p w14:paraId="376C9C4E" w14:textId="77777777" w:rsidR="00D639F6" w:rsidRPr="00F547E6" w:rsidRDefault="00D639F6" w:rsidP="0034709C">
            <w:pPr>
              <w:jc w:val="center"/>
              <w:rPr>
                <w:rFonts w:asciiTheme="majorBidi" w:hAnsiTheme="majorBidi" w:cstheme="majorBidi"/>
              </w:rPr>
            </w:pPr>
          </w:p>
        </w:tc>
        <w:tc>
          <w:tcPr>
            <w:tcW w:w="2832" w:type="pct"/>
            <w:gridSpan w:val="5"/>
          </w:tcPr>
          <w:p w14:paraId="5CB51C66" w14:textId="77777777" w:rsidR="00D639F6" w:rsidRPr="001300CC" w:rsidRDefault="00D639F6" w:rsidP="0034709C">
            <w:pPr>
              <w:jc w:val="center"/>
              <w:rPr>
                <w:rFonts w:asciiTheme="majorBidi" w:eastAsia="Calibri" w:hAnsiTheme="majorBidi" w:cstheme="majorBidi"/>
                <w:b/>
                <w:bCs/>
              </w:rPr>
            </w:pPr>
            <w:r w:rsidRPr="001300CC">
              <w:rPr>
                <w:rFonts w:asciiTheme="majorBidi" w:eastAsia="Calibri" w:hAnsiTheme="majorBidi" w:cstheme="majorBidi"/>
                <w:b/>
                <w:bCs/>
              </w:rPr>
              <w:t>P3</w:t>
            </w:r>
          </w:p>
        </w:tc>
        <w:tc>
          <w:tcPr>
            <w:tcW w:w="486" w:type="pct"/>
          </w:tcPr>
          <w:p w14:paraId="2B0F5A82" w14:textId="77777777" w:rsidR="00D639F6" w:rsidRPr="00AF13A3" w:rsidRDefault="00D639F6" w:rsidP="0034709C">
            <w:pPr>
              <w:jc w:val="center"/>
              <w:rPr>
                <w:rFonts w:asciiTheme="majorBidi" w:eastAsia="Calibri" w:hAnsiTheme="majorBidi" w:cstheme="majorBidi"/>
              </w:rPr>
            </w:pPr>
            <w:r w:rsidRPr="00F547E6">
              <w:rPr>
                <w:rFonts w:asciiTheme="majorBidi" w:eastAsia="Calibri" w:hAnsiTheme="majorBidi" w:cstheme="majorBidi"/>
                <w:b/>
                <w:bCs/>
              </w:rPr>
              <w:t>&lt;0.001*</w:t>
            </w:r>
          </w:p>
        </w:tc>
        <w:tc>
          <w:tcPr>
            <w:tcW w:w="478" w:type="pct"/>
            <w:vMerge/>
            <w:vAlign w:val="center"/>
          </w:tcPr>
          <w:p w14:paraId="071004D2" w14:textId="77777777" w:rsidR="00D639F6" w:rsidRPr="00442A3C" w:rsidRDefault="00D639F6" w:rsidP="0034709C">
            <w:pPr>
              <w:jc w:val="center"/>
              <w:rPr>
                <w:rFonts w:asciiTheme="majorBidi" w:eastAsia="Calibri" w:hAnsiTheme="majorBidi" w:cstheme="majorBidi"/>
              </w:rPr>
            </w:pPr>
          </w:p>
        </w:tc>
        <w:tc>
          <w:tcPr>
            <w:tcW w:w="486" w:type="pct"/>
            <w:vMerge/>
            <w:vAlign w:val="center"/>
          </w:tcPr>
          <w:p w14:paraId="0C95ACBB" w14:textId="77777777" w:rsidR="00D639F6" w:rsidRPr="00AF13A3" w:rsidRDefault="00D639F6" w:rsidP="0034709C">
            <w:pPr>
              <w:jc w:val="center"/>
              <w:rPr>
                <w:rFonts w:asciiTheme="majorBidi" w:eastAsia="Calibri" w:hAnsiTheme="majorBidi" w:cstheme="majorBidi"/>
              </w:rPr>
            </w:pPr>
          </w:p>
        </w:tc>
      </w:tr>
      <w:tr w:rsidR="00D639F6" w:rsidRPr="00F547E6" w14:paraId="55A09199" w14:textId="77777777" w:rsidTr="00107073">
        <w:trPr>
          <w:trHeight w:val="432"/>
        </w:trPr>
        <w:tc>
          <w:tcPr>
            <w:tcW w:w="718" w:type="pct"/>
            <w:vMerge w:val="restart"/>
            <w:shd w:val="pct12" w:color="auto" w:fill="auto"/>
            <w:vAlign w:val="center"/>
            <w:hideMark/>
          </w:tcPr>
          <w:p w14:paraId="3B1440DA" w14:textId="77777777" w:rsidR="00D639F6" w:rsidRPr="00AF2DF6" w:rsidRDefault="00D639F6" w:rsidP="0034709C">
            <w:pPr>
              <w:jc w:val="center"/>
              <w:rPr>
                <w:rFonts w:asciiTheme="majorBidi" w:hAnsiTheme="majorBidi" w:cstheme="majorBidi"/>
                <w:b/>
                <w:bCs/>
              </w:rPr>
            </w:pPr>
            <w:r w:rsidRPr="00AF2DF6">
              <w:rPr>
                <w:rFonts w:asciiTheme="majorBidi" w:hAnsiTheme="majorBidi" w:cstheme="majorBidi"/>
                <w:b/>
                <w:bCs/>
              </w:rPr>
              <w:t>Fecal Calprotectin (mcg/g)</w:t>
            </w:r>
          </w:p>
          <w:p w14:paraId="1308AD83" w14:textId="77777777" w:rsidR="00D639F6" w:rsidRPr="00F547E6" w:rsidRDefault="00D639F6" w:rsidP="0034709C">
            <w:pPr>
              <w:jc w:val="center"/>
              <w:rPr>
                <w:rFonts w:asciiTheme="majorBidi" w:hAnsiTheme="majorBidi" w:cstheme="majorBidi"/>
              </w:rPr>
            </w:pPr>
            <w:r w:rsidRPr="00AF2DF6">
              <w:rPr>
                <w:rFonts w:asciiTheme="majorBidi" w:hAnsiTheme="majorBidi" w:cstheme="majorBidi"/>
                <w:b/>
                <w:bCs/>
              </w:rPr>
              <w:t>(After 21 days )</w:t>
            </w:r>
          </w:p>
        </w:tc>
        <w:tc>
          <w:tcPr>
            <w:tcW w:w="718" w:type="pct"/>
          </w:tcPr>
          <w:p w14:paraId="4EF5248D" w14:textId="77777777" w:rsidR="00D639F6" w:rsidRPr="00F547E6" w:rsidRDefault="00D639F6" w:rsidP="0034709C">
            <w:pPr>
              <w:jc w:val="center"/>
              <w:rPr>
                <w:rFonts w:asciiTheme="majorBidi" w:hAnsiTheme="majorBidi" w:cstheme="majorBidi"/>
              </w:rPr>
            </w:pPr>
            <w:r w:rsidRPr="00AF2DF6">
              <w:rPr>
                <w:rFonts w:asciiTheme="majorBidi" w:hAnsiTheme="majorBidi" w:cstheme="majorBidi"/>
                <w:b/>
                <w:bCs/>
                <w:color w:val="000000"/>
              </w:rPr>
              <w:t>No (%)</w:t>
            </w:r>
          </w:p>
        </w:tc>
        <w:tc>
          <w:tcPr>
            <w:tcW w:w="486" w:type="pct"/>
          </w:tcPr>
          <w:p w14:paraId="2D880446" w14:textId="77777777" w:rsidR="00D639F6" w:rsidRPr="00F547E6" w:rsidRDefault="00D639F6" w:rsidP="0034709C">
            <w:pPr>
              <w:jc w:val="center"/>
              <w:rPr>
                <w:rFonts w:asciiTheme="majorBidi" w:hAnsiTheme="majorBidi" w:cstheme="majorBidi"/>
              </w:rPr>
            </w:pPr>
            <w:r>
              <w:rPr>
                <w:rFonts w:asciiTheme="majorBidi" w:hAnsiTheme="majorBidi" w:cstheme="majorBidi"/>
              </w:rPr>
              <w:t>34 (100)</w:t>
            </w:r>
          </w:p>
        </w:tc>
        <w:tc>
          <w:tcPr>
            <w:tcW w:w="493" w:type="pct"/>
            <w:vAlign w:val="center"/>
            <w:hideMark/>
          </w:tcPr>
          <w:p w14:paraId="5618BD1B" w14:textId="77777777" w:rsidR="00D639F6" w:rsidRPr="00F547E6" w:rsidRDefault="00D639F6" w:rsidP="0034709C">
            <w:pPr>
              <w:jc w:val="center"/>
              <w:rPr>
                <w:rFonts w:asciiTheme="majorBidi" w:hAnsiTheme="majorBidi" w:cstheme="majorBidi"/>
              </w:rPr>
            </w:pPr>
            <w:r>
              <w:rPr>
                <w:rFonts w:asciiTheme="majorBidi" w:hAnsiTheme="majorBidi" w:cstheme="majorBidi"/>
              </w:rPr>
              <w:t>14 (41.17)</w:t>
            </w:r>
          </w:p>
        </w:tc>
        <w:tc>
          <w:tcPr>
            <w:tcW w:w="642" w:type="pct"/>
            <w:vAlign w:val="center"/>
            <w:hideMark/>
          </w:tcPr>
          <w:p w14:paraId="0E1BA02F" w14:textId="77777777" w:rsidR="00D639F6" w:rsidRPr="00F547E6" w:rsidRDefault="00D639F6" w:rsidP="0034709C">
            <w:pPr>
              <w:jc w:val="center"/>
              <w:rPr>
                <w:rFonts w:asciiTheme="majorBidi" w:hAnsiTheme="majorBidi" w:cstheme="majorBidi"/>
              </w:rPr>
            </w:pPr>
            <w:r>
              <w:rPr>
                <w:rFonts w:asciiTheme="majorBidi" w:hAnsiTheme="majorBidi" w:cstheme="majorBidi"/>
              </w:rPr>
              <w:t>10 (29.42)</w:t>
            </w:r>
          </w:p>
        </w:tc>
        <w:tc>
          <w:tcPr>
            <w:tcW w:w="493" w:type="pct"/>
            <w:vAlign w:val="center"/>
            <w:hideMark/>
          </w:tcPr>
          <w:p w14:paraId="54DCE9B7" w14:textId="77777777" w:rsidR="00D639F6" w:rsidRPr="00F547E6" w:rsidRDefault="00D639F6" w:rsidP="0034709C">
            <w:pPr>
              <w:jc w:val="center"/>
              <w:rPr>
                <w:rFonts w:asciiTheme="majorBidi" w:hAnsiTheme="majorBidi" w:cstheme="majorBidi"/>
              </w:rPr>
            </w:pPr>
            <w:r>
              <w:rPr>
                <w:rFonts w:asciiTheme="majorBidi" w:hAnsiTheme="majorBidi" w:cstheme="majorBidi"/>
              </w:rPr>
              <w:t>7 (20.58)</w:t>
            </w:r>
          </w:p>
        </w:tc>
        <w:tc>
          <w:tcPr>
            <w:tcW w:w="486" w:type="pct"/>
            <w:vAlign w:val="center"/>
            <w:hideMark/>
          </w:tcPr>
          <w:p w14:paraId="39FEE5A0" w14:textId="77777777" w:rsidR="00D639F6" w:rsidRPr="00F547E6" w:rsidRDefault="00D639F6" w:rsidP="0034709C">
            <w:pPr>
              <w:jc w:val="center"/>
              <w:rPr>
                <w:rFonts w:asciiTheme="majorBidi" w:hAnsiTheme="majorBidi" w:cstheme="majorBidi"/>
              </w:rPr>
            </w:pPr>
            <w:r>
              <w:rPr>
                <w:rFonts w:asciiTheme="majorBidi" w:hAnsiTheme="majorBidi" w:cstheme="majorBidi"/>
              </w:rPr>
              <w:t>3 (8.82)</w:t>
            </w:r>
          </w:p>
        </w:tc>
        <w:tc>
          <w:tcPr>
            <w:tcW w:w="478" w:type="pct"/>
            <w:vMerge w:val="restart"/>
            <w:vAlign w:val="center"/>
          </w:tcPr>
          <w:p w14:paraId="02BC044B" w14:textId="77777777" w:rsidR="00D639F6" w:rsidRPr="00442A3C" w:rsidRDefault="00D639F6" w:rsidP="0034709C">
            <w:pPr>
              <w:jc w:val="center"/>
              <w:rPr>
                <w:rFonts w:asciiTheme="majorBidi" w:eastAsia="Calibri" w:hAnsiTheme="majorBidi" w:cstheme="majorBidi"/>
              </w:rPr>
            </w:pPr>
            <w:r w:rsidRPr="00442A3C">
              <w:rPr>
                <w:rFonts w:asciiTheme="majorBidi" w:eastAsia="Calibri" w:hAnsiTheme="majorBidi" w:cstheme="majorBidi"/>
              </w:rPr>
              <w:t>F</w:t>
            </w:r>
          </w:p>
          <w:p w14:paraId="01FD6A92" w14:textId="77777777" w:rsidR="00D639F6" w:rsidRPr="00442A3C" w:rsidRDefault="00D639F6" w:rsidP="0034709C">
            <w:pPr>
              <w:jc w:val="center"/>
              <w:rPr>
                <w:rFonts w:asciiTheme="majorBidi" w:eastAsia="Calibri" w:hAnsiTheme="majorBidi" w:cstheme="majorBidi"/>
              </w:rPr>
            </w:pPr>
            <w:r w:rsidRPr="00442A3C">
              <w:rPr>
                <w:rFonts w:asciiTheme="majorBidi" w:eastAsia="Calibri" w:hAnsiTheme="majorBidi" w:cstheme="majorBidi"/>
              </w:rPr>
              <w:t>3638.9</w:t>
            </w:r>
          </w:p>
        </w:tc>
        <w:tc>
          <w:tcPr>
            <w:tcW w:w="486" w:type="pct"/>
            <w:vMerge w:val="restart"/>
            <w:vAlign w:val="center"/>
          </w:tcPr>
          <w:p w14:paraId="71EE14CB" w14:textId="77777777" w:rsidR="00D639F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r>
      <w:tr w:rsidR="00D639F6" w:rsidRPr="00F547E6" w14:paraId="72267C23" w14:textId="77777777" w:rsidTr="00107073">
        <w:trPr>
          <w:trHeight w:val="432"/>
        </w:trPr>
        <w:tc>
          <w:tcPr>
            <w:tcW w:w="718" w:type="pct"/>
            <w:vMerge/>
            <w:shd w:val="pct12" w:color="auto" w:fill="auto"/>
            <w:vAlign w:val="center"/>
            <w:hideMark/>
          </w:tcPr>
          <w:p w14:paraId="0BFE7579" w14:textId="77777777" w:rsidR="00D639F6" w:rsidRPr="00F547E6" w:rsidRDefault="00D639F6" w:rsidP="0034709C">
            <w:pPr>
              <w:jc w:val="center"/>
              <w:rPr>
                <w:rFonts w:asciiTheme="majorBidi" w:hAnsiTheme="majorBidi" w:cstheme="majorBidi"/>
                <w:b/>
                <w:bCs/>
              </w:rPr>
            </w:pPr>
          </w:p>
        </w:tc>
        <w:tc>
          <w:tcPr>
            <w:tcW w:w="718" w:type="pct"/>
          </w:tcPr>
          <w:p w14:paraId="3BED6319" w14:textId="77777777" w:rsidR="00D639F6" w:rsidRPr="00F547E6" w:rsidRDefault="00D639F6" w:rsidP="0034709C">
            <w:pPr>
              <w:jc w:val="center"/>
              <w:rPr>
                <w:rFonts w:asciiTheme="majorBidi" w:hAnsiTheme="majorBidi" w:cstheme="majorBidi"/>
              </w:rPr>
            </w:pPr>
            <w:r w:rsidRPr="00AF2DF6">
              <w:rPr>
                <w:rFonts w:asciiTheme="majorBidi" w:hAnsiTheme="majorBidi" w:cstheme="majorBidi"/>
                <w:b/>
                <w:bCs/>
              </w:rPr>
              <w:t>Fecal Calprotectin</w:t>
            </w:r>
          </w:p>
        </w:tc>
        <w:tc>
          <w:tcPr>
            <w:tcW w:w="486" w:type="pct"/>
          </w:tcPr>
          <w:p w14:paraId="1CFF7C24" w14:textId="77777777" w:rsidR="00D639F6" w:rsidRPr="00F547E6" w:rsidRDefault="00D639F6" w:rsidP="0034709C">
            <w:pPr>
              <w:jc w:val="center"/>
              <w:rPr>
                <w:rFonts w:asciiTheme="majorBidi" w:hAnsiTheme="majorBidi" w:cstheme="majorBidi"/>
              </w:rPr>
            </w:pPr>
            <w:r w:rsidRPr="00F547E6">
              <w:rPr>
                <w:rFonts w:asciiTheme="majorBidi" w:hAnsiTheme="majorBidi" w:cstheme="majorBidi"/>
                <w:sz w:val="20"/>
                <w:szCs w:val="20"/>
              </w:rPr>
              <w:t>60.16 ± 33.04</w:t>
            </w:r>
          </w:p>
        </w:tc>
        <w:tc>
          <w:tcPr>
            <w:tcW w:w="493" w:type="pct"/>
            <w:vAlign w:val="center"/>
            <w:hideMark/>
          </w:tcPr>
          <w:p w14:paraId="104A448D"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34.25 ± 1.31</w:t>
            </w:r>
          </w:p>
        </w:tc>
        <w:tc>
          <w:tcPr>
            <w:tcW w:w="642" w:type="pct"/>
            <w:hideMark/>
          </w:tcPr>
          <w:p w14:paraId="0C34960A"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56.1 ± 1.29</w:t>
            </w:r>
          </w:p>
        </w:tc>
        <w:tc>
          <w:tcPr>
            <w:tcW w:w="493" w:type="pct"/>
            <w:vAlign w:val="center"/>
            <w:hideMark/>
          </w:tcPr>
          <w:p w14:paraId="586CB5AE"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79.71 ± 1.</w:t>
            </w:r>
            <w:r>
              <w:rPr>
                <w:rFonts w:asciiTheme="majorBidi" w:eastAsia="Calibri" w:hAnsiTheme="majorBidi" w:cstheme="majorBidi"/>
              </w:rPr>
              <w:t>8</w:t>
            </w:r>
          </w:p>
        </w:tc>
        <w:tc>
          <w:tcPr>
            <w:tcW w:w="486" w:type="pct"/>
            <w:hideMark/>
          </w:tcPr>
          <w:p w14:paraId="5D82A8F4"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rPr>
              <w:t>149 ± 4.58</w:t>
            </w:r>
          </w:p>
        </w:tc>
        <w:tc>
          <w:tcPr>
            <w:tcW w:w="478" w:type="pct"/>
            <w:vMerge/>
          </w:tcPr>
          <w:p w14:paraId="7898832F" w14:textId="77777777" w:rsidR="00D639F6" w:rsidRPr="00F547E6" w:rsidRDefault="00D639F6" w:rsidP="0034709C">
            <w:pPr>
              <w:jc w:val="center"/>
              <w:rPr>
                <w:rFonts w:asciiTheme="majorBidi" w:eastAsia="Calibri" w:hAnsiTheme="majorBidi" w:cstheme="majorBidi"/>
              </w:rPr>
            </w:pPr>
          </w:p>
        </w:tc>
        <w:tc>
          <w:tcPr>
            <w:tcW w:w="486" w:type="pct"/>
            <w:vMerge/>
          </w:tcPr>
          <w:p w14:paraId="0DEDAD85" w14:textId="77777777" w:rsidR="00D639F6" w:rsidRPr="00F547E6" w:rsidRDefault="00D639F6" w:rsidP="0034709C">
            <w:pPr>
              <w:jc w:val="center"/>
              <w:rPr>
                <w:rFonts w:asciiTheme="majorBidi" w:eastAsia="Calibri" w:hAnsiTheme="majorBidi" w:cstheme="majorBidi"/>
              </w:rPr>
            </w:pPr>
          </w:p>
        </w:tc>
      </w:tr>
      <w:tr w:rsidR="00D639F6" w:rsidRPr="00F547E6" w14:paraId="2BF46E74" w14:textId="77777777" w:rsidTr="00107073">
        <w:trPr>
          <w:trHeight w:val="432"/>
        </w:trPr>
        <w:tc>
          <w:tcPr>
            <w:tcW w:w="718" w:type="pct"/>
            <w:vMerge/>
            <w:shd w:val="pct12" w:color="auto" w:fill="auto"/>
            <w:vAlign w:val="center"/>
          </w:tcPr>
          <w:p w14:paraId="49754D17" w14:textId="77777777" w:rsidR="00D639F6" w:rsidRPr="00F547E6" w:rsidRDefault="00D639F6" w:rsidP="0034709C">
            <w:pPr>
              <w:jc w:val="center"/>
              <w:rPr>
                <w:rFonts w:asciiTheme="majorBidi" w:hAnsiTheme="majorBidi" w:cstheme="majorBidi"/>
                <w:b/>
                <w:bCs/>
              </w:rPr>
            </w:pPr>
          </w:p>
        </w:tc>
        <w:tc>
          <w:tcPr>
            <w:tcW w:w="1697" w:type="pct"/>
            <w:gridSpan w:val="3"/>
          </w:tcPr>
          <w:p w14:paraId="341B474B" w14:textId="77777777" w:rsidR="00D639F6" w:rsidRPr="001300CC" w:rsidRDefault="00D639F6" w:rsidP="0034709C">
            <w:pPr>
              <w:jc w:val="center"/>
              <w:rPr>
                <w:rFonts w:asciiTheme="majorBidi" w:hAnsiTheme="majorBidi" w:cstheme="majorBidi"/>
                <w:b/>
                <w:bCs/>
              </w:rPr>
            </w:pPr>
            <w:r w:rsidRPr="001300CC">
              <w:rPr>
                <w:rFonts w:asciiTheme="majorBidi" w:hAnsiTheme="majorBidi" w:cstheme="majorBidi"/>
                <w:b/>
                <w:bCs/>
              </w:rPr>
              <w:t>P1</w:t>
            </w:r>
          </w:p>
        </w:tc>
        <w:tc>
          <w:tcPr>
            <w:tcW w:w="642" w:type="pct"/>
          </w:tcPr>
          <w:p w14:paraId="158ADD38" w14:textId="77777777" w:rsidR="00D639F6" w:rsidRPr="001300CC" w:rsidRDefault="00D639F6" w:rsidP="0034709C">
            <w:pPr>
              <w:jc w:val="center"/>
              <w:rPr>
                <w:rFonts w:asciiTheme="majorBidi" w:hAnsiTheme="majorBidi" w:cstheme="majorBidi"/>
                <w:b/>
                <w:bCs/>
              </w:rPr>
            </w:pPr>
            <w:r w:rsidRPr="00F547E6">
              <w:rPr>
                <w:rFonts w:asciiTheme="majorBidi" w:eastAsia="Calibri" w:hAnsiTheme="majorBidi" w:cstheme="majorBidi"/>
                <w:b/>
                <w:bCs/>
              </w:rPr>
              <w:t>&lt;0.001*</w:t>
            </w:r>
          </w:p>
        </w:tc>
        <w:tc>
          <w:tcPr>
            <w:tcW w:w="493" w:type="pct"/>
          </w:tcPr>
          <w:p w14:paraId="0B556013" w14:textId="77777777" w:rsidR="00D639F6" w:rsidRPr="001300CC" w:rsidRDefault="00D639F6" w:rsidP="0034709C">
            <w:pPr>
              <w:jc w:val="center"/>
              <w:rPr>
                <w:rFonts w:asciiTheme="majorBidi" w:hAnsiTheme="majorBidi" w:cstheme="majorBidi"/>
                <w:b/>
                <w:bCs/>
              </w:rPr>
            </w:pPr>
            <w:r w:rsidRPr="00F547E6">
              <w:rPr>
                <w:rFonts w:asciiTheme="majorBidi" w:eastAsia="Calibri" w:hAnsiTheme="majorBidi" w:cstheme="majorBidi"/>
                <w:b/>
                <w:bCs/>
              </w:rPr>
              <w:t>&lt;0.001*</w:t>
            </w:r>
          </w:p>
        </w:tc>
        <w:tc>
          <w:tcPr>
            <w:tcW w:w="486" w:type="pct"/>
          </w:tcPr>
          <w:p w14:paraId="65536B41"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78" w:type="pct"/>
            <w:vMerge/>
          </w:tcPr>
          <w:p w14:paraId="4C4678D9" w14:textId="77777777" w:rsidR="00D639F6" w:rsidRPr="00F547E6" w:rsidRDefault="00D639F6" w:rsidP="0034709C">
            <w:pPr>
              <w:jc w:val="center"/>
              <w:rPr>
                <w:rFonts w:asciiTheme="majorBidi" w:hAnsiTheme="majorBidi" w:cstheme="majorBidi"/>
              </w:rPr>
            </w:pPr>
          </w:p>
        </w:tc>
        <w:tc>
          <w:tcPr>
            <w:tcW w:w="486" w:type="pct"/>
            <w:vMerge/>
          </w:tcPr>
          <w:p w14:paraId="46970DAD" w14:textId="77777777" w:rsidR="00D639F6" w:rsidRPr="00F547E6" w:rsidRDefault="00D639F6" w:rsidP="0034709C">
            <w:pPr>
              <w:jc w:val="center"/>
              <w:rPr>
                <w:rFonts w:asciiTheme="majorBidi" w:hAnsiTheme="majorBidi" w:cstheme="majorBidi"/>
              </w:rPr>
            </w:pPr>
          </w:p>
        </w:tc>
      </w:tr>
      <w:tr w:rsidR="00D639F6" w:rsidRPr="00F547E6" w14:paraId="06E93AF0" w14:textId="77777777" w:rsidTr="00107073">
        <w:trPr>
          <w:trHeight w:val="432"/>
        </w:trPr>
        <w:tc>
          <w:tcPr>
            <w:tcW w:w="718" w:type="pct"/>
            <w:vMerge/>
            <w:shd w:val="pct12" w:color="auto" w:fill="auto"/>
            <w:vAlign w:val="center"/>
          </w:tcPr>
          <w:p w14:paraId="5B3E325A" w14:textId="77777777" w:rsidR="00D639F6" w:rsidRPr="00F547E6" w:rsidRDefault="00D639F6" w:rsidP="0034709C">
            <w:pPr>
              <w:jc w:val="center"/>
              <w:rPr>
                <w:rFonts w:asciiTheme="majorBidi" w:hAnsiTheme="majorBidi" w:cstheme="majorBidi"/>
                <w:b/>
                <w:bCs/>
              </w:rPr>
            </w:pPr>
          </w:p>
        </w:tc>
        <w:tc>
          <w:tcPr>
            <w:tcW w:w="2339" w:type="pct"/>
            <w:gridSpan w:val="4"/>
          </w:tcPr>
          <w:p w14:paraId="7C1E9B35" w14:textId="77777777" w:rsidR="00D639F6" w:rsidRPr="001300CC" w:rsidRDefault="00D639F6" w:rsidP="0034709C">
            <w:pPr>
              <w:jc w:val="center"/>
              <w:rPr>
                <w:rFonts w:asciiTheme="majorBidi" w:hAnsiTheme="majorBidi" w:cstheme="majorBidi"/>
                <w:b/>
                <w:bCs/>
              </w:rPr>
            </w:pPr>
            <w:r w:rsidRPr="001300CC">
              <w:rPr>
                <w:rFonts w:asciiTheme="majorBidi" w:hAnsiTheme="majorBidi" w:cstheme="majorBidi"/>
                <w:b/>
                <w:bCs/>
              </w:rPr>
              <w:t>P2</w:t>
            </w:r>
          </w:p>
        </w:tc>
        <w:tc>
          <w:tcPr>
            <w:tcW w:w="493" w:type="pct"/>
          </w:tcPr>
          <w:p w14:paraId="3D352B67" w14:textId="77777777" w:rsidR="00D639F6" w:rsidRPr="001300CC" w:rsidRDefault="00D639F6" w:rsidP="0034709C">
            <w:pPr>
              <w:jc w:val="center"/>
              <w:rPr>
                <w:rFonts w:asciiTheme="majorBidi" w:hAnsiTheme="majorBidi" w:cstheme="majorBidi"/>
                <w:b/>
                <w:bCs/>
              </w:rPr>
            </w:pPr>
            <w:r w:rsidRPr="00F547E6">
              <w:rPr>
                <w:rFonts w:asciiTheme="majorBidi" w:eastAsia="Calibri" w:hAnsiTheme="majorBidi" w:cstheme="majorBidi"/>
                <w:b/>
                <w:bCs/>
              </w:rPr>
              <w:t>&lt;0.001*</w:t>
            </w:r>
          </w:p>
        </w:tc>
        <w:tc>
          <w:tcPr>
            <w:tcW w:w="486" w:type="pct"/>
          </w:tcPr>
          <w:p w14:paraId="3BCEDEAB"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78" w:type="pct"/>
            <w:vMerge/>
          </w:tcPr>
          <w:p w14:paraId="0A410E35" w14:textId="77777777" w:rsidR="00D639F6" w:rsidRPr="00F547E6" w:rsidRDefault="00D639F6" w:rsidP="0034709C">
            <w:pPr>
              <w:jc w:val="center"/>
              <w:rPr>
                <w:rFonts w:asciiTheme="majorBidi" w:hAnsiTheme="majorBidi" w:cstheme="majorBidi"/>
              </w:rPr>
            </w:pPr>
          </w:p>
        </w:tc>
        <w:tc>
          <w:tcPr>
            <w:tcW w:w="486" w:type="pct"/>
            <w:vMerge/>
          </w:tcPr>
          <w:p w14:paraId="7CCAB0B0" w14:textId="77777777" w:rsidR="00D639F6" w:rsidRPr="00F547E6" w:rsidRDefault="00D639F6" w:rsidP="0034709C">
            <w:pPr>
              <w:jc w:val="center"/>
              <w:rPr>
                <w:rFonts w:asciiTheme="majorBidi" w:hAnsiTheme="majorBidi" w:cstheme="majorBidi"/>
              </w:rPr>
            </w:pPr>
          </w:p>
        </w:tc>
      </w:tr>
      <w:tr w:rsidR="00D639F6" w:rsidRPr="00F547E6" w14:paraId="2C7CB00D" w14:textId="77777777" w:rsidTr="00107073">
        <w:trPr>
          <w:trHeight w:val="432"/>
        </w:trPr>
        <w:tc>
          <w:tcPr>
            <w:tcW w:w="718" w:type="pct"/>
            <w:vMerge/>
            <w:shd w:val="pct12" w:color="auto" w:fill="auto"/>
            <w:vAlign w:val="center"/>
          </w:tcPr>
          <w:p w14:paraId="3C86CB5A" w14:textId="77777777" w:rsidR="00D639F6" w:rsidRPr="00F547E6" w:rsidRDefault="00D639F6" w:rsidP="0034709C">
            <w:pPr>
              <w:jc w:val="center"/>
              <w:rPr>
                <w:rFonts w:asciiTheme="majorBidi" w:hAnsiTheme="majorBidi" w:cstheme="majorBidi"/>
                <w:b/>
                <w:bCs/>
              </w:rPr>
            </w:pPr>
          </w:p>
        </w:tc>
        <w:tc>
          <w:tcPr>
            <w:tcW w:w="2832" w:type="pct"/>
            <w:gridSpan w:val="5"/>
          </w:tcPr>
          <w:p w14:paraId="1A33FE16" w14:textId="77777777" w:rsidR="00D639F6" w:rsidRPr="001300CC" w:rsidRDefault="00D639F6" w:rsidP="0034709C">
            <w:pPr>
              <w:jc w:val="center"/>
              <w:rPr>
                <w:rFonts w:asciiTheme="majorBidi" w:hAnsiTheme="majorBidi" w:cstheme="majorBidi"/>
                <w:b/>
                <w:bCs/>
              </w:rPr>
            </w:pPr>
            <w:r w:rsidRPr="001300CC">
              <w:rPr>
                <w:rFonts w:asciiTheme="majorBidi" w:hAnsiTheme="majorBidi" w:cstheme="majorBidi"/>
                <w:b/>
                <w:bCs/>
              </w:rPr>
              <w:t>P3</w:t>
            </w:r>
          </w:p>
        </w:tc>
        <w:tc>
          <w:tcPr>
            <w:tcW w:w="486" w:type="pct"/>
          </w:tcPr>
          <w:p w14:paraId="57A742EB"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78" w:type="pct"/>
            <w:vMerge/>
          </w:tcPr>
          <w:p w14:paraId="46BF22AA" w14:textId="77777777" w:rsidR="00D639F6" w:rsidRPr="00F547E6" w:rsidRDefault="00D639F6" w:rsidP="0034709C">
            <w:pPr>
              <w:jc w:val="center"/>
              <w:rPr>
                <w:rFonts w:asciiTheme="majorBidi" w:hAnsiTheme="majorBidi" w:cstheme="majorBidi"/>
              </w:rPr>
            </w:pPr>
          </w:p>
        </w:tc>
        <w:tc>
          <w:tcPr>
            <w:tcW w:w="486" w:type="pct"/>
            <w:vMerge/>
          </w:tcPr>
          <w:p w14:paraId="2DA19FD0" w14:textId="77777777" w:rsidR="00D639F6" w:rsidRPr="00F547E6" w:rsidRDefault="00D639F6" w:rsidP="0034709C">
            <w:pPr>
              <w:jc w:val="center"/>
              <w:rPr>
                <w:rFonts w:asciiTheme="majorBidi" w:hAnsiTheme="majorBidi" w:cstheme="majorBidi"/>
              </w:rPr>
            </w:pPr>
          </w:p>
        </w:tc>
      </w:tr>
      <w:tr w:rsidR="00D639F6" w:rsidRPr="00F547E6" w14:paraId="44ABD78C" w14:textId="77777777" w:rsidTr="00107073">
        <w:trPr>
          <w:trHeight w:val="432"/>
        </w:trPr>
        <w:tc>
          <w:tcPr>
            <w:tcW w:w="1436" w:type="pct"/>
            <w:gridSpan w:val="2"/>
            <w:shd w:val="pct12" w:color="auto" w:fill="auto"/>
            <w:vAlign w:val="center"/>
          </w:tcPr>
          <w:p w14:paraId="467AB31F" w14:textId="77777777" w:rsidR="00D639F6" w:rsidRPr="00F547E6" w:rsidRDefault="00D639F6" w:rsidP="0034709C">
            <w:pPr>
              <w:jc w:val="center"/>
              <w:rPr>
                <w:rFonts w:asciiTheme="majorBidi" w:hAnsiTheme="majorBidi" w:cstheme="majorBidi"/>
              </w:rPr>
            </w:pPr>
            <w:r>
              <w:rPr>
                <w:rFonts w:asciiTheme="majorBidi" w:hAnsiTheme="majorBidi" w:cstheme="majorBidi"/>
                <w:b/>
                <w:bCs/>
              </w:rPr>
              <w:t>Test</w:t>
            </w:r>
          </w:p>
        </w:tc>
        <w:tc>
          <w:tcPr>
            <w:tcW w:w="486" w:type="pct"/>
          </w:tcPr>
          <w:p w14:paraId="6C368247" w14:textId="77777777" w:rsidR="00D639F6" w:rsidRPr="00F547E6"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t</w:t>
            </w:r>
          </w:p>
          <w:p w14:paraId="0230CBB8"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7.11</w:t>
            </w:r>
          </w:p>
        </w:tc>
        <w:tc>
          <w:tcPr>
            <w:tcW w:w="493" w:type="pct"/>
            <w:vAlign w:val="center"/>
          </w:tcPr>
          <w:p w14:paraId="2503F0F1" w14:textId="77777777" w:rsidR="00D639F6" w:rsidRPr="00F547E6"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t</w:t>
            </w:r>
          </w:p>
          <w:p w14:paraId="233F0FA4"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54.69</w:t>
            </w:r>
          </w:p>
        </w:tc>
        <w:tc>
          <w:tcPr>
            <w:tcW w:w="642" w:type="pct"/>
            <w:vAlign w:val="center"/>
          </w:tcPr>
          <w:p w14:paraId="4547D900" w14:textId="77777777" w:rsidR="00D639F6" w:rsidRPr="00F547E6"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t</w:t>
            </w:r>
          </w:p>
          <w:p w14:paraId="705CA758"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94.19</w:t>
            </w:r>
          </w:p>
        </w:tc>
        <w:tc>
          <w:tcPr>
            <w:tcW w:w="493" w:type="pct"/>
            <w:vAlign w:val="center"/>
          </w:tcPr>
          <w:p w14:paraId="2D8CCCB6" w14:textId="77777777" w:rsidR="00D639F6" w:rsidRPr="00F547E6"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t</w:t>
            </w:r>
          </w:p>
          <w:p w14:paraId="0D9631C5"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73.27</w:t>
            </w:r>
          </w:p>
        </w:tc>
        <w:tc>
          <w:tcPr>
            <w:tcW w:w="486" w:type="pct"/>
            <w:vAlign w:val="center"/>
          </w:tcPr>
          <w:p w14:paraId="56000943" w14:textId="77777777" w:rsidR="00D639F6" w:rsidRPr="00F547E6" w:rsidRDefault="00D639F6" w:rsidP="0034709C">
            <w:pPr>
              <w:jc w:val="center"/>
              <w:rPr>
                <w:rFonts w:asciiTheme="majorBidi" w:eastAsia="Calibri" w:hAnsiTheme="majorBidi" w:cstheme="majorBidi"/>
                <w:b/>
                <w:bCs/>
              </w:rPr>
            </w:pPr>
            <w:r w:rsidRPr="00F547E6">
              <w:rPr>
                <w:rFonts w:asciiTheme="majorBidi" w:eastAsia="Calibri" w:hAnsiTheme="majorBidi" w:cstheme="majorBidi"/>
                <w:b/>
                <w:bCs/>
              </w:rPr>
              <w:t>t</w:t>
            </w:r>
          </w:p>
          <w:p w14:paraId="5A70401B"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39.5</w:t>
            </w:r>
          </w:p>
        </w:tc>
        <w:tc>
          <w:tcPr>
            <w:tcW w:w="478" w:type="pct"/>
          </w:tcPr>
          <w:p w14:paraId="1F5833D0" w14:textId="77777777" w:rsidR="00D639F6" w:rsidRPr="00F547E6" w:rsidRDefault="00D639F6" w:rsidP="0034709C">
            <w:pPr>
              <w:jc w:val="center"/>
              <w:rPr>
                <w:rFonts w:asciiTheme="majorBidi" w:hAnsiTheme="majorBidi" w:cstheme="majorBidi"/>
              </w:rPr>
            </w:pPr>
          </w:p>
        </w:tc>
        <w:tc>
          <w:tcPr>
            <w:tcW w:w="486" w:type="pct"/>
          </w:tcPr>
          <w:p w14:paraId="15C86A89" w14:textId="77777777" w:rsidR="00D639F6" w:rsidRPr="00F547E6" w:rsidRDefault="00D639F6" w:rsidP="0034709C">
            <w:pPr>
              <w:jc w:val="center"/>
              <w:rPr>
                <w:rFonts w:asciiTheme="majorBidi" w:hAnsiTheme="majorBidi" w:cstheme="majorBidi"/>
              </w:rPr>
            </w:pPr>
          </w:p>
        </w:tc>
      </w:tr>
      <w:tr w:rsidR="00D639F6" w:rsidRPr="00F547E6" w14:paraId="70A97F4E" w14:textId="77777777" w:rsidTr="00107073">
        <w:trPr>
          <w:trHeight w:val="432"/>
        </w:trPr>
        <w:tc>
          <w:tcPr>
            <w:tcW w:w="1436" w:type="pct"/>
            <w:gridSpan w:val="2"/>
            <w:tcBorders>
              <w:bottom w:val="single" w:sz="4" w:space="0" w:color="000000"/>
            </w:tcBorders>
            <w:shd w:val="pct12" w:color="auto" w:fill="auto"/>
            <w:vAlign w:val="center"/>
          </w:tcPr>
          <w:p w14:paraId="0F78DE2B" w14:textId="77777777" w:rsidR="00D639F6" w:rsidRPr="00F547E6" w:rsidRDefault="00D639F6" w:rsidP="0034709C">
            <w:pPr>
              <w:jc w:val="center"/>
              <w:rPr>
                <w:rFonts w:asciiTheme="majorBidi" w:hAnsiTheme="majorBidi" w:cstheme="majorBidi"/>
              </w:rPr>
            </w:pPr>
            <w:r>
              <w:rPr>
                <w:rFonts w:asciiTheme="majorBidi" w:hAnsiTheme="majorBidi" w:cstheme="majorBidi"/>
                <w:b/>
                <w:bCs/>
              </w:rPr>
              <w:t>P</w:t>
            </w:r>
          </w:p>
        </w:tc>
        <w:tc>
          <w:tcPr>
            <w:tcW w:w="486" w:type="pct"/>
            <w:tcBorders>
              <w:bottom w:val="single" w:sz="4" w:space="0" w:color="000000"/>
            </w:tcBorders>
          </w:tcPr>
          <w:p w14:paraId="2AEFD5F7"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93" w:type="pct"/>
            <w:tcBorders>
              <w:bottom w:val="single" w:sz="4" w:space="0" w:color="000000"/>
            </w:tcBorders>
            <w:vAlign w:val="center"/>
          </w:tcPr>
          <w:p w14:paraId="4DF01D00"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642" w:type="pct"/>
            <w:tcBorders>
              <w:bottom w:val="single" w:sz="4" w:space="0" w:color="000000"/>
            </w:tcBorders>
            <w:vAlign w:val="center"/>
          </w:tcPr>
          <w:p w14:paraId="0F9572A7"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93" w:type="pct"/>
            <w:tcBorders>
              <w:bottom w:val="single" w:sz="4" w:space="0" w:color="000000"/>
            </w:tcBorders>
            <w:vAlign w:val="center"/>
          </w:tcPr>
          <w:p w14:paraId="735C287D"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86" w:type="pct"/>
            <w:tcBorders>
              <w:bottom w:val="single" w:sz="4" w:space="0" w:color="000000"/>
            </w:tcBorders>
            <w:vAlign w:val="center"/>
          </w:tcPr>
          <w:p w14:paraId="318A299D" w14:textId="77777777" w:rsidR="00D639F6" w:rsidRPr="00F547E6" w:rsidRDefault="00D639F6" w:rsidP="0034709C">
            <w:pPr>
              <w:jc w:val="center"/>
              <w:rPr>
                <w:rFonts w:asciiTheme="majorBidi" w:hAnsiTheme="majorBidi" w:cstheme="majorBidi"/>
              </w:rPr>
            </w:pPr>
            <w:r w:rsidRPr="00F547E6">
              <w:rPr>
                <w:rFonts w:asciiTheme="majorBidi" w:eastAsia="Calibri" w:hAnsiTheme="majorBidi" w:cstheme="majorBidi"/>
                <w:b/>
                <w:bCs/>
              </w:rPr>
              <w:t>&lt;0.001*</w:t>
            </w:r>
          </w:p>
        </w:tc>
        <w:tc>
          <w:tcPr>
            <w:tcW w:w="478" w:type="pct"/>
            <w:tcBorders>
              <w:bottom w:val="single" w:sz="4" w:space="0" w:color="000000"/>
            </w:tcBorders>
          </w:tcPr>
          <w:p w14:paraId="1C6B3C96" w14:textId="77777777" w:rsidR="00D639F6" w:rsidRPr="00F547E6" w:rsidRDefault="00D639F6" w:rsidP="0034709C">
            <w:pPr>
              <w:jc w:val="center"/>
              <w:rPr>
                <w:rFonts w:asciiTheme="majorBidi" w:hAnsiTheme="majorBidi" w:cstheme="majorBidi"/>
              </w:rPr>
            </w:pPr>
          </w:p>
        </w:tc>
        <w:tc>
          <w:tcPr>
            <w:tcW w:w="486" w:type="pct"/>
            <w:tcBorders>
              <w:bottom w:val="single" w:sz="4" w:space="0" w:color="000000"/>
            </w:tcBorders>
          </w:tcPr>
          <w:p w14:paraId="59000415" w14:textId="77777777" w:rsidR="00D639F6" w:rsidRPr="00F547E6" w:rsidRDefault="00D639F6" w:rsidP="00107073">
            <w:pPr>
              <w:keepNext/>
              <w:jc w:val="center"/>
              <w:rPr>
                <w:rFonts w:asciiTheme="majorBidi" w:hAnsiTheme="majorBidi" w:cstheme="majorBidi"/>
              </w:rPr>
            </w:pPr>
          </w:p>
        </w:tc>
      </w:tr>
    </w:tbl>
    <w:p w14:paraId="05DD76E6" w14:textId="6F3130CC" w:rsidR="00107073" w:rsidRPr="00107073" w:rsidRDefault="00107073" w:rsidP="00D35ED5">
      <w:pPr>
        <w:spacing w:after="0" w:line="240" w:lineRule="auto"/>
        <w:rPr>
          <w:b/>
          <w:bCs/>
          <w:color w:val="4472C4" w:themeColor="accent1"/>
          <w:sz w:val="18"/>
          <w:szCs w:val="18"/>
        </w:rPr>
      </w:pPr>
      <w:r w:rsidRPr="00107073">
        <w:rPr>
          <w:b/>
          <w:bCs/>
          <w:i/>
          <w:iCs/>
          <w:color w:val="4472C4" w:themeColor="accent1"/>
          <w:sz w:val="18"/>
          <w:szCs w:val="18"/>
        </w:rPr>
        <w:t>Data are expressed as mean ± SD or number (%)</w:t>
      </w:r>
      <w:r w:rsidR="00D35ED5">
        <w:rPr>
          <w:b/>
          <w:bCs/>
          <w:i/>
          <w:iCs/>
          <w:color w:val="4472C4" w:themeColor="accent1"/>
          <w:sz w:val="18"/>
          <w:szCs w:val="18"/>
        </w:rPr>
        <w:t xml:space="preserve">. </w:t>
      </w:r>
      <w:r w:rsidRPr="00107073">
        <w:rPr>
          <w:b/>
          <w:bCs/>
          <w:i/>
          <w:iCs/>
          <w:color w:val="4472C4" w:themeColor="accent1"/>
          <w:sz w:val="18"/>
          <w:szCs w:val="18"/>
        </w:rPr>
        <w:t xml:space="preserve"> F: One-way ANOVA, X</w:t>
      </w:r>
      <w:r w:rsidRPr="00107073">
        <w:rPr>
          <w:b/>
          <w:bCs/>
          <w:i/>
          <w:iCs/>
          <w:color w:val="4472C4" w:themeColor="accent1"/>
          <w:sz w:val="18"/>
          <w:szCs w:val="18"/>
          <w:vertAlign w:val="superscript"/>
        </w:rPr>
        <w:t>2</w:t>
      </w:r>
      <w:r w:rsidRPr="00107073">
        <w:rPr>
          <w:b/>
          <w:bCs/>
          <w:i/>
          <w:iCs/>
          <w:color w:val="4472C4" w:themeColor="accent1"/>
          <w:sz w:val="18"/>
          <w:szCs w:val="18"/>
        </w:rPr>
        <w:t>:</w:t>
      </w:r>
      <w:r w:rsidRPr="00107073">
        <w:rPr>
          <w:b/>
          <w:bCs/>
          <w:color w:val="4472C4" w:themeColor="accent1"/>
          <w:sz w:val="18"/>
          <w:szCs w:val="18"/>
        </w:rPr>
        <w:t xml:space="preserve"> </w:t>
      </w:r>
      <w:r w:rsidRPr="00107073">
        <w:rPr>
          <w:b/>
          <w:bCs/>
          <w:i/>
          <w:iCs/>
          <w:color w:val="4472C4" w:themeColor="accent1"/>
          <w:sz w:val="18"/>
          <w:szCs w:val="18"/>
        </w:rPr>
        <w:t>Chi-square</w:t>
      </w:r>
      <w:r w:rsidR="00D35ED5">
        <w:rPr>
          <w:b/>
          <w:bCs/>
          <w:i/>
          <w:iCs/>
          <w:color w:val="4472C4" w:themeColor="accent1"/>
          <w:sz w:val="18"/>
          <w:szCs w:val="18"/>
        </w:rPr>
        <w:t>.</w:t>
      </w:r>
    </w:p>
    <w:p w14:paraId="1C26FA46" w14:textId="77777777" w:rsidR="00107073" w:rsidRPr="00107073" w:rsidRDefault="00107073" w:rsidP="00107073">
      <w:pPr>
        <w:spacing w:after="0" w:line="240" w:lineRule="auto"/>
        <w:rPr>
          <w:b/>
          <w:bCs/>
          <w:i/>
          <w:iCs/>
          <w:color w:val="4472C4" w:themeColor="accent1"/>
          <w:sz w:val="18"/>
          <w:szCs w:val="18"/>
        </w:rPr>
      </w:pPr>
      <w:r w:rsidRPr="00107073">
        <w:rPr>
          <w:b/>
          <w:bCs/>
          <w:i/>
          <w:iCs/>
          <w:color w:val="4472C4" w:themeColor="accent1"/>
          <w:sz w:val="18"/>
          <w:szCs w:val="18"/>
        </w:rPr>
        <w:t>A P-value of comparison between the four groups regarding the mean Fecal Calprotectin Level. (%), P1: P value between mild group and (moderate group, severe group and critical group), P2: P value between moderate group and ( severe group and critical group), P3: P value between severe group and critical group.</w:t>
      </w:r>
    </w:p>
    <w:p w14:paraId="5426B1E3" w14:textId="77777777" w:rsidR="005B6E3C" w:rsidRDefault="005B6E3C" w:rsidP="008D14D6">
      <w:pPr>
        <w:spacing w:line="360" w:lineRule="auto"/>
        <w:jc w:val="both"/>
        <w:rPr>
          <w:rFonts w:asciiTheme="majorBidi" w:hAnsiTheme="majorBidi" w:cstheme="majorBidi"/>
          <w:b/>
          <w:bCs/>
          <w:sz w:val="24"/>
          <w:szCs w:val="24"/>
        </w:rPr>
      </w:pPr>
    </w:p>
    <w:p w14:paraId="20A891F4" w14:textId="77777777" w:rsidR="005B6E3C" w:rsidRDefault="005B6E3C" w:rsidP="008D14D6">
      <w:pPr>
        <w:spacing w:line="360" w:lineRule="auto"/>
        <w:jc w:val="both"/>
        <w:rPr>
          <w:rFonts w:asciiTheme="majorBidi" w:hAnsiTheme="majorBidi" w:cstheme="majorBidi"/>
          <w:b/>
          <w:bCs/>
          <w:sz w:val="24"/>
          <w:szCs w:val="24"/>
        </w:rPr>
      </w:pPr>
    </w:p>
    <w:p w14:paraId="12D1D96F" w14:textId="77777777" w:rsidR="005B6E3C" w:rsidRDefault="005B6E3C" w:rsidP="008D14D6">
      <w:pPr>
        <w:spacing w:line="360" w:lineRule="auto"/>
        <w:jc w:val="both"/>
        <w:rPr>
          <w:rFonts w:asciiTheme="majorBidi" w:hAnsiTheme="majorBidi" w:cstheme="majorBidi"/>
          <w:b/>
          <w:bCs/>
          <w:sz w:val="24"/>
          <w:szCs w:val="24"/>
        </w:rPr>
      </w:pPr>
    </w:p>
    <w:p w14:paraId="6D9A276A" w14:textId="77777777" w:rsidR="005B6E3C" w:rsidRDefault="005B6E3C" w:rsidP="008D14D6">
      <w:pPr>
        <w:spacing w:line="360" w:lineRule="auto"/>
        <w:jc w:val="both"/>
        <w:rPr>
          <w:rFonts w:asciiTheme="majorBidi" w:hAnsiTheme="majorBidi" w:cstheme="majorBidi"/>
          <w:b/>
          <w:bCs/>
          <w:sz w:val="24"/>
          <w:szCs w:val="24"/>
        </w:rPr>
      </w:pPr>
    </w:p>
    <w:p w14:paraId="2CB6277E" w14:textId="77777777" w:rsidR="005B6E3C" w:rsidRDefault="003A57ED" w:rsidP="005B6E3C">
      <w:pPr>
        <w:keepNext/>
        <w:spacing w:line="360" w:lineRule="auto"/>
        <w:jc w:val="both"/>
      </w:pPr>
      <w:r w:rsidRPr="00F547E6">
        <w:rPr>
          <w:rFonts w:asciiTheme="majorBidi" w:hAnsiTheme="majorBidi" w:cstheme="majorBidi"/>
          <w:b/>
          <w:bCs/>
          <w:noProof/>
          <w:sz w:val="24"/>
          <w:szCs w:val="24"/>
        </w:rPr>
        <w:drawing>
          <wp:inline distT="0" distB="0" distL="0" distR="0" wp14:anchorId="0D281485" wp14:editId="00A87D86">
            <wp:extent cx="4938395" cy="3200400"/>
            <wp:effectExtent l="0" t="0" r="0" b="0"/>
            <wp:docPr id="1540843569" name="Picture 1" descr="Figure 1: Comparison of the fecal calprotectin status in four studied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43569" name="Picture 1" descr="Figure 1: Comparison of the fecal calprotectin status in four studied grou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8395" cy="3200400"/>
                    </a:xfrm>
                    <a:prstGeom prst="rect">
                      <a:avLst/>
                    </a:prstGeom>
                    <a:noFill/>
                  </pic:spPr>
                </pic:pic>
              </a:graphicData>
            </a:graphic>
          </wp:inline>
        </w:drawing>
      </w:r>
    </w:p>
    <w:p w14:paraId="5B468804" w14:textId="010CD56F" w:rsidR="00201921" w:rsidRPr="006B5021" w:rsidRDefault="005B6E3C" w:rsidP="005B6E3C">
      <w:pPr>
        <w:pStyle w:val="Caption"/>
        <w:rPr>
          <w:rFonts w:asciiTheme="majorBidi" w:hAnsiTheme="majorBidi" w:cstheme="majorBidi"/>
          <w:b w:val="0"/>
          <w:bCs w:val="0"/>
          <w:sz w:val="20"/>
          <w:szCs w:val="20"/>
        </w:rPr>
      </w:pPr>
      <w:r w:rsidRPr="006B5021">
        <w:rPr>
          <w:sz w:val="20"/>
          <w:szCs w:val="20"/>
        </w:rPr>
        <w:t xml:space="preserve">Figure </w:t>
      </w:r>
      <w:r w:rsidR="00000000" w:rsidRPr="006B5021">
        <w:rPr>
          <w:sz w:val="20"/>
          <w:szCs w:val="20"/>
        </w:rPr>
        <w:fldChar w:fldCharType="begin"/>
      </w:r>
      <w:r w:rsidR="00000000" w:rsidRPr="006B5021">
        <w:rPr>
          <w:sz w:val="20"/>
          <w:szCs w:val="20"/>
        </w:rPr>
        <w:instrText xml:space="preserve"> SEQ Figure \* ARABIC </w:instrText>
      </w:r>
      <w:r w:rsidR="00000000" w:rsidRPr="006B5021">
        <w:rPr>
          <w:sz w:val="20"/>
          <w:szCs w:val="20"/>
        </w:rPr>
        <w:fldChar w:fldCharType="separate"/>
      </w:r>
      <w:r w:rsidRPr="006B5021">
        <w:rPr>
          <w:noProof/>
          <w:sz w:val="20"/>
          <w:szCs w:val="20"/>
        </w:rPr>
        <w:t>1</w:t>
      </w:r>
      <w:r w:rsidR="00000000" w:rsidRPr="006B5021">
        <w:rPr>
          <w:noProof/>
          <w:sz w:val="20"/>
          <w:szCs w:val="20"/>
        </w:rPr>
        <w:fldChar w:fldCharType="end"/>
      </w:r>
      <w:r w:rsidRPr="006B5021">
        <w:rPr>
          <w:sz w:val="20"/>
          <w:szCs w:val="20"/>
        </w:rPr>
        <w:t>. Comparison of the fecal calprotectin status in four studied groups.</w:t>
      </w:r>
    </w:p>
    <w:p w14:paraId="1B3BA513" w14:textId="38AA7A28" w:rsidR="004947DA" w:rsidRDefault="002B1ED4" w:rsidP="0020722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1849F4">
        <w:rPr>
          <w:rFonts w:asciiTheme="majorBidi" w:hAnsiTheme="majorBidi" w:cstheme="majorBidi"/>
          <w:sz w:val="24"/>
          <w:szCs w:val="24"/>
        </w:rPr>
        <w:t>O</w:t>
      </w:r>
      <w:r w:rsidR="004947DA" w:rsidRPr="004947DA">
        <w:rPr>
          <w:rFonts w:asciiTheme="majorBidi" w:hAnsiTheme="majorBidi" w:cstheme="majorBidi"/>
          <w:sz w:val="24"/>
          <w:szCs w:val="24"/>
        </w:rPr>
        <w:t>2 Saturation and SBP were significantly lower in (</w:t>
      </w:r>
      <w:r w:rsidR="00D7243C">
        <w:rPr>
          <w:rFonts w:asciiTheme="majorBidi" w:hAnsiTheme="majorBidi" w:cstheme="majorBidi"/>
          <w:sz w:val="24"/>
          <w:szCs w:val="24"/>
        </w:rPr>
        <w:t xml:space="preserve">the </w:t>
      </w:r>
      <w:r w:rsidR="004947DA" w:rsidRPr="004947DA">
        <w:rPr>
          <w:rFonts w:asciiTheme="majorBidi" w:hAnsiTheme="majorBidi" w:cstheme="majorBidi"/>
          <w:sz w:val="24"/>
          <w:szCs w:val="24"/>
        </w:rPr>
        <w:t>moderate group, severe group</w:t>
      </w:r>
      <w:r w:rsidR="00D7243C">
        <w:rPr>
          <w:rFonts w:asciiTheme="majorBidi" w:hAnsiTheme="majorBidi" w:cstheme="majorBidi"/>
          <w:sz w:val="24"/>
          <w:szCs w:val="24"/>
        </w:rPr>
        <w:t>,</w:t>
      </w:r>
      <w:r w:rsidR="004947DA" w:rsidRPr="004947DA">
        <w:rPr>
          <w:rFonts w:asciiTheme="majorBidi" w:hAnsiTheme="majorBidi" w:cstheme="majorBidi"/>
          <w:sz w:val="24"/>
          <w:szCs w:val="24"/>
        </w:rPr>
        <w:t xml:space="preserve"> and critical group) than </w:t>
      </w:r>
      <w:r w:rsidR="00D7243C">
        <w:rPr>
          <w:rFonts w:asciiTheme="majorBidi" w:hAnsiTheme="majorBidi" w:cstheme="majorBidi"/>
          <w:sz w:val="24"/>
          <w:szCs w:val="24"/>
        </w:rPr>
        <w:t xml:space="preserve">in the </w:t>
      </w:r>
      <w:r w:rsidR="004947DA" w:rsidRPr="004947DA">
        <w:rPr>
          <w:rFonts w:asciiTheme="majorBidi" w:hAnsiTheme="majorBidi" w:cstheme="majorBidi"/>
          <w:sz w:val="24"/>
          <w:szCs w:val="24"/>
        </w:rPr>
        <w:t>mild group (P value &lt;0.001), significantly lower in (</w:t>
      </w:r>
      <w:r w:rsidR="00D7243C">
        <w:rPr>
          <w:rFonts w:asciiTheme="majorBidi" w:hAnsiTheme="majorBidi" w:cstheme="majorBidi"/>
          <w:sz w:val="24"/>
          <w:szCs w:val="24"/>
        </w:rPr>
        <w:t xml:space="preserve">the </w:t>
      </w:r>
      <w:r w:rsidR="004947DA" w:rsidRPr="004947DA">
        <w:rPr>
          <w:rFonts w:asciiTheme="majorBidi" w:hAnsiTheme="majorBidi" w:cstheme="majorBidi"/>
          <w:sz w:val="24"/>
          <w:szCs w:val="24"/>
        </w:rPr>
        <w:t xml:space="preserve">severe and critical group) than moderate (P value &lt;0.001) and significantly lower in critical group than severe group (P value &lt;0.001). </w:t>
      </w:r>
      <w:r w:rsidR="00D7243C">
        <w:rPr>
          <w:rFonts w:asciiTheme="majorBidi" w:hAnsiTheme="majorBidi" w:cstheme="majorBidi"/>
          <w:sz w:val="24"/>
          <w:szCs w:val="24"/>
        </w:rPr>
        <w:t>Respiratory</w:t>
      </w:r>
      <w:r w:rsidR="004947DA" w:rsidRPr="004947DA">
        <w:rPr>
          <w:rFonts w:asciiTheme="majorBidi" w:hAnsiTheme="majorBidi" w:cstheme="majorBidi"/>
          <w:sz w:val="24"/>
          <w:szCs w:val="24"/>
        </w:rPr>
        <w:t xml:space="preserve"> rate,  ESR, CRP, ferritin, D-Dimer</w:t>
      </w:r>
      <w:r w:rsidR="00D7243C">
        <w:rPr>
          <w:rFonts w:asciiTheme="majorBidi" w:hAnsiTheme="majorBidi" w:cstheme="majorBidi"/>
          <w:sz w:val="24"/>
          <w:szCs w:val="24"/>
        </w:rPr>
        <w:t>,</w:t>
      </w:r>
      <w:r w:rsidR="004947DA" w:rsidRPr="004947DA">
        <w:rPr>
          <w:rFonts w:asciiTheme="majorBidi" w:hAnsiTheme="majorBidi" w:cstheme="majorBidi"/>
          <w:sz w:val="24"/>
          <w:szCs w:val="24"/>
        </w:rPr>
        <w:t xml:space="preserve"> and calprotectin were significantly higher in (</w:t>
      </w:r>
      <w:r w:rsidR="00D7243C">
        <w:rPr>
          <w:rFonts w:asciiTheme="majorBidi" w:hAnsiTheme="majorBidi" w:cstheme="majorBidi"/>
          <w:sz w:val="24"/>
          <w:szCs w:val="24"/>
        </w:rPr>
        <w:t xml:space="preserve">the </w:t>
      </w:r>
      <w:r w:rsidR="004947DA" w:rsidRPr="004947DA">
        <w:rPr>
          <w:rFonts w:asciiTheme="majorBidi" w:hAnsiTheme="majorBidi" w:cstheme="majorBidi"/>
          <w:sz w:val="24"/>
          <w:szCs w:val="24"/>
        </w:rPr>
        <w:t>moderate group, severe group</w:t>
      </w:r>
      <w:r w:rsidR="00D7243C">
        <w:rPr>
          <w:rFonts w:asciiTheme="majorBidi" w:hAnsiTheme="majorBidi" w:cstheme="majorBidi"/>
          <w:sz w:val="24"/>
          <w:szCs w:val="24"/>
        </w:rPr>
        <w:t>,</w:t>
      </w:r>
      <w:r w:rsidR="004947DA" w:rsidRPr="004947DA">
        <w:rPr>
          <w:rFonts w:asciiTheme="majorBidi" w:hAnsiTheme="majorBidi" w:cstheme="majorBidi"/>
          <w:sz w:val="24"/>
          <w:szCs w:val="24"/>
        </w:rPr>
        <w:t xml:space="preserve"> and critical group) than </w:t>
      </w:r>
      <w:r w:rsidR="00D7243C">
        <w:rPr>
          <w:rFonts w:asciiTheme="majorBidi" w:hAnsiTheme="majorBidi" w:cstheme="majorBidi"/>
          <w:sz w:val="24"/>
          <w:szCs w:val="24"/>
        </w:rPr>
        <w:t xml:space="preserve">in the </w:t>
      </w:r>
      <w:r w:rsidR="004947DA" w:rsidRPr="004947DA">
        <w:rPr>
          <w:rFonts w:asciiTheme="majorBidi" w:hAnsiTheme="majorBidi" w:cstheme="majorBidi"/>
          <w:sz w:val="24"/>
          <w:szCs w:val="24"/>
        </w:rPr>
        <w:t xml:space="preserve">mild group (P value &lt;0.001), significantly higher in (severe and critical group) than moderate (P value &lt;0.001) and significantly higher in critical group than severe group (P value &lt;0.001). </w:t>
      </w:r>
      <w:r w:rsidR="00D7243C">
        <w:rPr>
          <w:rFonts w:asciiTheme="majorBidi" w:hAnsiTheme="majorBidi" w:cstheme="majorBidi"/>
          <w:sz w:val="24"/>
          <w:szCs w:val="24"/>
        </w:rPr>
        <w:t>The temperature was insignificantly different between the moderate and severe groups and between the severe and critical groups</w:t>
      </w:r>
      <w:r w:rsidR="004947DA" w:rsidRPr="004947DA">
        <w:rPr>
          <w:rFonts w:asciiTheme="majorBidi" w:hAnsiTheme="majorBidi" w:cstheme="majorBidi"/>
          <w:sz w:val="24"/>
          <w:szCs w:val="24"/>
        </w:rPr>
        <w:t xml:space="preserve">. </w:t>
      </w:r>
      <w:r w:rsidR="00D7243C">
        <w:rPr>
          <w:rFonts w:asciiTheme="majorBidi" w:hAnsiTheme="majorBidi" w:cstheme="majorBidi"/>
          <w:sz w:val="24"/>
          <w:szCs w:val="24"/>
        </w:rPr>
        <w:t xml:space="preserve">The temperature was significantly higher in (the moderate group, severe group, and critical group) than in the mild group (P value was significantly higher in the critical group than </w:t>
      </w:r>
      <w:r w:rsidR="00D7243C">
        <w:rPr>
          <w:rFonts w:ascii="Times New Roman" w:hAnsi="Times New Roman" w:cs="Times New Roman"/>
          <w:sz w:val="24"/>
          <w:szCs w:val="24"/>
        </w:rPr>
        <w:t>the </w:t>
      </w:r>
      <w:r w:rsidR="004947DA" w:rsidRPr="004947DA">
        <w:rPr>
          <w:rFonts w:asciiTheme="majorBidi" w:hAnsiTheme="majorBidi" w:cstheme="majorBidi"/>
          <w:sz w:val="24"/>
          <w:szCs w:val="24"/>
        </w:rPr>
        <w:t xml:space="preserve">moderate group (P value =0.001). Heart Rate was insignificantly </w:t>
      </w:r>
      <w:r w:rsidR="00D7243C">
        <w:rPr>
          <w:rFonts w:asciiTheme="majorBidi" w:hAnsiTheme="majorBidi" w:cstheme="majorBidi"/>
          <w:sz w:val="24"/>
          <w:szCs w:val="24"/>
        </w:rPr>
        <w:t xml:space="preserve">different between the mild group (the moderate group and the severe group) and between the moderate group (the severe group and the </w:t>
      </w:r>
      <w:r w:rsidR="004947DA" w:rsidRPr="004947DA">
        <w:rPr>
          <w:rFonts w:asciiTheme="majorBidi" w:hAnsiTheme="majorBidi" w:cstheme="majorBidi"/>
          <w:sz w:val="24"/>
          <w:szCs w:val="24"/>
        </w:rPr>
        <w:t xml:space="preserve">critical group). Heart Rate was significantly higher in </w:t>
      </w:r>
      <w:r w:rsidR="00D7243C">
        <w:rPr>
          <w:rFonts w:asciiTheme="majorBidi" w:hAnsiTheme="majorBidi" w:cstheme="majorBidi"/>
          <w:sz w:val="24"/>
          <w:szCs w:val="24"/>
        </w:rPr>
        <w:t>the critical group than in (the mild group and severe group) (P value =0.001 and 0.036,</w:t>
      </w:r>
      <w:r w:rsidR="004947DA" w:rsidRPr="004947DA">
        <w:rPr>
          <w:rFonts w:asciiTheme="majorBidi" w:hAnsiTheme="majorBidi" w:cstheme="majorBidi"/>
          <w:sz w:val="24"/>
          <w:szCs w:val="24"/>
        </w:rPr>
        <w:t xml:space="preserve"> respectively). SBP was insignificantly </w:t>
      </w:r>
      <w:r w:rsidR="00D7243C">
        <w:rPr>
          <w:rFonts w:asciiTheme="majorBidi" w:hAnsiTheme="majorBidi" w:cstheme="majorBidi"/>
          <w:sz w:val="24"/>
          <w:szCs w:val="24"/>
        </w:rPr>
        <w:t xml:space="preserve">different between the mild group and the </w:t>
      </w:r>
      <w:r w:rsidR="004947DA" w:rsidRPr="004947DA">
        <w:rPr>
          <w:rFonts w:asciiTheme="majorBidi" w:hAnsiTheme="majorBidi" w:cstheme="majorBidi"/>
          <w:sz w:val="24"/>
          <w:szCs w:val="24"/>
        </w:rPr>
        <w:t>moderate group. SBP was significantly lower in (</w:t>
      </w:r>
      <w:r w:rsidR="00D7243C">
        <w:rPr>
          <w:rFonts w:asciiTheme="majorBidi" w:hAnsiTheme="majorBidi" w:cstheme="majorBidi"/>
          <w:sz w:val="24"/>
          <w:szCs w:val="24"/>
        </w:rPr>
        <w:t xml:space="preserve">the </w:t>
      </w:r>
      <w:r w:rsidR="004947DA" w:rsidRPr="004947DA">
        <w:rPr>
          <w:rFonts w:asciiTheme="majorBidi" w:hAnsiTheme="majorBidi" w:cstheme="majorBidi"/>
          <w:sz w:val="24"/>
          <w:szCs w:val="24"/>
        </w:rPr>
        <w:t xml:space="preserve">severe group and critical group)  than </w:t>
      </w:r>
      <w:r w:rsidR="00EA5BA1">
        <w:rPr>
          <w:rFonts w:asciiTheme="majorBidi" w:hAnsiTheme="majorBidi" w:cstheme="majorBidi"/>
          <w:sz w:val="24"/>
          <w:szCs w:val="24"/>
        </w:rPr>
        <w:t xml:space="preserve">in the </w:t>
      </w:r>
      <w:r w:rsidR="004947DA" w:rsidRPr="004947DA">
        <w:rPr>
          <w:rFonts w:asciiTheme="majorBidi" w:hAnsiTheme="majorBidi" w:cstheme="majorBidi"/>
          <w:sz w:val="24"/>
          <w:szCs w:val="24"/>
        </w:rPr>
        <w:t>mild group (P value &lt;0.001), was significantly lower in (</w:t>
      </w:r>
      <w:r w:rsidR="00D7243C">
        <w:rPr>
          <w:rFonts w:asciiTheme="majorBidi" w:hAnsiTheme="majorBidi" w:cstheme="majorBidi"/>
          <w:sz w:val="24"/>
          <w:szCs w:val="24"/>
        </w:rPr>
        <w:t xml:space="preserve">the </w:t>
      </w:r>
      <w:r w:rsidR="004947DA" w:rsidRPr="004947DA">
        <w:rPr>
          <w:rFonts w:asciiTheme="majorBidi" w:hAnsiTheme="majorBidi" w:cstheme="majorBidi"/>
          <w:sz w:val="24"/>
          <w:szCs w:val="24"/>
        </w:rPr>
        <w:t xml:space="preserve">severe group and critical group) than </w:t>
      </w:r>
      <w:r w:rsidR="00EA5BA1">
        <w:rPr>
          <w:rFonts w:asciiTheme="majorBidi" w:hAnsiTheme="majorBidi" w:cstheme="majorBidi"/>
          <w:sz w:val="24"/>
          <w:szCs w:val="24"/>
        </w:rPr>
        <w:t xml:space="preserve">in the </w:t>
      </w:r>
      <w:r w:rsidR="00D7243C">
        <w:rPr>
          <w:rFonts w:asciiTheme="majorBidi" w:hAnsiTheme="majorBidi" w:cstheme="majorBidi"/>
          <w:sz w:val="24"/>
          <w:szCs w:val="24"/>
        </w:rPr>
        <w:t>moderate</w:t>
      </w:r>
      <w:r w:rsidR="004947DA" w:rsidRPr="004947DA">
        <w:rPr>
          <w:rFonts w:asciiTheme="majorBidi" w:hAnsiTheme="majorBidi" w:cstheme="majorBidi"/>
          <w:sz w:val="24"/>
          <w:szCs w:val="24"/>
        </w:rPr>
        <w:t xml:space="preserve"> group (P value &lt;0.001)</w:t>
      </w:r>
      <w:r w:rsidR="00D7243C">
        <w:rPr>
          <w:rFonts w:asciiTheme="majorBidi" w:hAnsiTheme="majorBidi" w:cstheme="majorBidi"/>
          <w:sz w:val="24"/>
          <w:szCs w:val="24"/>
        </w:rPr>
        <w:t>,</w:t>
      </w:r>
      <w:r w:rsidR="004947DA" w:rsidRPr="004947DA">
        <w:rPr>
          <w:rFonts w:asciiTheme="majorBidi" w:hAnsiTheme="majorBidi" w:cstheme="majorBidi"/>
          <w:sz w:val="24"/>
          <w:szCs w:val="24"/>
        </w:rPr>
        <w:t xml:space="preserve"> and was significantly lower in critical group than severe group (P value =0.005), were presented in </w:t>
      </w:r>
      <w:r w:rsidR="004947DA" w:rsidRPr="004947DA">
        <w:rPr>
          <w:rFonts w:asciiTheme="majorBidi" w:hAnsiTheme="majorBidi" w:cstheme="majorBidi"/>
          <w:b/>
          <w:bCs/>
          <w:sz w:val="24"/>
          <w:szCs w:val="24"/>
        </w:rPr>
        <w:t>Table 3.</w:t>
      </w:r>
    </w:p>
    <w:p w14:paraId="64E51EC8" w14:textId="7125EFA1" w:rsidR="005B6E3C" w:rsidRPr="006B5021" w:rsidRDefault="005B6E3C" w:rsidP="005B6E3C">
      <w:pPr>
        <w:pStyle w:val="Caption"/>
        <w:keepNext/>
        <w:rPr>
          <w:sz w:val="20"/>
          <w:szCs w:val="20"/>
        </w:rPr>
      </w:pPr>
      <w:r w:rsidRPr="006B5021">
        <w:rPr>
          <w:sz w:val="20"/>
          <w:szCs w:val="20"/>
        </w:rPr>
        <w:t xml:space="preserve">Table </w:t>
      </w:r>
      <w:r w:rsidR="00000000" w:rsidRPr="006B5021">
        <w:rPr>
          <w:sz w:val="20"/>
          <w:szCs w:val="20"/>
        </w:rPr>
        <w:fldChar w:fldCharType="begin"/>
      </w:r>
      <w:r w:rsidR="00000000" w:rsidRPr="006B5021">
        <w:rPr>
          <w:sz w:val="20"/>
          <w:szCs w:val="20"/>
        </w:rPr>
        <w:instrText xml:space="preserve"> SEQ Table \* ARABIC </w:instrText>
      </w:r>
      <w:r w:rsidR="00000000" w:rsidRPr="006B5021">
        <w:rPr>
          <w:sz w:val="20"/>
          <w:szCs w:val="20"/>
        </w:rPr>
        <w:fldChar w:fldCharType="separate"/>
      </w:r>
      <w:r w:rsidR="00650F29" w:rsidRPr="006B5021">
        <w:rPr>
          <w:noProof/>
          <w:sz w:val="20"/>
          <w:szCs w:val="20"/>
        </w:rPr>
        <w:t>3</w:t>
      </w:r>
      <w:r w:rsidR="00000000" w:rsidRPr="006B5021">
        <w:rPr>
          <w:noProof/>
          <w:sz w:val="20"/>
          <w:szCs w:val="20"/>
        </w:rPr>
        <w:fldChar w:fldCharType="end"/>
      </w:r>
      <w:r w:rsidRPr="006B5021">
        <w:rPr>
          <w:sz w:val="20"/>
          <w:szCs w:val="20"/>
        </w:rPr>
        <w:t>. Comparison of the clinical and biochemical parameters between the four study groups at baseline (Start of study).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Comparison of the clinical and biochemical parameters between the four study groups at baseline (Start of study)."/>
        <w:tblDescription w:val="Data are expressed as mean ± SD.F: One-way ANOVA, X2: Chi-square. ESR: Erythrocyte sedimentation rate, CRP: C-Reactive Protein, SBP: Systolic Blood Pressure, Fecal Calprotectin Level. p- value of comparison between the four groups at baseline.  (%), P1: P value between mild group and (moderate group, severe group and critical group), P2: P value between moderate group and ( severe group and critical group), P3: P value between severe group and critical group."/>
      </w:tblPr>
      <w:tblGrid>
        <w:gridCol w:w="1672"/>
        <w:gridCol w:w="1225"/>
        <w:gridCol w:w="1438"/>
        <w:gridCol w:w="1436"/>
        <w:gridCol w:w="1275"/>
        <w:gridCol w:w="1211"/>
        <w:gridCol w:w="1000"/>
      </w:tblGrid>
      <w:tr w:rsidR="00E63E01" w:rsidRPr="00F547E6" w14:paraId="57BD52CF" w14:textId="77777777" w:rsidTr="005B6E3C">
        <w:trPr>
          <w:trHeight w:val="432"/>
          <w:jc w:val="center"/>
        </w:trPr>
        <w:tc>
          <w:tcPr>
            <w:tcW w:w="909" w:type="pct"/>
            <w:tcBorders>
              <w:top w:val="single" w:sz="4" w:space="0" w:color="000000"/>
              <w:bottom w:val="single" w:sz="4" w:space="0" w:color="000000"/>
            </w:tcBorders>
            <w:shd w:val="clear" w:color="auto" w:fill="BFBFBF" w:themeFill="background1" w:themeFillShade="BF"/>
            <w:vAlign w:val="center"/>
            <w:hideMark/>
          </w:tcPr>
          <w:p w14:paraId="2E96BC6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3" w:name="_Hlk174452102"/>
            <w:r w:rsidRPr="00F547E6">
              <w:rPr>
                <w:rFonts w:asciiTheme="majorBidi" w:hAnsiTheme="majorBidi" w:cstheme="majorBidi"/>
                <w:b/>
                <w:bCs/>
              </w:rPr>
              <w:t>Parameters</w:t>
            </w:r>
          </w:p>
        </w:tc>
        <w:tc>
          <w:tcPr>
            <w:tcW w:w="666" w:type="pct"/>
            <w:tcBorders>
              <w:top w:val="single" w:sz="4" w:space="0" w:color="000000"/>
              <w:bottom w:val="single" w:sz="4" w:space="0" w:color="000000"/>
            </w:tcBorders>
            <w:shd w:val="clear" w:color="auto" w:fill="BFBFBF" w:themeFill="background1" w:themeFillShade="BF"/>
            <w:vAlign w:val="center"/>
            <w:hideMark/>
          </w:tcPr>
          <w:p w14:paraId="67C569D7" w14:textId="77777777" w:rsidR="00E63E01" w:rsidRPr="00F547E6" w:rsidRDefault="00E63E01"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Mild Group</w:t>
            </w:r>
          </w:p>
          <w:p w14:paraId="1B7A5B7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(N=14)</w:t>
            </w:r>
          </w:p>
        </w:tc>
        <w:tc>
          <w:tcPr>
            <w:tcW w:w="782" w:type="pct"/>
            <w:tcBorders>
              <w:top w:val="single" w:sz="4" w:space="0" w:color="000000"/>
              <w:bottom w:val="single" w:sz="4" w:space="0" w:color="000000"/>
            </w:tcBorders>
            <w:shd w:val="clear" w:color="auto" w:fill="BFBFBF" w:themeFill="background1" w:themeFillShade="BF"/>
            <w:vAlign w:val="center"/>
            <w:hideMark/>
          </w:tcPr>
          <w:p w14:paraId="4012949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rPr>
              <w:t>Moderate Group (N=12)</w:t>
            </w:r>
          </w:p>
        </w:tc>
        <w:tc>
          <w:tcPr>
            <w:tcW w:w="781" w:type="pct"/>
            <w:tcBorders>
              <w:top w:val="single" w:sz="4" w:space="0" w:color="000000"/>
              <w:bottom w:val="single" w:sz="4" w:space="0" w:color="000000"/>
            </w:tcBorders>
            <w:shd w:val="clear" w:color="auto" w:fill="BFBFBF" w:themeFill="background1" w:themeFillShade="BF"/>
            <w:vAlign w:val="center"/>
            <w:hideMark/>
          </w:tcPr>
          <w:p w14:paraId="23DBCBA3" w14:textId="77777777" w:rsidR="00E63E01" w:rsidRPr="00F547E6" w:rsidRDefault="00E63E01" w:rsidP="0034709C">
            <w:pPr>
              <w:autoSpaceDE w:val="0"/>
              <w:autoSpaceDN w:val="0"/>
              <w:adjustRightInd w:val="0"/>
              <w:ind w:left="60" w:right="60"/>
              <w:jc w:val="center"/>
              <w:rPr>
                <w:rFonts w:asciiTheme="majorBidi" w:hAnsiTheme="majorBidi" w:cstheme="majorBidi"/>
                <w:b/>
                <w:bCs/>
              </w:rPr>
            </w:pPr>
            <w:bookmarkStart w:id="14" w:name="_Hlk174456963"/>
            <w:r w:rsidRPr="00F547E6">
              <w:rPr>
                <w:rFonts w:asciiTheme="majorBidi" w:hAnsiTheme="majorBidi" w:cstheme="majorBidi"/>
                <w:b/>
                <w:bCs/>
              </w:rPr>
              <w:t xml:space="preserve">Severe </w:t>
            </w:r>
            <w:bookmarkEnd w:id="14"/>
            <w:r w:rsidRPr="00F547E6">
              <w:rPr>
                <w:rFonts w:asciiTheme="majorBidi" w:hAnsiTheme="majorBidi" w:cstheme="majorBidi"/>
                <w:b/>
                <w:bCs/>
              </w:rPr>
              <w:t>Group</w:t>
            </w:r>
          </w:p>
          <w:p w14:paraId="421FF11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rPr>
              <w:t>(N=12)</w:t>
            </w:r>
          </w:p>
        </w:tc>
        <w:tc>
          <w:tcPr>
            <w:tcW w:w="694" w:type="pct"/>
            <w:tcBorders>
              <w:top w:val="single" w:sz="4" w:space="0" w:color="000000"/>
              <w:bottom w:val="single" w:sz="4" w:space="0" w:color="000000"/>
            </w:tcBorders>
            <w:shd w:val="clear" w:color="auto" w:fill="BFBFBF" w:themeFill="background1" w:themeFillShade="BF"/>
            <w:vAlign w:val="center"/>
            <w:hideMark/>
          </w:tcPr>
          <w:p w14:paraId="5E703CF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rPr>
              <w:t>Critical Group (N=12)</w:t>
            </w:r>
          </w:p>
        </w:tc>
        <w:tc>
          <w:tcPr>
            <w:tcW w:w="639" w:type="pct"/>
            <w:tcBorders>
              <w:top w:val="single" w:sz="4" w:space="0" w:color="000000"/>
              <w:bottom w:val="single" w:sz="4" w:space="0" w:color="000000"/>
            </w:tcBorders>
            <w:shd w:val="clear" w:color="auto" w:fill="BFBFBF" w:themeFill="background1" w:themeFillShade="BF"/>
            <w:vAlign w:val="center"/>
          </w:tcPr>
          <w:p w14:paraId="12DFD27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Test</w:t>
            </w:r>
          </w:p>
        </w:tc>
        <w:tc>
          <w:tcPr>
            <w:tcW w:w="528" w:type="pct"/>
            <w:tcBorders>
              <w:top w:val="single" w:sz="4" w:space="0" w:color="000000"/>
              <w:bottom w:val="single" w:sz="4" w:space="0" w:color="000000"/>
            </w:tcBorders>
            <w:shd w:val="clear" w:color="auto" w:fill="BFBFBF" w:themeFill="background1" w:themeFillShade="BF"/>
            <w:vAlign w:val="center"/>
            <w:hideMark/>
          </w:tcPr>
          <w:p w14:paraId="2F9A911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P</w:t>
            </w:r>
          </w:p>
        </w:tc>
      </w:tr>
      <w:tr w:rsidR="00E63E01" w:rsidRPr="00F547E6" w14:paraId="10894313" w14:textId="77777777" w:rsidTr="005B6E3C">
        <w:trPr>
          <w:trHeight w:val="432"/>
          <w:jc w:val="center"/>
        </w:trPr>
        <w:tc>
          <w:tcPr>
            <w:tcW w:w="909" w:type="pct"/>
            <w:tcBorders>
              <w:top w:val="single" w:sz="4" w:space="0" w:color="000000"/>
            </w:tcBorders>
            <w:shd w:val="clear" w:color="auto" w:fill="BFBFBF" w:themeFill="background1" w:themeFillShade="BF"/>
            <w:vAlign w:val="center"/>
            <w:hideMark/>
          </w:tcPr>
          <w:p w14:paraId="151EAA2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O</w:t>
            </w:r>
            <w:r w:rsidRPr="00F547E6">
              <w:rPr>
                <w:rFonts w:asciiTheme="majorBidi" w:hAnsiTheme="majorBidi" w:cstheme="majorBidi"/>
                <w:b/>
                <w:bCs/>
                <w:sz w:val="20"/>
                <w:szCs w:val="20"/>
                <w:vertAlign w:val="subscript"/>
              </w:rPr>
              <w:t>2</w:t>
            </w:r>
            <w:r w:rsidRPr="00F547E6">
              <w:rPr>
                <w:rFonts w:asciiTheme="majorBidi" w:hAnsiTheme="majorBidi" w:cstheme="majorBidi"/>
                <w:b/>
                <w:bCs/>
                <w:sz w:val="20"/>
                <w:szCs w:val="20"/>
              </w:rPr>
              <w:t xml:space="preserve"> Saturation </w:t>
            </w:r>
            <w:r w:rsidRPr="00F547E6">
              <w:rPr>
                <w:rFonts w:asciiTheme="majorBidi" w:hAnsiTheme="majorBidi" w:cstheme="majorBidi"/>
                <w:sz w:val="20"/>
                <w:szCs w:val="20"/>
              </w:rPr>
              <w:t>( %)</w:t>
            </w:r>
          </w:p>
        </w:tc>
        <w:tc>
          <w:tcPr>
            <w:tcW w:w="666" w:type="pct"/>
            <w:tcBorders>
              <w:top w:val="single" w:sz="4" w:space="0" w:color="000000"/>
            </w:tcBorders>
            <w:vAlign w:val="center"/>
            <w:hideMark/>
          </w:tcPr>
          <w:p w14:paraId="5472D45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94.9 ± 1.61</w:t>
            </w:r>
          </w:p>
        </w:tc>
        <w:tc>
          <w:tcPr>
            <w:tcW w:w="782" w:type="pct"/>
            <w:tcBorders>
              <w:top w:val="single" w:sz="4" w:space="0" w:color="000000"/>
            </w:tcBorders>
            <w:vAlign w:val="center"/>
            <w:hideMark/>
          </w:tcPr>
          <w:p w14:paraId="5449DC1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87.1 ± 2.57</w:t>
            </w:r>
          </w:p>
        </w:tc>
        <w:tc>
          <w:tcPr>
            <w:tcW w:w="781" w:type="pct"/>
            <w:tcBorders>
              <w:top w:val="single" w:sz="4" w:space="0" w:color="000000"/>
            </w:tcBorders>
            <w:vAlign w:val="center"/>
            <w:hideMark/>
          </w:tcPr>
          <w:p w14:paraId="308D0BD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76.8 ± 3.02</w:t>
            </w:r>
          </w:p>
        </w:tc>
        <w:tc>
          <w:tcPr>
            <w:tcW w:w="694" w:type="pct"/>
            <w:tcBorders>
              <w:top w:val="single" w:sz="4" w:space="0" w:color="000000"/>
            </w:tcBorders>
            <w:vAlign w:val="center"/>
            <w:hideMark/>
          </w:tcPr>
          <w:p w14:paraId="2E0BF46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64.5 ± 3.94</w:t>
            </w:r>
          </w:p>
        </w:tc>
        <w:tc>
          <w:tcPr>
            <w:tcW w:w="639" w:type="pct"/>
            <w:vMerge w:val="restart"/>
            <w:tcBorders>
              <w:top w:val="single" w:sz="4" w:space="0" w:color="000000"/>
            </w:tcBorders>
            <w:vAlign w:val="center"/>
          </w:tcPr>
          <w:p w14:paraId="1BABB6D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F=268.2</w:t>
            </w:r>
          </w:p>
        </w:tc>
        <w:tc>
          <w:tcPr>
            <w:tcW w:w="528" w:type="pct"/>
            <w:vMerge w:val="restart"/>
            <w:tcBorders>
              <w:top w:val="single" w:sz="4" w:space="0" w:color="000000"/>
            </w:tcBorders>
            <w:vAlign w:val="center"/>
            <w:hideMark/>
          </w:tcPr>
          <w:p w14:paraId="2592EC8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&lt;0.001*</w:t>
            </w:r>
          </w:p>
        </w:tc>
      </w:tr>
      <w:tr w:rsidR="00E63E01" w:rsidRPr="00F547E6" w14:paraId="70915445" w14:textId="77777777" w:rsidTr="005B6E3C">
        <w:trPr>
          <w:trHeight w:val="432"/>
          <w:jc w:val="center"/>
        </w:trPr>
        <w:tc>
          <w:tcPr>
            <w:tcW w:w="1576" w:type="pct"/>
            <w:gridSpan w:val="2"/>
            <w:shd w:val="clear" w:color="auto" w:fill="BFBFBF" w:themeFill="background1" w:themeFillShade="BF"/>
            <w:vAlign w:val="center"/>
          </w:tcPr>
          <w:p w14:paraId="7CDEFAA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P1</w:t>
            </w:r>
          </w:p>
        </w:tc>
        <w:tc>
          <w:tcPr>
            <w:tcW w:w="782" w:type="pct"/>
            <w:vAlign w:val="center"/>
          </w:tcPr>
          <w:p w14:paraId="1143C9B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&lt;0.001*</w:t>
            </w:r>
          </w:p>
        </w:tc>
        <w:tc>
          <w:tcPr>
            <w:tcW w:w="781" w:type="pct"/>
            <w:vAlign w:val="center"/>
          </w:tcPr>
          <w:p w14:paraId="709D551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5ED6C36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014058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4B2549E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7C11BA55" w14:textId="77777777" w:rsidTr="005B6E3C">
        <w:trPr>
          <w:trHeight w:val="432"/>
          <w:jc w:val="center"/>
        </w:trPr>
        <w:tc>
          <w:tcPr>
            <w:tcW w:w="2358" w:type="pct"/>
            <w:gridSpan w:val="3"/>
            <w:shd w:val="clear" w:color="auto" w:fill="BFBFBF" w:themeFill="background1" w:themeFillShade="BF"/>
            <w:vAlign w:val="center"/>
          </w:tcPr>
          <w:p w14:paraId="125AD91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P2</w:t>
            </w:r>
          </w:p>
        </w:tc>
        <w:tc>
          <w:tcPr>
            <w:tcW w:w="781" w:type="pct"/>
            <w:vAlign w:val="center"/>
          </w:tcPr>
          <w:p w14:paraId="42475BA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469367F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200829D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743A4FB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6D5648F" w14:textId="77777777" w:rsidTr="005B6E3C">
        <w:trPr>
          <w:trHeight w:val="432"/>
          <w:jc w:val="center"/>
        </w:trPr>
        <w:tc>
          <w:tcPr>
            <w:tcW w:w="3139" w:type="pct"/>
            <w:gridSpan w:val="4"/>
            <w:shd w:val="clear" w:color="auto" w:fill="BFBFBF" w:themeFill="background1" w:themeFillShade="BF"/>
            <w:vAlign w:val="center"/>
          </w:tcPr>
          <w:p w14:paraId="4F26436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P3</w:t>
            </w:r>
          </w:p>
        </w:tc>
        <w:tc>
          <w:tcPr>
            <w:tcW w:w="694" w:type="pct"/>
            <w:vAlign w:val="center"/>
          </w:tcPr>
          <w:p w14:paraId="09F43E8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A107E4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65C9B94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175E52D8" w14:textId="77777777" w:rsidTr="005B6E3C">
        <w:trPr>
          <w:trHeight w:val="432"/>
          <w:jc w:val="center"/>
        </w:trPr>
        <w:tc>
          <w:tcPr>
            <w:tcW w:w="909" w:type="pct"/>
            <w:shd w:val="clear" w:color="auto" w:fill="BFBFBF" w:themeFill="background1" w:themeFillShade="BF"/>
            <w:vAlign w:val="center"/>
            <w:hideMark/>
          </w:tcPr>
          <w:p w14:paraId="437F894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Temperature</w:t>
            </w:r>
            <w:r w:rsidRPr="00F547E6">
              <w:rPr>
                <w:rFonts w:asciiTheme="majorBidi" w:hAnsiTheme="majorBidi" w:cstheme="majorBidi"/>
                <w:sz w:val="20"/>
                <w:szCs w:val="20"/>
              </w:rPr>
              <w:t xml:space="preserve"> (</w:t>
            </w:r>
            <w:r w:rsidRPr="00F547E6">
              <w:rPr>
                <w:rFonts w:asciiTheme="majorBidi" w:hAnsiTheme="majorBidi" w:cstheme="majorBidi"/>
                <w:sz w:val="20"/>
                <w:szCs w:val="20"/>
                <w:vertAlign w:val="superscript"/>
              </w:rPr>
              <w:t>o</w:t>
            </w:r>
            <w:r w:rsidRPr="00F547E6">
              <w:rPr>
                <w:rFonts w:asciiTheme="majorBidi" w:hAnsiTheme="majorBidi" w:cstheme="majorBidi"/>
                <w:sz w:val="20"/>
                <w:szCs w:val="20"/>
              </w:rPr>
              <w:t>C)</w:t>
            </w:r>
          </w:p>
        </w:tc>
        <w:tc>
          <w:tcPr>
            <w:tcW w:w="666" w:type="pct"/>
            <w:vAlign w:val="center"/>
            <w:hideMark/>
          </w:tcPr>
          <w:p w14:paraId="0EC2660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37.2 ± 0.3</w:t>
            </w:r>
          </w:p>
        </w:tc>
        <w:tc>
          <w:tcPr>
            <w:tcW w:w="782" w:type="pct"/>
            <w:vAlign w:val="center"/>
            <w:hideMark/>
          </w:tcPr>
          <w:p w14:paraId="52CFD57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38.2 ± 0.23</w:t>
            </w:r>
          </w:p>
        </w:tc>
        <w:tc>
          <w:tcPr>
            <w:tcW w:w="781" w:type="pct"/>
            <w:vAlign w:val="center"/>
            <w:hideMark/>
          </w:tcPr>
          <w:p w14:paraId="0A3DB47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38.4 ± 0.23</w:t>
            </w:r>
          </w:p>
        </w:tc>
        <w:tc>
          <w:tcPr>
            <w:tcW w:w="694" w:type="pct"/>
            <w:vAlign w:val="center"/>
            <w:hideMark/>
          </w:tcPr>
          <w:p w14:paraId="7C40F87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38.6 ± 0.21</w:t>
            </w:r>
          </w:p>
        </w:tc>
        <w:tc>
          <w:tcPr>
            <w:tcW w:w="639" w:type="pct"/>
            <w:vMerge w:val="restart"/>
            <w:vAlign w:val="center"/>
          </w:tcPr>
          <w:p w14:paraId="6388F91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F=84.14</w:t>
            </w:r>
          </w:p>
        </w:tc>
        <w:tc>
          <w:tcPr>
            <w:tcW w:w="528" w:type="pct"/>
            <w:vMerge w:val="restart"/>
            <w:vAlign w:val="center"/>
          </w:tcPr>
          <w:p w14:paraId="18C9F8E6"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A65F3F">
              <w:rPr>
                <w:rFonts w:asciiTheme="majorBidi" w:hAnsiTheme="majorBidi" w:cstheme="majorBidi"/>
                <w:b/>
                <w:bCs/>
                <w:sz w:val="20"/>
                <w:szCs w:val="20"/>
              </w:rPr>
              <w:t>&lt;0.001*</w:t>
            </w:r>
          </w:p>
        </w:tc>
      </w:tr>
      <w:tr w:rsidR="00E63E01" w:rsidRPr="00F547E6" w14:paraId="0546ABD7" w14:textId="77777777" w:rsidTr="005B6E3C">
        <w:trPr>
          <w:trHeight w:val="432"/>
          <w:jc w:val="center"/>
        </w:trPr>
        <w:tc>
          <w:tcPr>
            <w:tcW w:w="1576" w:type="pct"/>
            <w:gridSpan w:val="2"/>
            <w:shd w:val="clear" w:color="auto" w:fill="BFBFBF" w:themeFill="background1" w:themeFillShade="BF"/>
            <w:vAlign w:val="center"/>
          </w:tcPr>
          <w:p w14:paraId="189CE04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P1</w:t>
            </w:r>
          </w:p>
        </w:tc>
        <w:tc>
          <w:tcPr>
            <w:tcW w:w="782" w:type="pct"/>
            <w:vAlign w:val="center"/>
          </w:tcPr>
          <w:p w14:paraId="55555D1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&lt;0.001*</w:t>
            </w:r>
          </w:p>
        </w:tc>
        <w:tc>
          <w:tcPr>
            <w:tcW w:w="781" w:type="pct"/>
            <w:vAlign w:val="center"/>
          </w:tcPr>
          <w:p w14:paraId="46E0E58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&lt;0.001*</w:t>
            </w:r>
          </w:p>
        </w:tc>
        <w:tc>
          <w:tcPr>
            <w:tcW w:w="694" w:type="pct"/>
            <w:vAlign w:val="center"/>
          </w:tcPr>
          <w:p w14:paraId="3CD2C31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&lt;0.001*</w:t>
            </w:r>
          </w:p>
        </w:tc>
        <w:tc>
          <w:tcPr>
            <w:tcW w:w="639" w:type="pct"/>
            <w:vMerge/>
            <w:vAlign w:val="center"/>
          </w:tcPr>
          <w:p w14:paraId="7C9308A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2FC0749E"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36D96DAF" w14:textId="77777777" w:rsidTr="005B6E3C">
        <w:trPr>
          <w:trHeight w:val="432"/>
          <w:jc w:val="center"/>
        </w:trPr>
        <w:tc>
          <w:tcPr>
            <w:tcW w:w="2358" w:type="pct"/>
            <w:gridSpan w:val="3"/>
            <w:shd w:val="clear" w:color="auto" w:fill="BFBFBF" w:themeFill="background1" w:themeFillShade="BF"/>
            <w:vAlign w:val="center"/>
          </w:tcPr>
          <w:p w14:paraId="033B13C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P2</w:t>
            </w:r>
          </w:p>
        </w:tc>
        <w:tc>
          <w:tcPr>
            <w:tcW w:w="781" w:type="pct"/>
            <w:vAlign w:val="center"/>
          </w:tcPr>
          <w:p w14:paraId="0C7357E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0.242</w:t>
            </w:r>
          </w:p>
        </w:tc>
        <w:tc>
          <w:tcPr>
            <w:tcW w:w="694" w:type="pct"/>
            <w:vAlign w:val="center"/>
          </w:tcPr>
          <w:p w14:paraId="3FFFBD6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0.001*</w:t>
            </w:r>
          </w:p>
        </w:tc>
        <w:tc>
          <w:tcPr>
            <w:tcW w:w="639" w:type="pct"/>
            <w:vMerge/>
            <w:vAlign w:val="center"/>
          </w:tcPr>
          <w:p w14:paraId="51127872"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4CA37C03"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784C766C" w14:textId="77777777" w:rsidTr="005B6E3C">
        <w:trPr>
          <w:trHeight w:val="432"/>
          <w:jc w:val="center"/>
        </w:trPr>
        <w:tc>
          <w:tcPr>
            <w:tcW w:w="3139" w:type="pct"/>
            <w:gridSpan w:val="4"/>
            <w:shd w:val="clear" w:color="auto" w:fill="BFBFBF" w:themeFill="background1" w:themeFillShade="BF"/>
            <w:vAlign w:val="center"/>
          </w:tcPr>
          <w:p w14:paraId="4E51B04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P3</w:t>
            </w:r>
          </w:p>
        </w:tc>
        <w:tc>
          <w:tcPr>
            <w:tcW w:w="694" w:type="pct"/>
            <w:vAlign w:val="center"/>
          </w:tcPr>
          <w:p w14:paraId="2EE5A97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0.153</w:t>
            </w:r>
          </w:p>
        </w:tc>
        <w:tc>
          <w:tcPr>
            <w:tcW w:w="639" w:type="pct"/>
            <w:vMerge/>
            <w:vAlign w:val="center"/>
          </w:tcPr>
          <w:p w14:paraId="3BA2B06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6B56B436"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4A39F48" w14:textId="77777777" w:rsidTr="005B6E3C">
        <w:trPr>
          <w:trHeight w:val="432"/>
          <w:jc w:val="center"/>
        </w:trPr>
        <w:tc>
          <w:tcPr>
            <w:tcW w:w="909" w:type="pct"/>
            <w:shd w:val="clear" w:color="auto" w:fill="BFBFBF" w:themeFill="background1" w:themeFillShade="BF"/>
            <w:vAlign w:val="center"/>
            <w:hideMark/>
          </w:tcPr>
          <w:p w14:paraId="2868025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5" w:name="_Hlk174458021"/>
            <w:r w:rsidRPr="00F547E6">
              <w:rPr>
                <w:rFonts w:asciiTheme="majorBidi" w:hAnsiTheme="majorBidi" w:cstheme="majorBidi"/>
                <w:b/>
                <w:bCs/>
                <w:sz w:val="20"/>
                <w:szCs w:val="20"/>
              </w:rPr>
              <w:t xml:space="preserve">Respiratory Rate </w:t>
            </w:r>
            <w:bookmarkEnd w:id="15"/>
            <w:r w:rsidRPr="00F547E6">
              <w:rPr>
                <w:rFonts w:asciiTheme="majorBidi" w:hAnsiTheme="majorBidi" w:cstheme="majorBidi"/>
                <w:sz w:val="20"/>
                <w:szCs w:val="20"/>
              </w:rPr>
              <w:t>(breaths/ min)</w:t>
            </w:r>
          </w:p>
        </w:tc>
        <w:tc>
          <w:tcPr>
            <w:tcW w:w="666" w:type="pct"/>
            <w:vAlign w:val="center"/>
            <w:hideMark/>
          </w:tcPr>
          <w:p w14:paraId="392EE69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14.3 ± 1.77</w:t>
            </w:r>
          </w:p>
        </w:tc>
        <w:tc>
          <w:tcPr>
            <w:tcW w:w="782" w:type="pct"/>
            <w:vAlign w:val="center"/>
            <w:hideMark/>
          </w:tcPr>
          <w:p w14:paraId="575071D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18.8 ± 2.09</w:t>
            </w:r>
          </w:p>
        </w:tc>
        <w:tc>
          <w:tcPr>
            <w:tcW w:w="781" w:type="pct"/>
            <w:vAlign w:val="center"/>
            <w:hideMark/>
          </w:tcPr>
          <w:p w14:paraId="442D0AA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23.4 ± 3.53</w:t>
            </w:r>
          </w:p>
        </w:tc>
        <w:tc>
          <w:tcPr>
            <w:tcW w:w="694" w:type="pct"/>
            <w:vAlign w:val="center"/>
            <w:hideMark/>
          </w:tcPr>
          <w:p w14:paraId="0EFF24B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26.5 ± 2.75</w:t>
            </w:r>
          </w:p>
        </w:tc>
        <w:tc>
          <w:tcPr>
            <w:tcW w:w="639" w:type="pct"/>
            <w:vMerge w:val="restart"/>
            <w:vAlign w:val="center"/>
          </w:tcPr>
          <w:p w14:paraId="6D30CEE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F=55.15</w:t>
            </w:r>
          </w:p>
        </w:tc>
        <w:tc>
          <w:tcPr>
            <w:tcW w:w="528" w:type="pct"/>
            <w:vMerge w:val="restart"/>
            <w:vAlign w:val="center"/>
          </w:tcPr>
          <w:p w14:paraId="047E843C"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A65F3F">
              <w:rPr>
                <w:rFonts w:asciiTheme="majorBidi" w:hAnsiTheme="majorBidi" w:cstheme="majorBidi"/>
                <w:b/>
                <w:bCs/>
                <w:sz w:val="20"/>
                <w:szCs w:val="20"/>
              </w:rPr>
              <w:t>&lt;0.001*</w:t>
            </w:r>
          </w:p>
        </w:tc>
      </w:tr>
      <w:tr w:rsidR="00E63E01" w:rsidRPr="00F547E6" w14:paraId="5DE848BB" w14:textId="77777777" w:rsidTr="005B6E3C">
        <w:trPr>
          <w:trHeight w:val="432"/>
          <w:jc w:val="center"/>
        </w:trPr>
        <w:tc>
          <w:tcPr>
            <w:tcW w:w="1576" w:type="pct"/>
            <w:gridSpan w:val="2"/>
            <w:shd w:val="clear" w:color="auto" w:fill="BFBFBF" w:themeFill="background1" w:themeFillShade="BF"/>
            <w:vAlign w:val="center"/>
          </w:tcPr>
          <w:p w14:paraId="14224A7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P1</w:t>
            </w:r>
          </w:p>
        </w:tc>
        <w:tc>
          <w:tcPr>
            <w:tcW w:w="782" w:type="pct"/>
            <w:vAlign w:val="center"/>
          </w:tcPr>
          <w:p w14:paraId="028EE79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3F5715B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0AEA195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51DA8D4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486B7806"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41179160" w14:textId="77777777" w:rsidTr="005B6E3C">
        <w:trPr>
          <w:trHeight w:val="432"/>
          <w:jc w:val="center"/>
        </w:trPr>
        <w:tc>
          <w:tcPr>
            <w:tcW w:w="2358" w:type="pct"/>
            <w:gridSpan w:val="3"/>
            <w:shd w:val="clear" w:color="auto" w:fill="BFBFBF" w:themeFill="background1" w:themeFillShade="BF"/>
            <w:vAlign w:val="center"/>
          </w:tcPr>
          <w:p w14:paraId="333B23D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P2</w:t>
            </w:r>
          </w:p>
        </w:tc>
        <w:tc>
          <w:tcPr>
            <w:tcW w:w="781" w:type="pct"/>
            <w:vAlign w:val="center"/>
          </w:tcPr>
          <w:p w14:paraId="7EDBF81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57C9F25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9628E8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5501CCB8"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CCE542B" w14:textId="77777777" w:rsidTr="005B6E3C">
        <w:trPr>
          <w:trHeight w:val="432"/>
          <w:jc w:val="center"/>
        </w:trPr>
        <w:tc>
          <w:tcPr>
            <w:tcW w:w="3139" w:type="pct"/>
            <w:gridSpan w:val="4"/>
            <w:shd w:val="clear" w:color="auto" w:fill="BFBFBF" w:themeFill="background1" w:themeFillShade="BF"/>
            <w:vAlign w:val="center"/>
          </w:tcPr>
          <w:p w14:paraId="4030E43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P3</w:t>
            </w:r>
          </w:p>
        </w:tc>
        <w:tc>
          <w:tcPr>
            <w:tcW w:w="694" w:type="pct"/>
            <w:vAlign w:val="center"/>
          </w:tcPr>
          <w:p w14:paraId="2EB10C9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0.027*</w:t>
            </w:r>
          </w:p>
        </w:tc>
        <w:tc>
          <w:tcPr>
            <w:tcW w:w="639" w:type="pct"/>
            <w:vMerge/>
            <w:vAlign w:val="center"/>
          </w:tcPr>
          <w:p w14:paraId="593CF68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12CAE560"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8A5DFA8" w14:textId="77777777" w:rsidTr="005B6E3C">
        <w:trPr>
          <w:trHeight w:val="432"/>
          <w:jc w:val="center"/>
        </w:trPr>
        <w:tc>
          <w:tcPr>
            <w:tcW w:w="909" w:type="pct"/>
            <w:shd w:val="clear" w:color="auto" w:fill="BFBFBF" w:themeFill="background1" w:themeFillShade="BF"/>
            <w:vAlign w:val="center"/>
            <w:hideMark/>
          </w:tcPr>
          <w:p w14:paraId="627FA34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 xml:space="preserve">Heart Rate </w:t>
            </w:r>
            <w:r w:rsidRPr="00F547E6">
              <w:rPr>
                <w:rFonts w:asciiTheme="majorBidi" w:hAnsiTheme="majorBidi" w:cstheme="majorBidi"/>
                <w:sz w:val="20"/>
                <w:szCs w:val="20"/>
              </w:rPr>
              <w:t>(Pulse/min)</w:t>
            </w:r>
          </w:p>
        </w:tc>
        <w:tc>
          <w:tcPr>
            <w:tcW w:w="666" w:type="pct"/>
            <w:vAlign w:val="center"/>
            <w:hideMark/>
          </w:tcPr>
          <w:p w14:paraId="55A6BFD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81.9 ± 5.33</w:t>
            </w:r>
          </w:p>
        </w:tc>
        <w:tc>
          <w:tcPr>
            <w:tcW w:w="782" w:type="pct"/>
            <w:vAlign w:val="center"/>
            <w:hideMark/>
          </w:tcPr>
          <w:p w14:paraId="791A830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89.7 ± 2.93</w:t>
            </w:r>
          </w:p>
        </w:tc>
        <w:tc>
          <w:tcPr>
            <w:tcW w:w="781" w:type="pct"/>
            <w:vAlign w:val="center"/>
            <w:hideMark/>
          </w:tcPr>
          <w:p w14:paraId="0921A147"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sz w:val="20"/>
                <w:szCs w:val="20"/>
              </w:rPr>
            </w:pPr>
            <w:r w:rsidRPr="00F547E6">
              <w:rPr>
                <w:rFonts w:asciiTheme="majorBidi" w:hAnsiTheme="majorBidi" w:cstheme="majorBidi"/>
              </w:rPr>
              <w:t>87.6 ± 24.95</w:t>
            </w:r>
          </w:p>
        </w:tc>
        <w:tc>
          <w:tcPr>
            <w:tcW w:w="694" w:type="pct"/>
            <w:vAlign w:val="center"/>
            <w:hideMark/>
          </w:tcPr>
          <w:p w14:paraId="6A34CC7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102.8 ± 8.85</w:t>
            </w:r>
          </w:p>
        </w:tc>
        <w:tc>
          <w:tcPr>
            <w:tcW w:w="639" w:type="pct"/>
            <w:vMerge w:val="restart"/>
            <w:vAlign w:val="center"/>
          </w:tcPr>
          <w:p w14:paraId="06953A3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F=5.58</w:t>
            </w:r>
          </w:p>
        </w:tc>
        <w:tc>
          <w:tcPr>
            <w:tcW w:w="528" w:type="pct"/>
            <w:vMerge w:val="restart"/>
            <w:vAlign w:val="center"/>
          </w:tcPr>
          <w:p w14:paraId="25E6236C"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A65F3F">
              <w:rPr>
                <w:rFonts w:asciiTheme="majorBidi" w:hAnsiTheme="majorBidi" w:cstheme="majorBidi"/>
                <w:b/>
                <w:bCs/>
                <w:sz w:val="20"/>
                <w:szCs w:val="20"/>
              </w:rPr>
              <w:t>0.002*</w:t>
            </w:r>
          </w:p>
          <w:p w14:paraId="08E9B3DD" w14:textId="77777777" w:rsidR="00E63E01" w:rsidRPr="00A65F3F" w:rsidRDefault="00E63E01" w:rsidP="0034709C">
            <w:pPr>
              <w:autoSpaceDE w:val="0"/>
              <w:autoSpaceDN w:val="0"/>
              <w:adjustRightInd w:val="0"/>
              <w:spacing w:line="320" w:lineRule="atLeast"/>
              <w:ind w:right="60"/>
              <w:jc w:val="center"/>
              <w:rPr>
                <w:rFonts w:asciiTheme="majorBidi" w:hAnsiTheme="majorBidi" w:cstheme="majorBidi"/>
                <w:sz w:val="20"/>
                <w:szCs w:val="20"/>
              </w:rPr>
            </w:pPr>
          </w:p>
        </w:tc>
      </w:tr>
      <w:tr w:rsidR="00E63E01" w:rsidRPr="00F547E6" w14:paraId="53914754" w14:textId="77777777" w:rsidTr="005B6E3C">
        <w:trPr>
          <w:trHeight w:val="432"/>
          <w:jc w:val="center"/>
        </w:trPr>
        <w:tc>
          <w:tcPr>
            <w:tcW w:w="1576" w:type="pct"/>
            <w:gridSpan w:val="2"/>
            <w:shd w:val="clear" w:color="auto" w:fill="BFBFBF" w:themeFill="background1" w:themeFillShade="BF"/>
            <w:vAlign w:val="center"/>
          </w:tcPr>
          <w:p w14:paraId="5E81F69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P1</w:t>
            </w:r>
          </w:p>
        </w:tc>
        <w:tc>
          <w:tcPr>
            <w:tcW w:w="782" w:type="pct"/>
            <w:vAlign w:val="center"/>
          </w:tcPr>
          <w:p w14:paraId="3ADEC2E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0.452</w:t>
            </w:r>
          </w:p>
        </w:tc>
        <w:tc>
          <w:tcPr>
            <w:tcW w:w="781" w:type="pct"/>
            <w:vAlign w:val="center"/>
          </w:tcPr>
          <w:p w14:paraId="0EE8A21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0.696</w:t>
            </w:r>
          </w:p>
        </w:tc>
        <w:tc>
          <w:tcPr>
            <w:tcW w:w="694" w:type="pct"/>
            <w:vAlign w:val="center"/>
          </w:tcPr>
          <w:p w14:paraId="0D9E20D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0.001*</w:t>
            </w:r>
          </w:p>
        </w:tc>
        <w:tc>
          <w:tcPr>
            <w:tcW w:w="639" w:type="pct"/>
            <w:vMerge/>
            <w:vAlign w:val="center"/>
          </w:tcPr>
          <w:p w14:paraId="065EE0E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00E7B181"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22866851" w14:textId="77777777" w:rsidTr="005B6E3C">
        <w:trPr>
          <w:trHeight w:val="432"/>
          <w:jc w:val="center"/>
        </w:trPr>
        <w:tc>
          <w:tcPr>
            <w:tcW w:w="2358" w:type="pct"/>
            <w:gridSpan w:val="3"/>
            <w:shd w:val="clear" w:color="auto" w:fill="BFBFBF" w:themeFill="background1" w:themeFillShade="BF"/>
            <w:vAlign w:val="center"/>
          </w:tcPr>
          <w:p w14:paraId="076A347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P2</w:t>
            </w:r>
          </w:p>
        </w:tc>
        <w:tc>
          <w:tcPr>
            <w:tcW w:w="781" w:type="pct"/>
            <w:vAlign w:val="center"/>
          </w:tcPr>
          <w:p w14:paraId="106B7B1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0.981</w:t>
            </w:r>
          </w:p>
        </w:tc>
        <w:tc>
          <w:tcPr>
            <w:tcW w:w="694" w:type="pct"/>
            <w:vAlign w:val="center"/>
          </w:tcPr>
          <w:p w14:paraId="065E149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0.087</w:t>
            </w:r>
          </w:p>
        </w:tc>
        <w:tc>
          <w:tcPr>
            <w:tcW w:w="639" w:type="pct"/>
            <w:vMerge/>
            <w:vAlign w:val="center"/>
          </w:tcPr>
          <w:p w14:paraId="6248F2F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239EEA12"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607E3C68" w14:textId="77777777" w:rsidTr="005B6E3C">
        <w:trPr>
          <w:trHeight w:val="432"/>
          <w:jc w:val="center"/>
        </w:trPr>
        <w:tc>
          <w:tcPr>
            <w:tcW w:w="3139" w:type="pct"/>
            <w:gridSpan w:val="4"/>
            <w:shd w:val="clear" w:color="auto" w:fill="BFBFBF" w:themeFill="background1" w:themeFillShade="BF"/>
            <w:vAlign w:val="center"/>
          </w:tcPr>
          <w:p w14:paraId="195CB29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P3</w:t>
            </w:r>
          </w:p>
        </w:tc>
        <w:tc>
          <w:tcPr>
            <w:tcW w:w="694" w:type="pct"/>
            <w:vAlign w:val="center"/>
          </w:tcPr>
          <w:p w14:paraId="143CD39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0.036*</w:t>
            </w:r>
          </w:p>
        </w:tc>
        <w:tc>
          <w:tcPr>
            <w:tcW w:w="639" w:type="pct"/>
            <w:vMerge/>
            <w:vAlign w:val="center"/>
          </w:tcPr>
          <w:p w14:paraId="7C8DA47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60EC3370"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6E72DEDA" w14:textId="77777777" w:rsidTr="005B6E3C">
        <w:trPr>
          <w:trHeight w:val="432"/>
          <w:jc w:val="center"/>
        </w:trPr>
        <w:tc>
          <w:tcPr>
            <w:tcW w:w="909" w:type="pct"/>
            <w:shd w:val="clear" w:color="auto" w:fill="BFBFBF" w:themeFill="background1" w:themeFillShade="BF"/>
            <w:vAlign w:val="center"/>
            <w:hideMark/>
          </w:tcPr>
          <w:p w14:paraId="65E0511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6" w:name="_Hlk174459147"/>
            <w:r w:rsidRPr="00F547E6">
              <w:rPr>
                <w:rFonts w:asciiTheme="majorBidi" w:hAnsiTheme="majorBidi" w:cstheme="majorBidi"/>
                <w:b/>
                <w:bCs/>
                <w:sz w:val="20"/>
                <w:szCs w:val="20"/>
              </w:rPr>
              <w:t>SBP</w:t>
            </w:r>
            <w:bookmarkEnd w:id="16"/>
            <w:r w:rsidRPr="00F547E6">
              <w:rPr>
                <w:rFonts w:asciiTheme="majorBidi" w:hAnsiTheme="majorBidi" w:cstheme="majorBidi"/>
                <w:b/>
                <w:bCs/>
                <w:sz w:val="20"/>
                <w:szCs w:val="20"/>
              </w:rPr>
              <w:t xml:space="preserve"> </w:t>
            </w:r>
            <w:r w:rsidRPr="00F547E6">
              <w:rPr>
                <w:rFonts w:asciiTheme="majorBidi" w:hAnsiTheme="majorBidi" w:cstheme="majorBidi"/>
                <w:sz w:val="20"/>
                <w:szCs w:val="20"/>
              </w:rPr>
              <w:t>(mm Hg)</w:t>
            </w:r>
          </w:p>
        </w:tc>
        <w:tc>
          <w:tcPr>
            <w:tcW w:w="666" w:type="pct"/>
            <w:vAlign w:val="center"/>
            <w:hideMark/>
          </w:tcPr>
          <w:p w14:paraId="69950F5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120.7 ± 6.46</w:t>
            </w:r>
          </w:p>
        </w:tc>
        <w:tc>
          <w:tcPr>
            <w:tcW w:w="782" w:type="pct"/>
            <w:vAlign w:val="center"/>
            <w:hideMark/>
          </w:tcPr>
          <w:p w14:paraId="1679765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114.2 ± 5.97</w:t>
            </w:r>
          </w:p>
        </w:tc>
        <w:tc>
          <w:tcPr>
            <w:tcW w:w="781" w:type="pct"/>
            <w:vAlign w:val="center"/>
            <w:hideMark/>
          </w:tcPr>
          <w:p w14:paraId="4CBD87E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101.3 ± 7.72</w:t>
            </w:r>
          </w:p>
        </w:tc>
        <w:tc>
          <w:tcPr>
            <w:tcW w:w="694" w:type="pct"/>
            <w:vAlign w:val="center"/>
            <w:hideMark/>
          </w:tcPr>
          <w:p w14:paraId="1E13676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91.7 ± 6.15</w:t>
            </w:r>
          </w:p>
        </w:tc>
        <w:tc>
          <w:tcPr>
            <w:tcW w:w="639" w:type="pct"/>
            <w:vMerge w:val="restart"/>
            <w:vAlign w:val="center"/>
          </w:tcPr>
          <w:p w14:paraId="6972ED5A" w14:textId="77777777" w:rsidR="00E63E01" w:rsidRPr="00F547E6" w:rsidRDefault="00E63E01" w:rsidP="0034709C">
            <w:pPr>
              <w:autoSpaceDE w:val="0"/>
              <w:autoSpaceDN w:val="0"/>
              <w:adjustRightInd w:val="0"/>
              <w:spacing w:line="320" w:lineRule="atLeast"/>
              <w:ind w:left="60" w:right="60"/>
              <w:jc w:val="center"/>
              <w:rPr>
                <w:rFonts w:asciiTheme="majorBidi" w:eastAsia="Calibri" w:hAnsiTheme="majorBidi" w:cstheme="majorBidi"/>
                <w:sz w:val="20"/>
                <w:szCs w:val="20"/>
              </w:rPr>
            </w:pPr>
            <w:r w:rsidRPr="00F547E6">
              <w:rPr>
                <w:rFonts w:asciiTheme="majorBidi" w:eastAsia="Calibri" w:hAnsiTheme="majorBidi" w:cstheme="majorBidi"/>
                <w:sz w:val="20"/>
                <w:szCs w:val="20"/>
              </w:rPr>
              <w:t>F=49.31</w:t>
            </w:r>
          </w:p>
          <w:p w14:paraId="79087719" w14:textId="77777777" w:rsidR="00E63E01" w:rsidRPr="00F547E6" w:rsidRDefault="00E63E01" w:rsidP="0034709C">
            <w:pPr>
              <w:autoSpaceDE w:val="0"/>
              <w:autoSpaceDN w:val="0"/>
              <w:adjustRightInd w:val="0"/>
              <w:spacing w:line="320" w:lineRule="atLeast"/>
              <w:ind w:right="60"/>
              <w:jc w:val="center"/>
              <w:rPr>
                <w:rFonts w:asciiTheme="majorBidi" w:eastAsia="Calibri" w:hAnsiTheme="majorBidi" w:cstheme="majorBidi"/>
                <w:b/>
                <w:bCs/>
                <w:sz w:val="20"/>
                <w:szCs w:val="20"/>
              </w:rPr>
            </w:pPr>
          </w:p>
          <w:p w14:paraId="54CDFF61" w14:textId="77777777" w:rsidR="00E63E01" w:rsidRPr="00F547E6" w:rsidRDefault="00E63E01" w:rsidP="0034709C">
            <w:pPr>
              <w:autoSpaceDE w:val="0"/>
              <w:autoSpaceDN w:val="0"/>
              <w:adjustRightInd w:val="0"/>
              <w:spacing w:line="320" w:lineRule="atLeast"/>
              <w:ind w:left="60" w:right="60"/>
              <w:jc w:val="center"/>
              <w:rPr>
                <w:rFonts w:asciiTheme="majorBidi" w:eastAsia="Calibri" w:hAnsiTheme="majorBidi" w:cstheme="majorBidi"/>
                <w:b/>
                <w:bCs/>
                <w:sz w:val="20"/>
                <w:szCs w:val="20"/>
              </w:rPr>
            </w:pPr>
          </w:p>
        </w:tc>
        <w:tc>
          <w:tcPr>
            <w:tcW w:w="528" w:type="pct"/>
            <w:vMerge w:val="restart"/>
            <w:vAlign w:val="center"/>
          </w:tcPr>
          <w:p w14:paraId="7DCB0B78" w14:textId="77777777" w:rsidR="00E63E01" w:rsidRPr="00A65F3F" w:rsidRDefault="00E63E01" w:rsidP="0034709C">
            <w:pPr>
              <w:autoSpaceDE w:val="0"/>
              <w:autoSpaceDN w:val="0"/>
              <w:adjustRightInd w:val="0"/>
              <w:spacing w:line="320" w:lineRule="atLeast"/>
              <w:ind w:left="60" w:right="60"/>
              <w:jc w:val="center"/>
              <w:rPr>
                <w:rFonts w:asciiTheme="majorBidi" w:eastAsia="Calibri" w:hAnsiTheme="majorBidi" w:cstheme="majorBidi"/>
                <w:b/>
                <w:bCs/>
                <w:sz w:val="20"/>
                <w:szCs w:val="20"/>
              </w:rPr>
            </w:pPr>
            <w:r w:rsidRPr="00A65F3F">
              <w:rPr>
                <w:rFonts w:asciiTheme="majorBidi" w:eastAsia="Calibri" w:hAnsiTheme="majorBidi" w:cstheme="majorBidi"/>
                <w:b/>
                <w:bCs/>
                <w:sz w:val="20"/>
                <w:szCs w:val="20"/>
              </w:rPr>
              <w:t>&lt;0.001*</w:t>
            </w:r>
          </w:p>
          <w:p w14:paraId="7183F5A0" w14:textId="77777777" w:rsidR="00E63E01" w:rsidRPr="00A65F3F" w:rsidRDefault="00E63E01" w:rsidP="0034709C">
            <w:pPr>
              <w:autoSpaceDE w:val="0"/>
              <w:autoSpaceDN w:val="0"/>
              <w:adjustRightInd w:val="0"/>
              <w:spacing w:line="320" w:lineRule="atLeast"/>
              <w:ind w:left="60" w:right="60"/>
              <w:jc w:val="center"/>
              <w:rPr>
                <w:rFonts w:asciiTheme="majorBidi" w:eastAsia="Calibri" w:hAnsiTheme="majorBidi" w:cstheme="majorBidi"/>
                <w:b/>
                <w:bCs/>
                <w:sz w:val="20"/>
                <w:szCs w:val="20"/>
              </w:rPr>
            </w:pPr>
          </w:p>
        </w:tc>
      </w:tr>
      <w:tr w:rsidR="00E63E01" w:rsidRPr="00F547E6" w14:paraId="496A7578" w14:textId="77777777" w:rsidTr="005B6E3C">
        <w:trPr>
          <w:trHeight w:val="432"/>
          <w:jc w:val="center"/>
        </w:trPr>
        <w:tc>
          <w:tcPr>
            <w:tcW w:w="1576" w:type="pct"/>
            <w:gridSpan w:val="2"/>
            <w:shd w:val="clear" w:color="auto" w:fill="BFBFBF" w:themeFill="background1" w:themeFillShade="BF"/>
            <w:vAlign w:val="center"/>
          </w:tcPr>
          <w:p w14:paraId="47DC486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P1</w:t>
            </w:r>
          </w:p>
        </w:tc>
        <w:tc>
          <w:tcPr>
            <w:tcW w:w="782" w:type="pct"/>
            <w:vAlign w:val="center"/>
          </w:tcPr>
          <w:p w14:paraId="68D29752"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rPr>
              <w:t>0.070</w:t>
            </w:r>
          </w:p>
        </w:tc>
        <w:tc>
          <w:tcPr>
            <w:tcW w:w="781" w:type="pct"/>
            <w:vAlign w:val="center"/>
          </w:tcPr>
          <w:p w14:paraId="720400F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1EA5542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479A28F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002292E8"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1CAA195" w14:textId="77777777" w:rsidTr="005B6E3C">
        <w:trPr>
          <w:trHeight w:val="432"/>
          <w:jc w:val="center"/>
        </w:trPr>
        <w:tc>
          <w:tcPr>
            <w:tcW w:w="2358" w:type="pct"/>
            <w:gridSpan w:val="3"/>
            <w:shd w:val="clear" w:color="auto" w:fill="BFBFBF" w:themeFill="background1" w:themeFillShade="BF"/>
            <w:vAlign w:val="center"/>
          </w:tcPr>
          <w:p w14:paraId="1429565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P2</w:t>
            </w:r>
          </w:p>
        </w:tc>
        <w:tc>
          <w:tcPr>
            <w:tcW w:w="781" w:type="pct"/>
            <w:vAlign w:val="center"/>
          </w:tcPr>
          <w:p w14:paraId="10E2E08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6ACBDA4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2982BE9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17D5D7F5"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00B6DA3B" w14:textId="77777777" w:rsidTr="005B6E3C">
        <w:trPr>
          <w:trHeight w:val="432"/>
          <w:jc w:val="center"/>
        </w:trPr>
        <w:tc>
          <w:tcPr>
            <w:tcW w:w="3139" w:type="pct"/>
            <w:gridSpan w:val="4"/>
            <w:shd w:val="clear" w:color="auto" w:fill="BFBFBF" w:themeFill="background1" w:themeFillShade="BF"/>
            <w:vAlign w:val="center"/>
          </w:tcPr>
          <w:p w14:paraId="55A580D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sz w:val="20"/>
                <w:szCs w:val="20"/>
              </w:rPr>
              <w:t>P3</w:t>
            </w:r>
          </w:p>
        </w:tc>
        <w:tc>
          <w:tcPr>
            <w:tcW w:w="694" w:type="pct"/>
            <w:vAlign w:val="center"/>
          </w:tcPr>
          <w:p w14:paraId="494D467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0.005*</w:t>
            </w:r>
          </w:p>
        </w:tc>
        <w:tc>
          <w:tcPr>
            <w:tcW w:w="639" w:type="pct"/>
            <w:vMerge/>
            <w:vAlign w:val="center"/>
          </w:tcPr>
          <w:p w14:paraId="3494820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404DB8C9"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40D5370E" w14:textId="77777777" w:rsidTr="005B6E3C">
        <w:trPr>
          <w:trHeight w:val="432"/>
          <w:jc w:val="center"/>
        </w:trPr>
        <w:tc>
          <w:tcPr>
            <w:tcW w:w="909" w:type="pct"/>
            <w:shd w:val="clear" w:color="auto" w:fill="BFBFBF" w:themeFill="background1" w:themeFillShade="BF"/>
            <w:vAlign w:val="center"/>
            <w:hideMark/>
          </w:tcPr>
          <w:p w14:paraId="01DEA96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7" w:name="_Hlk174459972"/>
            <w:r w:rsidRPr="00F547E6">
              <w:rPr>
                <w:rFonts w:asciiTheme="majorBidi" w:hAnsiTheme="majorBidi" w:cstheme="majorBidi"/>
                <w:b/>
                <w:bCs/>
                <w:sz w:val="20"/>
                <w:szCs w:val="20"/>
              </w:rPr>
              <w:t>ESR</w:t>
            </w:r>
            <w:bookmarkEnd w:id="17"/>
            <w:r w:rsidRPr="00F547E6">
              <w:rPr>
                <w:rFonts w:asciiTheme="majorBidi" w:hAnsiTheme="majorBidi" w:cstheme="majorBidi"/>
                <w:b/>
                <w:bCs/>
                <w:sz w:val="20"/>
                <w:szCs w:val="20"/>
              </w:rPr>
              <w:t xml:space="preserve"> </w:t>
            </w:r>
            <w:r w:rsidRPr="00F547E6">
              <w:rPr>
                <w:rFonts w:asciiTheme="majorBidi" w:hAnsiTheme="majorBidi" w:cstheme="majorBidi"/>
                <w:sz w:val="20"/>
                <w:szCs w:val="20"/>
              </w:rPr>
              <w:t>(mm/hr)</w:t>
            </w:r>
          </w:p>
        </w:tc>
        <w:tc>
          <w:tcPr>
            <w:tcW w:w="666" w:type="pct"/>
            <w:vAlign w:val="center"/>
            <w:hideMark/>
          </w:tcPr>
          <w:p w14:paraId="5616A9F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29.9 ± 5.37</w:t>
            </w:r>
          </w:p>
        </w:tc>
        <w:tc>
          <w:tcPr>
            <w:tcW w:w="782" w:type="pct"/>
            <w:vAlign w:val="center"/>
            <w:hideMark/>
          </w:tcPr>
          <w:p w14:paraId="3E8264B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48 ± 3.67</w:t>
            </w:r>
          </w:p>
        </w:tc>
        <w:tc>
          <w:tcPr>
            <w:tcW w:w="781" w:type="pct"/>
            <w:vAlign w:val="center"/>
            <w:hideMark/>
          </w:tcPr>
          <w:p w14:paraId="2B5FA49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84.6 ± 5.32</w:t>
            </w:r>
          </w:p>
        </w:tc>
        <w:tc>
          <w:tcPr>
            <w:tcW w:w="694" w:type="pct"/>
            <w:vAlign w:val="center"/>
            <w:hideMark/>
          </w:tcPr>
          <w:p w14:paraId="0F3B01D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90.7 ± 3.89</w:t>
            </w:r>
          </w:p>
        </w:tc>
        <w:tc>
          <w:tcPr>
            <w:tcW w:w="639" w:type="pct"/>
            <w:vMerge w:val="restart"/>
            <w:vAlign w:val="center"/>
          </w:tcPr>
          <w:p w14:paraId="65C250A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F=501.66</w:t>
            </w:r>
          </w:p>
        </w:tc>
        <w:tc>
          <w:tcPr>
            <w:tcW w:w="528" w:type="pct"/>
            <w:vMerge w:val="restart"/>
            <w:vAlign w:val="center"/>
          </w:tcPr>
          <w:p w14:paraId="6A9DBFD5" w14:textId="77777777" w:rsidR="00E63E01" w:rsidRPr="00A65F3F"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A65F3F">
              <w:rPr>
                <w:rFonts w:asciiTheme="majorBidi" w:hAnsiTheme="majorBidi" w:cstheme="majorBidi"/>
                <w:b/>
                <w:bCs/>
                <w:sz w:val="20"/>
                <w:szCs w:val="20"/>
              </w:rPr>
              <w:t>&lt;0.001*</w:t>
            </w:r>
          </w:p>
        </w:tc>
      </w:tr>
      <w:tr w:rsidR="00E63E01" w:rsidRPr="00F547E6" w14:paraId="380B55AC" w14:textId="77777777" w:rsidTr="005B6E3C">
        <w:trPr>
          <w:trHeight w:val="432"/>
          <w:jc w:val="center"/>
        </w:trPr>
        <w:tc>
          <w:tcPr>
            <w:tcW w:w="1576" w:type="pct"/>
            <w:gridSpan w:val="2"/>
            <w:shd w:val="clear" w:color="auto" w:fill="BFBFBF" w:themeFill="background1" w:themeFillShade="BF"/>
            <w:vAlign w:val="center"/>
          </w:tcPr>
          <w:p w14:paraId="4EADE46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P1</w:t>
            </w:r>
          </w:p>
        </w:tc>
        <w:tc>
          <w:tcPr>
            <w:tcW w:w="782" w:type="pct"/>
            <w:vAlign w:val="center"/>
          </w:tcPr>
          <w:p w14:paraId="00205F3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74F0CCD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54EF3F7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9631EC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6AA0DB5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20079A12" w14:textId="77777777" w:rsidTr="005B6E3C">
        <w:trPr>
          <w:trHeight w:val="432"/>
          <w:jc w:val="center"/>
        </w:trPr>
        <w:tc>
          <w:tcPr>
            <w:tcW w:w="2358" w:type="pct"/>
            <w:gridSpan w:val="3"/>
            <w:shd w:val="clear" w:color="auto" w:fill="BFBFBF" w:themeFill="background1" w:themeFillShade="BF"/>
            <w:vAlign w:val="center"/>
          </w:tcPr>
          <w:p w14:paraId="25E282C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P2</w:t>
            </w:r>
          </w:p>
        </w:tc>
        <w:tc>
          <w:tcPr>
            <w:tcW w:w="781" w:type="pct"/>
            <w:vAlign w:val="center"/>
          </w:tcPr>
          <w:p w14:paraId="7DBEBC5D"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&lt;0.001*</w:t>
            </w:r>
          </w:p>
        </w:tc>
        <w:tc>
          <w:tcPr>
            <w:tcW w:w="694" w:type="pct"/>
            <w:vAlign w:val="center"/>
          </w:tcPr>
          <w:p w14:paraId="194D39F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42B58E1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4A18447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6E63B9FE" w14:textId="77777777" w:rsidTr="005B6E3C">
        <w:trPr>
          <w:trHeight w:val="432"/>
          <w:jc w:val="center"/>
        </w:trPr>
        <w:tc>
          <w:tcPr>
            <w:tcW w:w="3139" w:type="pct"/>
            <w:gridSpan w:val="4"/>
            <w:shd w:val="clear" w:color="auto" w:fill="BFBFBF" w:themeFill="background1" w:themeFillShade="BF"/>
            <w:vAlign w:val="center"/>
          </w:tcPr>
          <w:p w14:paraId="5EAE5C4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P3</w:t>
            </w:r>
          </w:p>
        </w:tc>
        <w:tc>
          <w:tcPr>
            <w:tcW w:w="694" w:type="pct"/>
            <w:vAlign w:val="center"/>
          </w:tcPr>
          <w:p w14:paraId="62173BC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rPr>
            </w:pPr>
            <w:r w:rsidRPr="00F547E6">
              <w:rPr>
                <w:rFonts w:asciiTheme="majorBidi" w:hAnsiTheme="majorBidi" w:cstheme="majorBidi"/>
                <w:b/>
                <w:bCs/>
              </w:rPr>
              <w:t>0.013*</w:t>
            </w:r>
          </w:p>
        </w:tc>
        <w:tc>
          <w:tcPr>
            <w:tcW w:w="639" w:type="pct"/>
            <w:vMerge/>
            <w:vAlign w:val="center"/>
          </w:tcPr>
          <w:p w14:paraId="305C2FC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5BA1EF3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72B8A7ED" w14:textId="77777777" w:rsidTr="005B6E3C">
        <w:trPr>
          <w:trHeight w:val="432"/>
          <w:jc w:val="center"/>
        </w:trPr>
        <w:tc>
          <w:tcPr>
            <w:tcW w:w="909" w:type="pct"/>
            <w:shd w:val="clear" w:color="auto" w:fill="BFBFBF" w:themeFill="background1" w:themeFillShade="BF"/>
            <w:vAlign w:val="center"/>
            <w:hideMark/>
          </w:tcPr>
          <w:p w14:paraId="02E3466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8" w:name="_Hlk174460141"/>
            <w:r w:rsidRPr="00F547E6">
              <w:rPr>
                <w:rFonts w:asciiTheme="majorBidi" w:hAnsiTheme="majorBidi" w:cstheme="majorBidi"/>
                <w:b/>
                <w:bCs/>
                <w:sz w:val="20"/>
                <w:szCs w:val="20"/>
              </w:rPr>
              <w:t>CRP</w:t>
            </w:r>
            <w:bookmarkEnd w:id="18"/>
            <w:r w:rsidRPr="00F547E6">
              <w:rPr>
                <w:rFonts w:asciiTheme="majorBidi" w:hAnsiTheme="majorBidi" w:cstheme="majorBidi"/>
                <w:b/>
                <w:bCs/>
                <w:sz w:val="20"/>
                <w:szCs w:val="20"/>
              </w:rPr>
              <w:t xml:space="preserve"> </w:t>
            </w:r>
            <w:r w:rsidRPr="00F547E6">
              <w:rPr>
                <w:rFonts w:asciiTheme="majorBidi" w:hAnsiTheme="majorBidi" w:cstheme="majorBidi"/>
                <w:sz w:val="20"/>
                <w:szCs w:val="20"/>
              </w:rPr>
              <w:t>(mg/L)</w:t>
            </w:r>
          </w:p>
        </w:tc>
        <w:tc>
          <w:tcPr>
            <w:tcW w:w="666" w:type="pct"/>
            <w:vAlign w:val="center"/>
            <w:hideMark/>
          </w:tcPr>
          <w:p w14:paraId="640FA983"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sz w:val="20"/>
                <w:szCs w:val="20"/>
              </w:rPr>
            </w:pPr>
            <w:r w:rsidRPr="00F547E6">
              <w:rPr>
                <w:rFonts w:asciiTheme="majorBidi" w:hAnsiTheme="majorBidi" w:cstheme="majorBidi"/>
              </w:rPr>
              <w:t>12 ± 2.57</w:t>
            </w:r>
          </w:p>
        </w:tc>
        <w:tc>
          <w:tcPr>
            <w:tcW w:w="782" w:type="pct"/>
            <w:vAlign w:val="center"/>
            <w:hideMark/>
          </w:tcPr>
          <w:p w14:paraId="47E70239"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sz w:val="20"/>
                <w:szCs w:val="20"/>
              </w:rPr>
            </w:pPr>
            <w:r w:rsidRPr="00F547E6">
              <w:rPr>
                <w:rFonts w:asciiTheme="majorBidi" w:hAnsiTheme="majorBidi" w:cstheme="majorBidi"/>
              </w:rPr>
              <w:t>29.2 ± 4.47</w:t>
            </w:r>
          </w:p>
        </w:tc>
        <w:tc>
          <w:tcPr>
            <w:tcW w:w="781" w:type="pct"/>
            <w:vAlign w:val="center"/>
            <w:hideMark/>
          </w:tcPr>
          <w:p w14:paraId="044D2A5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69.4 ± 5.12</w:t>
            </w:r>
          </w:p>
        </w:tc>
        <w:tc>
          <w:tcPr>
            <w:tcW w:w="694" w:type="pct"/>
            <w:vAlign w:val="center"/>
            <w:hideMark/>
          </w:tcPr>
          <w:p w14:paraId="1F5CFE3B" w14:textId="77777777" w:rsidR="00E63E01" w:rsidRPr="00F547E6" w:rsidRDefault="00E63E01" w:rsidP="0034709C">
            <w:pPr>
              <w:jc w:val="center"/>
              <w:rPr>
                <w:rFonts w:asciiTheme="majorBidi" w:hAnsiTheme="majorBidi" w:cstheme="majorBidi"/>
                <w:sz w:val="20"/>
                <w:szCs w:val="20"/>
              </w:rPr>
            </w:pPr>
            <w:r w:rsidRPr="00F547E6">
              <w:rPr>
                <w:rFonts w:asciiTheme="majorBidi" w:hAnsiTheme="majorBidi" w:cstheme="majorBidi"/>
              </w:rPr>
              <w:t>90.6 ± 4.6</w:t>
            </w:r>
          </w:p>
        </w:tc>
        <w:tc>
          <w:tcPr>
            <w:tcW w:w="639" w:type="pct"/>
            <w:vMerge w:val="restart"/>
            <w:vAlign w:val="center"/>
          </w:tcPr>
          <w:p w14:paraId="4D91D5A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F=919.73</w:t>
            </w:r>
          </w:p>
        </w:tc>
        <w:tc>
          <w:tcPr>
            <w:tcW w:w="528" w:type="pct"/>
            <w:vMerge w:val="restart"/>
            <w:vAlign w:val="center"/>
          </w:tcPr>
          <w:p w14:paraId="6EBD642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&lt;0.001*</w:t>
            </w:r>
          </w:p>
        </w:tc>
      </w:tr>
      <w:tr w:rsidR="00E63E01" w:rsidRPr="00F547E6" w14:paraId="479C4361" w14:textId="77777777" w:rsidTr="005B6E3C">
        <w:trPr>
          <w:trHeight w:val="432"/>
          <w:jc w:val="center"/>
        </w:trPr>
        <w:tc>
          <w:tcPr>
            <w:tcW w:w="1576" w:type="pct"/>
            <w:gridSpan w:val="2"/>
            <w:shd w:val="clear" w:color="auto" w:fill="BFBFBF" w:themeFill="background1" w:themeFillShade="BF"/>
            <w:vAlign w:val="center"/>
          </w:tcPr>
          <w:p w14:paraId="310F14ED"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rPr>
            </w:pPr>
            <w:r w:rsidRPr="00F547E6">
              <w:rPr>
                <w:rFonts w:asciiTheme="majorBidi" w:hAnsiTheme="majorBidi" w:cstheme="majorBidi"/>
                <w:b/>
                <w:bCs/>
              </w:rPr>
              <w:t>P1</w:t>
            </w:r>
          </w:p>
        </w:tc>
        <w:tc>
          <w:tcPr>
            <w:tcW w:w="782" w:type="pct"/>
            <w:vAlign w:val="center"/>
          </w:tcPr>
          <w:p w14:paraId="2AA29C3E"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3B50CFB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263C729F"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80615E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1C82239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330FA715" w14:textId="77777777" w:rsidTr="005B6E3C">
        <w:trPr>
          <w:trHeight w:val="432"/>
          <w:jc w:val="center"/>
        </w:trPr>
        <w:tc>
          <w:tcPr>
            <w:tcW w:w="2358" w:type="pct"/>
            <w:gridSpan w:val="3"/>
            <w:shd w:val="clear" w:color="auto" w:fill="BFBFBF" w:themeFill="background1" w:themeFillShade="BF"/>
            <w:vAlign w:val="center"/>
          </w:tcPr>
          <w:p w14:paraId="50D1ACD0" w14:textId="77777777" w:rsidR="00E63E01" w:rsidRPr="00F547E6" w:rsidRDefault="00E63E01" w:rsidP="0034709C">
            <w:pPr>
              <w:autoSpaceDE w:val="0"/>
              <w:autoSpaceDN w:val="0"/>
              <w:adjustRightInd w:val="0"/>
              <w:spacing w:line="320" w:lineRule="atLeast"/>
              <w:ind w:right="60"/>
              <w:jc w:val="center"/>
              <w:rPr>
                <w:rFonts w:asciiTheme="majorBidi" w:hAnsiTheme="majorBidi" w:cstheme="majorBidi"/>
              </w:rPr>
            </w:pPr>
            <w:r w:rsidRPr="00F547E6">
              <w:rPr>
                <w:rFonts w:asciiTheme="majorBidi" w:hAnsiTheme="majorBidi" w:cstheme="majorBidi"/>
                <w:b/>
                <w:bCs/>
              </w:rPr>
              <w:t>P2</w:t>
            </w:r>
          </w:p>
        </w:tc>
        <w:tc>
          <w:tcPr>
            <w:tcW w:w="781" w:type="pct"/>
            <w:vAlign w:val="center"/>
          </w:tcPr>
          <w:p w14:paraId="16DF99D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1B1D33EF"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4A5E0A1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14B65CB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31EF78FF" w14:textId="77777777" w:rsidTr="005B6E3C">
        <w:trPr>
          <w:trHeight w:val="432"/>
          <w:jc w:val="center"/>
        </w:trPr>
        <w:tc>
          <w:tcPr>
            <w:tcW w:w="3139" w:type="pct"/>
            <w:gridSpan w:val="4"/>
            <w:shd w:val="clear" w:color="auto" w:fill="BFBFBF" w:themeFill="background1" w:themeFillShade="BF"/>
            <w:vAlign w:val="center"/>
          </w:tcPr>
          <w:p w14:paraId="7A8998D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P3</w:t>
            </w:r>
          </w:p>
        </w:tc>
        <w:tc>
          <w:tcPr>
            <w:tcW w:w="694" w:type="pct"/>
            <w:vAlign w:val="center"/>
          </w:tcPr>
          <w:p w14:paraId="0BBA0DA9"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BAAC8D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61E8902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10002EA3" w14:textId="77777777" w:rsidTr="005B6E3C">
        <w:trPr>
          <w:trHeight w:val="432"/>
          <w:jc w:val="center"/>
        </w:trPr>
        <w:tc>
          <w:tcPr>
            <w:tcW w:w="909" w:type="pct"/>
            <w:shd w:val="clear" w:color="auto" w:fill="BFBFBF" w:themeFill="background1" w:themeFillShade="BF"/>
            <w:vAlign w:val="center"/>
            <w:hideMark/>
          </w:tcPr>
          <w:p w14:paraId="4B018B0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19" w:name="_Hlk174460294"/>
            <w:r w:rsidRPr="00F547E6">
              <w:rPr>
                <w:rFonts w:asciiTheme="majorBidi" w:hAnsiTheme="majorBidi" w:cstheme="majorBidi"/>
                <w:b/>
                <w:bCs/>
                <w:sz w:val="20"/>
                <w:szCs w:val="20"/>
              </w:rPr>
              <w:t xml:space="preserve">Ferritin </w:t>
            </w:r>
            <w:bookmarkEnd w:id="19"/>
            <w:r w:rsidRPr="00F547E6">
              <w:rPr>
                <w:rFonts w:asciiTheme="majorBidi" w:hAnsiTheme="majorBidi" w:cstheme="majorBidi"/>
                <w:sz w:val="20"/>
                <w:szCs w:val="20"/>
              </w:rPr>
              <w:t>(ng/mL)</w:t>
            </w:r>
          </w:p>
        </w:tc>
        <w:tc>
          <w:tcPr>
            <w:tcW w:w="666" w:type="pct"/>
            <w:vAlign w:val="center"/>
            <w:hideMark/>
          </w:tcPr>
          <w:p w14:paraId="153F74D2"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123.4 ± 8.1</w:t>
            </w:r>
          </w:p>
        </w:tc>
        <w:tc>
          <w:tcPr>
            <w:tcW w:w="782" w:type="pct"/>
            <w:vAlign w:val="center"/>
            <w:hideMark/>
          </w:tcPr>
          <w:p w14:paraId="3E7157A2"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296.4 ± 12.86</w:t>
            </w:r>
          </w:p>
        </w:tc>
        <w:tc>
          <w:tcPr>
            <w:tcW w:w="781" w:type="pct"/>
            <w:vAlign w:val="center"/>
            <w:hideMark/>
          </w:tcPr>
          <w:p w14:paraId="1D3BB64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366.6 ± 13.4</w:t>
            </w:r>
          </w:p>
        </w:tc>
        <w:tc>
          <w:tcPr>
            <w:tcW w:w="694" w:type="pct"/>
            <w:vAlign w:val="center"/>
            <w:hideMark/>
          </w:tcPr>
          <w:p w14:paraId="16CD5049" w14:textId="77777777" w:rsidR="00E63E01" w:rsidRPr="00F547E6" w:rsidRDefault="00E63E01" w:rsidP="0034709C">
            <w:pPr>
              <w:jc w:val="center"/>
              <w:rPr>
                <w:rFonts w:asciiTheme="majorBidi" w:hAnsiTheme="majorBidi" w:cstheme="majorBidi"/>
                <w:sz w:val="20"/>
                <w:szCs w:val="20"/>
              </w:rPr>
            </w:pPr>
            <w:r w:rsidRPr="00F547E6">
              <w:rPr>
                <w:rFonts w:asciiTheme="majorBidi" w:hAnsiTheme="majorBidi" w:cstheme="majorBidi"/>
              </w:rPr>
              <w:t>578.3 ± 21.88</w:t>
            </w:r>
          </w:p>
        </w:tc>
        <w:tc>
          <w:tcPr>
            <w:tcW w:w="639" w:type="pct"/>
            <w:vMerge w:val="restart"/>
            <w:vAlign w:val="center"/>
          </w:tcPr>
          <w:p w14:paraId="5D8DCFB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F=2114.53</w:t>
            </w:r>
          </w:p>
        </w:tc>
        <w:tc>
          <w:tcPr>
            <w:tcW w:w="528" w:type="pct"/>
            <w:vMerge w:val="restart"/>
            <w:vAlign w:val="center"/>
          </w:tcPr>
          <w:p w14:paraId="24669F7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&lt;0.001*</w:t>
            </w:r>
          </w:p>
        </w:tc>
      </w:tr>
      <w:tr w:rsidR="00E63E01" w:rsidRPr="00F547E6" w14:paraId="10816A79" w14:textId="77777777" w:rsidTr="005B6E3C">
        <w:trPr>
          <w:trHeight w:val="432"/>
          <w:jc w:val="center"/>
        </w:trPr>
        <w:tc>
          <w:tcPr>
            <w:tcW w:w="1576" w:type="pct"/>
            <w:gridSpan w:val="2"/>
            <w:shd w:val="clear" w:color="auto" w:fill="BFBFBF" w:themeFill="background1" w:themeFillShade="BF"/>
            <w:vAlign w:val="center"/>
          </w:tcPr>
          <w:p w14:paraId="7209E29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P1</w:t>
            </w:r>
          </w:p>
        </w:tc>
        <w:tc>
          <w:tcPr>
            <w:tcW w:w="782" w:type="pct"/>
            <w:vAlign w:val="center"/>
          </w:tcPr>
          <w:p w14:paraId="0047216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43D98F8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0C64652C"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028A082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0467785E"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2787DA2F" w14:textId="77777777" w:rsidTr="005B6E3C">
        <w:trPr>
          <w:trHeight w:val="432"/>
          <w:jc w:val="center"/>
        </w:trPr>
        <w:tc>
          <w:tcPr>
            <w:tcW w:w="2358" w:type="pct"/>
            <w:gridSpan w:val="3"/>
            <w:shd w:val="clear" w:color="auto" w:fill="BFBFBF" w:themeFill="background1" w:themeFillShade="BF"/>
            <w:vAlign w:val="center"/>
          </w:tcPr>
          <w:p w14:paraId="4FDE508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P2</w:t>
            </w:r>
          </w:p>
        </w:tc>
        <w:tc>
          <w:tcPr>
            <w:tcW w:w="781" w:type="pct"/>
            <w:vAlign w:val="center"/>
          </w:tcPr>
          <w:p w14:paraId="1EC43EE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69AEA6DE"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6C448942"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1C52976C"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44D78F05" w14:textId="77777777" w:rsidTr="005B6E3C">
        <w:trPr>
          <w:trHeight w:val="432"/>
          <w:jc w:val="center"/>
        </w:trPr>
        <w:tc>
          <w:tcPr>
            <w:tcW w:w="3139" w:type="pct"/>
            <w:gridSpan w:val="4"/>
            <w:shd w:val="clear" w:color="auto" w:fill="BFBFBF" w:themeFill="background1" w:themeFillShade="BF"/>
            <w:vAlign w:val="center"/>
          </w:tcPr>
          <w:p w14:paraId="21CA0FA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P3</w:t>
            </w:r>
          </w:p>
        </w:tc>
        <w:tc>
          <w:tcPr>
            <w:tcW w:w="694" w:type="pct"/>
            <w:vAlign w:val="center"/>
          </w:tcPr>
          <w:p w14:paraId="5FC70D39"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2532D3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p>
        </w:tc>
        <w:tc>
          <w:tcPr>
            <w:tcW w:w="528" w:type="pct"/>
            <w:vMerge/>
            <w:vAlign w:val="center"/>
          </w:tcPr>
          <w:p w14:paraId="7BFA1A8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5F4B122B" w14:textId="77777777" w:rsidTr="005B6E3C">
        <w:trPr>
          <w:trHeight w:val="432"/>
          <w:jc w:val="center"/>
        </w:trPr>
        <w:tc>
          <w:tcPr>
            <w:tcW w:w="909" w:type="pct"/>
            <w:shd w:val="clear" w:color="auto" w:fill="BFBFBF" w:themeFill="background1" w:themeFillShade="BF"/>
            <w:vAlign w:val="center"/>
            <w:hideMark/>
          </w:tcPr>
          <w:p w14:paraId="1C9689A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bookmarkStart w:id="20" w:name="_Hlk174519572"/>
            <w:r w:rsidRPr="00F547E6">
              <w:rPr>
                <w:rFonts w:asciiTheme="majorBidi" w:hAnsiTheme="majorBidi" w:cstheme="majorBidi"/>
                <w:b/>
                <w:bCs/>
                <w:sz w:val="20"/>
                <w:szCs w:val="20"/>
              </w:rPr>
              <w:t xml:space="preserve">D-Dimer </w:t>
            </w:r>
            <w:bookmarkEnd w:id="20"/>
            <w:r w:rsidRPr="00F547E6">
              <w:rPr>
                <w:rFonts w:asciiTheme="majorBidi" w:hAnsiTheme="majorBidi" w:cstheme="majorBidi"/>
                <w:sz w:val="20"/>
                <w:szCs w:val="20"/>
              </w:rPr>
              <w:t>(ng/mL)</w:t>
            </w:r>
          </w:p>
        </w:tc>
        <w:tc>
          <w:tcPr>
            <w:tcW w:w="666" w:type="pct"/>
            <w:vAlign w:val="center"/>
            <w:hideMark/>
          </w:tcPr>
          <w:p w14:paraId="562BDFE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173 ± 13.78</w:t>
            </w:r>
          </w:p>
        </w:tc>
        <w:tc>
          <w:tcPr>
            <w:tcW w:w="782" w:type="pct"/>
            <w:vAlign w:val="center"/>
            <w:hideMark/>
          </w:tcPr>
          <w:p w14:paraId="6C38792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288.1 ± 12.2</w:t>
            </w:r>
          </w:p>
        </w:tc>
        <w:tc>
          <w:tcPr>
            <w:tcW w:w="781" w:type="pct"/>
            <w:vAlign w:val="center"/>
            <w:hideMark/>
          </w:tcPr>
          <w:p w14:paraId="4D8CB2C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rPr>
              <w:t>388.8 ± 19.92</w:t>
            </w:r>
          </w:p>
        </w:tc>
        <w:tc>
          <w:tcPr>
            <w:tcW w:w="694" w:type="pct"/>
            <w:vAlign w:val="center"/>
            <w:hideMark/>
          </w:tcPr>
          <w:p w14:paraId="29B31519" w14:textId="77777777" w:rsidR="00E63E01" w:rsidRPr="00F547E6" w:rsidRDefault="00E63E01" w:rsidP="0034709C">
            <w:pPr>
              <w:jc w:val="center"/>
              <w:rPr>
                <w:rFonts w:asciiTheme="majorBidi" w:hAnsiTheme="majorBidi" w:cstheme="majorBidi"/>
                <w:sz w:val="20"/>
                <w:szCs w:val="20"/>
              </w:rPr>
            </w:pPr>
            <w:r w:rsidRPr="00F547E6">
              <w:rPr>
                <w:rFonts w:asciiTheme="majorBidi" w:hAnsiTheme="majorBidi" w:cstheme="majorBidi"/>
              </w:rPr>
              <w:t>462.2 ± 17.3</w:t>
            </w:r>
          </w:p>
        </w:tc>
        <w:tc>
          <w:tcPr>
            <w:tcW w:w="639" w:type="pct"/>
            <w:vMerge w:val="restart"/>
            <w:vAlign w:val="center"/>
          </w:tcPr>
          <w:p w14:paraId="563D184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F=800.25</w:t>
            </w:r>
          </w:p>
          <w:p w14:paraId="00D93E7A"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restart"/>
            <w:vAlign w:val="center"/>
          </w:tcPr>
          <w:p w14:paraId="293E8A4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&lt;0.001*</w:t>
            </w:r>
          </w:p>
        </w:tc>
      </w:tr>
      <w:tr w:rsidR="00E63E01" w:rsidRPr="00F547E6" w14:paraId="5CDC1B13" w14:textId="77777777" w:rsidTr="005B6E3C">
        <w:trPr>
          <w:trHeight w:val="432"/>
          <w:jc w:val="center"/>
        </w:trPr>
        <w:tc>
          <w:tcPr>
            <w:tcW w:w="1576" w:type="pct"/>
            <w:gridSpan w:val="2"/>
            <w:shd w:val="clear" w:color="auto" w:fill="BFBFBF" w:themeFill="background1" w:themeFillShade="BF"/>
            <w:vAlign w:val="center"/>
          </w:tcPr>
          <w:p w14:paraId="5E04DB3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P1</w:t>
            </w:r>
          </w:p>
        </w:tc>
        <w:tc>
          <w:tcPr>
            <w:tcW w:w="782" w:type="pct"/>
            <w:vAlign w:val="center"/>
          </w:tcPr>
          <w:p w14:paraId="7B59C79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3E4B793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7076598B"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07562189"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ign w:val="center"/>
          </w:tcPr>
          <w:p w14:paraId="0E5137F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5FAA642F" w14:textId="77777777" w:rsidTr="005B6E3C">
        <w:trPr>
          <w:trHeight w:val="432"/>
          <w:jc w:val="center"/>
        </w:trPr>
        <w:tc>
          <w:tcPr>
            <w:tcW w:w="2358" w:type="pct"/>
            <w:gridSpan w:val="3"/>
            <w:shd w:val="clear" w:color="auto" w:fill="BFBFBF" w:themeFill="background1" w:themeFillShade="BF"/>
            <w:vAlign w:val="center"/>
          </w:tcPr>
          <w:p w14:paraId="030791C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P2</w:t>
            </w:r>
          </w:p>
        </w:tc>
        <w:tc>
          <w:tcPr>
            <w:tcW w:w="781" w:type="pct"/>
            <w:vAlign w:val="center"/>
          </w:tcPr>
          <w:p w14:paraId="54704C0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732135A8"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5C1456B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ign w:val="center"/>
          </w:tcPr>
          <w:p w14:paraId="134F2E2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597F4292" w14:textId="77777777" w:rsidTr="005B6E3C">
        <w:trPr>
          <w:trHeight w:val="432"/>
          <w:jc w:val="center"/>
        </w:trPr>
        <w:tc>
          <w:tcPr>
            <w:tcW w:w="3139" w:type="pct"/>
            <w:gridSpan w:val="4"/>
            <w:shd w:val="clear" w:color="auto" w:fill="BFBFBF" w:themeFill="background1" w:themeFillShade="BF"/>
            <w:vAlign w:val="center"/>
          </w:tcPr>
          <w:p w14:paraId="26D24CF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P3</w:t>
            </w:r>
          </w:p>
        </w:tc>
        <w:tc>
          <w:tcPr>
            <w:tcW w:w="694" w:type="pct"/>
            <w:vAlign w:val="center"/>
          </w:tcPr>
          <w:p w14:paraId="6CE09805"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7F34D94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ign w:val="center"/>
          </w:tcPr>
          <w:p w14:paraId="29811E9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bookmarkEnd w:id="13"/>
      <w:tr w:rsidR="00E63E01" w:rsidRPr="00F547E6" w14:paraId="5718ECC8" w14:textId="77777777" w:rsidTr="005B6E3C">
        <w:trPr>
          <w:trHeight w:val="432"/>
          <w:jc w:val="center"/>
        </w:trPr>
        <w:tc>
          <w:tcPr>
            <w:tcW w:w="909" w:type="pct"/>
            <w:shd w:val="clear" w:color="auto" w:fill="BFBFBF" w:themeFill="background1" w:themeFillShade="BF"/>
            <w:vAlign w:val="center"/>
            <w:hideMark/>
          </w:tcPr>
          <w:p w14:paraId="0229D254"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1653D6">
              <w:rPr>
                <w:rFonts w:asciiTheme="majorBidi" w:hAnsiTheme="majorBidi" w:cstheme="majorBidi"/>
                <w:b/>
                <w:bCs/>
                <w:sz w:val="20"/>
                <w:szCs w:val="20"/>
              </w:rPr>
              <w:t>Calprotectin</w:t>
            </w:r>
          </w:p>
        </w:tc>
        <w:tc>
          <w:tcPr>
            <w:tcW w:w="666" w:type="pct"/>
            <w:vAlign w:val="center"/>
            <w:hideMark/>
          </w:tcPr>
          <w:p w14:paraId="19769A9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70.7 ±2.81</w:t>
            </w:r>
          </w:p>
        </w:tc>
        <w:tc>
          <w:tcPr>
            <w:tcW w:w="782" w:type="pct"/>
            <w:vAlign w:val="center"/>
            <w:hideMark/>
          </w:tcPr>
          <w:p w14:paraId="76153D9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114.23 ±4.31</w:t>
            </w:r>
          </w:p>
        </w:tc>
        <w:tc>
          <w:tcPr>
            <w:tcW w:w="781" w:type="pct"/>
            <w:vAlign w:val="center"/>
            <w:hideMark/>
          </w:tcPr>
          <w:p w14:paraId="27E7C2B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eastAsia="Calibri" w:hAnsiTheme="majorBidi" w:cstheme="majorBidi"/>
                <w:sz w:val="20"/>
                <w:szCs w:val="20"/>
              </w:rPr>
              <w:t>170.36±4.86</w:t>
            </w:r>
          </w:p>
        </w:tc>
        <w:tc>
          <w:tcPr>
            <w:tcW w:w="694" w:type="pct"/>
            <w:vAlign w:val="center"/>
            <w:hideMark/>
          </w:tcPr>
          <w:p w14:paraId="012499B5" w14:textId="77777777" w:rsidR="00E63E01" w:rsidRPr="00F547E6" w:rsidRDefault="00E63E01" w:rsidP="0034709C">
            <w:pPr>
              <w:jc w:val="center"/>
              <w:rPr>
                <w:rFonts w:asciiTheme="majorBidi" w:hAnsiTheme="majorBidi" w:cstheme="majorBidi"/>
                <w:sz w:val="20"/>
                <w:szCs w:val="20"/>
              </w:rPr>
            </w:pPr>
            <w:r w:rsidRPr="00F547E6">
              <w:rPr>
                <w:rFonts w:asciiTheme="majorBidi" w:hAnsiTheme="majorBidi" w:cstheme="majorBidi"/>
                <w:sz w:val="20"/>
                <w:szCs w:val="20"/>
              </w:rPr>
              <w:t>237.27 ±5.34</w:t>
            </w:r>
          </w:p>
        </w:tc>
        <w:tc>
          <w:tcPr>
            <w:tcW w:w="639" w:type="pct"/>
            <w:vMerge w:val="restart"/>
            <w:vAlign w:val="center"/>
          </w:tcPr>
          <w:p w14:paraId="742957F8"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sz w:val="20"/>
                <w:szCs w:val="20"/>
              </w:rPr>
            </w:pPr>
            <w:r w:rsidRPr="00F547E6">
              <w:rPr>
                <w:rFonts w:asciiTheme="majorBidi" w:hAnsiTheme="majorBidi" w:cstheme="majorBidi"/>
                <w:sz w:val="20"/>
                <w:szCs w:val="20"/>
              </w:rPr>
              <w:t>F=8</w:t>
            </w:r>
            <w:r>
              <w:rPr>
                <w:rFonts w:asciiTheme="majorBidi" w:hAnsiTheme="majorBidi" w:cstheme="majorBidi"/>
                <w:sz w:val="20"/>
                <w:szCs w:val="20"/>
              </w:rPr>
              <w:t>5</w:t>
            </w:r>
            <w:r w:rsidRPr="00F547E6">
              <w:rPr>
                <w:rFonts w:asciiTheme="majorBidi" w:hAnsiTheme="majorBidi" w:cstheme="majorBidi"/>
                <w:sz w:val="20"/>
                <w:szCs w:val="20"/>
              </w:rPr>
              <w:t>.25</w:t>
            </w:r>
          </w:p>
          <w:p w14:paraId="7120AD2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restart"/>
            <w:vAlign w:val="center"/>
          </w:tcPr>
          <w:p w14:paraId="0DA03B8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r w:rsidRPr="00F547E6">
              <w:rPr>
                <w:rFonts w:asciiTheme="majorBidi" w:hAnsiTheme="majorBidi" w:cstheme="majorBidi"/>
                <w:b/>
                <w:bCs/>
                <w:sz w:val="20"/>
                <w:szCs w:val="20"/>
              </w:rPr>
              <w:t>&lt;0.001*</w:t>
            </w:r>
          </w:p>
        </w:tc>
      </w:tr>
      <w:tr w:rsidR="00E63E01" w:rsidRPr="00F547E6" w14:paraId="37032088" w14:textId="77777777" w:rsidTr="005B6E3C">
        <w:trPr>
          <w:trHeight w:val="432"/>
          <w:jc w:val="center"/>
        </w:trPr>
        <w:tc>
          <w:tcPr>
            <w:tcW w:w="1576" w:type="pct"/>
            <w:gridSpan w:val="2"/>
            <w:shd w:val="clear" w:color="auto" w:fill="BFBFBF" w:themeFill="background1" w:themeFillShade="BF"/>
            <w:vAlign w:val="center"/>
          </w:tcPr>
          <w:p w14:paraId="724091B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P1</w:t>
            </w:r>
          </w:p>
        </w:tc>
        <w:tc>
          <w:tcPr>
            <w:tcW w:w="782" w:type="pct"/>
            <w:vAlign w:val="center"/>
          </w:tcPr>
          <w:p w14:paraId="32230A40"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781" w:type="pct"/>
            <w:vAlign w:val="center"/>
          </w:tcPr>
          <w:p w14:paraId="054CFAF7"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754494AB"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6308542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ign w:val="center"/>
          </w:tcPr>
          <w:p w14:paraId="5190B1D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7580AD36" w14:textId="77777777" w:rsidTr="005B6E3C">
        <w:trPr>
          <w:trHeight w:val="432"/>
          <w:jc w:val="center"/>
        </w:trPr>
        <w:tc>
          <w:tcPr>
            <w:tcW w:w="2358" w:type="pct"/>
            <w:gridSpan w:val="3"/>
            <w:shd w:val="clear" w:color="auto" w:fill="BFBFBF" w:themeFill="background1" w:themeFillShade="BF"/>
            <w:vAlign w:val="center"/>
          </w:tcPr>
          <w:p w14:paraId="0E03C751"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P2</w:t>
            </w:r>
          </w:p>
        </w:tc>
        <w:tc>
          <w:tcPr>
            <w:tcW w:w="781" w:type="pct"/>
            <w:vAlign w:val="center"/>
          </w:tcPr>
          <w:p w14:paraId="420233F6"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&lt;0.001*</w:t>
            </w:r>
          </w:p>
        </w:tc>
        <w:tc>
          <w:tcPr>
            <w:tcW w:w="694" w:type="pct"/>
            <w:vAlign w:val="center"/>
          </w:tcPr>
          <w:p w14:paraId="69902D6C"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vAlign w:val="center"/>
          </w:tcPr>
          <w:p w14:paraId="5B2B65E5"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vAlign w:val="center"/>
          </w:tcPr>
          <w:p w14:paraId="2AF0DDFB"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r>
      <w:tr w:rsidR="00E63E01" w:rsidRPr="00F547E6" w14:paraId="43AED93F" w14:textId="77777777" w:rsidTr="005B6E3C">
        <w:trPr>
          <w:trHeight w:val="432"/>
          <w:jc w:val="center"/>
        </w:trPr>
        <w:tc>
          <w:tcPr>
            <w:tcW w:w="3139" w:type="pct"/>
            <w:gridSpan w:val="4"/>
            <w:tcBorders>
              <w:bottom w:val="single" w:sz="4" w:space="0" w:color="000000"/>
            </w:tcBorders>
            <w:shd w:val="clear" w:color="auto" w:fill="BFBFBF" w:themeFill="background1" w:themeFillShade="BF"/>
            <w:vAlign w:val="center"/>
          </w:tcPr>
          <w:p w14:paraId="6481F84F"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rPr>
            </w:pPr>
            <w:r w:rsidRPr="00F547E6">
              <w:rPr>
                <w:rFonts w:asciiTheme="majorBidi" w:hAnsiTheme="majorBidi" w:cstheme="majorBidi"/>
                <w:b/>
                <w:bCs/>
              </w:rPr>
              <w:t>P3</w:t>
            </w:r>
          </w:p>
        </w:tc>
        <w:tc>
          <w:tcPr>
            <w:tcW w:w="694" w:type="pct"/>
            <w:tcBorders>
              <w:bottom w:val="single" w:sz="4" w:space="0" w:color="000000"/>
            </w:tcBorders>
            <w:vAlign w:val="center"/>
          </w:tcPr>
          <w:p w14:paraId="691FED1A" w14:textId="77777777" w:rsidR="00E63E01" w:rsidRPr="00F547E6" w:rsidRDefault="00E63E01" w:rsidP="0034709C">
            <w:pPr>
              <w:jc w:val="center"/>
              <w:rPr>
                <w:rFonts w:asciiTheme="majorBidi" w:hAnsiTheme="majorBidi" w:cstheme="majorBidi"/>
              </w:rPr>
            </w:pPr>
            <w:r w:rsidRPr="00F547E6">
              <w:rPr>
                <w:rFonts w:asciiTheme="majorBidi" w:hAnsiTheme="majorBidi" w:cstheme="majorBidi"/>
                <w:b/>
                <w:bCs/>
              </w:rPr>
              <w:t>&lt;0.001*</w:t>
            </w:r>
          </w:p>
        </w:tc>
        <w:tc>
          <w:tcPr>
            <w:tcW w:w="639" w:type="pct"/>
            <w:vMerge/>
            <w:tcBorders>
              <w:bottom w:val="single" w:sz="4" w:space="0" w:color="000000"/>
            </w:tcBorders>
            <w:vAlign w:val="center"/>
          </w:tcPr>
          <w:p w14:paraId="08D7E8B3" w14:textId="77777777" w:rsidR="00E63E01" w:rsidRPr="00F547E6" w:rsidRDefault="00E63E01" w:rsidP="0034709C">
            <w:pPr>
              <w:autoSpaceDE w:val="0"/>
              <w:autoSpaceDN w:val="0"/>
              <w:adjustRightInd w:val="0"/>
              <w:spacing w:line="320" w:lineRule="atLeast"/>
              <w:ind w:left="60" w:right="60"/>
              <w:jc w:val="center"/>
              <w:rPr>
                <w:rFonts w:asciiTheme="majorBidi" w:hAnsiTheme="majorBidi" w:cstheme="majorBidi"/>
                <w:b/>
                <w:bCs/>
                <w:sz w:val="20"/>
                <w:szCs w:val="20"/>
              </w:rPr>
            </w:pPr>
          </w:p>
        </w:tc>
        <w:tc>
          <w:tcPr>
            <w:tcW w:w="528" w:type="pct"/>
            <w:vMerge/>
            <w:tcBorders>
              <w:bottom w:val="single" w:sz="4" w:space="0" w:color="000000"/>
            </w:tcBorders>
            <w:vAlign w:val="center"/>
          </w:tcPr>
          <w:p w14:paraId="5E06BDDE" w14:textId="77777777" w:rsidR="00E63E01" w:rsidRPr="00F547E6" w:rsidRDefault="00E63E01" w:rsidP="005B6E3C">
            <w:pPr>
              <w:keepNext/>
              <w:autoSpaceDE w:val="0"/>
              <w:autoSpaceDN w:val="0"/>
              <w:adjustRightInd w:val="0"/>
              <w:spacing w:line="320" w:lineRule="atLeast"/>
              <w:ind w:left="60" w:right="60"/>
              <w:jc w:val="center"/>
              <w:rPr>
                <w:rFonts w:asciiTheme="majorBidi" w:hAnsiTheme="majorBidi" w:cstheme="majorBidi"/>
                <w:b/>
                <w:bCs/>
                <w:sz w:val="20"/>
                <w:szCs w:val="20"/>
              </w:rPr>
            </w:pPr>
          </w:p>
        </w:tc>
      </w:tr>
    </w:tbl>
    <w:p w14:paraId="63DE1157" w14:textId="36D7AC94" w:rsidR="005B6E3C" w:rsidRPr="005B6E3C" w:rsidRDefault="005B6E3C" w:rsidP="005B6E3C">
      <w:pPr>
        <w:spacing w:after="0" w:line="240" w:lineRule="auto"/>
        <w:rPr>
          <w:b/>
          <w:bCs/>
          <w:i/>
          <w:iCs/>
          <w:color w:val="4472C4" w:themeColor="accent1"/>
          <w:sz w:val="18"/>
          <w:szCs w:val="18"/>
        </w:rPr>
      </w:pPr>
      <w:r w:rsidRPr="005B6E3C">
        <w:rPr>
          <w:b/>
          <w:bCs/>
          <w:i/>
          <w:iCs/>
          <w:color w:val="4472C4" w:themeColor="accent1"/>
          <w:sz w:val="18"/>
          <w:szCs w:val="18"/>
        </w:rPr>
        <w:t>Data are expressed as mean ± SD</w:t>
      </w:r>
      <w:r>
        <w:rPr>
          <w:b/>
          <w:bCs/>
          <w:i/>
          <w:iCs/>
          <w:color w:val="4472C4" w:themeColor="accent1"/>
          <w:sz w:val="18"/>
          <w:szCs w:val="18"/>
        </w:rPr>
        <w:t>.</w:t>
      </w:r>
      <w:r w:rsidRPr="005B6E3C">
        <w:rPr>
          <w:b/>
          <w:bCs/>
          <w:i/>
          <w:iCs/>
          <w:color w:val="4472C4" w:themeColor="accent1"/>
          <w:sz w:val="18"/>
          <w:szCs w:val="18"/>
        </w:rPr>
        <w:t>F: One-way ANOVA, X</w:t>
      </w:r>
      <w:r w:rsidRPr="005B6E3C">
        <w:rPr>
          <w:b/>
          <w:bCs/>
          <w:i/>
          <w:iCs/>
          <w:color w:val="4472C4" w:themeColor="accent1"/>
          <w:sz w:val="18"/>
          <w:szCs w:val="18"/>
          <w:vertAlign w:val="superscript"/>
        </w:rPr>
        <w:t>2</w:t>
      </w:r>
      <w:r w:rsidRPr="005B6E3C">
        <w:rPr>
          <w:b/>
          <w:bCs/>
          <w:i/>
          <w:iCs/>
          <w:color w:val="4472C4" w:themeColor="accent1"/>
          <w:sz w:val="18"/>
          <w:szCs w:val="18"/>
        </w:rPr>
        <w:t>:</w:t>
      </w:r>
      <w:r w:rsidRPr="005B6E3C">
        <w:rPr>
          <w:b/>
          <w:bCs/>
          <w:color w:val="4472C4" w:themeColor="accent1"/>
          <w:sz w:val="18"/>
          <w:szCs w:val="18"/>
        </w:rPr>
        <w:t xml:space="preserve"> </w:t>
      </w:r>
      <w:r w:rsidRPr="005B6E3C">
        <w:rPr>
          <w:b/>
          <w:bCs/>
          <w:i/>
          <w:iCs/>
          <w:color w:val="4472C4" w:themeColor="accent1"/>
          <w:sz w:val="18"/>
          <w:szCs w:val="18"/>
        </w:rPr>
        <w:t>Chi-square</w:t>
      </w:r>
      <w:r>
        <w:rPr>
          <w:b/>
          <w:bCs/>
          <w:i/>
          <w:iCs/>
          <w:color w:val="4472C4" w:themeColor="accent1"/>
          <w:sz w:val="18"/>
          <w:szCs w:val="18"/>
        </w:rPr>
        <w:t xml:space="preserve">. </w:t>
      </w:r>
      <w:r w:rsidRPr="005B6E3C">
        <w:rPr>
          <w:b/>
          <w:bCs/>
          <w:i/>
          <w:iCs/>
          <w:color w:val="4472C4" w:themeColor="accent1"/>
          <w:sz w:val="18"/>
          <w:szCs w:val="18"/>
        </w:rPr>
        <w:t>ESR: Erythrocyte sedimentation rate, CRP: C-Reactive Protein, SBP: Systolic Blood Pressure, Fecal Calprotectin Level</w:t>
      </w:r>
      <w:r>
        <w:rPr>
          <w:b/>
          <w:bCs/>
          <w:i/>
          <w:iCs/>
          <w:color w:val="4472C4" w:themeColor="accent1"/>
          <w:sz w:val="18"/>
          <w:szCs w:val="18"/>
        </w:rPr>
        <w:t xml:space="preserve">. </w:t>
      </w:r>
      <w:r w:rsidRPr="005B6E3C">
        <w:rPr>
          <w:b/>
          <w:bCs/>
          <w:i/>
          <w:iCs/>
          <w:color w:val="4472C4" w:themeColor="accent1"/>
          <w:sz w:val="18"/>
          <w:szCs w:val="18"/>
        </w:rPr>
        <w:t>p- value of comparison between the four groups at baseline.  (%), P1: P value between mild group and (moderate group, severe group and critical group), P2: P value between moderate group and ( severe group and critical group), P3: P value between severe group and critical group.</w:t>
      </w:r>
    </w:p>
    <w:p w14:paraId="7E9BE2EC" w14:textId="5EC885F6" w:rsidR="005D123E" w:rsidRPr="00C12900" w:rsidRDefault="002B1ED4" w:rsidP="002C5733">
      <w:pPr>
        <w:spacing w:line="360" w:lineRule="auto"/>
        <w:jc w:val="both"/>
        <w:rPr>
          <w:rFonts w:ascii="Times New Roman" w:eastAsia="Calibri" w:hAnsi="Times New Roman" w:cs="Times New Roman"/>
          <w:sz w:val="24"/>
          <w:szCs w:val="24"/>
          <w:shd w:val="clear" w:color="auto" w:fill="FFFFFF"/>
        </w:rPr>
      </w:pPr>
      <w:r>
        <w:rPr>
          <w:rFonts w:asciiTheme="majorBidi" w:hAnsiTheme="majorBidi" w:cstheme="majorBidi"/>
          <w:sz w:val="24"/>
          <w:szCs w:val="24"/>
        </w:rPr>
        <w:t xml:space="preserve">The </w:t>
      </w:r>
      <w:r w:rsidR="00A964E6" w:rsidRPr="002C5733">
        <w:rPr>
          <w:rFonts w:asciiTheme="majorBidi" w:hAnsiTheme="majorBidi" w:cstheme="majorBidi"/>
          <w:sz w:val="24"/>
          <w:szCs w:val="24"/>
        </w:rPr>
        <w:t xml:space="preserve">COVID-19 mortality within 21 days from the start of </w:t>
      </w:r>
      <w:r w:rsidR="00D7243C">
        <w:rPr>
          <w:rFonts w:asciiTheme="majorBidi" w:hAnsiTheme="majorBidi" w:cstheme="majorBidi"/>
          <w:sz w:val="24"/>
          <w:szCs w:val="24"/>
        </w:rPr>
        <w:t>the study was significantly higher in the critical group than in the mild group, moderate group,</w:t>
      </w:r>
      <w:r w:rsidR="00A964E6" w:rsidRPr="002C5733">
        <w:rPr>
          <w:rFonts w:asciiTheme="majorBidi" w:hAnsiTheme="majorBidi" w:cstheme="majorBidi"/>
          <w:sz w:val="24"/>
          <w:szCs w:val="24"/>
        </w:rPr>
        <w:t xml:space="preserve"> and severe group. Duration of hospital stay from the start of </w:t>
      </w:r>
      <w:r w:rsidR="00D7243C">
        <w:rPr>
          <w:rFonts w:asciiTheme="majorBidi" w:hAnsiTheme="majorBidi" w:cstheme="majorBidi"/>
          <w:sz w:val="24"/>
          <w:szCs w:val="24"/>
        </w:rPr>
        <w:t xml:space="preserve">the </w:t>
      </w:r>
      <w:r w:rsidR="00A964E6" w:rsidRPr="002C5733">
        <w:rPr>
          <w:rFonts w:asciiTheme="majorBidi" w:hAnsiTheme="majorBidi" w:cstheme="majorBidi"/>
          <w:sz w:val="24"/>
          <w:szCs w:val="24"/>
        </w:rPr>
        <w:t>study was significantly higher in (</w:t>
      </w:r>
      <w:r w:rsidR="00D7243C">
        <w:rPr>
          <w:rFonts w:asciiTheme="majorBidi" w:hAnsiTheme="majorBidi" w:cstheme="majorBidi"/>
          <w:sz w:val="24"/>
          <w:szCs w:val="24"/>
        </w:rPr>
        <w:t xml:space="preserve">the </w:t>
      </w:r>
      <w:r w:rsidR="00A964E6" w:rsidRPr="002C5733">
        <w:rPr>
          <w:rFonts w:asciiTheme="majorBidi" w:hAnsiTheme="majorBidi" w:cstheme="majorBidi"/>
          <w:sz w:val="24"/>
          <w:szCs w:val="24"/>
        </w:rPr>
        <w:t>moderate group, severe group</w:t>
      </w:r>
      <w:r w:rsidR="00D7243C">
        <w:rPr>
          <w:rFonts w:asciiTheme="majorBidi" w:hAnsiTheme="majorBidi" w:cstheme="majorBidi"/>
          <w:sz w:val="24"/>
          <w:szCs w:val="24"/>
        </w:rPr>
        <w:t>,</w:t>
      </w:r>
      <w:r w:rsidR="00A964E6" w:rsidRPr="002C5733">
        <w:rPr>
          <w:rFonts w:asciiTheme="majorBidi" w:hAnsiTheme="majorBidi" w:cstheme="majorBidi"/>
          <w:sz w:val="24"/>
          <w:szCs w:val="24"/>
        </w:rPr>
        <w:t xml:space="preserve"> and critical group) than </w:t>
      </w:r>
      <w:r w:rsidR="00D7243C">
        <w:rPr>
          <w:rFonts w:asciiTheme="majorBidi" w:hAnsiTheme="majorBidi" w:cstheme="majorBidi"/>
          <w:sz w:val="24"/>
          <w:szCs w:val="24"/>
        </w:rPr>
        <w:t xml:space="preserve">in the </w:t>
      </w:r>
      <w:r w:rsidR="00A964E6" w:rsidRPr="002C5733">
        <w:rPr>
          <w:rFonts w:asciiTheme="majorBidi" w:hAnsiTheme="majorBidi" w:cstheme="majorBidi"/>
          <w:sz w:val="24"/>
          <w:szCs w:val="24"/>
        </w:rPr>
        <w:t xml:space="preserve">mild group (P value &lt;0.001), </w:t>
      </w:r>
      <w:r w:rsidR="00D7243C">
        <w:rPr>
          <w:rFonts w:asciiTheme="majorBidi" w:hAnsiTheme="majorBidi" w:cstheme="majorBidi"/>
          <w:sz w:val="24"/>
          <w:szCs w:val="24"/>
        </w:rPr>
        <w:t>considerably</w:t>
      </w:r>
      <w:r w:rsidR="00A964E6" w:rsidRPr="002C5733">
        <w:rPr>
          <w:rFonts w:asciiTheme="majorBidi" w:hAnsiTheme="majorBidi" w:cstheme="majorBidi"/>
          <w:sz w:val="24"/>
          <w:szCs w:val="24"/>
        </w:rPr>
        <w:t xml:space="preserve"> higher in (</w:t>
      </w:r>
      <w:r w:rsidR="00D7243C">
        <w:rPr>
          <w:rFonts w:asciiTheme="majorBidi" w:hAnsiTheme="majorBidi" w:cstheme="majorBidi"/>
          <w:sz w:val="24"/>
          <w:szCs w:val="24"/>
        </w:rPr>
        <w:t xml:space="preserve">the </w:t>
      </w:r>
      <w:r w:rsidR="00A964E6" w:rsidRPr="002C5733">
        <w:rPr>
          <w:rFonts w:asciiTheme="majorBidi" w:hAnsiTheme="majorBidi" w:cstheme="majorBidi"/>
          <w:sz w:val="24"/>
          <w:szCs w:val="24"/>
        </w:rPr>
        <w:t xml:space="preserve">severe and </w:t>
      </w:r>
      <w:r w:rsidR="00D7243C">
        <w:rPr>
          <w:rFonts w:asciiTheme="majorBidi" w:hAnsiTheme="majorBidi" w:cstheme="majorBidi"/>
          <w:sz w:val="24"/>
          <w:szCs w:val="24"/>
        </w:rPr>
        <w:t xml:space="preserve">critical </w:t>
      </w:r>
      <w:r w:rsidR="00A964E6" w:rsidRPr="002C5733">
        <w:rPr>
          <w:rFonts w:asciiTheme="majorBidi" w:hAnsiTheme="majorBidi" w:cstheme="majorBidi"/>
          <w:sz w:val="24"/>
          <w:szCs w:val="24"/>
        </w:rPr>
        <w:t xml:space="preserve">group) than </w:t>
      </w:r>
      <w:r w:rsidR="00D7243C">
        <w:rPr>
          <w:rFonts w:asciiTheme="majorBidi" w:hAnsiTheme="majorBidi" w:cstheme="majorBidi"/>
          <w:sz w:val="24"/>
          <w:szCs w:val="24"/>
        </w:rPr>
        <w:t xml:space="preserve">in the </w:t>
      </w:r>
      <w:r w:rsidR="00A964E6" w:rsidRPr="002C5733">
        <w:rPr>
          <w:rFonts w:asciiTheme="majorBidi" w:hAnsiTheme="majorBidi" w:cstheme="majorBidi"/>
          <w:sz w:val="24"/>
          <w:szCs w:val="24"/>
        </w:rPr>
        <w:t xml:space="preserve">moderate (P value &lt;0.001) and </w:t>
      </w:r>
      <w:r w:rsidR="00D7243C">
        <w:rPr>
          <w:rFonts w:asciiTheme="majorBidi" w:hAnsiTheme="majorBidi" w:cstheme="majorBidi"/>
          <w:sz w:val="24"/>
          <w:szCs w:val="24"/>
        </w:rPr>
        <w:t>significantly</w:t>
      </w:r>
      <w:r w:rsidR="00A964E6" w:rsidRPr="002C5733">
        <w:rPr>
          <w:rFonts w:asciiTheme="majorBidi" w:hAnsiTheme="majorBidi" w:cstheme="majorBidi"/>
          <w:sz w:val="24"/>
          <w:szCs w:val="24"/>
        </w:rPr>
        <w:t xml:space="preserve"> higher in critical group than severe group (P value &lt;0.001).  SARS-CoV-2 RNA PCR negativity before </w:t>
      </w:r>
      <w:r w:rsidR="00D7243C">
        <w:rPr>
          <w:rFonts w:asciiTheme="majorBidi" w:hAnsiTheme="majorBidi" w:cstheme="majorBidi"/>
          <w:sz w:val="24"/>
          <w:szCs w:val="24"/>
        </w:rPr>
        <w:t>day 21</w:t>
      </w:r>
      <w:r w:rsidR="00A964E6" w:rsidRPr="002C5733">
        <w:rPr>
          <w:rFonts w:asciiTheme="majorBidi" w:hAnsiTheme="majorBidi" w:cstheme="majorBidi"/>
          <w:sz w:val="24"/>
          <w:szCs w:val="24"/>
        </w:rPr>
        <w:t xml:space="preserve"> was insignificantly different among the four groups</w:t>
      </w:r>
      <w:r>
        <w:rPr>
          <w:rFonts w:asciiTheme="majorBidi" w:hAnsiTheme="majorBidi" w:cstheme="majorBidi"/>
          <w:sz w:val="24"/>
          <w:szCs w:val="24"/>
        </w:rPr>
        <w:t>,</w:t>
      </w:r>
      <w:r w:rsidR="00A964E6" w:rsidRPr="002C5733">
        <w:rPr>
          <w:rFonts w:asciiTheme="majorBidi" w:hAnsiTheme="majorBidi" w:cstheme="majorBidi"/>
          <w:sz w:val="24"/>
          <w:szCs w:val="24"/>
        </w:rPr>
        <w:t xml:space="preserve"> as presented in </w:t>
      </w:r>
      <w:r w:rsidR="009F156C" w:rsidRPr="002C5733">
        <w:rPr>
          <w:rFonts w:asciiTheme="majorBidi" w:hAnsiTheme="majorBidi" w:cstheme="majorBidi"/>
          <w:sz w:val="24"/>
          <w:szCs w:val="24"/>
        </w:rPr>
        <w:t>Table 4.</w:t>
      </w:r>
      <w:r w:rsidR="008C592F" w:rsidRPr="00C12900">
        <w:rPr>
          <w:rFonts w:ascii="Times New Roman" w:eastAsia="Calibri" w:hAnsi="Times New Roman" w:cs="Times New Roman"/>
          <w:sz w:val="24"/>
          <w:szCs w:val="24"/>
          <w:shd w:val="clear" w:color="auto" w:fill="FFFFFF"/>
        </w:rPr>
        <w:t xml:space="preserve"> </w:t>
      </w:r>
      <w:r w:rsidR="00C87949" w:rsidRPr="00C12900">
        <w:rPr>
          <w:rFonts w:ascii="Times New Roman" w:eastAsia="Calibri" w:hAnsi="Times New Roman" w:cs="Times New Roman"/>
          <w:sz w:val="24"/>
          <w:szCs w:val="24"/>
          <w:shd w:val="clear" w:color="auto" w:fill="FFFFFF"/>
        </w:rPr>
        <w:t xml:space="preserve"> </w:t>
      </w:r>
    </w:p>
    <w:p w14:paraId="3DA5007F" w14:textId="3FEF0721" w:rsidR="00E00D2A" w:rsidRPr="00D91828" w:rsidRDefault="00E00D2A" w:rsidP="00E00D2A">
      <w:pPr>
        <w:pStyle w:val="Caption"/>
        <w:keepNext/>
        <w:rPr>
          <w:sz w:val="20"/>
          <w:szCs w:val="20"/>
        </w:rPr>
      </w:pPr>
      <w:r w:rsidRPr="00D91828">
        <w:rPr>
          <w:sz w:val="20"/>
          <w:szCs w:val="20"/>
        </w:rPr>
        <w:t xml:space="preserve">Table </w:t>
      </w:r>
      <w:r w:rsidR="00000000" w:rsidRPr="00D91828">
        <w:rPr>
          <w:sz w:val="20"/>
          <w:szCs w:val="20"/>
        </w:rPr>
        <w:fldChar w:fldCharType="begin"/>
      </w:r>
      <w:r w:rsidR="00000000" w:rsidRPr="00D91828">
        <w:rPr>
          <w:sz w:val="20"/>
          <w:szCs w:val="20"/>
        </w:rPr>
        <w:instrText xml:space="preserve"> SEQ Table \* ARABIC </w:instrText>
      </w:r>
      <w:r w:rsidR="00000000" w:rsidRPr="00D91828">
        <w:rPr>
          <w:sz w:val="20"/>
          <w:szCs w:val="20"/>
        </w:rPr>
        <w:fldChar w:fldCharType="separate"/>
      </w:r>
      <w:r w:rsidR="00650F29" w:rsidRPr="00D91828">
        <w:rPr>
          <w:noProof/>
          <w:sz w:val="20"/>
          <w:szCs w:val="20"/>
        </w:rPr>
        <w:t>4</w:t>
      </w:r>
      <w:r w:rsidR="00000000" w:rsidRPr="00D91828">
        <w:rPr>
          <w:noProof/>
          <w:sz w:val="20"/>
          <w:szCs w:val="20"/>
        </w:rPr>
        <w:fldChar w:fldCharType="end"/>
      </w:r>
      <w:r w:rsidRPr="00D91828">
        <w:rPr>
          <w:sz w:val="20"/>
          <w:szCs w:val="20"/>
        </w:rPr>
        <w:t>. Comparison of outcome parameters between the four studied groups.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Comparison of outcome parameters between the four studied groups."/>
        <w:tblDescription w:val="Data are expressed as mean ± SD or number (%).&#10;F: One-way ANOVA, X2: Chi-square,  &#10; P1: P value between mild group and (moderate group, severe group and critical group), P2: P value between moderate group and ( severe group and critical group), P3: P value between severe group and critical group.&#10;&#10;"/>
      </w:tblPr>
      <w:tblGrid>
        <w:gridCol w:w="2061"/>
        <w:gridCol w:w="1332"/>
        <w:gridCol w:w="1339"/>
        <w:gridCol w:w="1284"/>
        <w:gridCol w:w="1247"/>
        <w:gridCol w:w="1047"/>
        <w:gridCol w:w="947"/>
      </w:tblGrid>
      <w:tr w:rsidR="00D63260" w:rsidRPr="00F547E6" w14:paraId="0E270807" w14:textId="77777777" w:rsidTr="00117B4D">
        <w:trPr>
          <w:trHeight w:val="432"/>
        </w:trPr>
        <w:tc>
          <w:tcPr>
            <w:tcW w:w="1115" w:type="pct"/>
            <w:tcBorders>
              <w:top w:val="single" w:sz="4" w:space="0" w:color="000000"/>
              <w:bottom w:val="single" w:sz="4" w:space="0" w:color="000000"/>
            </w:tcBorders>
            <w:shd w:val="pct12" w:color="auto" w:fill="auto"/>
            <w:vAlign w:val="center"/>
            <w:hideMark/>
          </w:tcPr>
          <w:p w14:paraId="6F05B99B"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Parameters</w:t>
            </w:r>
          </w:p>
        </w:tc>
        <w:tc>
          <w:tcPr>
            <w:tcW w:w="721" w:type="pct"/>
            <w:tcBorders>
              <w:top w:val="single" w:sz="4" w:space="0" w:color="000000"/>
              <w:bottom w:val="single" w:sz="4" w:space="0" w:color="000000"/>
            </w:tcBorders>
            <w:shd w:val="pct12" w:color="auto" w:fill="auto"/>
            <w:vAlign w:val="center"/>
            <w:hideMark/>
          </w:tcPr>
          <w:p w14:paraId="49AE5EBA" w14:textId="77777777" w:rsidR="00D63260" w:rsidRPr="00F547E6" w:rsidRDefault="00D63260"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Mild Group</w:t>
            </w:r>
          </w:p>
          <w:p w14:paraId="4174E34E"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(N=14)</w:t>
            </w:r>
          </w:p>
        </w:tc>
        <w:tc>
          <w:tcPr>
            <w:tcW w:w="725" w:type="pct"/>
            <w:tcBorders>
              <w:top w:val="single" w:sz="4" w:space="0" w:color="000000"/>
              <w:bottom w:val="single" w:sz="4" w:space="0" w:color="000000"/>
            </w:tcBorders>
            <w:shd w:val="pct12" w:color="auto" w:fill="auto"/>
            <w:vAlign w:val="center"/>
            <w:hideMark/>
          </w:tcPr>
          <w:p w14:paraId="3C410A18" w14:textId="77777777" w:rsidR="00D63260" w:rsidRPr="00F547E6" w:rsidRDefault="00D63260"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Moderate Group (N=12)</w:t>
            </w:r>
          </w:p>
        </w:tc>
        <w:tc>
          <w:tcPr>
            <w:tcW w:w="695" w:type="pct"/>
            <w:tcBorders>
              <w:top w:val="single" w:sz="4" w:space="0" w:color="000000"/>
              <w:bottom w:val="single" w:sz="4" w:space="0" w:color="000000"/>
            </w:tcBorders>
            <w:shd w:val="pct12" w:color="auto" w:fill="auto"/>
            <w:vAlign w:val="center"/>
            <w:hideMark/>
          </w:tcPr>
          <w:p w14:paraId="262CFDA2" w14:textId="77777777" w:rsidR="00D63260" w:rsidRPr="00F547E6" w:rsidRDefault="00D63260" w:rsidP="0034709C">
            <w:pPr>
              <w:autoSpaceDE w:val="0"/>
              <w:autoSpaceDN w:val="0"/>
              <w:adjustRightInd w:val="0"/>
              <w:ind w:left="60" w:right="60"/>
              <w:jc w:val="center"/>
              <w:rPr>
                <w:rFonts w:asciiTheme="majorBidi" w:hAnsiTheme="majorBidi" w:cstheme="majorBidi"/>
                <w:b/>
                <w:bCs/>
              </w:rPr>
            </w:pPr>
            <w:r w:rsidRPr="00F547E6">
              <w:rPr>
                <w:rFonts w:asciiTheme="majorBidi" w:hAnsiTheme="majorBidi" w:cstheme="majorBidi"/>
                <w:b/>
                <w:bCs/>
              </w:rPr>
              <w:t>Severe Group</w:t>
            </w:r>
          </w:p>
          <w:p w14:paraId="270AEB32"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(N=12)</w:t>
            </w:r>
          </w:p>
        </w:tc>
        <w:tc>
          <w:tcPr>
            <w:tcW w:w="675" w:type="pct"/>
            <w:tcBorders>
              <w:top w:val="single" w:sz="4" w:space="0" w:color="000000"/>
              <w:bottom w:val="single" w:sz="4" w:space="0" w:color="000000"/>
            </w:tcBorders>
            <w:shd w:val="pct12" w:color="auto" w:fill="auto"/>
            <w:vAlign w:val="center"/>
            <w:hideMark/>
          </w:tcPr>
          <w:p w14:paraId="68EDB19B" w14:textId="77777777" w:rsidR="00D63260" w:rsidRPr="00F547E6" w:rsidRDefault="00D63260" w:rsidP="0034709C">
            <w:pPr>
              <w:jc w:val="center"/>
              <w:rPr>
                <w:rFonts w:asciiTheme="majorBidi" w:hAnsiTheme="majorBidi" w:cstheme="majorBidi"/>
                <w:b/>
                <w:bCs/>
              </w:rPr>
            </w:pPr>
            <w:r w:rsidRPr="00F547E6">
              <w:rPr>
                <w:rFonts w:asciiTheme="majorBidi" w:hAnsiTheme="majorBidi" w:cstheme="majorBidi"/>
                <w:b/>
                <w:bCs/>
              </w:rPr>
              <w:t>Critical Group (N=12)</w:t>
            </w:r>
          </w:p>
        </w:tc>
        <w:tc>
          <w:tcPr>
            <w:tcW w:w="567" w:type="pct"/>
            <w:tcBorders>
              <w:top w:val="single" w:sz="4" w:space="0" w:color="000000"/>
              <w:bottom w:val="single" w:sz="4" w:space="0" w:color="000000"/>
            </w:tcBorders>
            <w:shd w:val="pct12" w:color="auto" w:fill="auto"/>
            <w:vAlign w:val="center"/>
          </w:tcPr>
          <w:p w14:paraId="01C37C5A" w14:textId="77777777" w:rsidR="00D63260" w:rsidRPr="00F547E6" w:rsidRDefault="00D63260" w:rsidP="0034709C">
            <w:pPr>
              <w:jc w:val="center"/>
              <w:rPr>
                <w:rFonts w:asciiTheme="majorBidi" w:hAnsiTheme="majorBidi" w:cstheme="majorBidi"/>
                <w:b/>
                <w:bCs/>
              </w:rPr>
            </w:pPr>
            <w:r w:rsidRPr="00F547E6">
              <w:rPr>
                <w:rFonts w:asciiTheme="majorBidi" w:hAnsiTheme="majorBidi" w:cstheme="majorBidi"/>
                <w:b/>
                <w:bCs/>
              </w:rPr>
              <w:t>Test</w:t>
            </w:r>
          </w:p>
        </w:tc>
        <w:tc>
          <w:tcPr>
            <w:tcW w:w="502" w:type="pct"/>
            <w:tcBorders>
              <w:top w:val="single" w:sz="4" w:space="0" w:color="000000"/>
              <w:bottom w:val="single" w:sz="4" w:space="0" w:color="000000"/>
            </w:tcBorders>
            <w:shd w:val="pct12" w:color="auto" w:fill="auto"/>
            <w:vAlign w:val="center"/>
            <w:hideMark/>
          </w:tcPr>
          <w:p w14:paraId="43863188" w14:textId="77777777" w:rsidR="00D63260" w:rsidRPr="00F547E6" w:rsidRDefault="00D63260" w:rsidP="0034709C">
            <w:pPr>
              <w:jc w:val="center"/>
              <w:rPr>
                <w:rFonts w:asciiTheme="majorBidi" w:hAnsiTheme="majorBidi" w:cstheme="majorBidi"/>
                <w:b/>
                <w:bCs/>
              </w:rPr>
            </w:pPr>
            <w:r w:rsidRPr="00F547E6">
              <w:rPr>
                <w:rFonts w:asciiTheme="majorBidi" w:hAnsiTheme="majorBidi" w:cstheme="majorBidi"/>
                <w:b/>
                <w:bCs/>
              </w:rPr>
              <w:t>P-value</w:t>
            </w:r>
          </w:p>
        </w:tc>
      </w:tr>
      <w:tr w:rsidR="00D63260" w:rsidRPr="00F547E6" w14:paraId="20DBF206" w14:textId="77777777" w:rsidTr="00117B4D">
        <w:trPr>
          <w:trHeight w:val="432"/>
        </w:trPr>
        <w:tc>
          <w:tcPr>
            <w:tcW w:w="1115" w:type="pct"/>
            <w:tcBorders>
              <w:top w:val="single" w:sz="4" w:space="0" w:color="000000"/>
            </w:tcBorders>
            <w:shd w:val="pct12" w:color="auto" w:fill="auto"/>
            <w:vAlign w:val="center"/>
            <w:hideMark/>
          </w:tcPr>
          <w:p w14:paraId="0A6BA1F4" w14:textId="77777777" w:rsidR="00D63260" w:rsidRPr="00F547E6" w:rsidRDefault="00D63260" w:rsidP="0034709C">
            <w:pPr>
              <w:jc w:val="center"/>
              <w:rPr>
                <w:rFonts w:asciiTheme="majorBidi" w:hAnsiTheme="majorBidi" w:cstheme="majorBidi"/>
                <w:b/>
                <w:bCs/>
              </w:rPr>
            </w:pPr>
            <w:r w:rsidRPr="00F547E6">
              <w:rPr>
                <w:rFonts w:asciiTheme="majorBidi" w:hAnsiTheme="majorBidi" w:cstheme="majorBidi"/>
                <w:b/>
                <w:bCs/>
              </w:rPr>
              <w:t>COVID-19 mortality within 21 days from the start of study N (%)</w:t>
            </w:r>
          </w:p>
        </w:tc>
        <w:tc>
          <w:tcPr>
            <w:tcW w:w="721" w:type="pct"/>
            <w:tcBorders>
              <w:top w:val="single" w:sz="4" w:space="0" w:color="000000"/>
            </w:tcBorders>
            <w:vAlign w:val="center"/>
          </w:tcPr>
          <w:p w14:paraId="5E30C3F6"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0 (0%)</w:t>
            </w:r>
          </w:p>
        </w:tc>
        <w:tc>
          <w:tcPr>
            <w:tcW w:w="725" w:type="pct"/>
            <w:tcBorders>
              <w:top w:val="single" w:sz="4" w:space="0" w:color="000000"/>
            </w:tcBorders>
            <w:vAlign w:val="center"/>
          </w:tcPr>
          <w:p w14:paraId="0FDAA8A9"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2 (14.29%)</w:t>
            </w:r>
          </w:p>
        </w:tc>
        <w:tc>
          <w:tcPr>
            <w:tcW w:w="695" w:type="pct"/>
            <w:tcBorders>
              <w:top w:val="single" w:sz="4" w:space="0" w:color="000000"/>
            </w:tcBorders>
            <w:vAlign w:val="center"/>
          </w:tcPr>
          <w:p w14:paraId="52850B46"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5 (35.71%)</w:t>
            </w:r>
          </w:p>
        </w:tc>
        <w:tc>
          <w:tcPr>
            <w:tcW w:w="675" w:type="pct"/>
            <w:tcBorders>
              <w:top w:val="single" w:sz="4" w:space="0" w:color="000000"/>
            </w:tcBorders>
            <w:vAlign w:val="center"/>
          </w:tcPr>
          <w:p w14:paraId="550E58E4" w14:textId="77777777" w:rsidR="00D63260" w:rsidRPr="00F547E6" w:rsidRDefault="00D63260" w:rsidP="0034709C">
            <w:pPr>
              <w:jc w:val="center"/>
              <w:rPr>
                <w:rFonts w:asciiTheme="majorBidi" w:eastAsia="Calibri" w:hAnsiTheme="majorBidi" w:cstheme="majorBidi"/>
              </w:rPr>
            </w:pPr>
            <w:r w:rsidRPr="00F547E6">
              <w:rPr>
                <w:rFonts w:asciiTheme="majorBidi" w:hAnsiTheme="majorBidi" w:cstheme="majorBidi"/>
              </w:rPr>
              <w:t>9 (64.29%)</w:t>
            </w:r>
          </w:p>
        </w:tc>
        <w:tc>
          <w:tcPr>
            <w:tcW w:w="567" w:type="pct"/>
            <w:tcBorders>
              <w:top w:val="single" w:sz="4" w:space="0" w:color="000000"/>
            </w:tcBorders>
            <w:vAlign w:val="center"/>
          </w:tcPr>
          <w:p w14:paraId="22750237" w14:textId="77777777" w:rsidR="00D63260" w:rsidRPr="00F547E6" w:rsidRDefault="00D63260" w:rsidP="0034709C">
            <w:pPr>
              <w:jc w:val="center"/>
              <w:rPr>
                <w:rFonts w:asciiTheme="majorBidi" w:eastAsia="Calibri" w:hAnsiTheme="majorBidi" w:cstheme="majorBidi"/>
              </w:rPr>
            </w:pPr>
            <w:r w:rsidRPr="00F547E6">
              <w:rPr>
                <w:rFonts w:asciiTheme="majorBidi" w:eastAsia="Calibri" w:hAnsiTheme="majorBidi" w:cstheme="majorBidi"/>
              </w:rPr>
              <w:t>X</w:t>
            </w:r>
            <w:r w:rsidRPr="00F547E6">
              <w:rPr>
                <w:rFonts w:asciiTheme="majorBidi" w:eastAsia="Calibri" w:hAnsiTheme="majorBidi" w:cstheme="majorBidi"/>
                <w:vertAlign w:val="superscript"/>
              </w:rPr>
              <w:t>2</w:t>
            </w:r>
          </w:p>
          <w:p w14:paraId="7DE2B438" w14:textId="77777777" w:rsidR="00D63260" w:rsidRPr="00F547E6" w:rsidRDefault="00D63260" w:rsidP="0034709C">
            <w:pPr>
              <w:jc w:val="center"/>
              <w:rPr>
                <w:rFonts w:asciiTheme="majorBidi" w:eastAsia="Calibri" w:hAnsiTheme="majorBidi" w:cstheme="majorBidi"/>
              </w:rPr>
            </w:pPr>
            <w:r w:rsidRPr="00F547E6">
              <w:rPr>
                <w:rFonts w:asciiTheme="majorBidi" w:eastAsia="Calibri" w:hAnsiTheme="majorBidi" w:cstheme="majorBidi"/>
              </w:rPr>
              <w:t>18.597</w:t>
            </w:r>
          </w:p>
        </w:tc>
        <w:tc>
          <w:tcPr>
            <w:tcW w:w="502" w:type="pct"/>
            <w:tcBorders>
              <w:top w:val="single" w:sz="4" w:space="0" w:color="000000"/>
            </w:tcBorders>
            <w:vAlign w:val="center"/>
          </w:tcPr>
          <w:p w14:paraId="7D28CA0B" w14:textId="77777777" w:rsidR="00D63260" w:rsidRPr="00A65F3F" w:rsidRDefault="00D63260" w:rsidP="0034709C">
            <w:pPr>
              <w:jc w:val="center"/>
              <w:rPr>
                <w:rFonts w:asciiTheme="majorBidi" w:eastAsia="Calibri" w:hAnsiTheme="majorBidi" w:cstheme="majorBidi"/>
                <w:b/>
                <w:bCs/>
              </w:rPr>
            </w:pPr>
            <w:r w:rsidRPr="00A65F3F">
              <w:rPr>
                <w:rFonts w:asciiTheme="majorBidi" w:eastAsia="Calibri" w:hAnsiTheme="majorBidi" w:cstheme="majorBidi"/>
                <w:b/>
                <w:bCs/>
              </w:rPr>
              <w:t>&lt;0.001*</w:t>
            </w:r>
          </w:p>
        </w:tc>
      </w:tr>
      <w:tr w:rsidR="00D63260" w:rsidRPr="00F547E6" w14:paraId="5C1616A7" w14:textId="77777777" w:rsidTr="00117B4D">
        <w:trPr>
          <w:trHeight w:val="432"/>
        </w:trPr>
        <w:tc>
          <w:tcPr>
            <w:tcW w:w="1115" w:type="pct"/>
            <w:shd w:val="pct12" w:color="auto" w:fill="auto"/>
            <w:vAlign w:val="center"/>
            <w:hideMark/>
          </w:tcPr>
          <w:p w14:paraId="30E0848E" w14:textId="77777777" w:rsidR="00D63260" w:rsidRPr="00F547E6" w:rsidRDefault="00D63260" w:rsidP="0034709C">
            <w:pPr>
              <w:jc w:val="center"/>
              <w:rPr>
                <w:rFonts w:asciiTheme="majorBidi" w:hAnsiTheme="majorBidi" w:cstheme="majorBidi"/>
                <w:b/>
                <w:bCs/>
              </w:rPr>
            </w:pPr>
            <w:r w:rsidRPr="00F547E6">
              <w:rPr>
                <w:rFonts w:asciiTheme="majorBidi" w:hAnsiTheme="majorBidi" w:cstheme="majorBidi"/>
                <w:b/>
                <w:bCs/>
              </w:rPr>
              <w:t>Duration of</w:t>
            </w:r>
            <w:r w:rsidRPr="00F547E6">
              <w:rPr>
                <w:rFonts w:asciiTheme="majorBidi" w:hAnsiTheme="majorBidi" w:cstheme="majorBidi"/>
              </w:rPr>
              <w:t xml:space="preserve"> </w:t>
            </w:r>
            <w:r w:rsidRPr="00F547E6">
              <w:rPr>
                <w:rFonts w:asciiTheme="majorBidi" w:hAnsiTheme="majorBidi" w:cstheme="majorBidi"/>
                <w:b/>
                <w:bCs/>
              </w:rPr>
              <w:t>hospital stay from the start of study: (days)</w:t>
            </w:r>
          </w:p>
        </w:tc>
        <w:tc>
          <w:tcPr>
            <w:tcW w:w="721" w:type="pct"/>
            <w:vAlign w:val="center"/>
          </w:tcPr>
          <w:p w14:paraId="304A1427"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0 ± 0</w:t>
            </w:r>
          </w:p>
        </w:tc>
        <w:tc>
          <w:tcPr>
            <w:tcW w:w="725" w:type="pct"/>
            <w:vAlign w:val="center"/>
          </w:tcPr>
          <w:p w14:paraId="24F3EA78"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5.7 ± 1.5</w:t>
            </w:r>
          </w:p>
        </w:tc>
        <w:tc>
          <w:tcPr>
            <w:tcW w:w="695" w:type="pct"/>
            <w:vAlign w:val="center"/>
          </w:tcPr>
          <w:p w14:paraId="3C76D051"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13.8 ± 3.49</w:t>
            </w:r>
          </w:p>
        </w:tc>
        <w:tc>
          <w:tcPr>
            <w:tcW w:w="675" w:type="pct"/>
            <w:vAlign w:val="center"/>
          </w:tcPr>
          <w:p w14:paraId="35227B48"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19.6 ± 2.75</w:t>
            </w:r>
          </w:p>
        </w:tc>
        <w:tc>
          <w:tcPr>
            <w:tcW w:w="567" w:type="pct"/>
            <w:vMerge w:val="restart"/>
            <w:vAlign w:val="center"/>
          </w:tcPr>
          <w:p w14:paraId="06E05A6B"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F</w:t>
            </w:r>
          </w:p>
          <w:p w14:paraId="67F96581"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183.33</w:t>
            </w:r>
          </w:p>
        </w:tc>
        <w:tc>
          <w:tcPr>
            <w:tcW w:w="502" w:type="pct"/>
            <w:vMerge w:val="restart"/>
            <w:vAlign w:val="center"/>
          </w:tcPr>
          <w:p w14:paraId="65B7ED43" w14:textId="77777777" w:rsidR="00D63260" w:rsidRPr="00A65F3F" w:rsidRDefault="00D63260" w:rsidP="0034709C">
            <w:pPr>
              <w:jc w:val="center"/>
              <w:rPr>
                <w:rFonts w:asciiTheme="majorBidi" w:hAnsiTheme="majorBidi" w:cstheme="majorBidi"/>
                <w:b/>
                <w:bCs/>
              </w:rPr>
            </w:pPr>
            <w:r w:rsidRPr="00A65F3F">
              <w:rPr>
                <w:rFonts w:asciiTheme="majorBidi" w:hAnsiTheme="majorBidi" w:cstheme="majorBidi"/>
                <w:b/>
                <w:bCs/>
              </w:rPr>
              <w:t>&lt;0.001*</w:t>
            </w:r>
          </w:p>
        </w:tc>
      </w:tr>
      <w:tr w:rsidR="00D63260" w:rsidRPr="00F547E6" w14:paraId="56B0D989" w14:textId="77777777" w:rsidTr="00117B4D">
        <w:trPr>
          <w:trHeight w:val="432"/>
        </w:trPr>
        <w:tc>
          <w:tcPr>
            <w:tcW w:w="1836" w:type="pct"/>
            <w:gridSpan w:val="2"/>
            <w:shd w:val="pct12" w:color="auto" w:fill="auto"/>
            <w:vAlign w:val="center"/>
          </w:tcPr>
          <w:p w14:paraId="566FF369"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P1</w:t>
            </w:r>
          </w:p>
        </w:tc>
        <w:tc>
          <w:tcPr>
            <w:tcW w:w="725" w:type="pct"/>
            <w:vAlign w:val="center"/>
          </w:tcPr>
          <w:p w14:paraId="1FD9EED2"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695" w:type="pct"/>
            <w:vAlign w:val="center"/>
          </w:tcPr>
          <w:p w14:paraId="06ABA271"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675" w:type="pct"/>
            <w:vAlign w:val="center"/>
          </w:tcPr>
          <w:p w14:paraId="01838CB7"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567" w:type="pct"/>
            <w:vMerge/>
            <w:vAlign w:val="center"/>
          </w:tcPr>
          <w:p w14:paraId="2EB9FCC8" w14:textId="77777777" w:rsidR="00D63260" w:rsidRPr="00F547E6" w:rsidRDefault="00D63260" w:rsidP="0034709C">
            <w:pPr>
              <w:jc w:val="center"/>
              <w:rPr>
                <w:rFonts w:asciiTheme="majorBidi" w:hAnsiTheme="majorBidi" w:cstheme="majorBidi"/>
              </w:rPr>
            </w:pPr>
          </w:p>
        </w:tc>
        <w:tc>
          <w:tcPr>
            <w:tcW w:w="502" w:type="pct"/>
            <w:vMerge/>
            <w:vAlign w:val="center"/>
          </w:tcPr>
          <w:p w14:paraId="30235641" w14:textId="77777777" w:rsidR="00D63260" w:rsidRPr="00A65F3F" w:rsidRDefault="00D63260" w:rsidP="0034709C">
            <w:pPr>
              <w:jc w:val="center"/>
              <w:rPr>
                <w:rFonts w:asciiTheme="majorBidi" w:hAnsiTheme="majorBidi" w:cstheme="majorBidi"/>
                <w:b/>
                <w:bCs/>
              </w:rPr>
            </w:pPr>
          </w:p>
        </w:tc>
      </w:tr>
      <w:tr w:rsidR="00D63260" w:rsidRPr="00F547E6" w14:paraId="4B4BEA1B" w14:textId="77777777" w:rsidTr="00117B4D">
        <w:trPr>
          <w:trHeight w:val="432"/>
        </w:trPr>
        <w:tc>
          <w:tcPr>
            <w:tcW w:w="2561" w:type="pct"/>
            <w:gridSpan w:val="3"/>
            <w:shd w:val="pct12" w:color="auto" w:fill="auto"/>
            <w:vAlign w:val="center"/>
          </w:tcPr>
          <w:p w14:paraId="59963DC3"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P2</w:t>
            </w:r>
          </w:p>
        </w:tc>
        <w:tc>
          <w:tcPr>
            <w:tcW w:w="695" w:type="pct"/>
            <w:vAlign w:val="center"/>
          </w:tcPr>
          <w:p w14:paraId="73CC5407"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675" w:type="pct"/>
            <w:vAlign w:val="center"/>
          </w:tcPr>
          <w:p w14:paraId="00C089DB"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567" w:type="pct"/>
            <w:vMerge/>
            <w:vAlign w:val="center"/>
          </w:tcPr>
          <w:p w14:paraId="75754D07" w14:textId="77777777" w:rsidR="00D63260" w:rsidRPr="00F547E6" w:rsidRDefault="00D63260" w:rsidP="0034709C">
            <w:pPr>
              <w:jc w:val="center"/>
              <w:rPr>
                <w:rFonts w:asciiTheme="majorBidi" w:hAnsiTheme="majorBidi" w:cstheme="majorBidi"/>
              </w:rPr>
            </w:pPr>
          </w:p>
        </w:tc>
        <w:tc>
          <w:tcPr>
            <w:tcW w:w="502" w:type="pct"/>
            <w:vMerge/>
            <w:vAlign w:val="center"/>
          </w:tcPr>
          <w:p w14:paraId="301907C5" w14:textId="77777777" w:rsidR="00D63260" w:rsidRPr="00A65F3F" w:rsidRDefault="00D63260" w:rsidP="0034709C">
            <w:pPr>
              <w:jc w:val="center"/>
              <w:rPr>
                <w:rFonts w:asciiTheme="majorBidi" w:hAnsiTheme="majorBidi" w:cstheme="majorBidi"/>
                <w:b/>
                <w:bCs/>
              </w:rPr>
            </w:pPr>
          </w:p>
        </w:tc>
      </w:tr>
      <w:tr w:rsidR="00D63260" w:rsidRPr="00F547E6" w14:paraId="6BDF4BA8" w14:textId="77777777" w:rsidTr="00117B4D">
        <w:trPr>
          <w:trHeight w:val="432"/>
        </w:trPr>
        <w:tc>
          <w:tcPr>
            <w:tcW w:w="3256" w:type="pct"/>
            <w:gridSpan w:val="4"/>
            <w:shd w:val="pct12" w:color="auto" w:fill="auto"/>
            <w:vAlign w:val="center"/>
          </w:tcPr>
          <w:p w14:paraId="3A60E9F9"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P3</w:t>
            </w:r>
          </w:p>
        </w:tc>
        <w:tc>
          <w:tcPr>
            <w:tcW w:w="675" w:type="pct"/>
            <w:vAlign w:val="center"/>
          </w:tcPr>
          <w:p w14:paraId="32FCB8F8"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&lt;0.001*</w:t>
            </w:r>
          </w:p>
        </w:tc>
        <w:tc>
          <w:tcPr>
            <w:tcW w:w="567" w:type="pct"/>
            <w:vMerge/>
            <w:vAlign w:val="center"/>
          </w:tcPr>
          <w:p w14:paraId="2450CED3" w14:textId="77777777" w:rsidR="00D63260" w:rsidRPr="00F547E6" w:rsidRDefault="00D63260" w:rsidP="0034709C">
            <w:pPr>
              <w:jc w:val="center"/>
              <w:rPr>
                <w:rFonts w:asciiTheme="majorBidi" w:hAnsiTheme="majorBidi" w:cstheme="majorBidi"/>
              </w:rPr>
            </w:pPr>
          </w:p>
        </w:tc>
        <w:tc>
          <w:tcPr>
            <w:tcW w:w="502" w:type="pct"/>
            <w:vMerge/>
            <w:vAlign w:val="center"/>
          </w:tcPr>
          <w:p w14:paraId="4B1B2821" w14:textId="77777777" w:rsidR="00D63260" w:rsidRPr="00A65F3F" w:rsidRDefault="00D63260" w:rsidP="0034709C">
            <w:pPr>
              <w:jc w:val="center"/>
              <w:rPr>
                <w:rFonts w:asciiTheme="majorBidi" w:hAnsiTheme="majorBidi" w:cstheme="majorBidi"/>
                <w:b/>
                <w:bCs/>
              </w:rPr>
            </w:pPr>
          </w:p>
        </w:tc>
      </w:tr>
      <w:tr w:rsidR="00D63260" w:rsidRPr="00F547E6" w14:paraId="25E6D0A7" w14:textId="77777777" w:rsidTr="00117B4D">
        <w:trPr>
          <w:trHeight w:val="432"/>
        </w:trPr>
        <w:tc>
          <w:tcPr>
            <w:tcW w:w="1115" w:type="pct"/>
            <w:tcBorders>
              <w:bottom w:val="single" w:sz="4" w:space="0" w:color="000000"/>
            </w:tcBorders>
            <w:shd w:val="pct12" w:color="auto" w:fill="auto"/>
            <w:vAlign w:val="center"/>
            <w:hideMark/>
          </w:tcPr>
          <w:p w14:paraId="70666BC8"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b/>
                <w:bCs/>
              </w:rPr>
              <w:t>SARSCoV-2 RNA PCR negativity before day-21</w:t>
            </w:r>
            <w:r w:rsidRPr="00F547E6">
              <w:rPr>
                <w:rFonts w:asciiTheme="majorBidi" w:hAnsiTheme="majorBidi" w:cstheme="majorBidi"/>
              </w:rPr>
              <w:t xml:space="preserve"> </w:t>
            </w:r>
            <w:r w:rsidRPr="00F547E6">
              <w:rPr>
                <w:rFonts w:asciiTheme="majorBidi" w:hAnsiTheme="majorBidi" w:cstheme="majorBidi"/>
                <w:b/>
                <w:bCs/>
              </w:rPr>
              <w:t>N (%)</w:t>
            </w:r>
          </w:p>
        </w:tc>
        <w:tc>
          <w:tcPr>
            <w:tcW w:w="721" w:type="pct"/>
            <w:tcBorders>
              <w:bottom w:val="single" w:sz="4" w:space="0" w:color="000000"/>
            </w:tcBorders>
            <w:vAlign w:val="center"/>
          </w:tcPr>
          <w:p w14:paraId="2441CC52"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12 (85.71%)</w:t>
            </w:r>
          </w:p>
        </w:tc>
        <w:tc>
          <w:tcPr>
            <w:tcW w:w="725" w:type="pct"/>
            <w:tcBorders>
              <w:bottom w:val="single" w:sz="4" w:space="0" w:color="000000"/>
            </w:tcBorders>
            <w:vAlign w:val="center"/>
          </w:tcPr>
          <w:p w14:paraId="0B483897"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8 (57.14%)</w:t>
            </w:r>
          </w:p>
        </w:tc>
        <w:tc>
          <w:tcPr>
            <w:tcW w:w="695" w:type="pct"/>
            <w:tcBorders>
              <w:bottom w:val="single" w:sz="4" w:space="0" w:color="000000"/>
            </w:tcBorders>
            <w:vAlign w:val="center"/>
          </w:tcPr>
          <w:p w14:paraId="6CAFA150"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7 (50%)</w:t>
            </w:r>
          </w:p>
        </w:tc>
        <w:tc>
          <w:tcPr>
            <w:tcW w:w="675" w:type="pct"/>
            <w:tcBorders>
              <w:bottom w:val="single" w:sz="4" w:space="0" w:color="000000"/>
            </w:tcBorders>
            <w:vAlign w:val="center"/>
          </w:tcPr>
          <w:p w14:paraId="28CC7D90"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2 (14.29%)</w:t>
            </w:r>
          </w:p>
        </w:tc>
        <w:tc>
          <w:tcPr>
            <w:tcW w:w="567" w:type="pct"/>
            <w:tcBorders>
              <w:bottom w:val="single" w:sz="4" w:space="0" w:color="000000"/>
            </w:tcBorders>
            <w:vAlign w:val="center"/>
          </w:tcPr>
          <w:p w14:paraId="47F9CEC2" w14:textId="77777777" w:rsidR="00D63260" w:rsidRPr="00F547E6" w:rsidRDefault="00D63260" w:rsidP="0034709C">
            <w:pPr>
              <w:jc w:val="center"/>
              <w:rPr>
                <w:rFonts w:asciiTheme="majorBidi" w:eastAsia="Calibri" w:hAnsiTheme="majorBidi" w:cstheme="majorBidi"/>
              </w:rPr>
            </w:pPr>
            <w:r w:rsidRPr="00F547E6">
              <w:rPr>
                <w:rFonts w:asciiTheme="majorBidi" w:eastAsia="Calibri" w:hAnsiTheme="majorBidi" w:cstheme="majorBidi"/>
              </w:rPr>
              <w:t>X</w:t>
            </w:r>
            <w:r w:rsidRPr="00F547E6">
              <w:rPr>
                <w:rFonts w:asciiTheme="majorBidi" w:eastAsia="Calibri" w:hAnsiTheme="majorBidi" w:cstheme="majorBidi"/>
                <w:vertAlign w:val="superscript"/>
              </w:rPr>
              <w:t>2</w:t>
            </w:r>
          </w:p>
          <w:p w14:paraId="557DD353" w14:textId="77777777" w:rsidR="00D63260" w:rsidRPr="00F547E6" w:rsidRDefault="00D63260" w:rsidP="0034709C">
            <w:pPr>
              <w:jc w:val="center"/>
              <w:rPr>
                <w:rFonts w:asciiTheme="majorBidi" w:hAnsiTheme="majorBidi" w:cstheme="majorBidi"/>
              </w:rPr>
            </w:pPr>
            <w:r w:rsidRPr="00F547E6">
              <w:rPr>
                <w:rFonts w:asciiTheme="majorBidi" w:hAnsiTheme="majorBidi" w:cstheme="majorBidi"/>
              </w:rPr>
              <w:t>7.180</w:t>
            </w:r>
          </w:p>
        </w:tc>
        <w:tc>
          <w:tcPr>
            <w:tcW w:w="502" w:type="pct"/>
            <w:tcBorders>
              <w:bottom w:val="single" w:sz="4" w:space="0" w:color="000000"/>
            </w:tcBorders>
            <w:vAlign w:val="center"/>
          </w:tcPr>
          <w:p w14:paraId="5720F1BD" w14:textId="77777777" w:rsidR="00D63260" w:rsidRPr="00A65F3F" w:rsidRDefault="00D63260" w:rsidP="00117B4D">
            <w:pPr>
              <w:keepNext/>
              <w:jc w:val="center"/>
              <w:rPr>
                <w:rFonts w:asciiTheme="majorBidi" w:hAnsiTheme="majorBidi" w:cstheme="majorBidi"/>
              </w:rPr>
            </w:pPr>
            <w:r w:rsidRPr="00A65F3F">
              <w:rPr>
                <w:rFonts w:asciiTheme="majorBidi" w:hAnsiTheme="majorBidi" w:cstheme="majorBidi"/>
              </w:rPr>
              <w:t>0.066</w:t>
            </w:r>
          </w:p>
        </w:tc>
      </w:tr>
    </w:tbl>
    <w:p w14:paraId="67F168F9" w14:textId="2FD20025" w:rsidR="00117B4D" w:rsidRPr="00117B4D" w:rsidRDefault="00117B4D" w:rsidP="00117B4D">
      <w:pPr>
        <w:spacing w:after="0" w:line="240" w:lineRule="auto"/>
        <w:ind w:left="142"/>
        <w:rPr>
          <w:b/>
          <w:bCs/>
          <w:i/>
          <w:iCs/>
          <w:color w:val="4472C4" w:themeColor="accent1"/>
          <w:sz w:val="18"/>
          <w:szCs w:val="18"/>
        </w:rPr>
      </w:pPr>
      <w:r w:rsidRPr="00117B4D">
        <w:rPr>
          <w:b/>
          <w:bCs/>
          <w:i/>
          <w:iCs/>
          <w:color w:val="4472C4" w:themeColor="accent1"/>
          <w:sz w:val="18"/>
          <w:szCs w:val="18"/>
        </w:rPr>
        <w:t>Data are expressed as mean ± SD or number (%).</w:t>
      </w:r>
      <w:r>
        <w:rPr>
          <w:b/>
          <w:bCs/>
          <w:i/>
          <w:iCs/>
          <w:color w:val="4472C4" w:themeColor="accent1"/>
          <w:sz w:val="18"/>
          <w:szCs w:val="18"/>
        </w:rPr>
        <w:t xml:space="preserve"> </w:t>
      </w:r>
      <w:r w:rsidRPr="00117B4D">
        <w:rPr>
          <w:b/>
          <w:bCs/>
          <w:i/>
          <w:iCs/>
          <w:color w:val="4472C4" w:themeColor="accent1"/>
          <w:sz w:val="18"/>
          <w:szCs w:val="18"/>
        </w:rPr>
        <w:t>F: One-way ANOVA, X</w:t>
      </w:r>
      <w:r w:rsidRPr="00117B4D">
        <w:rPr>
          <w:b/>
          <w:bCs/>
          <w:i/>
          <w:iCs/>
          <w:color w:val="4472C4" w:themeColor="accent1"/>
          <w:sz w:val="18"/>
          <w:szCs w:val="18"/>
          <w:vertAlign w:val="superscript"/>
        </w:rPr>
        <w:t>2</w:t>
      </w:r>
      <w:r w:rsidRPr="00117B4D">
        <w:rPr>
          <w:b/>
          <w:bCs/>
          <w:i/>
          <w:iCs/>
          <w:color w:val="4472C4" w:themeColor="accent1"/>
          <w:sz w:val="18"/>
          <w:szCs w:val="18"/>
        </w:rPr>
        <w:t>:</w:t>
      </w:r>
      <w:r w:rsidRPr="00117B4D">
        <w:rPr>
          <w:b/>
          <w:bCs/>
          <w:color w:val="4472C4" w:themeColor="accent1"/>
          <w:sz w:val="18"/>
          <w:szCs w:val="18"/>
        </w:rPr>
        <w:t xml:space="preserve"> </w:t>
      </w:r>
      <w:r w:rsidRPr="00117B4D">
        <w:rPr>
          <w:b/>
          <w:bCs/>
          <w:i/>
          <w:iCs/>
          <w:color w:val="4472C4" w:themeColor="accent1"/>
          <w:sz w:val="18"/>
          <w:szCs w:val="18"/>
        </w:rPr>
        <w:t>Chi-square</w:t>
      </w:r>
      <w:r>
        <w:rPr>
          <w:b/>
          <w:bCs/>
          <w:i/>
          <w:iCs/>
          <w:color w:val="4472C4" w:themeColor="accent1"/>
          <w:sz w:val="18"/>
          <w:szCs w:val="18"/>
        </w:rPr>
        <w:t xml:space="preserve">. </w:t>
      </w:r>
      <w:r w:rsidRPr="00117B4D">
        <w:rPr>
          <w:b/>
          <w:bCs/>
          <w:i/>
          <w:iCs/>
          <w:color w:val="4472C4" w:themeColor="accent1"/>
          <w:sz w:val="18"/>
          <w:szCs w:val="18"/>
        </w:rPr>
        <w:t xml:space="preserve"> P1: P value between mild group and (moderate group, severe group and critical group), P2: P value between moderate group and ( severe group and critical group), P3: P value between severe group and critical group.</w:t>
      </w:r>
    </w:p>
    <w:p w14:paraId="335512F7" w14:textId="77777777" w:rsidR="00117B4D" w:rsidRPr="00117B4D" w:rsidRDefault="00117B4D" w:rsidP="00117B4D">
      <w:pPr>
        <w:spacing w:after="0" w:line="240" w:lineRule="auto"/>
        <w:ind w:left="142"/>
        <w:rPr>
          <w:b/>
          <w:bCs/>
          <w:color w:val="4472C4" w:themeColor="accent1"/>
          <w:sz w:val="18"/>
          <w:szCs w:val="18"/>
        </w:rPr>
      </w:pPr>
    </w:p>
    <w:p w14:paraId="3E382A3F" w14:textId="5537000F" w:rsidR="007F0D4D" w:rsidRPr="007F0D4D" w:rsidRDefault="007F0D4D" w:rsidP="00987047">
      <w:pPr>
        <w:spacing w:line="360" w:lineRule="auto"/>
        <w:jc w:val="both"/>
        <w:rPr>
          <w:rFonts w:asciiTheme="majorBidi" w:hAnsiTheme="majorBidi" w:cstheme="majorBidi"/>
          <w:sz w:val="24"/>
          <w:szCs w:val="24"/>
          <w:shd w:val="clear" w:color="auto" w:fill="FFFFFF"/>
        </w:rPr>
      </w:pPr>
      <w:r w:rsidRPr="0012469A">
        <w:rPr>
          <w:rFonts w:asciiTheme="majorBidi" w:eastAsiaTheme="minorEastAsia" w:hAnsiTheme="majorBidi" w:cstheme="majorBidi"/>
          <w:sz w:val="24"/>
          <w:szCs w:val="24"/>
        </w:rPr>
        <w:t xml:space="preserve">In univariate regression, total </w:t>
      </w:r>
      <w:r w:rsidR="00D7243C">
        <w:rPr>
          <w:rFonts w:asciiTheme="majorBidi" w:eastAsiaTheme="minorEastAsia" w:hAnsiTheme="majorBidi" w:cstheme="majorBidi"/>
          <w:sz w:val="24"/>
          <w:szCs w:val="24"/>
        </w:rPr>
        <w:t xml:space="preserve">protein, creatinine, temperature, respiratory rate, heart rate, and </w:t>
      </w:r>
      <w:r w:rsidRPr="0012469A">
        <w:rPr>
          <w:rFonts w:asciiTheme="majorBidi" w:eastAsiaTheme="minorEastAsia" w:hAnsiTheme="majorBidi" w:cstheme="majorBidi"/>
          <w:sz w:val="24"/>
          <w:szCs w:val="24"/>
        </w:rPr>
        <w:t xml:space="preserve">SBP were independent predictors of </w:t>
      </w:r>
      <w:r w:rsidR="00D7243C">
        <w:rPr>
          <w:rFonts w:asciiTheme="majorBidi" w:eastAsiaTheme="minorEastAsia" w:hAnsiTheme="majorBidi" w:cstheme="majorBidi"/>
          <w:sz w:val="24"/>
          <w:szCs w:val="24"/>
        </w:rPr>
        <w:t xml:space="preserve">the </w:t>
      </w:r>
      <w:r w:rsidRPr="0012469A">
        <w:rPr>
          <w:rFonts w:asciiTheme="majorBidi" w:eastAsiaTheme="minorEastAsia" w:hAnsiTheme="majorBidi" w:cstheme="majorBidi"/>
          <w:sz w:val="24"/>
          <w:szCs w:val="24"/>
        </w:rPr>
        <w:t xml:space="preserve">severity of COVID-19  (P value &lt;0.05). In Multivariate regression, total </w:t>
      </w:r>
      <w:r w:rsidR="00D7243C">
        <w:rPr>
          <w:rFonts w:asciiTheme="majorBidi" w:eastAsiaTheme="minorEastAsia" w:hAnsiTheme="majorBidi" w:cstheme="majorBidi"/>
          <w:sz w:val="24"/>
          <w:szCs w:val="24"/>
        </w:rPr>
        <w:t xml:space="preserve">protein, creatinine, temperature, respiratory rate, heart rate, and </w:t>
      </w:r>
      <w:r w:rsidRPr="0012469A">
        <w:rPr>
          <w:rFonts w:asciiTheme="majorBidi" w:eastAsiaTheme="minorEastAsia" w:hAnsiTheme="majorBidi" w:cstheme="majorBidi"/>
          <w:sz w:val="24"/>
          <w:szCs w:val="24"/>
        </w:rPr>
        <w:t>SBP weren’t independent predictors of COVID-19</w:t>
      </w:r>
      <w:r w:rsidR="00987047">
        <w:rPr>
          <w:rFonts w:asciiTheme="majorBidi" w:eastAsiaTheme="minorEastAsia" w:hAnsiTheme="majorBidi" w:cstheme="majorBidi"/>
          <w:sz w:val="24"/>
          <w:szCs w:val="24"/>
        </w:rPr>
        <w:t>,</w:t>
      </w:r>
      <w:r w:rsidRPr="00B85B21">
        <w:rPr>
          <w:rFonts w:asciiTheme="majorBidi" w:hAnsiTheme="majorBidi" w:cstheme="majorBidi"/>
          <w:sz w:val="24"/>
          <w:szCs w:val="24"/>
        </w:rPr>
        <w:t xml:space="preserve"> as presented in </w:t>
      </w:r>
      <w:r w:rsidRPr="00B85B21">
        <w:rPr>
          <w:rFonts w:asciiTheme="majorBidi" w:hAnsiTheme="majorBidi" w:cstheme="majorBidi"/>
          <w:b/>
          <w:bCs/>
          <w:sz w:val="24"/>
          <w:szCs w:val="24"/>
        </w:rPr>
        <w:t>Table</w:t>
      </w:r>
      <w:r w:rsidRPr="00F547E6">
        <w:rPr>
          <w:rFonts w:asciiTheme="majorBidi" w:hAnsiTheme="majorBidi" w:cstheme="majorBidi"/>
          <w:b/>
          <w:bCs/>
          <w:sz w:val="24"/>
          <w:szCs w:val="24"/>
        </w:rPr>
        <w:t xml:space="preserve"> </w:t>
      </w:r>
      <w:r>
        <w:rPr>
          <w:rFonts w:asciiTheme="majorBidi" w:hAnsiTheme="majorBidi" w:cstheme="majorBidi"/>
          <w:b/>
          <w:bCs/>
          <w:sz w:val="24"/>
          <w:szCs w:val="24"/>
        </w:rPr>
        <w:t>5</w:t>
      </w:r>
      <w:r w:rsidRPr="00F547E6">
        <w:rPr>
          <w:rFonts w:asciiTheme="majorBidi" w:hAnsiTheme="majorBidi" w:cstheme="majorBidi"/>
          <w:sz w:val="24"/>
          <w:szCs w:val="24"/>
        </w:rPr>
        <w:t>.</w:t>
      </w:r>
      <w:r w:rsidRPr="00F547E6">
        <w:rPr>
          <w:rFonts w:asciiTheme="majorBidi" w:hAnsiTheme="majorBidi" w:cstheme="majorBidi"/>
          <w:sz w:val="24"/>
          <w:szCs w:val="24"/>
          <w:shd w:val="clear" w:color="auto" w:fill="FFFFFF"/>
        </w:rPr>
        <w:t xml:space="preserve">  </w:t>
      </w:r>
    </w:p>
    <w:p w14:paraId="152982F5" w14:textId="7B1A0EAE" w:rsidR="00E00D2A" w:rsidRPr="00E00D2A" w:rsidRDefault="00E00D2A" w:rsidP="00E00D2A">
      <w:pPr>
        <w:pStyle w:val="Caption"/>
        <w:keepNext/>
      </w:pPr>
      <w:r>
        <w:t xml:space="preserve">Table </w:t>
      </w:r>
      <w:fldSimple w:instr=" SEQ Table \* ARABIC ">
        <w:r w:rsidR="00650F29">
          <w:rPr>
            <w:noProof/>
          </w:rPr>
          <w:t>5</w:t>
        </w:r>
      </w:fldSimple>
      <w:r>
        <w:t xml:space="preserve">. </w:t>
      </w:r>
      <w:r w:rsidRPr="00E00D2A">
        <w:t xml:space="preserve">Univariate and multivariate regression of (total protein, creatinine, O2 saturation, temperature, respiratory rate, heart rate, SBP, ESR, CRP, ferritin, D-dimer, and duration of hospital stay) versus severity of COVID-19. </w:t>
      </w:r>
    </w:p>
    <w:tbl>
      <w:tblPr>
        <w:tblStyle w:val="GridTable5Dark-Accent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Univariate and multivariate regression of (total protein, creatinine, O2 saturation, temperature, respiratory rate, heart rate, SBP, ESR, CRP, ferritin, D-dimer, and duration of hospital stay) versus severity of COVID-19. "/>
      </w:tblPr>
      <w:tblGrid>
        <w:gridCol w:w="1871"/>
        <w:gridCol w:w="1215"/>
        <w:gridCol w:w="1437"/>
        <w:gridCol w:w="1076"/>
        <w:gridCol w:w="1133"/>
        <w:gridCol w:w="1570"/>
        <w:gridCol w:w="955"/>
      </w:tblGrid>
      <w:tr w:rsidR="00987047" w:rsidRPr="00987047" w14:paraId="68C04396" w14:textId="77777777" w:rsidTr="00E00D2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11" w:type="pct"/>
            <w:vMerge w:val="restart"/>
            <w:tcBorders>
              <w:top w:val="single" w:sz="4" w:space="0" w:color="000000"/>
              <w:left w:val="none" w:sz="0" w:space="0" w:color="auto"/>
              <w:right w:val="none" w:sz="0" w:space="0" w:color="auto"/>
            </w:tcBorders>
          </w:tcPr>
          <w:p w14:paraId="336B2ED3" w14:textId="77777777" w:rsidR="00B1615E" w:rsidRPr="00987047" w:rsidRDefault="00B1615E" w:rsidP="0034709C">
            <w:pPr>
              <w:jc w:val="center"/>
              <w:rPr>
                <w:rFonts w:asciiTheme="majorBidi" w:eastAsia="Times New Roman" w:hAnsiTheme="majorBidi" w:cstheme="majorBidi"/>
                <w:color w:val="auto"/>
                <w:highlight w:val="yellow"/>
              </w:rPr>
            </w:pPr>
          </w:p>
        </w:tc>
        <w:tc>
          <w:tcPr>
            <w:tcW w:w="2013" w:type="pct"/>
            <w:gridSpan w:val="3"/>
            <w:tcBorders>
              <w:top w:val="single" w:sz="4" w:space="0" w:color="000000"/>
              <w:left w:val="none" w:sz="0" w:space="0" w:color="auto"/>
              <w:right w:val="none" w:sz="0" w:space="0" w:color="auto"/>
            </w:tcBorders>
          </w:tcPr>
          <w:p w14:paraId="31F01757" w14:textId="77777777" w:rsidR="00B1615E" w:rsidRPr="00987047" w:rsidRDefault="00B1615E" w:rsidP="0034709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highlight w:val="yellow"/>
              </w:rPr>
            </w:pPr>
            <w:r w:rsidRPr="00987047">
              <w:rPr>
                <w:rFonts w:asciiTheme="majorBidi" w:eastAsia="Times New Roman" w:hAnsiTheme="majorBidi" w:cstheme="majorBidi"/>
                <w:color w:val="auto"/>
              </w:rPr>
              <w:t>Univariate</w:t>
            </w:r>
          </w:p>
        </w:tc>
        <w:tc>
          <w:tcPr>
            <w:tcW w:w="1976" w:type="pct"/>
            <w:gridSpan w:val="3"/>
            <w:tcBorders>
              <w:top w:val="single" w:sz="4" w:space="0" w:color="000000"/>
              <w:left w:val="none" w:sz="0" w:space="0" w:color="auto"/>
              <w:right w:val="none" w:sz="0" w:space="0" w:color="auto"/>
            </w:tcBorders>
          </w:tcPr>
          <w:p w14:paraId="62BC3168" w14:textId="77777777" w:rsidR="00B1615E" w:rsidRPr="00987047" w:rsidRDefault="00B1615E" w:rsidP="0034709C">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highlight w:val="yellow"/>
              </w:rPr>
            </w:pPr>
            <w:r w:rsidRPr="00987047">
              <w:rPr>
                <w:rFonts w:asciiTheme="majorBidi" w:eastAsia="Times New Roman" w:hAnsiTheme="majorBidi" w:cstheme="majorBidi"/>
                <w:color w:val="auto"/>
              </w:rPr>
              <w:t>Multivariate</w:t>
            </w:r>
          </w:p>
        </w:tc>
      </w:tr>
      <w:tr w:rsidR="00987047" w:rsidRPr="00987047" w14:paraId="301D879F" w14:textId="77777777" w:rsidTr="00E00D2A">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11" w:type="pct"/>
            <w:vMerge/>
            <w:tcBorders>
              <w:left w:val="none" w:sz="0" w:space="0" w:color="auto"/>
              <w:bottom w:val="single" w:sz="4" w:space="0" w:color="000000"/>
            </w:tcBorders>
            <w:hideMark/>
          </w:tcPr>
          <w:p w14:paraId="32EDC568" w14:textId="77777777" w:rsidR="00B1615E" w:rsidRPr="00987047" w:rsidRDefault="00B1615E" w:rsidP="0034709C">
            <w:pPr>
              <w:jc w:val="center"/>
              <w:rPr>
                <w:rFonts w:asciiTheme="majorBidi" w:eastAsia="Times New Roman" w:hAnsiTheme="majorBidi" w:cstheme="majorBidi"/>
                <w:color w:val="auto"/>
                <w:highlight w:val="yellow"/>
              </w:rPr>
            </w:pPr>
          </w:p>
        </w:tc>
        <w:tc>
          <w:tcPr>
            <w:tcW w:w="656" w:type="pct"/>
            <w:tcBorders>
              <w:bottom w:val="single" w:sz="4" w:space="0" w:color="000000"/>
            </w:tcBorders>
          </w:tcPr>
          <w:p w14:paraId="66BB008B"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Odds ratio</w:t>
            </w:r>
          </w:p>
        </w:tc>
        <w:tc>
          <w:tcPr>
            <w:tcW w:w="776" w:type="pct"/>
            <w:tcBorders>
              <w:bottom w:val="single" w:sz="4" w:space="0" w:color="000000"/>
            </w:tcBorders>
          </w:tcPr>
          <w:p w14:paraId="2F10C590"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95% CI</w:t>
            </w:r>
          </w:p>
        </w:tc>
        <w:tc>
          <w:tcPr>
            <w:tcW w:w="581" w:type="pct"/>
            <w:tcBorders>
              <w:bottom w:val="single" w:sz="4" w:space="0" w:color="000000"/>
            </w:tcBorders>
          </w:tcPr>
          <w:p w14:paraId="317802D3"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P</w:t>
            </w:r>
          </w:p>
        </w:tc>
        <w:tc>
          <w:tcPr>
            <w:tcW w:w="612" w:type="pct"/>
            <w:tcBorders>
              <w:bottom w:val="single" w:sz="4" w:space="0" w:color="000000"/>
            </w:tcBorders>
          </w:tcPr>
          <w:p w14:paraId="64112680"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Odds ratio</w:t>
            </w:r>
          </w:p>
        </w:tc>
        <w:tc>
          <w:tcPr>
            <w:tcW w:w="848" w:type="pct"/>
            <w:tcBorders>
              <w:bottom w:val="single" w:sz="4" w:space="0" w:color="000000"/>
            </w:tcBorders>
          </w:tcPr>
          <w:p w14:paraId="00FEF224"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95% CI</w:t>
            </w:r>
          </w:p>
        </w:tc>
        <w:tc>
          <w:tcPr>
            <w:tcW w:w="516" w:type="pct"/>
            <w:tcBorders>
              <w:bottom w:val="single" w:sz="4" w:space="0" w:color="000000"/>
            </w:tcBorders>
            <w:hideMark/>
          </w:tcPr>
          <w:p w14:paraId="4F9C094C"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987047">
              <w:rPr>
                <w:rFonts w:asciiTheme="majorBidi" w:eastAsia="Times New Roman" w:hAnsiTheme="majorBidi" w:cstheme="majorBidi"/>
                <w:b/>
                <w:bCs/>
              </w:rPr>
              <w:t>P</w:t>
            </w:r>
          </w:p>
        </w:tc>
      </w:tr>
      <w:tr w:rsidR="00987047" w:rsidRPr="00987047" w14:paraId="137462F1"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top w:val="single" w:sz="4" w:space="0" w:color="000000"/>
              <w:left w:val="none" w:sz="0" w:space="0" w:color="auto"/>
            </w:tcBorders>
            <w:hideMark/>
          </w:tcPr>
          <w:p w14:paraId="77E8A9FD" w14:textId="77777777" w:rsidR="00B1615E" w:rsidRPr="00987047" w:rsidRDefault="00B1615E" w:rsidP="0034709C">
            <w:pPr>
              <w:jc w:val="center"/>
              <w:rPr>
                <w:rFonts w:asciiTheme="majorBidi" w:eastAsia="Times New Roman" w:hAnsiTheme="majorBidi" w:cstheme="majorBidi"/>
                <w:color w:val="auto"/>
              </w:rPr>
            </w:pPr>
            <w:bookmarkStart w:id="21" w:name="_Hlk174526391"/>
            <w:r w:rsidRPr="00987047">
              <w:rPr>
                <w:rFonts w:asciiTheme="majorBidi" w:eastAsia="Times New Roman" w:hAnsiTheme="majorBidi" w:cstheme="majorBidi"/>
                <w:color w:val="auto"/>
              </w:rPr>
              <w:t>Total protien</w:t>
            </w:r>
            <w:bookmarkEnd w:id="21"/>
          </w:p>
        </w:tc>
        <w:tc>
          <w:tcPr>
            <w:tcW w:w="656" w:type="pct"/>
            <w:tcBorders>
              <w:top w:val="single" w:sz="4" w:space="0" w:color="000000"/>
            </w:tcBorders>
          </w:tcPr>
          <w:p w14:paraId="33CE36D6"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0.111</w:t>
            </w:r>
          </w:p>
        </w:tc>
        <w:tc>
          <w:tcPr>
            <w:tcW w:w="776" w:type="pct"/>
            <w:tcBorders>
              <w:top w:val="single" w:sz="4" w:space="0" w:color="000000"/>
            </w:tcBorders>
          </w:tcPr>
          <w:p w14:paraId="091A8730"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0.020 – 0.606</w:t>
            </w:r>
          </w:p>
        </w:tc>
        <w:tc>
          <w:tcPr>
            <w:tcW w:w="581" w:type="pct"/>
            <w:tcBorders>
              <w:top w:val="single" w:sz="4" w:space="0" w:color="000000"/>
            </w:tcBorders>
          </w:tcPr>
          <w:p w14:paraId="59C0EEF0"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b/>
                <w:bCs/>
                <w:color w:val="auto"/>
              </w:rPr>
            </w:pPr>
            <w:r w:rsidRPr="00987047">
              <w:rPr>
                <w:rFonts w:asciiTheme="majorBidi" w:eastAsia="Times New Roman" w:hAnsiTheme="majorBidi" w:cstheme="majorBidi"/>
                <w:b/>
                <w:bCs/>
              </w:rPr>
              <w:t>0.012*</w:t>
            </w:r>
          </w:p>
        </w:tc>
        <w:tc>
          <w:tcPr>
            <w:tcW w:w="612" w:type="pct"/>
            <w:tcBorders>
              <w:top w:val="single" w:sz="4" w:space="0" w:color="000000"/>
            </w:tcBorders>
          </w:tcPr>
          <w:p w14:paraId="599B575C"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0.0052</w:t>
            </w:r>
          </w:p>
        </w:tc>
        <w:tc>
          <w:tcPr>
            <w:tcW w:w="848" w:type="pct"/>
            <w:tcBorders>
              <w:top w:val="single" w:sz="4" w:space="0" w:color="000000"/>
            </w:tcBorders>
          </w:tcPr>
          <w:p w14:paraId="37734D06"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 – 20.972</w:t>
            </w:r>
          </w:p>
        </w:tc>
        <w:tc>
          <w:tcPr>
            <w:tcW w:w="516" w:type="pct"/>
            <w:tcBorders>
              <w:top w:val="single" w:sz="4" w:space="0" w:color="000000"/>
            </w:tcBorders>
          </w:tcPr>
          <w:p w14:paraId="5D5EA888"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0.214</w:t>
            </w:r>
          </w:p>
        </w:tc>
      </w:tr>
      <w:tr w:rsidR="00987047" w:rsidRPr="00987047" w14:paraId="064CEB88"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hideMark/>
          </w:tcPr>
          <w:p w14:paraId="730482DA"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hAnsiTheme="majorBidi" w:cstheme="majorBidi"/>
                <w:color w:val="auto"/>
              </w:rPr>
              <w:t>Creatinine (mg/dL)</w:t>
            </w:r>
          </w:p>
        </w:tc>
        <w:tc>
          <w:tcPr>
            <w:tcW w:w="656" w:type="pct"/>
          </w:tcPr>
          <w:p w14:paraId="0F1CD418"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0.001</w:t>
            </w:r>
          </w:p>
        </w:tc>
        <w:tc>
          <w:tcPr>
            <w:tcW w:w="776" w:type="pct"/>
          </w:tcPr>
          <w:p w14:paraId="60014999"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0- 0.239</w:t>
            </w:r>
          </w:p>
        </w:tc>
        <w:tc>
          <w:tcPr>
            <w:tcW w:w="581" w:type="pct"/>
          </w:tcPr>
          <w:p w14:paraId="2C716B38"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b/>
                <w:bCs/>
                <w:color w:val="auto"/>
              </w:rPr>
            </w:pPr>
            <w:r w:rsidRPr="00987047">
              <w:rPr>
                <w:rFonts w:asciiTheme="majorBidi" w:eastAsia="Times New Roman" w:hAnsiTheme="majorBidi" w:cstheme="majorBidi"/>
                <w:b/>
                <w:bCs/>
              </w:rPr>
              <w:t>0.014*</w:t>
            </w:r>
          </w:p>
        </w:tc>
        <w:tc>
          <w:tcPr>
            <w:tcW w:w="612" w:type="pct"/>
          </w:tcPr>
          <w:p w14:paraId="162B07C2"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w:t>
            </w:r>
          </w:p>
        </w:tc>
        <w:tc>
          <w:tcPr>
            <w:tcW w:w="848" w:type="pct"/>
          </w:tcPr>
          <w:p w14:paraId="0BD54ABD"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2.327–199259.29</w:t>
            </w:r>
          </w:p>
        </w:tc>
        <w:tc>
          <w:tcPr>
            <w:tcW w:w="516" w:type="pct"/>
          </w:tcPr>
          <w:p w14:paraId="10A0DD0D"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0.311</w:t>
            </w:r>
          </w:p>
        </w:tc>
      </w:tr>
      <w:tr w:rsidR="00987047" w:rsidRPr="00987047" w14:paraId="042066FB"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hideMark/>
          </w:tcPr>
          <w:p w14:paraId="4FF46F89"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O</w:t>
            </w:r>
            <w:r w:rsidRPr="00987047">
              <w:rPr>
                <w:rFonts w:asciiTheme="majorBidi" w:eastAsia="Times New Roman" w:hAnsiTheme="majorBidi" w:cstheme="majorBidi"/>
                <w:color w:val="auto"/>
                <w:vertAlign w:val="subscript"/>
              </w:rPr>
              <w:t>2</w:t>
            </w:r>
            <w:r w:rsidRPr="00987047">
              <w:rPr>
                <w:rFonts w:asciiTheme="majorBidi" w:eastAsia="Times New Roman" w:hAnsiTheme="majorBidi" w:cstheme="majorBidi"/>
                <w:color w:val="auto"/>
              </w:rPr>
              <w:t xml:space="preserve"> saturation</w:t>
            </w:r>
          </w:p>
        </w:tc>
        <w:tc>
          <w:tcPr>
            <w:tcW w:w="656" w:type="pct"/>
          </w:tcPr>
          <w:p w14:paraId="6F67BE46"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w:t>
            </w:r>
          </w:p>
        </w:tc>
        <w:tc>
          <w:tcPr>
            <w:tcW w:w="776" w:type="pct"/>
          </w:tcPr>
          <w:p w14:paraId="79FB65A8"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81" w:type="pct"/>
          </w:tcPr>
          <w:p w14:paraId="3C77E354"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0.998</w:t>
            </w:r>
          </w:p>
        </w:tc>
        <w:tc>
          <w:tcPr>
            <w:tcW w:w="612" w:type="pct"/>
          </w:tcPr>
          <w:p w14:paraId="5E58ECBF"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w:t>
            </w:r>
          </w:p>
        </w:tc>
        <w:tc>
          <w:tcPr>
            <w:tcW w:w="848" w:type="pct"/>
          </w:tcPr>
          <w:p w14:paraId="147F566C"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w:t>
            </w:r>
          </w:p>
        </w:tc>
        <w:tc>
          <w:tcPr>
            <w:tcW w:w="516" w:type="pct"/>
          </w:tcPr>
          <w:p w14:paraId="74232A73"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r w:rsidR="00987047" w:rsidRPr="00987047" w14:paraId="6AA13358"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hideMark/>
          </w:tcPr>
          <w:p w14:paraId="6A1B5F8E"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Temperature</w:t>
            </w:r>
          </w:p>
        </w:tc>
        <w:tc>
          <w:tcPr>
            <w:tcW w:w="656" w:type="pct"/>
          </w:tcPr>
          <w:p w14:paraId="372DC984"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391.79</w:t>
            </w:r>
          </w:p>
        </w:tc>
        <w:tc>
          <w:tcPr>
            <w:tcW w:w="776" w:type="pct"/>
          </w:tcPr>
          <w:p w14:paraId="72989B40"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9.444 –16253.1</w:t>
            </w:r>
          </w:p>
        </w:tc>
        <w:tc>
          <w:tcPr>
            <w:tcW w:w="581" w:type="pct"/>
          </w:tcPr>
          <w:p w14:paraId="6388DF55"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b/>
                <w:bCs/>
                <w:color w:val="auto"/>
              </w:rPr>
            </w:pPr>
            <w:r w:rsidRPr="00987047">
              <w:rPr>
                <w:rStyle w:val="result"/>
                <w:rFonts w:asciiTheme="majorBidi" w:hAnsiTheme="majorBidi" w:cstheme="majorBidi"/>
                <w:b/>
                <w:bCs/>
                <w:color w:val="auto"/>
              </w:rPr>
              <w:t>0.002*</w:t>
            </w:r>
          </w:p>
        </w:tc>
        <w:tc>
          <w:tcPr>
            <w:tcW w:w="612" w:type="pct"/>
          </w:tcPr>
          <w:p w14:paraId="14ECAE1A"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0.857</w:t>
            </w:r>
          </w:p>
        </w:tc>
        <w:tc>
          <w:tcPr>
            <w:tcW w:w="848" w:type="pct"/>
          </w:tcPr>
          <w:p w14:paraId="56DFD656"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0.003–244.09</w:t>
            </w:r>
          </w:p>
        </w:tc>
        <w:tc>
          <w:tcPr>
            <w:tcW w:w="516" w:type="pct"/>
          </w:tcPr>
          <w:p w14:paraId="642E989A"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0.957</w:t>
            </w:r>
          </w:p>
        </w:tc>
      </w:tr>
      <w:tr w:rsidR="00987047" w:rsidRPr="00987047" w14:paraId="28D4993E"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hideMark/>
          </w:tcPr>
          <w:p w14:paraId="453BAA49" w14:textId="77777777" w:rsidR="00B1615E" w:rsidRPr="00987047" w:rsidRDefault="00B1615E" w:rsidP="0034709C">
            <w:pPr>
              <w:jc w:val="center"/>
              <w:rPr>
                <w:rFonts w:asciiTheme="majorBidi" w:eastAsia="Times New Roman" w:hAnsiTheme="majorBidi" w:cstheme="majorBidi"/>
                <w:color w:val="auto"/>
              </w:rPr>
            </w:pPr>
            <w:bookmarkStart w:id="22" w:name="_Hlk174523245"/>
            <w:r w:rsidRPr="00987047">
              <w:rPr>
                <w:rFonts w:asciiTheme="majorBidi" w:eastAsia="Times New Roman" w:hAnsiTheme="majorBidi" w:cstheme="majorBidi"/>
                <w:color w:val="auto"/>
              </w:rPr>
              <w:t xml:space="preserve">Respiratory rate </w:t>
            </w:r>
            <w:bookmarkEnd w:id="22"/>
          </w:p>
        </w:tc>
        <w:tc>
          <w:tcPr>
            <w:tcW w:w="656" w:type="pct"/>
          </w:tcPr>
          <w:p w14:paraId="1D007AE7"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2.145</w:t>
            </w:r>
          </w:p>
        </w:tc>
        <w:tc>
          <w:tcPr>
            <w:tcW w:w="776" w:type="pct"/>
          </w:tcPr>
          <w:p w14:paraId="3677B53A"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1.3706 –3.357</w:t>
            </w:r>
          </w:p>
        </w:tc>
        <w:tc>
          <w:tcPr>
            <w:tcW w:w="581" w:type="pct"/>
          </w:tcPr>
          <w:p w14:paraId="29704C96"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b/>
                <w:bCs/>
                <w:color w:val="auto"/>
              </w:rPr>
            </w:pPr>
            <w:r w:rsidRPr="00987047">
              <w:rPr>
                <w:rStyle w:val="result"/>
                <w:rFonts w:asciiTheme="majorBidi" w:hAnsiTheme="majorBidi" w:cstheme="majorBidi"/>
                <w:b/>
                <w:bCs/>
                <w:color w:val="auto"/>
              </w:rPr>
              <w:t>&lt;0.001*</w:t>
            </w:r>
          </w:p>
        </w:tc>
        <w:tc>
          <w:tcPr>
            <w:tcW w:w="612" w:type="pct"/>
          </w:tcPr>
          <w:p w14:paraId="5436DA27"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1.187</w:t>
            </w:r>
          </w:p>
        </w:tc>
        <w:tc>
          <w:tcPr>
            <w:tcW w:w="848" w:type="pct"/>
          </w:tcPr>
          <w:p w14:paraId="575BE4D5"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Style w:val="result"/>
                <w:rFonts w:asciiTheme="majorBidi" w:hAnsiTheme="majorBidi" w:cstheme="majorBidi"/>
                <w:color w:val="auto"/>
              </w:rPr>
              <w:t>0.452–3.122</w:t>
            </w:r>
          </w:p>
        </w:tc>
        <w:tc>
          <w:tcPr>
            <w:tcW w:w="516" w:type="pct"/>
          </w:tcPr>
          <w:p w14:paraId="7B6690F9"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0.728</w:t>
            </w:r>
          </w:p>
        </w:tc>
      </w:tr>
      <w:tr w:rsidR="00987047" w:rsidRPr="00987047" w14:paraId="79F30E9C"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7F07B1DE"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Heart rate</w:t>
            </w:r>
          </w:p>
        </w:tc>
        <w:tc>
          <w:tcPr>
            <w:tcW w:w="656" w:type="pct"/>
          </w:tcPr>
          <w:p w14:paraId="653F8363"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1.087</w:t>
            </w:r>
          </w:p>
        </w:tc>
        <w:tc>
          <w:tcPr>
            <w:tcW w:w="776" w:type="pct"/>
          </w:tcPr>
          <w:p w14:paraId="50A062FA"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1.012 – 1.168</w:t>
            </w:r>
          </w:p>
        </w:tc>
        <w:tc>
          <w:tcPr>
            <w:tcW w:w="581" w:type="pct"/>
          </w:tcPr>
          <w:p w14:paraId="3401EDE2"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b/>
                <w:bCs/>
                <w:color w:val="auto"/>
              </w:rPr>
            </w:pPr>
            <w:r w:rsidRPr="00987047">
              <w:rPr>
                <w:rStyle w:val="result"/>
                <w:rFonts w:asciiTheme="majorBidi" w:hAnsiTheme="majorBidi" w:cstheme="majorBidi"/>
                <w:b/>
                <w:bCs/>
                <w:color w:val="auto"/>
              </w:rPr>
              <w:t>0.023*</w:t>
            </w:r>
          </w:p>
        </w:tc>
        <w:tc>
          <w:tcPr>
            <w:tcW w:w="612" w:type="pct"/>
          </w:tcPr>
          <w:p w14:paraId="490FC181"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0.919</w:t>
            </w:r>
          </w:p>
        </w:tc>
        <w:tc>
          <w:tcPr>
            <w:tcW w:w="848" w:type="pct"/>
          </w:tcPr>
          <w:p w14:paraId="7C7F59DC"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0.472–1.787</w:t>
            </w:r>
          </w:p>
        </w:tc>
        <w:tc>
          <w:tcPr>
            <w:tcW w:w="516" w:type="pct"/>
          </w:tcPr>
          <w:p w14:paraId="3CA7519F"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0.802</w:t>
            </w:r>
          </w:p>
        </w:tc>
      </w:tr>
      <w:tr w:rsidR="00987047" w:rsidRPr="00987047" w14:paraId="2F0B6A35"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7C846C4E"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SBP</w:t>
            </w:r>
          </w:p>
        </w:tc>
        <w:tc>
          <w:tcPr>
            <w:tcW w:w="656" w:type="pct"/>
          </w:tcPr>
          <w:p w14:paraId="7F3BF36E"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0.692</w:t>
            </w:r>
          </w:p>
        </w:tc>
        <w:tc>
          <w:tcPr>
            <w:tcW w:w="776" w:type="pct"/>
          </w:tcPr>
          <w:p w14:paraId="39F6AFFB"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 xml:space="preserve">0.555 – 0.862 </w:t>
            </w:r>
          </w:p>
        </w:tc>
        <w:tc>
          <w:tcPr>
            <w:tcW w:w="581" w:type="pct"/>
          </w:tcPr>
          <w:p w14:paraId="47CA151D"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b/>
                <w:bCs/>
                <w:color w:val="auto"/>
              </w:rPr>
            </w:pPr>
            <w:r w:rsidRPr="00987047">
              <w:rPr>
                <w:rStyle w:val="result"/>
                <w:rFonts w:asciiTheme="majorBidi" w:hAnsiTheme="majorBidi" w:cstheme="majorBidi"/>
                <w:b/>
                <w:bCs/>
                <w:color w:val="auto"/>
              </w:rPr>
              <w:t>0.001*</w:t>
            </w:r>
          </w:p>
        </w:tc>
        <w:tc>
          <w:tcPr>
            <w:tcW w:w="612" w:type="pct"/>
          </w:tcPr>
          <w:p w14:paraId="2E98C6B6"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0.703</w:t>
            </w:r>
          </w:p>
        </w:tc>
        <w:tc>
          <w:tcPr>
            <w:tcW w:w="848" w:type="pct"/>
          </w:tcPr>
          <w:p w14:paraId="360C1167"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0.477–1.036</w:t>
            </w:r>
          </w:p>
        </w:tc>
        <w:tc>
          <w:tcPr>
            <w:tcW w:w="516" w:type="pct"/>
          </w:tcPr>
          <w:p w14:paraId="08047BBB"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0.075</w:t>
            </w:r>
          </w:p>
        </w:tc>
      </w:tr>
      <w:tr w:rsidR="00987047" w:rsidRPr="00987047" w14:paraId="73D2E1E2"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63F652B6"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ESR</w:t>
            </w:r>
          </w:p>
        </w:tc>
        <w:tc>
          <w:tcPr>
            <w:tcW w:w="656" w:type="pct"/>
          </w:tcPr>
          <w:p w14:paraId="7BCFF9B0"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4.972</w:t>
            </w:r>
          </w:p>
        </w:tc>
        <w:tc>
          <w:tcPr>
            <w:tcW w:w="776" w:type="pct"/>
          </w:tcPr>
          <w:p w14:paraId="74AAD284"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81" w:type="pct"/>
          </w:tcPr>
          <w:p w14:paraId="585AFC46"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0.997</w:t>
            </w:r>
          </w:p>
        </w:tc>
        <w:tc>
          <w:tcPr>
            <w:tcW w:w="612" w:type="pct"/>
          </w:tcPr>
          <w:p w14:paraId="358D000B"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848" w:type="pct"/>
          </w:tcPr>
          <w:p w14:paraId="7D476E13"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16" w:type="pct"/>
          </w:tcPr>
          <w:p w14:paraId="3856C511"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r w:rsidR="00987047" w:rsidRPr="00987047" w14:paraId="1B39753B"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7C308A97"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CRP</w:t>
            </w:r>
          </w:p>
        </w:tc>
        <w:tc>
          <w:tcPr>
            <w:tcW w:w="656" w:type="pct"/>
          </w:tcPr>
          <w:p w14:paraId="6D41CDD8"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5.977</w:t>
            </w:r>
          </w:p>
        </w:tc>
        <w:tc>
          <w:tcPr>
            <w:tcW w:w="776" w:type="pct"/>
          </w:tcPr>
          <w:p w14:paraId="1082D594"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81" w:type="pct"/>
          </w:tcPr>
          <w:p w14:paraId="064836DB"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0.998</w:t>
            </w:r>
          </w:p>
        </w:tc>
        <w:tc>
          <w:tcPr>
            <w:tcW w:w="612" w:type="pct"/>
          </w:tcPr>
          <w:p w14:paraId="1B6D29DB"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848" w:type="pct"/>
          </w:tcPr>
          <w:p w14:paraId="45EB762C"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16" w:type="pct"/>
          </w:tcPr>
          <w:p w14:paraId="752157FD"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r w:rsidR="00987047" w:rsidRPr="00987047" w14:paraId="6C04BD56"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065316B4" w14:textId="77777777"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Ferritin</w:t>
            </w:r>
          </w:p>
        </w:tc>
        <w:tc>
          <w:tcPr>
            <w:tcW w:w="656" w:type="pct"/>
          </w:tcPr>
          <w:p w14:paraId="3C9AA8B2"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5.134</w:t>
            </w:r>
          </w:p>
        </w:tc>
        <w:tc>
          <w:tcPr>
            <w:tcW w:w="776" w:type="pct"/>
          </w:tcPr>
          <w:p w14:paraId="14467C13"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81" w:type="pct"/>
          </w:tcPr>
          <w:p w14:paraId="6F129C59"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0.998</w:t>
            </w:r>
          </w:p>
        </w:tc>
        <w:tc>
          <w:tcPr>
            <w:tcW w:w="612" w:type="pct"/>
          </w:tcPr>
          <w:p w14:paraId="3804EC0F"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848" w:type="pct"/>
          </w:tcPr>
          <w:p w14:paraId="2FE0BA51"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16" w:type="pct"/>
          </w:tcPr>
          <w:p w14:paraId="5B58781C"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r w:rsidR="00987047" w:rsidRPr="00987047" w14:paraId="540AD9FA" w14:textId="77777777" w:rsidTr="00E00D2A">
        <w:trPr>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tcBorders>
          </w:tcPr>
          <w:p w14:paraId="0CE06D0E" w14:textId="5BD3E830" w:rsidR="00B1615E" w:rsidRPr="00987047" w:rsidRDefault="00B1615E" w:rsidP="0034709C">
            <w:pPr>
              <w:jc w:val="center"/>
              <w:rPr>
                <w:rFonts w:asciiTheme="majorBidi" w:eastAsia="Times New Roman" w:hAnsiTheme="majorBidi" w:cstheme="majorBidi"/>
                <w:color w:val="auto"/>
              </w:rPr>
            </w:pPr>
            <w:r w:rsidRPr="00987047">
              <w:rPr>
                <w:rFonts w:asciiTheme="majorBidi" w:eastAsia="Times New Roman" w:hAnsiTheme="majorBidi" w:cstheme="majorBidi"/>
                <w:color w:val="auto"/>
              </w:rPr>
              <w:t>D</w:t>
            </w:r>
            <w:r w:rsidR="00987047">
              <w:rPr>
                <w:rFonts w:asciiTheme="majorBidi" w:eastAsia="Times New Roman" w:hAnsiTheme="majorBidi" w:cstheme="majorBidi"/>
                <w:color w:val="auto"/>
              </w:rPr>
              <w:t>-</w:t>
            </w:r>
            <w:r w:rsidRPr="00987047">
              <w:rPr>
                <w:rFonts w:asciiTheme="majorBidi" w:eastAsia="Times New Roman" w:hAnsiTheme="majorBidi" w:cstheme="majorBidi"/>
                <w:color w:val="auto"/>
              </w:rPr>
              <w:t>dimer</w:t>
            </w:r>
          </w:p>
        </w:tc>
        <w:tc>
          <w:tcPr>
            <w:tcW w:w="656" w:type="pct"/>
          </w:tcPr>
          <w:p w14:paraId="18C45947"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2.475</w:t>
            </w:r>
          </w:p>
        </w:tc>
        <w:tc>
          <w:tcPr>
            <w:tcW w:w="776" w:type="pct"/>
          </w:tcPr>
          <w:p w14:paraId="3FA1AC32"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81" w:type="pct"/>
          </w:tcPr>
          <w:p w14:paraId="3857C4DE"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0.998</w:t>
            </w:r>
          </w:p>
        </w:tc>
        <w:tc>
          <w:tcPr>
            <w:tcW w:w="612" w:type="pct"/>
          </w:tcPr>
          <w:p w14:paraId="1A285629"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848" w:type="pct"/>
          </w:tcPr>
          <w:p w14:paraId="187E30BF"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16" w:type="pct"/>
          </w:tcPr>
          <w:p w14:paraId="3C20DEA9" w14:textId="77777777" w:rsidR="00B1615E" w:rsidRPr="00987047" w:rsidRDefault="00B1615E" w:rsidP="0034709C">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r w:rsidR="00987047" w:rsidRPr="00987047" w14:paraId="6E0A0378" w14:textId="77777777" w:rsidTr="00E00D2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11" w:type="pct"/>
            <w:tcBorders>
              <w:left w:val="none" w:sz="0" w:space="0" w:color="auto"/>
              <w:bottom w:val="single" w:sz="4" w:space="0" w:color="000000"/>
            </w:tcBorders>
          </w:tcPr>
          <w:p w14:paraId="3F592AD4" w14:textId="1BADC0E0" w:rsidR="00B1615E" w:rsidRPr="001B06C2" w:rsidRDefault="00B1615E" w:rsidP="0034709C">
            <w:pPr>
              <w:jc w:val="center"/>
              <w:rPr>
                <w:rFonts w:asciiTheme="majorBidi" w:eastAsia="Times New Roman" w:hAnsiTheme="majorBidi" w:cstheme="majorBidi"/>
                <w:b w:val="0"/>
                <w:bCs w:val="0"/>
                <w:color w:val="auto"/>
              </w:rPr>
            </w:pPr>
            <w:r w:rsidRPr="00987047">
              <w:rPr>
                <w:rFonts w:asciiTheme="majorBidi" w:eastAsia="Times New Roman" w:hAnsiTheme="majorBidi" w:cstheme="majorBidi"/>
                <w:color w:val="auto"/>
              </w:rPr>
              <w:t>Duration</w:t>
            </w:r>
            <w:r w:rsidR="001B06C2">
              <w:rPr>
                <w:rFonts w:asciiTheme="majorBidi" w:eastAsia="Times New Roman" w:hAnsiTheme="majorBidi" w:cstheme="majorBidi"/>
                <w:color w:val="auto"/>
              </w:rPr>
              <w:t xml:space="preserve"> </w:t>
            </w:r>
            <w:r w:rsidR="001B06C2" w:rsidRPr="001B06C2">
              <w:rPr>
                <w:rFonts w:asciiTheme="majorBidi" w:eastAsia="Times New Roman" w:hAnsiTheme="majorBidi" w:cstheme="majorBidi"/>
                <w:color w:val="auto"/>
              </w:rPr>
              <w:t>of hospital stay</w:t>
            </w:r>
          </w:p>
        </w:tc>
        <w:tc>
          <w:tcPr>
            <w:tcW w:w="656" w:type="pct"/>
            <w:tcBorders>
              <w:bottom w:val="single" w:sz="4" w:space="0" w:color="000000"/>
            </w:tcBorders>
          </w:tcPr>
          <w:p w14:paraId="5ACCED24"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4.533</w:t>
            </w:r>
          </w:p>
        </w:tc>
        <w:tc>
          <w:tcPr>
            <w:tcW w:w="776" w:type="pct"/>
            <w:tcBorders>
              <w:bottom w:val="single" w:sz="4" w:space="0" w:color="000000"/>
            </w:tcBorders>
          </w:tcPr>
          <w:p w14:paraId="02B26E06"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0.7534 – 27.275</w:t>
            </w:r>
          </w:p>
        </w:tc>
        <w:tc>
          <w:tcPr>
            <w:tcW w:w="581" w:type="pct"/>
            <w:tcBorders>
              <w:bottom w:val="single" w:sz="4" w:space="0" w:color="000000"/>
            </w:tcBorders>
          </w:tcPr>
          <w:p w14:paraId="12339DE5"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0.098</w:t>
            </w:r>
          </w:p>
        </w:tc>
        <w:tc>
          <w:tcPr>
            <w:tcW w:w="612" w:type="pct"/>
            <w:tcBorders>
              <w:bottom w:val="single" w:sz="4" w:space="0" w:color="000000"/>
            </w:tcBorders>
          </w:tcPr>
          <w:p w14:paraId="613D1922"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848" w:type="pct"/>
            <w:tcBorders>
              <w:bottom w:val="single" w:sz="4" w:space="0" w:color="000000"/>
            </w:tcBorders>
          </w:tcPr>
          <w:p w14:paraId="7FFA0E01"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Style w:val="result"/>
                <w:rFonts w:asciiTheme="majorBidi" w:hAnsiTheme="majorBidi" w:cstheme="majorBidi"/>
                <w:color w:val="auto"/>
              </w:rPr>
            </w:pPr>
            <w:r w:rsidRPr="00987047">
              <w:rPr>
                <w:rStyle w:val="result"/>
                <w:rFonts w:asciiTheme="majorBidi" w:hAnsiTheme="majorBidi" w:cstheme="majorBidi"/>
                <w:color w:val="auto"/>
              </w:rPr>
              <w:t>---</w:t>
            </w:r>
          </w:p>
        </w:tc>
        <w:tc>
          <w:tcPr>
            <w:tcW w:w="516" w:type="pct"/>
            <w:tcBorders>
              <w:bottom w:val="single" w:sz="4" w:space="0" w:color="000000"/>
            </w:tcBorders>
          </w:tcPr>
          <w:p w14:paraId="36F848B4" w14:textId="77777777" w:rsidR="00B1615E" w:rsidRPr="00987047" w:rsidRDefault="00B1615E" w:rsidP="0034709C">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87047">
              <w:rPr>
                <w:rFonts w:asciiTheme="majorBidi" w:eastAsia="Times New Roman" w:hAnsiTheme="majorBidi" w:cstheme="majorBidi"/>
              </w:rPr>
              <w:t>---</w:t>
            </w:r>
          </w:p>
        </w:tc>
      </w:tr>
    </w:tbl>
    <w:p w14:paraId="113409E2" w14:textId="77777777" w:rsidR="00B1615E" w:rsidRDefault="00B1615E" w:rsidP="00B1615E">
      <w:pPr>
        <w:pStyle w:val="footnote"/>
      </w:pPr>
      <w:r w:rsidRPr="00987047">
        <w:t>*Significant as P value≤0.05, CI: Confidence interval.</w:t>
      </w:r>
    </w:p>
    <w:p w14:paraId="432E8416" w14:textId="77777777" w:rsidR="000D1D6E" w:rsidRDefault="000D1D6E" w:rsidP="00B1615E">
      <w:pPr>
        <w:pStyle w:val="footnote"/>
      </w:pPr>
    </w:p>
    <w:p w14:paraId="2FC5CA72" w14:textId="73D58ADE" w:rsidR="000D1D6E" w:rsidRPr="00B85B21" w:rsidRDefault="00F13DEE" w:rsidP="000D1D6E">
      <w:pPr>
        <w:pStyle w:val="paragraph"/>
        <w:ind w:firstLine="0"/>
        <w:rPr>
          <w:sz w:val="24"/>
        </w:rPr>
      </w:pPr>
      <w:r>
        <w:rPr>
          <w:sz w:val="24"/>
        </w:rPr>
        <w:t xml:space="preserve">Fecal calprotectin can significantly predict </w:t>
      </w:r>
      <w:r w:rsidR="00D7243C">
        <w:rPr>
          <w:sz w:val="24"/>
        </w:rPr>
        <w:t xml:space="preserve">the </w:t>
      </w:r>
      <w:r>
        <w:rPr>
          <w:sz w:val="24"/>
        </w:rPr>
        <w:t>severity of COVID-19   (P &lt;0.001 and AUC = 1) at cut-off &gt;</w:t>
      </w:r>
      <w:r w:rsidR="002E6ACF">
        <w:rPr>
          <w:sz w:val="24"/>
        </w:rPr>
        <w:t>11</w:t>
      </w:r>
      <w:r>
        <w:rPr>
          <w:sz w:val="24"/>
        </w:rPr>
        <w:t>8 with 100% sensitivity, 100% specificity, 100% PPV and 100% NPV.</w:t>
      </w:r>
      <w:r w:rsidR="001602A0">
        <w:rPr>
          <w:sz w:val="24"/>
        </w:rPr>
        <w:t xml:space="preserve"> CRP</w:t>
      </w:r>
      <w:r w:rsidR="000D1D6E" w:rsidRPr="00B85B21">
        <w:rPr>
          <w:sz w:val="24"/>
        </w:rPr>
        <w:t xml:space="preserve"> can significantly predict </w:t>
      </w:r>
      <w:r w:rsidR="00D7243C">
        <w:rPr>
          <w:sz w:val="24"/>
        </w:rPr>
        <w:t xml:space="preserve">the </w:t>
      </w:r>
      <w:r w:rsidR="000D1D6E" w:rsidRPr="00B85B21">
        <w:rPr>
          <w:sz w:val="24"/>
        </w:rPr>
        <w:t>severity of COVID-19  (P &lt;0.001 and AUC = 1) at cut-off &gt;38 with 100% sensitivity, 100% specificity, 100% PPV and 100% NPV.</w:t>
      </w:r>
      <w:r w:rsidR="00714581">
        <w:rPr>
          <w:sz w:val="24"/>
        </w:rPr>
        <w:t xml:space="preserve"> </w:t>
      </w:r>
      <w:r w:rsidR="000D1D6E" w:rsidRPr="00B85B21">
        <w:rPr>
          <w:sz w:val="24"/>
        </w:rPr>
        <w:t xml:space="preserve">ESR can significantly predict </w:t>
      </w:r>
      <w:r w:rsidR="00D7243C">
        <w:rPr>
          <w:sz w:val="24"/>
        </w:rPr>
        <w:t xml:space="preserve">the </w:t>
      </w:r>
      <w:r w:rsidR="000D1D6E" w:rsidRPr="00B85B21">
        <w:rPr>
          <w:sz w:val="24"/>
        </w:rPr>
        <w:t>severity of COVID-19   (P &lt;0.001 and AUC = 1) at cut-off &gt;54 with 100% sensitivity, 100% specificity, 100% PPV and 100% NPV.</w:t>
      </w:r>
      <w:r w:rsidR="000D1D6E">
        <w:rPr>
          <w:sz w:val="24"/>
        </w:rPr>
        <w:t xml:space="preserve"> </w:t>
      </w:r>
      <w:r w:rsidR="000D1D6E" w:rsidRPr="00B85B21">
        <w:rPr>
          <w:sz w:val="24"/>
        </w:rPr>
        <w:t>Albumin can’t insignificantly predict COVID-19 severity (P =0.244 and AUC = 0.595) at cut-off &gt;4.1 with 45.83% sensitivity, 61.54% specificity, 52.4% PPV and 55.2% NPV.</w:t>
      </w:r>
      <w:r w:rsidR="000D1D6E">
        <w:rPr>
          <w:sz w:val="24"/>
        </w:rPr>
        <w:t xml:space="preserve"> </w:t>
      </w:r>
      <w:r w:rsidR="000D1D6E" w:rsidRPr="00B85B21">
        <w:rPr>
          <w:sz w:val="24"/>
        </w:rPr>
        <w:t xml:space="preserve">WBCs can’t insignificantly predict COVID-19 severity (P =0.724 and AUC = 0.530) at cut-off </w:t>
      </w:r>
      <w:r w:rsidR="000D1D6E" w:rsidRPr="00B85B21">
        <w:rPr>
          <w:color w:val="000000" w:themeColor="text1"/>
          <w:sz w:val="24"/>
        </w:rPr>
        <w:t xml:space="preserve">≤8.4 </w:t>
      </w:r>
      <w:r w:rsidR="000D1D6E" w:rsidRPr="00B85B21">
        <w:rPr>
          <w:sz w:val="24"/>
        </w:rPr>
        <w:t xml:space="preserve">with 41.67% sensitivity, 65.38% specificity, 52.6% PPV and 54.8% NPV, as presented in </w:t>
      </w:r>
      <w:r w:rsidR="000D1D6E" w:rsidRPr="00B85B21">
        <w:rPr>
          <w:b/>
          <w:bCs/>
          <w:sz w:val="24"/>
        </w:rPr>
        <w:t>Table</w:t>
      </w:r>
      <w:r w:rsidR="000D1D6E" w:rsidRPr="00F547E6">
        <w:rPr>
          <w:b/>
          <w:bCs/>
          <w:sz w:val="24"/>
        </w:rPr>
        <w:t xml:space="preserve"> </w:t>
      </w:r>
      <w:r w:rsidR="000D1D6E">
        <w:rPr>
          <w:b/>
          <w:bCs/>
          <w:sz w:val="24"/>
        </w:rPr>
        <w:t>6</w:t>
      </w:r>
      <w:r w:rsidR="000D1D6E" w:rsidRPr="00F547E6">
        <w:rPr>
          <w:sz w:val="24"/>
        </w:rPr>
        <w:t>.</w:t>
      </w:r>
      <w:r w:rsidR="000D1D6E" w:rsidRPr="00F547E6">
        <w:rPr>
          <w:sz w:val="24"/>
          <w:shd w:val="clear" w:color="auto" w:fill="FFFFFF"/>
        </w:rPr>
        <w:t xml:space="preserve">  </w:t>
      </w:r>
    </w:p>
    <w:p w14:paraId="6EB118C0" w14:textId="77EC02F3" w:rsidR="00650F29" w:rsidRPr="00D91828" w:rsidRDefault="00650F29" w:rsidP="00650F29">
      <w:pPr>
        <w:pStyle w:val="Caption"/>
        <w:keepNext/>
        <w:rPr>
          <w:sz w:val="20"/>
          <w:szCs w:val="20"/>
        </w:rPr>
      </w:pPr>
      <w:bookmarkStart w:id="23" w:name="_Hlk125565601"/>
      <w:r w:rsidRPr="00D91828">
        <w:rPr>
          <w:sz w:val="20"/>
          <w:szCs w:val="20"/>
        </w:rPr>
        <w:t xml:space="preserve">Table </w:t>
      </w:r>
      <w:r w:rsidR="00000000" w:rsidRPr="00D91828">
        <w:rPr>
          <w:sz w:val="20"/>
          <w:szCs w:val="20"/>
        </w:rPr>
        <w:fldChar w:fldCharType="begin"/>
      </w:r>
      <w:r w:rsidR="00000000" w:rsidRPr="00D91828">
        <w:rPr>
          <w:sz w:val="20"/>
          <w:szCs w:val="20"/>
        </w:rPr>
        <w:instrText xml:space="preserve"> SEQ Table \* ARABIC </w:instrText>
      </w:r>
      <w:r w:rsidR="00000000" w:rsidRPr="00D91828">
        <w:rPr>
          <w:sz w:val="20"/>
          <w:szCs w:val="20"/>
        </w:rPr>
        <w:fldChar w:fldCharType="separate"/>
      </w:r>
      <w:r w:rsidRPr="00D91828">
        <w:rPr>
          <w:noProof/>
          <w:sz w:val="20"/>
          <w:szCs w:val="20"/>
        </w:rPr>
        <w:t>6</w:t>
      </w:r>
      <w:r w:rsidR="00000000" w:rsidRPr="00D91828">
        <w:rPr>
          <w:noProof/>
          <w:sz w:val="20"/>
          <w:szCs w:val="20"/>
        </w:rPr>
        <w:fldChar w:fldCharType="end"/>
      </w:r>
      <w:r w:rsidRPr="00D91828">
        <w:rPr>
          <w:sz w:val="20"/>
          <w:szCs w:val="20"/>
        </w:rPr>
        <w:t xml:space="preserve">: Role of (Fecal Calprotectin, CRP, ESR, albumin, and WBCs) in the prediction of severity of COVID-19 disease.   </w:t>
      </w:r>
    </w:p>
    <w:bookmarkEnd w:id="23"/>
    <w:tbl>
      <w:tblPr>
        <w:tblStyle w:val="GridTable5Dark-Accent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20" w:firstRow="1" w:lastRow="0" w:firstColumn="0" w:lastColumn="0" w:noHBand="0" w:noVBand="1"/>
        <w:tblCaption w:val="Table 6: Role of (Fecal Calprotectin, CRP, ESR, albumin, and WBCs) in the prediction of severity of COVID-19 disease.   "/>
        <w:tblDescription w:val="PPV: positive predictive value, NPV: negative predictive value, AUC: area under the curve"/>
      </w:tblPr>
      <w:tblGrid>
        <w:gridCol w:w="1443"/>
        <w:gridCol w:w="1065"/>
        <w:gridCol w:w="1541"/>
        <w:gridCol w:w="1541"/>
        <w:gridCol w:w="862"/>
        <w:gridCol w:w="836"/>
        <w:gridCol w:w="792"/>
        <w:gridCol w:w="1177"/>
      </w:tblGrid>
      <w:tr w:rsidR="00AB675E" w:rsidRPr="00747A90" w14:paraId="64DF974C" w14:textId="77777777" w:rsidTr="00937992">
        <w:trPr>
          <w:cnfStyle w:val="100000000000" w:firstRow="1" w:lastRow="0" w:firstColumn="0" w:lastColumn="0" w:oddVBand="0" w:evenVBand="0" w:oddHBand="0" w:evenHBand="0" w:firstRowFirstColumn="0" w:firstRowLastColumn="0" w:lastRowFirstColumn="0" w:lastRowLastColumn="0"/>
          <w:trHeight w:val="432"/>
        </w:trPr>
        <w:tc>
          <w:tcPr>
            <w:tcW w:w="763" w:type="pct"/>
            <w:tcBorders>
              <w:top w:val="single" w:sz="4" w:space="0" w:color="000000"/>
              <w:left w:val="none" w:sz="0" w:space="0" w:color="auto"/>
              <w:bottom w:val="single" w:sz="4" w:space="0" w:color="000000"/>
              <w:right w:val="none" w:sz="0" w:space="0" w:color="auto"/>
            </w:tcBorders>
            <w:shd w:val="clear" w:color="auto" w:fill="BFBFBF" w:themeFill="background1" w:themeFillShade="BF"/>
          </w:tcPr>
          <w:p w14:paraId="29C6D877" w14:textId="77777777" w:rsidR="00777BFB" w:rsidRPr="00C637FF" w:rsidRDefault="00777BFB" w:rsidP="0034709C">
            <w:pPr>
              <w:jc w:val="center"/>
            </w:pPr>
          </w:p>
        </w:tc>
        <w:tc>
          <w:tcPr>
            <w:tcW w:w="580"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4C6B2619" w14:textId="77777777" w:rsidR="00777BFB" w:rsidRPr="00C637FF" w:rsidRDefault="00777BFB" w:rsidP="0034709C">
            <w:pPr>
              <w:jc w:val="center"/>
              <w:rPr>
                <w:color w:val="auto"/>
              </w:rPr>
            </w:pPr>
            <w:r w:rsidRPr="00C637FF">
              <w:rPr>
                <w:color w:val="auto"/>
              </w:rPr>
              <w:t>Cut-off</w:t>
            </w:r>
          </w:p>
        </w:tc>
        <w:tc>
          <w:tcPr>
            <w:tcW w:w="837"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45A167E5" w14:textId="77777777" w:rsidR="00777BFB" w:rsidRPr="00C637FF" w:rsidRDefault="00777BFB" w:rsidP="0034709C">
            <w:pPr>
              <w:jc w:val="center"/>
              <w:rPr>
                <w:color w:val="auto"/>
              </w:rPr>
            </w:pPr>
            <w:r w:rsidRPr="00C637FF">
              <w:rPr>
                <w:color w:val="auto"/>
              </w:rPr>
              <w:t>Sensitivity</w:t>
            </w:r>
          </w:p>
        </w:tc>
        <w:tc>
          <w:tcPr>
            <w:tcW w:w="837"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5C1B9BB9" w14:textId="77777777" w:rsidR="00777BFB" w:rsidRPr="00C637FF" w:rsidRDefault="00777BFB" w:rsidP="0034709C">
            <w:pPr>
              <w:jc w:val="center"/>
              <w:rPr>
                <w:color w:val="auto"/>
              </w:rPr>
            </w:pPr>
            <w:r w:rsidRPr="00C637FF">
              <w:rPr>
                <w:color w:val="auto"/>
              </w:rPr>
              <w:t>Specificity</w:t>
            </w:r>
          </w:p>
        </w:tc>
        <w:tc>
          <w:tcPr>
            <w:tcW w:w="470"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2A31F8C0" w14:textId="77777777" w:rsidR="00777BFB" w:rsidRPr="00C637FF" w:rsidRDefault="00777BFB" w:rsidP="0034709C">
            <w:pPr>
              <w:jc w:val="center"/>
              <w:rPr>
                <w:color w:val="auto"/>
              </w:rPr>
            </w:pPr>
            <w:r w:rsidRPr="00C637FF">
              <w:rPr>
                <w:color w:val="auto"/>
              </w:rPr>
              <w:t>PPV</w:t>
            </w:r>
          </w:p>
        </w:tc>
        <w:tc>
          <w:tcPr>
            <w:tcW w:w="441"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5A20B0D8" w14:textId="77777777" w:rsidR="00777BFB" w:rsidRPr="00C637FF" w:rsidRDefault="00777BFB" w:rsidP="0034709C">
            <w:pPr>
              <w:jc w:val="center"/>
              <w:rPr>
                <w:color w:val="auto"/>
              </w:rPr>
            </w:pPr>
            <w:r w:rsidRPr="00C637FF">
              <w:rPr>
                <w:color w:val="auto"/>
              </w:rPr>
              <w:t>NPV</w:t>
            </w:r>
          </w:p>
        </w:tc>
        <w:tc>
          <w:tcPr>
            <w:tcW w:w="432"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332D392B" w14:textId="77777777" w:rsidR="00777BFB" w:rsidRPr="00C637FF" w:rsidRDefault="00777BFB" w:rsidP="0034709C">
            <w:pPr>
              <w:jc w:val="center"/>
              <w:rPr>
                <w:color w:val="auto"/>
              </w:rPr>
            </w:pPr>
            <w:r w:rsidRPr="00C637FF">
              <w:rPr>
                <w:color w:val="auto"/>
              </w:rPr>
              <w:t>AUC</w:t>
            </w:r>
          </w:p>
        </w:tc>
        <w:tc>
          <w:tcPr>
            <w:tcW w:w="640" w:type="pct"/>
            <w:tcBorders>
              <w:top w:val="single" w:sz="4" w:space="0" w:color="000000"/>
              <w:left w:val="none" w:sz="0" w:space="0" w:color="auto"/>
              <w:bottom w:val="single" w:sz="4" w:space="0" w:color="000000"/>
              <w:right w:val="none" w:sz="0" w:space="0" w:color="auto"/>
            </w:tcBorders>
            <w:shd w:val="clear" w:color="auto" w:fill="BFBFBF" w:themeFill="background1" w:themeFillShade="BF"/>
            <w:vAlign w:val="center"/>
          </w:tcPr>
          <w:p w14:paraId="68F6F345" w14:textId="77777777" w:rsidR="00777BFB" w:rsidRPr="00C637FF" w:rsidRDefault="00777BFB" w:rsidP="0034709C">
            <w:pPr>
              <w:jc w:val="center"/>
              <w:rPr>
                <w:color w:val="auto"/>
              </w:rPr>
            </w:pPr>
            <w:r w:rsidRPr="00C637FF">
              <w:rPr>
                <w:color w:val="auto"/>
              </w:rPr>
              <w:t>P value</w:t>
            </w:r>
          </w:p>
        </w:tc>
      </w:tr>
      <w:tr w:rsidR="00807282" w:rsidRPr="00747A90" w14:paraId="65D56F0E" w14:textId="77777777" w:rsidTr="00937992">
        <w:trPr>
          <w:cnfStyle w:val="000000100000" w:firstRow="0" w:lastRow="0" w:firstColumn="0" w:lastColumn="0" w:oddVBand="0" w:evenVBand="0" w:oddHBand="1" w:evenHBand="0" w:firstRowFirstColumn="0" w:firstRowLastColumn="0" w:lastRowFirstColumn="0" w:lastRowLastColumn="0"/>
          <w:trHeight w:val="432"/>
        </w:trPr>
        <w:tc>
          <w:tcPr>
            <w:tcW w:w="763" w:type="pct"/>
            <w:tcBorders>
              <w:top w:val="single" w:sz="4" w:space="0" w:color="000000"/>
            </w:tcBorders>
            <w:shd w:val="clear" w:color="auto" w:fill="BFBFBF" w:themeFill="background1" w:themeFillShade="BF"/>
          </w:tcPr>
          <w:p w14:paraId="30DAE0E5" w14:textId="49C3580D" w:rsidR="00807282" w:rsidRDefault="00807282" w:rsidP="00807282">
            <w:pPr>
              <w:jc w:val="center"/>
              <w:rPr>
                <w:b/>
                <w:bCs/>
                <w:color w:val="000000" w:themeColor="text1"/>
              </w:rPr>
            </w:pPr>
            <w:r>
              <w:rPr>
                <w:b/>
                <w:bCs/>
                <w:color w:val="000000" w:themeColor="text1"/>
              </w:rPr>
              <w:t>Fecal calprotectin (mcg/g)</w:t>
            </w:r>
          </w:p>
          <w:p w14:paraId="08207B41" w14:textId="0E9D75F8" w:rsidR="00807282" w:rsidRPr="009C3586" w:rsidRDefault="00807282" w:rsidP="00807282">
            <w:pPr>
              <w:jc w:val="center"/>
              <w:rPr>
                <w:b/>
                <w:bCs/>
                <w:color w:val="000000" w:themeColor="text1"/>
              </w:rPr>
            </w:pPr>
            <w:r>
              <w:rPr>
                <w:b/>
                <w:bCs/>
                <w:color w:val="000000" w:themeColor="text1"/>
              </w:rPr>
              <w:t>(At baseline)</w:t>
            </w:r>
          </w:p>
        </w:tc>
        <w:tc>
          <w:tcPr>
            <w:tcW w:w="580" w:type="pct"/>
            <w:tcBorders>
              <w:top w:val="single" w:sz="4" w:space="0" w:color="000000"/>
            </w:tcBorders>
            <w:shd w:val="clear" w:color="auto" w:fill="BFBFBF" w:themeFill="background1" w:themeFillShade="BF"/>
            <w:vAlign w:val="center"/>
          </w:tcPr>
          <w:p w14:paraId="612510BA" w14:textId="04B4FBC7" w:rsidR="00807282" w:rsidRPr="00747A90" w:rsidRDefault="006959A1" w:rsidP="0034709C">
            <w:pPr>
              <w:jc w:val="center"/>
              <w:rPr>
                <w:color w:val="000000" w:themeColor="text1"/>
              </w:rPr>
            </w:pPr>
            <w:bookmarkStart w:id="24" w:name="_Hlk174540389"/>
            <w:r>
              <w:rPr>
                <w:color w:val="000000" w:themeColor="text1"/>
              </w:rPr>
              <w:t>&gt;118</w:t>
            </w:r>
          </w:p>
        </w:tc>
        <w:tc>
          <w:tcPr>
            <w:tcW w:w="837" w:type="pct"/>
            <w:tcBorders>
              <w:top w:val="single" w:sz="4" w:space="0" w:color="000000"/>
            </w:tcBorders>
            <w:shd w:val="clear" w:color="auto" w:fill="BFBFBF" w:themeFill="background1" w:themeFillShade="BF"/>
            <w:vAlign w:val="center"/>
          </w:tcPr>
          <w:p w14:paraId="65FF9E8A" w14:textId="0BAFDC2D" w:rsidR="00807282" w:rsidRPr="00747A90" w:rsidRDefault="006959A1" w:rsidP="0034709C">
            <w:pPr>
              <w:jc w:val="center"/>
              <w:rPr>
                <w:color w:val="000000" w:themeColor="text1"/>
              </w:rPr>
            </w:pPr>
            <w:r>
              <w:rPr>
                <w:color w:val="000000" w:themeColor="text1"/>
              </w:rPr>
              <w:t>100%</w:t>
            </w:r>
          </w:p>
        </w:tc>
        <w:tc>
          <w:tcPr>
            <w:tcW w:w="837" w:type="pct"/>
            <w:tcBorders>
              <w:top w:val="single" w:sz="4" w:space="0" w:color="000000"/>
            </w:tcBorders>
            <w:shd w:val="clear" w:color="auto" w:fill="BFBFBF" w:themeFill="background1" w:themeFillShade="BF"/>
            <w:vAlign w:val="center"/>
          </w:tcPr>
          <w:p w14:paraId="1A71EE59"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70" w:type="pct"/>
            <w:tcBorders>
              <w:top w:val="single" w:sz="4" w:space="0" w:color="000000"/>
            </w:tcBorders>
            <w:shd w:val="clear" w:color="auto" w:fill="BFBFBF" w:themeFill="background1" w:themeFillShade="BF"/>
            <w:vAlign w:val="center"/>
          </w:tcPr>
          <w:p w14:paraId="1FD19A7C"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41" w:type="pct"/>
            <w:tcBorders>
              <w:top w:val="single" w:sz="4" w:space="0" w:color="000000"/>
            </w:tcBorders>
            <w:shd w:val="clear" w:color="auto" w:fill="BFBFBF" w:themeFill="background1" w:themeFillShade="BF"/>
            <w:vAlign w:val="center"/>
          </w:tcPr>
          <w:p w14:paraId="47204BD5"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32" w:type="pct"/>
            <w:tcBorders>
              <w:top w:val="single" w:sz="4" w:space="0" w:color="000000"/>
            </w:tcBorders>
            <w:shd w:val="clear" w:color="auto" w:fill="BFBFBF" w:themeFill="background1" w:themeFillShade="BF"/>
            <w:vAlign w:val="center"/>
          </w:tcPr>
          <w:p w14:paraId="3D09FA7A" w14:textId="77777777" w:rsidR="00807282" w:rsidRPr="00747A90" w:rsidRDefault="00807282" w:rsidP="0034709C">
            <w:pPr>
              <w:jc w:val="center"/>
              <w:rPr>
                <w:color w:val="000000" w:themeColor="text1"/>
              </w:rPr>
            </w:pPr>
            <w:r>
              <w:rPr>
                <w:color w:val="000000" w:themeColor="text1"/>
              </w:rPr>
              <w:t>1</w:t>
            </w:r>
          </w:p>
        </w:tc>
        <w:tc>
          <w:tcPr>
            <w:tcW w:w="640" w:type="pct"/>
            <w:tcBorders>
              <w:top w:val="single" w:sz="4" w:space="0" w:color="000000"/>
            </w:tcBorders>
            <w:shd w:val="clear" w:color="auto" w:fill="BFBFBF" w:themeFill="background1" w:themeFillShade="BF"/>
            <w:vAlign w:val="center"/>
          </w:tcPr>
          <w:p w14:paraId="42DAFAD4" w14:textId="77777777" w:rsidR="00807282" w:rsidRPr="00747A90" w:rsidRDefault="00807282" w:rsidP="0034709C">
            <w:pPr>
              <w:jc w:val="center"/>
              <w:rPr>
                <w:b/>
                <w:bCs/>
                <w:color w:val="000000" w:themeColor="text1"/>
              </w:rPr>
            </w:pPr>
            <w:r w:rsidRPr="00747A90">
              <w:rPr>
                <w:b/>
                <w:bCs/>
                <w:color w:val="000000" w:themeColor="text1"/>
              </w:rPr>
              <w:t>&lt;0.001*</w:t>
            </w:r>
          </w:p>
        </w:tc>
      </w:tr>
      <w:tr w:rsidR="00807282" w:rsidRPr="00747A90" w14:paraId="20013688" w14:textId="77777777" w:rsidTr="00937992">
        <w:trPr>
          <w:trHeight w:val="432"/>
        </w:trPr>
        <w:tc>
          <w:tcPr>
            <w:tcW w:w="763" w:type="pct"/>
            <w:shd w:val="clear" w:color="auto" w:fill="BFBFBF" w:themeFill="background1" w:themeFillShade="BF"/>
          </w:tcPr>
          <w:p w14:paraId="48125656" w14:textId="77777777" w:rsidR="00807282" w:rsidRPr="009C3586" w:rsidRDefault="00807282" w:rsidP="0034709C">
            <w:pPr>
              <w:jc w:val="center"/>
              <w:rPr>
                <w:b/>
                <w:bCs/>
                <w:color w:val="000000" w:themeColor="text1"/>
              </w:rPr>
            </w:pPr>
            <w:r>
              <w:rPr>
                <w:b/>
                <w:bCs/>
                <w:color w:val="000000" w:themeColor="text1"/>
              </w:rPr>
              <w:t>CRP</w:t>
            </w:r>
          </w:p>
        </w:tc>
        <w:tc>
          <w:tcPr>
            <w:tcW w:w="580" w:type="pct"/>
            <w:shd w:val="clear" w:color="auto" w:fill="BFBFBF" w:themeFill="background1" w:themeFillShade="BF"/>
            <w:vAlign w:val="center"/>
          </w:tcPr>
          <w:p w14:paraId="0286EA74" w14:textId="77777777" w:rsidR="00807282" w:rsidRDefault="00807282" w:rsidP="0034709C">
            <w:pPr>
              <w:jc w:val="center"/>
              <w:rPr>
                <w:color w:val="000000" w:themeColor="text1"/>
              </w:rPr>
            </w:pPr>
            <w:r>
              <w:rPr>
                <w:color w:val="000000" w:themeColor="text1"/>
              </w:rPr>
              <w:t>&gt;38</w:t>
            </w:r>
          </w:p>
        </w:tc>
        <w:tc>
          <w:tcPr>
            <w:tcW w:w="837" w:type="pct"/>
            <w:shd w:val="clear" w:color="auto" w:fill="BFBFBF" w:themeFill="background1" w:themeFillShade="BF"/>
            <w:vAlign w:val="center"/>
          </w:tcPr>
          <w:p w14:paraId="0CDD0304" w14:textId="77777777" w:rsidR="00807282" w:rsidRDefault="00807282" w:rsidP="0034709C">
            <w:pPr>
              <w:jc w:val="center"/>
              <w:rPr>
                <w:color w:val="000000" w:themeColor="text1"/>
              </w:rPr>
            </w:pPr>
            <w:r>
              <w:rPr>
                <w:color w:val="000000" w:themeColor="text1"/>
              </w:rPr>
              <w:t>100%</w:t>
            </w:r>
          </w:p>
        </w:tc>
        <w:tc>
          <w:tcPr>
            <w:tcW w:w="837" w:type="pct"/>
            <w:shd w:val="clear" w:color="auto" w:fill="BFBFBF" w:themeFill="background1" w:themeFillShade="BF"/>
            <w:vAlign w:val="center"/>
          </w:tcPr>
          <w:p w14:paraId="15C95DA4" w14:textId="77777777" w:rsidR="00807282" w:rsidRDefault="00807282" w:rsidP="0034709C">
            <w:pPr>
              <w:jc w:val="center"/>
              <w:rPr>
                <w:color w:val="000000" w:themeColor="text1"/>
              </w:rPr>
            </w:pPr>
            <w:r>
              <w:rPr>
                <w:color w:val="000000" w:themeColor="text1"/>
              </w:rPr>
              <w:t>100</w:t>
            </w:r>
            <w:r w:rsidRPr="00747A90">
              <w:rPr>
                <w:color w:val="000000" w:themeColor="text1"/>
              </w:rPr>
              <w:t>%</w:t>
            </w:r>
          </w:p>
        </w:tc>
        <w:tc>
          <w:tcPr>
            <w:tcW w:w="470" w:type="pct"/>
            <w:shd w:val="clear" w:color="auto" w:fill="BFBFBF" w:themeFill="background1" w:themeFillShade="BF"/>
            <w:vAlign w:val="center"/>
          </w:tcPr>
          <w:p w14:paraId="691A14FD" w14:textId="77777777" w:rsidR="00807282" w:rsidRDefault="00807282" w:rsidP="0034709C">
            <w:pPr>
              <w:jc w:val="center"/>
              <w:rPr>
                <w:color w:val="000000" w:themeColor="text1"/>
              </w:rPr>
            </w:pPr>
            <w:r>
              <w:rPr>
                <w:color w:val="000000" w:themeColor="text1"/>
              </w:rPr>
              <w:t>100</w:t>
            </w:r>
            <w:r w:rsidRPr="00747A90">
              <w:rPr>
                <w:color w:val="000000" w:themeColor="text1"/>
              </w:rPr>
              <w:t>%</w:t>
            </w:r>
          </w:p>
        </w:tc>
        <w:tc>
          <w:tcPr>
            <w:tcW w:w="441" w:type="pct"/>
            <w:shd w:val="clear" w:color="auto" w:fill="BFBFBF" w:themeFill="background1" w:themeFillShade="BF"/>
            <w:vAlign w:val="center"/>
          </w:tcPr>
          <w:p w14:paraId="28A41640" w14:textId="77777777" w:rsidR="00807282" w:rsidRDefault="00807282" w:rsidP="0034709C">
            <w:pPr>
              <w:jc w:val="center"/>
              <w:rPr>
                <w:color w:val="000000" w:themeColor="text1"/>
              </w:rPr>
            </w:pPr>
            <w:r>
              <w:rPr>
                <w:color w:val="000000" w:themeColor="text1"/>
              </w:rPr>
              <w:t>100</w:t>
            </w:r>
            <w:r w:rsidRPr="00747A90">
              <w:rPr>
                <w:color w:val="000000" w:themeColor="text1"/>
              </w:rPr>
              <w:t>%</w:t>
            </w:r>
          </w:p>
        </w:tc>
        <w:tc>
          <w:tcPr>
            <w:tcW w:w="432" w:type="pct"/>
            <w:shd w:val="clear" w:color="auto" w:fill="BFBFBF" w:themeFill="background1" w:themeFillShade="BF"/>
            <w:vAlign w:val="center"/>
          </w:tcPr>
          <w:p w14:paraId="39F6596F" w14:textId="77777777" w:rsidR="00807282" w:rsidRDefault="00807282" w:rsidP="0034709C">
            <w:pPr>
              <w:jc w:val="center"/>
              <w:rPr>
                <w:color w:val="000000" w:themeColor="text1"/>
              </w:rPr>
            </w:pPr>
            <w:r>
              <w:rPr>
                <w:color w:val="000000" w:themeColor="text1"/>
              </w:rPr>
              <w:t>1</w:t>
            </w:r>
          </w:p>
        </w:tc>
        <w:tc>
          <w:tcPr>
            <w:tcW w:w="640" w:type="pct"/>
            <w:shd w:val="clear" w:color="auto" w:fill="BFBFBF" w:themeFill="background1" w:themeFillShade="BF"/>
            <w:vAlign w:val="center"/>
          </w:tcPr>
          <w:p w14:paraId="3AD1DC67" w14:textId="77777777" w:rsidR="00807282" w:rsidRPr="00747A90" w:rsidRDefault="00807282" w:rsidP="0034709C">
            <w:pPr>
              <w:jc w:val="center"/>
              <w:rPr>
                <w:b/>
                <w:bCs/>
                <w:color w:val="000000" w:themeColor="text1"/>
              </w:rPr>
            </w:pPr>
            <w:r>
              <w:rPr>
                <w:b/>
                <w:bCs/>
                <w:color w:val="000000" w:themeColor="text1"/>
              </w:rPr>
              <w:t>&lt;0.001*</w:t>
            </w:r>
          </w:p>
        </w:tc>
      </w:tr>
      <w:tr w:rsidR="00807282" w:rsidRPr="005126BB" w14:paraId="554319FC" w14:textId="77777777" w:rsidTr="00937992">
        <w:trPr>
          <w:cnfStyle w:val="000000100000" w:firstRow="0" w:lastRow="0" w:firstColumn="0" w:lastColumn="0" w:oddVBand="0" w:evenVBand="0" w:oddHBand="1" w:evenHBand="0" w:firstRowFirstColumn="0" w:firstRowLastColumn="0" w:lastRowFirstColumn="0" w:lastRowLastColumn="0"/>
          <w:trHeight w:val="432"/>
        </w:trPr>
        <w:tc>
          <w:tcPr>
            <w:tcW w:w="763" w:type="pct"/>
            <w:shd w:val="clear" w:color="auto" w:fill="BFBFBF" w:themeFill="background1" w:themeFillShade="BF"/>
          </w:tcPr>
          <w:p w14:paraId="6995D473" w14:textId="77777777" w:rsidR="00807282" w:rsidRPr="009C3586" w:rsidRDefault="00807282" w:rsidP="0034709C">
            <w:pPr>
              <w:jc w:val="center"/>
              <w:rPr>
                <w:b/>
                <w:bCs/>
                <w:color w:val="000000" w:themeColor="text1"/>
              </w:rPr>
            </w:pPr>
            <w:r w:rsidRPr="009C3586">
              <w:rPr>
                <w:b/>
                <w:bCs/>
                <w:color w:val="000000" w:themeColor="text1"/>
              </w:rPr>
              <w:t>ESR</w:t>
            </w:r>
          </w:p>
        </w:tc>
        <w:tc>
          <w:tcPr>
            <w:tcW w:w="580" w:type="pct"/>
            <w:shd w:val="clear" w:color="auto" w:fill="BFBFBF" w:themeFill="background1" w:themeFillShade="BF"/>
            <w:vAlign w:val="center"/>
          </w:tcPr>
          <w:p w14:paraId="34041FD6" w14:textId="77777777" w:rsidR="00807282" w:rsidRPr="00747A90" w:rsidRDefault="00807282" w:rsidP="0034709C">
            <w:pPr>
              <w:jc w:val="center"/>
              <w:rPr>
                <w:color w:val="000000" w:themeColor="text1"/>
              </w:rPr>
            </w:pPr>
            <w:r>
              <w:rPr>
                <w:color w:val="000000" w:themeColor="text1"/>
              </w:rPr>
              <w:t>&gt;54</w:t>
            </w:r>
          </w:p>
        </w:tc>
        <w:tc>
          <w:tcPr>
            <w:tcW w:w="837" w:type="pct"/>
            <w:shd w:val="clear" w:color="auto" w:fill="BFBFBF" w:themeFill="background1" w:themeFillShade="BF"/>
            <w:vAlign w:val="center"/>
          </w:tcPr>
          <w:p w14:paraId="1D462957"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837" w:type="pct"/>
            <w:shd w:val="clear" w:color="auto" w:fill="BFBFBF" w:themeFill="background1" w:themeFillShade="BF"/>
            <w:vAlign w:val="center"/>
          </w:tcPr>
          <w:p w14:paraId="27ACA4DB"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70" w:type="pct"/>
            <w:shd w:val="clear" w:color="auto" w:fill="BFBFBF" w:themeFill="background1" w:themeFillShade="BF"/>
            <w:vAlign w:val="center"/>
          </w:tcPr>
          <w:p w14:paraId="253D2C85"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41" w:type="pct"/>
            <w:shd w:val="clear" w:color="auto" w:fill="BFBFBF" w:themeFill="background1" w:themeFillShade="BF"/>
            <w:vAlign w:val="center"/>
          </w:tcPr>
          <w:p w14:paraId="36E19E51" w14:textId="77777777" w:rsidR="00807282" w:rsidRPr="00747A90" w:rsidRDefault="00807282" w:rsidP="0034709C">
            <w:pPr>
              <w:jc w:val="center"/>
              <w:rPr>
                <w:color w:val="000000" w:themeColor="text1"/>
              </w:rPr>
            </w:pPr>
            <w:r>
              <w:rPr>
                <w:color w:val="000000" w:themeColor="text1"/>
              </w:rPr>
              <w:t>100</w:t>
            </w:r>
            <w:r w:rsidRPr="00747A90">
              <w:rPr>
                <w:color w:val="000000" w:themeColor="text1"/>
              </w:rPr>
              <w:t>%</w:t>
            </w:r>
          </w:p>
        </w:tc>
        <w:tc>
          <w:tcPr>
            <w:tcW w:w="432" w:type="pct"/>
            <w:shd w:val="clear" w:color="auto" w:fill="BFBFBF" w:themeFill="background1" w:themeFillShade="BF"/>
            <w:vAlign w:val="center"/>
          </w:tcPr>
          <w:p w14:paraId="08836584" w14:textId="77777777" w:rsidR="00807282" w:rsidRPr="00747A90" w:rsidRDefault="00807282" w:rsidP="0034709C">
            <w:pPr>
              <w:jc w:val="center"/>
              <w:rPr>
                <w:color w:val="000000" w:themeColor="text1"/>
              </w:rPr>
            </w:pPr>
            <w:r>
              <w:rPr>
                <w:color w:val="000000" w:themeColor="text1"/>
              </w:rPr>
              <w:t>1</w:t>
            </w:r>
          </w:p>
        </w:tc>
        <w:tc>
          <w:tcPr>
            <w:tcW w:w="640" w:type="pct"/>
            <w:shd w:val="clear" w:color="auto" w:fill="BFBFBF" w:themeFill="background1" w:themeFillShade="BF"/>
            <w:vAlign w:val="center"/>
          </w:tcPr>
          <w:p w14:paraId="33DA357F" w14:textId="77777777" w:rsidR="00807282" w:rsidRPr="00747A90" w:rsidRDefault="00807282" w:rsidP="0034709C">
            <w:pPr>
              <w:jc w:val="center"/>
              <w:rPr>
                <w:b/>
                <w:bCs/>
                <w:color w:val="000000" w:themeColor="text1"/>
              </w:rPr>
            </w:pPr>
            <w:r w:rsidRPr="00747A90">
              <w:rPr>
                <w:b/>
                <w:bCs/>
                <w:color w:val="000000" w:themeColor="text1"/>
              </w:rPr>
              <w:t>&lt;0.001*</w:t>
            </w:r>
          </w:p>
        </w:tc>
      </w:tr>
      <w:tr w:rsidR="00807282" w:rsidRPr="009B266D" w14:paraId="4DCE2745" w14:textId="77777777" w:rsidTr="00937992">
        <w:trPr>
          <w:trHeight w:val="432"/>
        </w:trPr>
        <w:tc>
          <w:tcPr>
            <w:tcW w:w="763" w:type="pct"/>
            <w:shd w:val="clear" w:color="auto" w:fill="BFBFBF" w:themeFill="background1" w:themeFillShade="BF"/>
          </w:tcPr>
          <w:p w14:paraId="0A48B204" w14:textId="77777777" w:rsidR="00807282" w:rsidRPr="009C3586" w:rsidRDefault="00807282" w:rsidP="0034709C">
            <w:pPr>
              <w:jc w:val="center"/>
              <w:rPr>
                <w:b/>
                <w:bCs/>
                <w:color w:val="000000" w:themeColor="text1"/>
              </w:rPr>
            </w:pPr>
            <w:r w:rsidRPr="009C3586">
              <w:rPr>
                <w:b/>
                <w:bCs/>
                <w:color w:val="000000" w:themeColor="text1"/>
              </w:rPr>
              <w:t>Albumin</w:t>
            </w:r>
          </w:p>
        </w:tc>
        <w:tc>
          <w:tcPr>
            <w:tcW w:w="580" w:type="pct"/>
            <w:shd w:val="clear" w:color="auto" w:fill="BFBFBF" w:themeFill="background1" w:themeFillShade="BF"/>
            <w:vAlign w:val="center"/>
          </w:tcPr>
          <w:p w14:paraId="21E1F249" w14:textId="77777777" w:rsidR="00807282" w:rsidRDefault="00807282" w:rsidP="0034709C">
            <w:pPr>
              <w:jc w:val="center"/>
              <w:rPr>
                <w:color w:val="000000" w:themeColor="text1"/>
              </w:rPr>
            </w:pPr>
            <w:r>
              <w:rPr>
                <w:color w:val="000000" w:themeColor="text1"/>
              </w:rPr>
              <w:t>&gt;4.1</w:t>
            </w:r>
          </w:p>
        </w:tc>
        <w:tc>
          <w:tcPr>
            <w:tcW w:w="837" w:type="pct"/>
            <w:shd w:val="clear" w:color="auto" w:fill="BFBFBF" w:themeFill="background1" w:themeFillShade="BF"/>
            <w:vAlign w:val="center"/>
          </w:tcPr>
          <w:p w14:paraId="7418A226" w14:textId="77777777" w:rsidR="00807282" w:rsidRDefault="00807282" w:rsidP="0034709C">
            <w:pPr>
              <w:jc w:val="center"/>
              <w:rPr>
                <w:color w:val="000000" w:themeColor="text1"/>
              </w:rPr>
            </w:pPr>
            <w:r>
              <w:rPr>
                <w:color w:val="000000" w:themeColor="text1"/>
              </w:rPr>
              <w:t>45.83</w:t>
            </w:r>
            <w:r w:rsidRPr="00747A90">
              <w:rPr>
                <w:color w:val="000000" w:themeColor="text1"/>
              </w:rPr>
              <w:t>%</w:t>
            </w:r>
          </w:p>
        </w:tc>
        <w:tc>
          <w:tcPr>
            <w:tcW w:w="837" w:type="pct"/>
            <w:shd w:val="clear" w:color="auto" w:fill="BFBFBF" w:themeFill="background1" w:themeFillShade="BF"/>
            <w:vAlign w:val="center"/>
          </w:tcPr>
          <w:p w14:paraId="70117E84" w14:textId="77777777" w:rsidR="00807282" w:rsidRDefault="00807282" w:rsidP="0034709C">
            <w:pPr>
              <w:jc w:val="center"/>
              <w:rPr>
                <w:color w:val="000000" w:themeColor="text1"/>
              </w:rPr>
            </w:pPr>
            <w:r>
              <w:rPr>
                <w:color w:val="000000" w:themeColor="text1"/>
              </w:rPr>
              <w:t>61.54</w:t>
            </w:r>
            <w:r w:rsidRPr="00747A90">
              <w:rPr>
                <w:color w:val="000000" w:themeColor="text1"/>
              </w:rPr>
              <w:t>%</w:t>
            </w:r>
          </w:p>
        </w:tc>
        <w:tc>
          <w:tcPr>
            <w:tcW w:w="470" w:type="pct"/>
            <w:shd w:val="clear" w:color="auto" w:fill="BFBFBF" w:themeFill="background1" w:themeFillShade="BF"/>
            <w:vAlign w:val="center"/>
          </w:tcPr>
          <w:p w14:paraId="6A2F91C0" w14:textId="77777777" w:rsidR="00807282" w:rsidRDefault="00807282" w:rsidP="0034709C">
            <w:pPr>
              <w:jc w:val="center"/>
              <w:rPr>
                <w:color w:val="000000" w:themeColor="text1"/>
              </w:rPr>
            </w:pPr>
            <w:r>
              <w:rPr>
                <w:color w:val="000000" w:themeColor="text1"/>
              </w:rPr>
              <w:t>52.4%</w:t>
            </w:r>
          </w:p>
        </w:tc>
        <w:tc>
          <w:tcPr>
            <w:tcW w:w="441" w:type="pct"/>
            <w:shd w:val="clear" w:color="auto" w:fill="BFBFBF" w:themeFill="background1" w:themeFillShade="BF"/>
            <w:vAlign w:val="center"/>
          </w:tcPr>
          <w:p w14:paraId="3DF76012" w14:textId="77777777" w:rsidR="00807282" w:rsidRDefault="00807282" w:rsidP="0034709C">
            <w:pPr>
              <w:jc w:val="center"/>
              <w:rPr>
                <w:color w:val="000000" w:themeColor="text1"/>
              </w:rPr>
            </w:pPr>
            <w:r>
              <w:rPr>
                <w:color w:val="000000" w:themeColor="text1"/>
              </w:rPr>
              <w:t>55.2%</w:t>
            </w:r>
          </w:p>
        </w:tc>
        <w:tc>
          <w:tcPr>
            <w:tcW w:w="432" w:type="pct"/>
            <w:shd w:val="clear" w:color="auto" w:fill="BFBFBF" w:themeFill="background1" w:themeFillShade="BF"/>
            <w:vAlign w:val="center"/>
          </w:tcPr>
          <w:p w14:paraId="562D6CE7" w14:textId="77777777" w:rsidR="00807282" w:rsidRDefault="00807282" w:rsidP="0034709C">
            <w:pPr>
              <w:jc w:val="center"/>
              <w:rPr>
                <w:color w:val="000000" w:themeColor="text1"/>
              </w:rPr>
            </w:pPr>
            <w:r>
              <w:rPr>
                <w:color w:val="000000" w:themeColor="text1"/>
              </w:rPr>
              <w:t>0.595</w:t>
            </w:r>
          </w:p>
        </w:tc>
        <w:tc>
          <w:tcPr>
            <w:tcW w:w="640" w:type="pct"/>
            <w:shd w:val="clear" w:color="auto" w:fill="BFBFBF" w:themeFill="background1" w:themeFillShade="BF"/>
            <w:vAlign w:val="center"/>
          </w:tcPr>
          <w:p w14:paraId="27B7B602" w14:textId="77777777" w:rsidR="00807282" w:rsidRPr="009B266D" w:rsidRDefault="00807282" w:rsidP="0034709C">
            <w:pPr>
              <w:jc w:val="center"/>
              <w:rPr>
                <w:color w:val="000000" w:themeColor="text1"/>
              </w:rPr>
            </w:pPr>
            <w:r w:rsidRPr="009B266D">
              <w:rPr>
                <w:color w:val="000000" w:themeColor="text1"/>
              </w:rPr>
              <w:t>0.244</w:t>
            </w:r>
          </w:p>
        </w:tc>
      </w:tr>
      <w:tr w:rsidR="00807282" w:rsidRPr="005126BB" w14:paraId="0B1DE9CC" w14:textId="77777777" w:rsidTr="00937992">
        <w:trPr>
          <w:cnfStyle w:val="000000100000" w:firstRow="0" w:lastRow="0" w:firstColumn="0" w:lastColumn="0" w:oddVBand="0" w:evenVBand="0" w:oddHBand="1" w:evenHBand="0" w:firstRowFirstColumn="0" w:firstRowLastColumn="0" w:lastRowFirstColumn="0" w:lastRowLastColumn="0"/>
          <w:trHeight w:val="432"/>
        </w:trPr>
        <w:tc>
          <w:tcPr>
            <w:tcW w:w="763" w:type="pct"/>
            <w:tcBorders>
              <w:bottom w:val="single" w:sz="4" w:space="0" w:color="000000"/>
            </w:tcBorders>
            <w:shd w:val="clear" w:color="auto" w:fill="BFBFBF" w:themeFill="background1" w:themeFillShade="BF"/>
          </w:tcPr>
          <w:p w14:paraId="78C552E9" w14:textId="77777777" w:rsidR="00807282" w:rsidRPr="009C3586" w:rsidRDefault="00807282" w:rsidP="0034709C">
            <w:pPr>
              <w:jc w:val="center"/>
              <w:rPr>
                <w:b/>
                <w:bCs/>
                <w:color w:val="000000" w:themeColor="text1"/>
              </w:rPr>
            </w:pPr>
            <w:r w:rsidRPr="009C3586">
              <w:rPr>
                <w:b/>
                <w:bCs/>
                <w:color w:val="000000" w:themeColor="text1"/>
              </w:rPr>
              <w:t>WBCs</w:t>
            </w:r>
          </w:p>
        </w:tc>
        <w:tc>
          <w:tcPr>
            <w:tcW w:w="580" w:type="pct"/>
            <w:tcBorders>
              <w:bottom w:val="single" w:sz="4" w:space="0" w:color="000000"/>
            </w:tcBorders>
            <w:shd w:val="clear" w:color="auto" w:fill="BFBFBF" w:themeFill="background1" w:themeFillShade="BF"/>
            <w:vAlign w:val="center"/>
          </w:tcPr>
          <w:p w14:paraId="450AB479" w14:textId="77777777" w:rsidR="00807282" w:rsidRDefault="00807282" w:rsidP="0034709C">
            <w:pPr>
              <w:jc w:val="center"/>
              <w:rPr>
                <w:color w:val="000000" w:themeColor="text1"/>
              </w:rPr>
            </w:pPr>
            <w:r>
              <w:rPr>
                <w:color w:val="000000" w:themeColor="text1"/>
              </w:rPr>
              <w:t>≤8.4</w:t>
            </w:r>
          </w:p>
        </w:tc>
        <w:tc>
          <w:tcPr>
            <w:tcW w:w="837" w:type="pct"/>
            <w:tcBorders>
              <w:bottom w:val="single" w:sz="4" w:space="0" w:color="000000"/>
            </w:tcBorders>
            <w:shd w:val="clear" w:color="auto" w:fill="BFBFBF" w:themeFill="background1" w:themeFillShade="BF"/>
            <w:vAlign w:val="center"/>
          </w:tcPr>
          <w:p w14:paraId="46BA5B27" w14:textId="77777777" w:rsidR="00807282" w:rsidRDefault="00807282" w:rsidP="0034709C">
            <w:pPr>
              <w:jc w:val="center"/>
              <w:rPr>
                <w:color w:val="000000" w:themeColor="text1"/>
              </w:rPr>
            </w:pPr>
            <w:r>
              <w:rPr>
                <w:color w:val="000000" w:themeColor="text1"/>
              </w:rPr>
              <w:t>41.67</w:t>
            </w:r>
            <w:r w:rsidRPr="00747A90">
              <w:rPr>
                <w:color w:val="000000" w:themeColor="text1"/>
              </w:rPr>
              <w:t>%</w:t>
            </w:r>
          </w:p>
        </w:tc>
        <w:tc>
          <w:tcPr>
            <w:tcW w:w="837" w:type="pct"/>
            <w:tcBorders>
              <w:bottom w:val="single" w:sz="4" w:space="0" w:color="000000"/>
            </w:tcBorders>
            <w:shd w:val="clear" w:color="auto" w:fill="BFBFBF" w:themeFill="background1" w:themeFillShade="BF"/>
            <w:vAlign w:val="center"/>
          </w:tcPr>
          <w:p w14:paraId="7647AECC" w14:textId="77777777" w:rsidR="00807282" w:rsidRDefault="00807282" w:rsidP="0034709C">
            <w:pPr>
              <w:jc w:val="center"/>
              <w:rPr>
                <w:color w:val="000000" w:themeColor="text1"/>
              </w:rPr>
            </w:pPr>
            <w:r>
              <w:rPr>
                <w:color w:val="000000" w:themeColor="text1"/>
              </w:rPr>
              <w:t>65.38</w:t>
            </w:r>
            <w:r w:rsidRPr="00747A90">
              <w:rPr>
                <w:color w:val="000000" w:themeColor="text1"/>
              </w:rPr>
              <w:t>%</w:t>
            </w:r>
          </w:p>
        </w:tc>
        <w:tc>
          <w:tcPr>
            <w:tcW w:w="470" w:type="pct"/>
            <w:tcBorders>
              <w:bottom w:val="single" w:sz="4" w:space="0" w:color="000000"/>
            </w:tcBorders>
            <w:shd w:val="clear" w:color="auto" w:fill="BFBFBF" w:themeFill="background1" w:themeFillShade="BF"/>
            <w:vAlign w:val="center"/>
          </w:tcPr>
          <w:p w14:paraId="3709BAD3" w14:textId="77777777" w:rsidR="00807282" w:rsidRDefault="00807282" w:rsidP="0034709C">
            <w:pPr>
              <w:jc w:val="center"/>
              <w:rPr>
                <w:color w:val="000000" w:themeColor="text1"/>
              </w:rPr>
            </w:pPr>
            <w:r>
              <w:rPr>
                <w:color w:val="000000" w:themeColor="text1"/>
              </w:rPr>
              <w:t>52.6%</w:t>
            </w:r>
          </w:p>
        </w:tc>
        <w:tc>
          <w:tcPr>
            <w:tcW w:w="441" w:type="pct"/>
            <w:tcBorders>
              <w:bottom w:val="single" w:sz="4" w:space="0" w:color="000000"/>
            </w:tcBorders>
            <w:shd w:val="clear" w:color="auto" w:fill="BFBFBF" w:themeFill="background1" w:themeFillShade="BF"/>
            <w:vAlign w:val="center"/>
          </w:tcPr>
          <w:p w14:paraId="0B510E17" w14:textId="77777777" w:rsidR="00807282" w:rsidRDefault="00807282" w:rsidP="0034709C">
            <w:pPr>
              <w:jc w:val="center"/>
              <w:rPr>
                <w:color w:val="000000" w:themeColor="text1"/>
              </w:rPr>
            </w:pPr>
            <w:r>
              <w:rPr>
                <w:color w:val="000000" w:themeColor="text1"/>
              </w:rPr>
              <w:t>54.8%</w:t>
            </w:r>
          </w:p>
        </w:tc>
        <w:tc>
          <w:tcPr>
            <w:tcW w:w="432" w:type="pct"/>
            <w:tcBorders>
              <w:bottom w:val="single" w:sz="4" w:space="0" w:color="000000"/>
            </w:tcBorders>
            <w:shd w:val="clear" w:color="auto" w:fill="BFBFBF" w:themeFill="background1" w:themeFillShade="BF"/>
            <w:vAlign w:val="center"/>
          </w:tcPr>
          <w:p w14:paraId="3F964F3D" w14:textId="77777777" w:rsidR="00807282" w:rsidRDefault="00807282" w:rsidP="0034709C">
            <w:pPr>
              <w:jc w:val="center"/>
              <w:rPr>
                <w:color w:val="000000" w:themeColor="text1"/>
              </w:rPr>
            </w:pPr>
            <w:r>
              <w:rPr>
                <w:color w:val="000000" w:themeColor="text1"/>
              </w:rPr>
              <w:t>0.530</w:t>
            </w:r>
          </w:p>
        </w:tc>
        <w:tc>
          <w:tcPr>
            <w:tcW w:w="640" w:type="pct"/>
            <w:tcBorders>
              <w:bottom w:val="single" w:sz="4" w:space="0" w:color="000000"/>
            </w:tcBorders>
            <w:shd w:val="clear" w:color="auto" w:fill="BFBFBF" w:themeFill="background1" w:themeFillShade="BF"/>
            <w:vAlign w:val="center"/>
          </w:tcPr>
          <w:p w14:paraId="046AAA8F" w14:textId="77777777" w:rsidR="00807282" w:rsidRPr="009B266D" w:rsidRDefault="00807282" w:rsidP="00937992">
            <w:pPr>
              <w:keepNext/>
              <w:jc w:val="center"/>
              <w:rPr>
                <w:color w:val="000000" w:themeColor="text1"/>
              </w:rPr>
            </w:pPr>
            <w:r>
              <w:rPr>
                <w:color w:val="000000" w:themeColor="text1"/>
              </w:rPr>
              <w:t>0.724</w:t>
            </w:r>
          </w:p>
        </w:tc>
      </w:tr>
    </w:tbl>
    <w:bookmarkEnd w:id="24"/>
    <w:p w14:paraId="6079FBEF" w14:textId="381A9071" w:rsidR="00937992" w:rsidRPr="00937992" w:rsidRDefault="00937992" w:rsidP="00937992">
      <w:pPr>
        <w:rPr>
          <w:b/>
          <w:bCs/>
          <w:color w:val="4472C4" w:themeColor="accent1"/>
          <w:sz w:val="18"/>
          <w:szCs w:val="18"/>
        </w:rPr>
      </w:pPr>
      <w:r w:rsidRPr="00937992">
        <w:rPr>
          <w:b/>
          <w:bCs/>
          <w:color w:val="4472C4" w:themeColor="accent1"/>
          <w:sz w:val="18"/>
          <w:szCs w:val="18"/>
        </w:rPr>
        <w:t>PPV: positive predictive value, NPV: negative predictive value, AUC: area under the curve</w:t>
      </w:r>
      <w:r>
        <w:rPr>
          <w:b/>
          <w:bCs/>
          <w:color w:val="4472C4" w:themeColor="accent1"/>
          <w:sz w:val="18"/>
          <w:szCs w:val="18"/>
        </w:rPr>
        <w:t>.</w:t>
      </w:r>
    </w:p>
    <w:p w14:paraId="69E921E2" w14:textId="77777777" w:rsidR="000D1D6E" w:rsidRPr="00987047" w:rsidRDefault="000D1D6E" w:rsidP="00937992">
      <w:pPr>
        <w:pStyle w:val="footnote"/>
        <w:shd w:val="clear" w:color="auto" w:fill="FFFFFF" w:themeFill="background1"/>
      </w:pPr>
    </w:p>
    <w:bookmarkEnd w:id="3"/>
    <w:p w14:paraId="39FC3846" w14:textId="55704D71" w:rsidR="00E73AF5" w:rsidRPr="00F86D95" w:rsidRDefault="00E73AF5" w:rsidP="00BE1624">
      <w:pPr>
        <w:pStyle w:val="Heading1"/>
        <w:spacing w:before="0" w:line="360" w:lineRule="auto"/>
      </w:pPr>
      <w:r w:rsidRPr="00F86D95">
        <w:t>Discussion</w:t>
      </w:r>
    </w:p>
    <w:p w14:paraId="1EA79CD9" w14:textId="42E39CBC" w:rsidR="00CB11FC" w:rsidRDefault="00D33DDA" w:rsidP="00581833">
      <w:pPr>
        <w:spacing w:after="0" w:line="360" w:lineRule="auto"/>
        <w:jc w:val="both"/>
        <w:rPr>
          <w:rFonts w:ascii="Times New Roman" w:eastAsia="Calibri" w:hAnsi="Times New Roman" w:cs="Times New Roman"/>
          <w:sz w:val="24"/>
          <w:szCs w:val="24"/>
          <w:shd w:val="clear" w:color="auto" w:fill="FFFFFF"/>
        </w:rPr>
      </w:pPr>
      <w:r w:rsidRPr="0080398A">
        <w:rPr>
          <w:rFonts w:ascii="Times New Roman" w:eastAsia="Calibri" w:hAnsi="Times New Roman" w:cs="Times New Roman"/>
          <w:sz w:val="24"/>
          <w:szCs w:val="24"/>
          <w:shd w:val="clear" w:color="auto" w:fill="FFFFFF"/>
        </w:rPr>
        <w:t xml:space="preserve">Although fecal calprotectin has prognostic value in </w:t>
      </w:r>
      <w:r w:rsidR="00D7243C">
        <w:rPr>
          <w:rFonts w:ascii="Times New Roman" w:eastAsia="Calibri" w:hAnsi="Times New Roman" w:cs="Times New Roman"/>
          <w:sz w:val="24"/>
          <w:szCs w:val="24"/>
          <w:shd w:val="clear" w:color="auto" w:fill="FFFFFF"/>
        </w:rPr>
        <w:t>assessing inflammatory bowel disease (IBD), the relationship of fecal calprotectin level with the severity of COVID-19 disease is not determined yet.</w:t>
      </w:r>
      <w:r w:rsidR="00D7243C">
        <w:rPr>
          <w:rFonts w:ascii="Times New Roman" w:eastAsia="Calibri" w:hAnsi="Times New Roman" w:cs="Times New Roman"/>
          <w:b/>
          <w:bCs/>
          <w:sz w:val="24"/>
          <w:szCs w:val="24"/>
          <w:shd w:val="clear" w:color="auto" w:fill="FFFFFF"/>
        </w:rPr>
        <w:t xml:space="preserve"> </w:t>
      </w:r>
      <w:r w:rsidR="00D7243C">
        <w:rPr>
          <w:rFonts w:ascii="Times New Roman" w:eastAsia="Calibri" w:hAnsi="Times New Roman" w:cs="Times New Roman"/>
          <w:sz w:val="24"/>
          <w:szCs w:val="24"/>
          <w:shd w:val="clear" w:color="auto" w:fill="FFFFFF"/>
        </w:rPr>
        <w:t>Fecal calprotectin (FC) has emerged as a reliable fecal biomarker, enabling the detection of intestinal inflammation in IBD</w:t>
      </w:r>
      <w:r w:rsidR="004E44A1" w:rsidRPr="004E44A1">
        <w:rPr>
          <w:rFonts w:ascii="Times New Roman" w:eastAsia="Calibri" w:hAnsi="Times New Roman" w:cs="Times New Roman"/>
          <w:sz w:val="24"/>
          <w:szCs w:val="24"/>
          <w:shd w:val="clear" w:color="auto" w:fill="FFFFFF"/>
        </w:rPr>
        <w:t xml:space="preserve"> and infectious colitis</w:t>
      </w:r>
      <w:r w:rsidR="0012126A" w:rsidRPr="0080398A">
        <w:rPr>
          <w:rFonts w:ascii="Times New Roman" w:eastAsia="Calibri" w:hAnsi="Times New Roman" w:cs="Times New Roman"/>
          <w:sz w:val="24"/>
          <w:szCs w:val="24"/>
          <w:shd w:val="clear" w:color="auto" w:fill="FFFFFF"/>
        </w:rPr>
        <w:t xml:space="preserve"> </w:t>
      </w:r>
      <w:r w:rsidR="0012126A" w:rsidRPr="0080398A">
        <w:rPr>
          <w:rFonts w:ascii="Times New Roman" w:eastAsia="Calibri" w:hAnsi="Times New Roman" w:cs="Times New Roman"/>
          <w:b/>
          <w:bCs/>
          <w:sz w:val="24"/>
          <w:szCs w:val="24"/>
          <w:shd w:val="clear" w:color="auto" w:fill="FFFFFF"/>
        </w:rPr>
        <w:t>[</w:t>
      </w:r>
      <w:r w:rsidR="00FB7698">
        <w:rPr>
          <w:rFonts w:ascii="Times New Roman" w:eastAsia="Calibri" w:hAnsi="Times New Roman" w:cs="Times New Roman"/>
          <w:b/>
          <w:bCs/>
          <w:sz w:val="24"/>
          <w:szCs w:val="24"/>
          <w:shd w:val="clear" w:color="auto" w:fill="FFFFFF"/>
        </w:rPr>
        <w:t>15</w:t>
      </w:r>
      <w:r w:rsidR="0012126A" w:rsidRPr="0080398A">
        <w:rPr>
          <w:rFonts w:ascii="Times New Roman" w:eastAsia="Calibri" w:hAnsi="Times New Roman" w:cs="Times New Roman"/>
          <w:b/>
          <w:bCs/>
          <w:sz w:val="24"/>
          <w:szCs w:val="24"/>
          <w:shd w:val="clear" w:color="auto" w:fill="FFFFFF"/>
        </w:rPr>
        <w:t>]</w:t>
      </w:r>
      <w:r w:rsidR="00AC0446" w:rsidRPr="0080398A">
        <w:rPr>
          <w:rFonts w:ascii="Times New Roman" w:eastAsia="Calibri" w:hAnsi="Times New Roman" w:cs="Times New Roman"/>
          <w:sz w:val="24"/>
          <w:szCs w:val="24"/>
          <w:shd w:val="clear" w:color="auto" w:fill="FFFFFF"/>
        </w:rPr>
        <w:t>.</w:t>
      </w:r>
      <w:r w:rsidR="007A49C5" w:rsidRPr="00F86D95">
        <w:rPr>
          <w:rFonts w:ascii="Times New Roman" w:eastAsia="Calibri" w:hAnsi="Times New Roman" w:cs="Times New Roman"/>
          <w:sz w:val="24"/>
          <w:szCs w:val="24"/>
          <w:shd w:val="clear" w:color="auto" w:fill="FFFFFF"/>
        </w:rPr>
        <w:t xml:space="preserve"> </w:t>
      </w:r>
    </w:p>
    <w:p w14:paraId="3F472D2B" w14:textId="7E7E651A" w:rsidR="002324AC" w:rsidRDefault="008C1221" w:rsidP="008C1221">
      <w:pPr>
        <w:spacing w:after="0" w:line="360" w:lineRule="auto"/>
        <w:jc w:val="both"/>
        <w:rPr>
          <w:rFonts w:ascii="Times New Roman" w:eastAsia="Calibri" w:hAnsi="Times New Roman" w:cs="Times New Roman"/>
          <w:sz w:val="24"/>
          <w:szCs w:val="24"/>
          <w:shd w:val="clear" w:color="auto" w:fill="FFFFFF"/>
        </w:rPr>
      </w:pPr>
      <w:r w:rsidRPr="008C1221">
        <w:rPr>
          <w:rFonts w:ascii="Times New Roman" w:eastAsia="Calibri" w:hAnsi="Times New Roman" w:cs="Times New Roman"/>
          <w:sz w:val="24"/>
          <w:szCs w:val="24"/>
          <w:shd w:val="clear" w:color="auto" w:fill="FFFFFF"/>
        </w:rPr>
        <w:t>Previous</w:t>
      </w:r>
      <w:r w:rsidR="007638C1">
        <w:rPr>
          <w:rFonts w:ascii="Times New Roman" w:eastAsia="Calibri" w:hAnsi="Times New Roman" w:cs="Times New Roman"/>
          <w:sz w:val="24"/>
          <w:szCs w:val="24"/>
          <w:shd w:val="clear" w:color="auto" w:fill="FFFFFF"/>
        </w:rPr>
        <w:t xml:space="preserve"> </w:t>
      </w:r>
      <w:r w:rsidR="00D7243C">
        <w:rPr>
          <w:rFonts w:ascii="Times New Roman" w:eastAsia="Calibri" w:hAnsi="Times New Roman" w:cs="Times New Roman"/>
          <w:sz w:val="24"/>
          <w:szCs w:val="24"/>
          <w:shd w:val="clear" w:color="auto" w:fill="FFFFFF"/>
        </w:rPr>
        <w:t>research suggests</w:t>
      </w:r>
      <w:r w:rsidR="003F3720" w:rsidRPr="003F3720">
        <w:rPr>
          <w:rFonts w:ascii="Times New Roman" w:eastAsia="Calibri" w:hAnsi="Times New Roman" w:cs="Times New Roman"/>
          <w:sz w:val="24"/>
          <w:szCs w:val="24"/>
          <w:shd w:val="clear" w:color="auto" w:fill="FFFFFF"/>
        </w:rPr>
        <w:t xml:space="preserve"> that SARS-CoV-2 has an affinity for binding to cells within the gastrointestinal tract, specifically the epithelial cells of the small and large intestines. </w:t>
      </w:r>
      <w:r w:rsidR="00937992">
        <w:rPr>
          <w:rFonts w:ascii="Times New Roman" w:eastAsia="Calibri" w:hAnsi="Times New Roman" w:cs="Times New Roman"/>
          <w:sz w:val="24"/>
          <w:szCs w:val="24"/>
          <w:shd w:val="clear" w:color="auto" w:fill="FFFFFF"/>
        </w:rPr>
        <w:t>Specific receptors, such as ACE2 and the transmembrane serine protease 2, are believed to facilitate this interaction</w:t>
      </w:r>
      <w:r w:rsidR="00090B5C">
        <w:rPr>
          <w:rFonts w:ascii="Times New Roman" w:eastAsia="Calibri" w:hAnsi="Times New Roman" w:cs="Times New Roman"/>
          <w:sz w:val="24"/>
          <w:szCs w:val="24"/>
          <w:shd w:val="clear" w:color="auto" w:fill="FFFFFF"/>
        </w:rPr>
        <w:t xml:space="preserve"> </w:t>
      </w:r>
      <w:r w:rsidR="00D3641F" w:rsidRPr="0080398A">
        <w:rPr>
          <w:rFonts w:ascii="Times New Roman" w:eastAsia="Calibri" w:hAnsi="Times New Roman" w:cs="Times New Roman"/>
          <w:b/>
          <w:bCs/>
          <w:sz w:val="24"/>
          <w:szCs w:val="24"/>
          <w:shd w:val="clear" w:color="auto" w:fill="FFFFFF"/>
        </w:rPr>
        <w:t>[</w:t>
      </w:r>
      <w:r w:rsidR="00171841">
        <w:rPr>
          <w:rFonts w:ascii="Times New Roman" w:eastAsia="Calibri" w:hAnsi="Times New Roman" w:cs="Times New Roman"/>
          <w:b/>
          <w:bCs/>
          <w:sz w:val="24"/>
          <w:szCs w:val="24"/>
          <w:shd w:val="clear" w:color="auto" w:fill="FFFFFF"/>
        </w:rPr>
        <w:t>16</w:t>
      </w:r>
      <w:r w:rsidR="00F10454">
        <w:rPr>
          <w:rFonts w:ascii="Times New Roman" w:eastAsia="Calibri" w:hAnsi="Times New Roman" w:cs="Times New Roman"/>
          <w:b/>
          <w:bCs/>
          <w:sz w:val="24"/>
          <w:szCs w:val="24"/>
          <w:shd w:val="clear" w:color="auto" w:fill="FFFFFF"/>
        </w:rPr>
        <w:t>,</w:t>
      </w:r>
      <w:r w:rsidR="009B2CD0">
        <w:rPr>
          <w:rFonts w:ascii="Times New Roman" w:eastAsia="Calibri" w:hAnsi="Times New Roman" w:cs="Times New Roman"/>
          <w:b/>
          <w:bCs/>
          <w:sz w:val="24"/>
          <w:szCs w:val="24"/>
          <w:shd w:val="clear" w:color="auto" w:fill="FFFFFF"/>
        </w:rPr>
        <w:t>17</w:t>
      </w:r>
      <w:r w:rsidR="00D3641F" w:rsidRPr="0080398A">
        <w:rPr>
          <w:rFonts w:ascii="Times New Roman" w:eastAsia="Calibri" w:hAnsi="Times New Roman" w:cs="Times New Roman"/>
          <w:b/>
          <w:bCs/>
          <w:sz w:val="24"/>
          <w:szCs w:val="24"/>
          <w:shd w:val="clear" w:color="auto" w:fill="FFFFFF"/>
        </w:rPr>
        <w:t>]</w:t>
      </w:r>
      <w:r w:rsidR="00D3641F" w:rsidRPr="0080398A">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p>
    <w:p w14:paraId="6DB4E2EB" w14:textId="55EC4C3C" w:rsidR="007A49C5" w:rsidRPr="00391945" w:rsidRDefault="00B109F6" w:rsidP="00391945">
      <w:pPr>
        <w:spacing w:after="0" w:line="360" w:lineRule="auto"/>
        <w:jc w:val="both"/>
        <w:rPr>
          <w:rFonts w:ascii="Times New Roman" w:eastAsia="Calibri" w:hAnsi="Times New Roman" w:cs="Times New Roman"/>
          <w:sz w:val="24"/>
          <w:szCs w:val="24"/>
          <w:shd w:val="clear" w:color="auto" w:fill="FFFFFF"/>
        </w:rPr>
      </w:pPr>
      <w:r w:rsidRPr="00B109F6">
        <w:rPr>
          <w:rFonts w:ascii="Times New Roman" w:eastAsia="Calibri" w:hAnsi="Times New Roman" w:cs="Times New Roman"/>
          <w:sz w:val="24"/>
          <w:szCs w:val="24"/>
          <w:shd w:val="clear" w:color="auto" w:fill="FFFFFF"/>
        </w:rPr>
        <w:t>A study conducted in Austria by Effenberger M. et al. revealed a significant correlation between Fecal Calprotectin (FC) concentration and serum interleukin-6 (IL-6) concentration (p&lt;0.001) in patients with SARS-CoV-2 infection. However, no significant correlation was observed between FC concentration and C reactive protein (CRP) or ferritin. These findings suggest that SARS-CoV-2 infection triggers an inflammatory response in the gut, as evidenced by diarrhea, elevated FC levels, and a systemic IL-6 response</w:t>
      </w:r>
      <w:r w:rsidR="00414380">
        <w:rPr>
          <w:rFonts w:ascii="Times New Roman" w:eastAsia="Calibri" w:hAnsi="Times New Roman" w:cs="Times New Roman"/>
          <w:sz w:val="24"/>
          <w:szCs w:val="24"/>
          <w:shd w:val="clear" w:color="auto" w:fill="FFFFFF"/>
        </w:rPr>
        <w:t xml:space="preserve"> </w:t>
      </w:r>
      <w:r w:rsidR="0014441A" w:rsidRPr="00E755BB">
        <w:rPr>
          <w:rFonts w:ascii="Times New Roman" w:eastAsia="Calibri" w:hAnsi="Times New Roman" w:cs="Times New Roman"/>
          <w:b/>
          <w:bCs/>
          <w:sz w:val="24"/>
          <w:szCs w:val="24"/>
          <w:shd w:val="clear" w:color="auto" w:fill="FFFFFF"/>
        </w:rPr>
        <w:t>[3]</w:t>
      </w:r>
      <w:r w:rsidR="0014441A" w:rsidRPr="00E755BB">
        <w:rPr>
          <w:rFonts w:ascii="Times New Roman" w:eastAsia="Calibri" w:hAnsi="Times New Roman" w:cs="Times New Roman"/>
          <w:sz w:val="24"/>
          <w:szCs w:val="24"/>
          <w:shd w:val="clear" w:color="auto" w:fill="FFFFFF"/>
        </w:rPr>
        <w:t>.</w:t>
      </w:r>
      <w:r w:rsidR="00391945">
        <w:rPr>
          <w:rFonts w:ascii="Times New Roman" w:eastAsia="Calibri" w:hAnsi="Times New Roman" w:cs="Times New Roman"/>
          <w:sz w:val="24"/>
          <w:szCs w:val="24"/>
          <w:shd w:val="clear" w:color="auto" w:fill="FFFFFF"/>
        </w:rPr>
        <w:t xml:space="preserve"> </w:t>
      </w:r>
      <w:r w:rsidRPr="00B109F6">
        <w:rPr>
          <w:rFonts w:ascii="Times New Roman" w:eastAsia="Calibri" w:hAnsi="Times New Roman" w:cs="Times New Roman"/>
          <w:sz w:val="24"/>
          <w:szCs w:val="24"/>
          <w:shd w:val="clear" w:color="auto" w:fill="FFFFFF"/>
        </w:rPr>
        <w:t xml:space="preserve">Furthermore, our </w:t>
      </w:r>
      <w:r w:rsidR="00D7243C">
        <w:rPr>
          <w:rFonts w:ascii="Times New Roman" w:eastAsia="Calibri" w:hAnsi="Times New Roman" w:cs="Times New Roman"/>
          <w:sz w:val="24"/>
          <w:szCs w:val="24"/>
          <w:shd w:val="clear" w:color="auto" w:fill="FFFFFF"/>
        </w:rPr>
        <w:t xml:space="preserve">clinical and laboratory parameters analysis </w:t>
      </w:r>
      <w:r w:rsidRPr="00B109F6">
        <w:rPr>
          <w:rFonts w:ascii="Times New Roman" w:eastAsia="Calibri" w:hAnsi="Times New Roman" w:cs="Times New Roman"/>
          <w:sz w:val="24"/>
          <w:szCs w:val="24"/>
          <w:shd w:val="clear" w:color="auto" w:fill="FFFFFF"/>
        </w:rPr>
        <w:t xml:space="preserve">in patients with SARS-CoV-2 infection demonstrated that FC levels exhibited significant correlations with ESR, CRP, ferritin, and D-dimer. Critically ill patients </w:t>
      </w:r>
      <w:r w:rsidR="00D7243C">
        <w:rPr>
          <w:rFonts w:ascii="Times New Roman" w:eastAsia="Calibri" w:hAnsi="Times New Roman" w:cs="Times New Roman"/>
          <w:sz w:val="24"/>
          <w:szCs w:val="24"/>
          <w:shd w:val="clear" w:color="auto" w:fill="FFFFFF"/>
        </w:rPr>
        <w:t>showed</w:t>
      </w:r>
      <w:r w:rsidRPr="00B109F6">
        <w:rPr>
          <w:rFonts w:ascii="Times New Roman" w:eastAsia="Calibri" w:hAnsi="Times New Roman" w:cs="Times New Roman"/>
          <w:sz w:val="24"/>
          <w:szCs w:val="24"/>
          <w:shd w:val="clear" w:color="auto" w:fill="FFFFFF"/>
        </w:rPr>
        <w:t xml:space="preserve"> significantly higher levels of these parameters </w:t>
      </w:r>
      <w:r w:rsidR="00D7243C">
        <w:rPr>
          <w:rFonts w:ascii="Times New Roman" w:eastAsia="Calibri" w:hAnsi="Times New Roman" w:cs="Times New Roman"/>
          <w:sz w:val="24"/>
          <w:szCs w:val="24"/>
          <w:shd w:val="clear" w:color="auto" w:fill="FFFFFF"/>
        </w:rPr>
        <w:t>than</w:t>
      </w:r>
      <w:r w:rsidRPr="00B109F6">
        <w:rPr>
          <w:rFonts w:ascii="Times New Roman" w:eastAsia="Calibri" w:hAnsi="Times New Roman" w:cs="Times New Roman"/>
          <w:sz w:val="24"/>
          <w:szCs w:val="24"/>
          <w:shd w:val="clear" w:color="auto" w:fill="FFFFFF"/>
        </w:rPr>
        <w:t xml:space="preserve"> severe, moderate, and mild patients at baseline. Additionally, oxygen saturation (O2 Sat) and systolic blood pressure (SBP) were significantly lower in critically ill patients compared to severe, moderate, and mild patients at baseline</w:t>
      </w:r>
      <w:r w:rsidR="00ED3FB7">
        <w:rPr>
          <w:rFonts w:ascii="Times New Roman" w:eastAsia="Calibri" w:hAnsi="Times New Roman" w:cs="Times New Roman"/>
          <w:sz w:val="24"/>
          <w:szCs w:val="24"/>
          <w:shd w:val="clear" w:color="auto" w:fill="FFFFFF"/>
        </w:rPr>
        <w:t>.</w:t>
      </w:r>
    </w:p>
    <w:p w14:paraId="4F724BCE" w14:textId="38A04E9C" w:rsidR="007A49C5" w:rsidRPr="00FF7551" w:rsidRDefault="00746F3C" w:rsidP="0081048D">
      <w:pPr>
        <w:spacing w:after="0" w:line="360" w:lineRule="auto"/>
        <w:jc w:val="both"/>
        <w:rPr>
          <w:rFonts w:ascii="Times New Roman" w:eastAsia="Calibri" w:hAnsi="Times New Roman" w:cs="Times New Roman"/>
          <w:b/>
          <w:bCs/>
          <w:sz w:val="24"/>
          <w:szCs w:val="24"/>
          <w:shd w:val="clear" w:color="auto" w:fill="FFFFFF"/>
        </w:rPr>
      </w:pPr>
      <w:r w:rsidRPr="00746F3C">
        <w:rPr>
          <w:rFonts w:ascii="Times New Roman" w:eastAsia="Calibri" w:hAnsi="Times New Roman" w:cs="Times New Roman"/>
          <w:sz w:val="24"/>
          <w:szCs w:val="24"/>
          <w:shd w:val="clear" w:color="auto" w:fill="FFFFFF"/>
        </w:rPr>
        <w:t xml:space="preserve">Our research indicates that fecal calprotectin levels were considerably higher in critically ill patients </w:t>
      </w:r>
      <w:r w:rsidR="00D7243C">
        <w:rPr>
          <w:rFonts w:ascii="Times New Roman" w:eastAsia="Calibri" w:hAnsi="Times New Roman" w:cs="Times New Roman"/>
          <w:sz w:val="24"/>
          <w:szCs w:val="24"/>
          <w:shd w:val="clear" w:color="auto" w:fill="FFFFFF"/>
        </w:rPr>
        <w:t>than</w:t>
      </w:r>
      <w:r w:rsidRPr="00746F3C">
        <w:rPr>
          <w:rFonts w:ascii="Times New Roman" w:eastAsia="Calibri" w:hAnsi="Times New Roman" w:cs="Times New Roman"/>
          <w:sz w:val="24"/>
          <w:szCs w:val="24"/>
          <w:shd w:val="clear" w:color="auto" w:fill="FFFFFF"/>
        </w:rPr>
        <w:t xml:space="preserve"> severely ill patients, who had higher levels than </w:t>
      </w:r>
      <w:r w:rsidR="00ED3FB7">
        <w:rPr>
          <w:rFonts w:ascii="Times New Roman" w:eastAsia="Calibri" w:hAnsi="Times New Roman" w:cs="Times New Roman"/>
          <w:sz w:val="24"/>
          <w:szCs w:val="24"/>
          <w:shd w:val="clear" w:color="auto" w:fill="FFFFFF"/>
        </w:rPr>
        <w:t>moderately sick patients at the study's start</w:t>
      </w:r>
      <w:r w:rsidRPr="00746F3C">
        <w:rPr>
          <w:rFonts w:ascii="Times New Roman" w:eastAsia="Calibri" w:hAnsi="Times New Roman" w:cs="Times New Roman"/>
          <w:sz w:val="24"/>
          <w:szCs w:val="24"/>
          <w:shd w:val="clear" w:color="auto" w:fill="FFFFFF"/>
        </w:rPr>
        <w:t xml:space="preserve"> and after 21 days (p-value &lt;0.001). This finding aligns with the observations of Effenberger M. et al., who provided evidence of intestinal inflammation caused by SARS-CoV-2, as individuals with current or resolved diarrhea exhibited higher concentrations of fecal calprotectin compared to those without diarrhea</w:t>
      </w:r>
      <w:r w:rsidR="005B71D7" w:rsidRPr="005B71D7">
        <w:rPr>
          <w:rFonts w:ascii="Times New Roman" w:eastAsia="Calibri" w:hAnsi="Times New Roman" w:cs="Times New Roman"/>
          <w:sz w:val="24"/>
          <w:szCs w:val="24"/>
          <w:shd w:val="clear" w:color="auto" w:fill="FFFFFF"/>
        </w:rPr>
        <w:t xml:space="preserve"> </w:t>
      </w:r>
      <w:r w:rsidR="005B71D7" w:rsidRPr="005B71D7">
        <w:rPr>
          <w:rFonts w:ascii="Times New Roman" w:eastAsia="Calibri" w:hAnsi="Times New Roman" w:cs="Times New Roman"/>
          <w:b/>
          <w:bCs/>
          <w:sz w:val="24"/>
          <w:szCs w:val="24"/>
          <w:shd w:val="clear" w:color="auto" w:fill="FFFFFF"/>
        </w:rPr>
        <w:t>[3]</w:t>
      </w:r>
      <w:r w:rsidR="00F944AC" w:rsidRPr="005B71D7">
        <w:rPr>
          <w:rFonts w:ascii="Times New Roman" w:eastAsia="Calibri" w:hAnsi="Times New Roman" w:cs="Times New Roman"/>
          <w:sz w:val="24"/>
          <w:szCs w:val="24"/>
          <w:shd w:val="clear" w:color="auto" w:fill="FFFFFF"/>
        </w:rPr>
        <w:t xml:space="preserve">. </w:t>
      </w:r>
    </w:p>
    <w:p w14:paraId="6D605B4E" w14:textId="39C666EE" w:rsidR="00081162" w:rsidRDefault="007A49C5" w:rsidP="005C03AD">
      <w:pPr>
        <w:spacing w:after="0" w:line="360" w:lineRule="auto"/>
        <w:jc w:val="both"/>
        <w:rPr>
          <w:rFonts w:ascii="Times New Roman" w:eastAsia="Calibri" w:hAnsi="Times New Roman" w:cs="Times New Roman"/>
          <w:sz w:val="24"/>
          <w:szCs w:val="24"/>
          <w:shd w:val="clear" w:color="auto" w:fill="FFFFFF"/>
        </w:rPr>
      </w:pPr>
      <w:r w:rsidRPr="00F86D95">
        <w:rPr>
          <w:rFonts w:ascii="Times New Roman" w:eastAsia="Calibri" w:hAnsi="Times New Roman" w:cs="Times New Roman"/>
          <w:sz w:val="24"/>
          <w:szCs w:val="24"/>
          <w:shd w:val="clear" w:color="auto" w:fill="FFFFFF"/>
        </w:rPr>
        <w:t xml:space="preserve"> </w:t>
      </w:r>
      <w:r w:rsidR="0022552A" w:rsidRPr="0022552A">
        <w:rPr>
          <w:rFonts w:ascii="Times New Roman" w:eastAsia="Calibri" w:hAnsi="Times New Roman" w:cs="Times New Roman"/>
          <w:sz w:val="24"/>
          <w:szCs w:val="24"/>
          <w:shd w:val="clear" w:color="auto" w:fill="FFFFFF"/>
        </w:rPr>
        <w:t xml:space="preserve">A comprehensive meta-analysis revealed a significantly higher incidence of severe disease among patients exhibiting gastrointestinal (GI) symptoms </w:t>
      </w:r>
      <w:r w:rsidR="00D7243C">
        <w:rPr>
          <w:rFonts w:ascii="Times New Roman" w:eastAsia="Calibri" w:hAnsi="Times New Roman" w:cs="Times New Roman"/>
          <w:sz w:val="24"/>
          <w:szCs w:val="24"/>
          <w:shd w:val="clear" w:color="auto" w:fill="FFFFFF"/>
        </w:rPr>
        <w:t>than</w:t>
      </w:r>
      <w:r w:rsidR="0022552A" w:rsidRPr="0022552A">
        <w:rPr>
          <w:rFonts w:ascii="Times New Roman" w:eastAsia="Calibri" w:hAnsi="Times New Roman" w:cs="Times New Roman"/>
          <w:sz w:val="24"/>
          <w:szCs w:val="24"/>
          <w:shd w:val="clear" w:color="auto" w:fill="FFFFFF"/>
        </w:rPr>
        <w:t xml:space="preserve"> those without GI symptoms</w:t>
      </w:r>
      <w:r w:rsidR="004A1155">
        <w:rPr>
          <w:rFonts w:ascii="Times New Roman" w:eastAsia="Calibri" w:hAnsi="Times New Roman" w:cs="Times New Roman"/>
          <w:sz w:val="24"/>
          <w:szCs w:val="24"/>
          <w:shd w:val="clear" w:color="auto" w:fill="FFFFFF"/>
        </w:rPr>
        <w:t xml:space="preserve"> </w:t>
      </w:r>
      <w:r w:rsidR="006F345D" w:rsidRPr="003F7496">
        <w:rPr>
          <w:rFonts w:ascii="Times New Roman" w:eastAsia="Calibri" w:hAnsi="Times New Roman" w:cs="Times New Roman"/>
          <w:b/>
          <w:bCs/>
          <w:sz w:val="24"/>
          <w:szCs w:val="24"/>
          <w:shd w:val="clear" w:color="auto" w:fill="FFFFFF"/>
        </w:rPr>
        <w:t>[18]</w:t>
      </w:r>
      <w:r w:rsidR="006F345D" w:rsidRPr="003F7496">
        <w:rPr>
          <w:rFonts w:ascii="Times New Roman" w:eastAsia="Calibri" w:hAnsi="Times New Roman" w:cs="Times New Roman"/>
          <w:sz w:val="24"/>
          <w:szCs w:val="24"/>
          <w:shd w:val="clear" w:color="auto" w:fill="FFFFFF"/>
        </w:rPr>
        <w:t>.</w:t>
      </w:r>
      <w:r w:rsidR="008D01CA">
        <w:rPr>
          <w:rFonts w:ascii="Times New Roman" w:eastAsia="Calibri" w:hAnsi="Times New Roman" w:cs="Times New Roman"/>
          <w:sz w:val="24"/>
          <w:szCs w:val="24"/>
          <w:shd w:val="clear" w:color="auto" w:fill="FFFFFF"/>
        </w:rPr>
        <w:t xml:space="preserve"> </w:t>
      </w:r>
      <w:r w:rsidR="0022552A" w:rsidRPr="0022552A">
        <w:rPr>
          <w:rFonts w:ascii="Times New Roman" w:eastAsia="Calibri" w:hAnsi="Times New Roman" w:cs="Times New Roman"/>
          <w:sz w:val="24"/>
          <w:szCs w:val="24"/>
          <w:shd w:val="clear" w:color="auto" w:fill="FFFFFF"/>
        </w:rPr>
        <w:t>Notably, a recent extensive retrospective cohort study involving 29,393 COVID-19 patients demonstrated a substantial 50% increase in the risk of severe illness associated with GI symptoms. Moreover, patients presenting with both GI symptoms and fever exhibited a markedly elevated risk of severe COVID-19, with an 85% increase observed</w:t>
      </w:r>
      <w:r w:rsidR="009B5A67" w:rsidRPr="0043059B">
        <w:rPr>
          <w:rFonts w:ascii="Times New Roman" w:eastAsia="Calibri" w:hAnsi="Times New Roman" w:cs="Times New Roman"/>
          <w:sz w:val="24"/>
          <w:szCs w:val="24"/>
          <w:shd w:val="clear" w:color="auto" w:fill="FFFFFF"/>
        </w:rPr>
        <w:t xml:space="preserve"> </w:t>
      </w:r>
      <w:r w:rsidR="009B5A67" w:rsidRPr="0043059B">
        <w:rPr>
          <w:rFonts w:ascii="Times New Roman" w:eastAsia="Calibri" w:hAnsi="Times New Roman" w:cs="Times New Roman"/>
          <w:b/>
          <w:bCs/>
          <w:sz w:val="24"/>
          <w:szCs w:val="24"/>
          <w:shd w:val="clear" w:color="auto" w:fill="FFFFFF"/>
        </w:rPr>
        <w:t>[1</w:t>
      </w:r>
      <w:r w:rsidR="0043059B" w:rsidRPr="0043059B">
        <w:rPr>
          <w:rFonts w:ascii="Times New Roman" w:eastAsia="Calibri" w:hAnsi="Times New Roman" w:cs="Times New Roman"/>
          <w:b/>
          <w:bCs/>
          <w:sz w:val="24"/>
          <w:szCs w:val="24"/>
          <w:shd w:val="clear" w:color="auto" w:fill="FFFFFF"/>
        </w:rPr>
        <w:t>9</w:t>
      </w:r>
      <w:r w:rsidR="009B5A67" w:rsidRPr="0043059B">
        <w:rPr>
          <w:rFonts w:ascii="Times New Roman" w:eastAsia="Calibri" w:hAnsi="Times New Roman" w:cs="Times New Roman"/>
          <w:b/>
          <w:bCs/>
          <w:sz w:val="24"/>
          <w:szCs w:val="24"/>
          <w:shd w:val="clear" w:color="auto" w:fill="FFFFFF"/>
        </w:rPr>
        <w:t>]</w:t>
      </w:r>
      <w:r w:rsidR="009B5A67" w:rsidRPr="0043059B">
        <w:rPr>
          <w:rFonts w:ascii="Times New Roman" w:eastAsia="Calibri" w:hAnsi="Times New Roman" w:cs="Times New Roman"/>
          <w:sz w:val="24"/>
          <w:szCs w:val="24"/>
          <w:shd w:val="clear" w:color="auto" w:fill="FFFFFF"/>
        </w:rPr>
        <w:t xml:space="preserve">. </w:t>
      </w:r>
    </w:p>
    <w:p w14:paraId="6ED2F008" w14:textId="247F01BD" w:rsidR="007A49C5" w:rsidRPr="00F86D95" w:rsidRDefault="00743FEE" w:rsidP="005C03AD">
      <w:pPr>
        <w:spacing w:after="0" w:line="360" w:lineRule="auto"/>
        <w:jc w:val="both"/>
        <w:rPr>
          <w:rFonts w:ascii="Times New Roman" w:eastAsia="Calibri" w:hAnsi="Times New Roman" w:cs="Times New Roman"/>
          <w:sz w:val="24"/>
          <w:szCs w:val="24"/>
          <w:shd w:val="clear" w:color="auto" w:fill="FFFFFF"/>
        </w:rPr>
      </w:pPr>
      <w:r w:rsidRPr="00743FEE">
        <w:rPr>
          <w:rFonts w:ascii="Times New Roman" w:eastAsia="Calibri" w:hAnsi="Times New Roman" w:cs="Times New Roman"/>
          <w:sz w:val="24"/>
          <w:szCs w:val="24"/>
          <w:shd w:val="clear" w:color="auto" w:fill="FFFFFF"/>
        </w:rPr>
        <w:t xml:space="preserve">In this study, we observed that higher levels of FC were associated with critical cases, resulting in increased mortality rates and extended hospital stays. Notably, this finding aligns with previous research </w:t>
      </w:r>
      <w:r w:rsidR="00D7243C">
        <w:rPr>
          <w:rFonts w:ascii="Times New Roman" w:eastAsia="Calibri" w:hAnsi="Times New Roman" w:cs="Times New Roman"/>
          <w:sz w:val="24"/>
          <w:szCs w:val="24"/>
          <w:shd w:val="clear" w:color="auto" w:fill="FFFFFF"/>
        </w:rPr>
        <w:t xml:space="preserve">by </w:t>
      </w:r>
      <w:r w:rsidR="00D7243C">
        <w:rPr>
          <w:rFonts w:ascii="Times New Roman" w:eastAsia="Calibri" w:hAnsi="Times New Roman" w:cs="Times New Roman"/>
          <w:noProof/>
          <w:sz w:val="24"/>
          <w:szCs w:val="24"/>
        </w:rPr>
        <w:t>Nobel et al.,</w:t>
      </w:r>
      <w:r w:rsidR="00822D2F">
        <w:rPr>
          <w:rFonts w:ascii="Times New Roman" w:eastAsia="Calibri" w:hAnsi="Times New Roman" w:cs="Times New Roman"/>
          <w:sz w:val="24"/>
          <w:szCs w:val="24"/>
          <w:shd w:val="clear" w:color="auto" w:fill="FFFFFF"/>
        </w:rPr>
        <w:t xml:space="preserve"> </w:t>
      </w:r>
      <w:r w:rsidRPr="00743FEE">
        <w:rPr>
          <w:rFonts w:ascii="Times New Roman" w:eastAsia="Calibri" w:hAnsi="Times New Roman" w:cs="Times New Roman"/>
          <w:sz w:val="24"/>
          <w:szCs w:val="24"/>
          <w:shd w:val="clear" w:color="auto" w:fill="FFFFFF"/>
        </w:rPr>
        <w:t>indicating that COVID-19 patients with gastrointestinal symptoms tend to experience longer durations of illness</w:t>
      </w:r>
      <w:r w:rsidR="00EA40FC" w:rsidRPr="00140066">
        <w:rPr>
          <w:rFonts w:ascii="Times New Roman" w:eastAsia="Calibri" w:hAnsi="Times New Roman" w:cs="Times New Roman"/>
          <w:sz w:val="24"/>
          <w:szCs w:val="24"/>
          <w:shd w:val="clear" w:color="auto" w:fill="FFFFFF"/>
        </w:rPr>
        <w:t xml:space="preserve"> </w:t>
      </w:r>
      <w:r w:rsidR="00882BC1" w:rsidRPr="00140066">
        <w:rPr>
          <w:rFonts w:ascii="Times New Roman" w:eastAsia="Calibri" w:hAnsi="Times New Roman" w:cs="Times New Roman"/>
          <w:b/>
          <w:bCs/>
          <w:sz w:val="24"/>
          <w:szCs w:val="24"/>
          <w:shd w:val="clear" w:color="auto" w:fill="FFFFFF"/>
        </w:rPr>
        <w:t>[</w:t>
      </w:r>
      <w:r w:rsidR="00EA40FC" w:rsidRPr="00140066">
        <w:rPr>
          <w:rFonts w:ascii="Times New Roman" w:eastAsia="Calibri" w:hAnsi="Times New Roman" w:cs="Times New Roman"/>
          <w:b/>
          <w:bCs/>
          <w:sz w:val="24"/>
          <w:szCs w:val="24"/>
          <w:shd w:val="clear" w:color="auto" w:fill="FFFFFF"/>
        </w:rPr>
        <w:t>20</w:t>
      </w:r>
      <w:r w:rsidR="00882BC1" w:rsidRPr="00140066">
        <w:rPr>
          <w:rFonts w:ascii="Times New Roman" w:eastAsia="Calibri" w:hAnsi="Times New Roman" w:cs="Times New Roman"/>
          <w:b/>
          <w:bCs/>
          <w:sz w:val="24"/>
          <w:szCs w:val="24"/>
          <w:shd w:val="clear" w:color="auto" w:fill="FFFFFF"/>
        </w:rPr>
        <w:t>].</w:t>
      </w:r>
      <w:r w:rsidR="00882BC1" w:rsidRPr="00F86D95">
        <w:rPr>
          <w:rFonts w:ascii="Times New Roman" w:eastAsia="Calibri" w:hAnsi="Times New Roman" w:cs="Times New Roman"/>
          <w:sz w:val="24"/>
          <w:szCs w:val="24"/>
          <w:shd w:val="clear" w:color="auto" w:fill="FFFFFF"/>
        </w:rPr>
        <w:t xml:space="preserve"> </w:t>
      </w:r>
      <w:r w:rsidR="00F21A0B">
        <w:rPr>
          <w:rFonts w:ascii="Times New Roman" w:eastAsia="Calibri" w:hAnsi="Times New Roman" w:cs="Times New Roman"/>
          <w:sz w:val="24"/>
          <w:szCs w:val="24"/>
          <w:shd w:val="clear" w:color="auto" w:fill="FFFFFF"/>
        </w:rPr>
        <w:t xml:space="preserve"> </w:t>
      </w:r>
    </w:p>
    <w:p w14:paraId="17D1A709" w14:textId="15B406DE" w:rsidR="007054F4" w:rsidRDefault="002513B1" w:rsidP="00BE1624">
      <w:pPr>
        <w:spacing w:after="0" w:line="360" w:lineRule="auto"/>
        <w:jc w:val="both"/>
        <w:rPr>
          <w:rFonts w:ascii="Times New Roman" w:eastAsia="Calibri" w:hAnsi="Times New Roman" w:cs="Times New Roman"/>
          <w:sz w:val="24"/>
          <w:szCs w:val="24"/>
          <w:shd w:val="clear" w:color="auto" w:fill="FFFFFF"/>
        </w:rPr>
      </w:pPr>
      <w:r w:rsidRPr="00FE51CF">
        <w:rPr>
          <w:rFonts w:ascii="Times New Roman" w:eastAsia="Calibri" w:hAnsi="Times New Roman" w:cs="Times New Roman"/>
          <w:sz w:val="24"/>
          <w:szCs w:val="24"/>
          <w:shd w:val="clear" w:color="auto" w:fill="FFFFFF"/>
        </w:rPr>
        <w:t xml:space="preserve">Severe </w:t>
      </w:r>
      <w:r w:rsidR="007D0B3B" w:rsidRPr="00FE51CF">
        <w:rPr>
          <w:rFonts w:ascii="Times New Roman" w:eastAsia="Calibri" w:hAnsi="Times New Roman" w:cs="Times New Roman"/>
          <w:sz w:val="24"/>
          <w:szCs w:val="24"/>
          <w:shd w:val="clear" w:color="auto" w:fill="FFFFFF"/>
        </w:rPr>
        <w:t xml:space="preserve">COVID-19 infection is associated with </w:t>
      </w:r>
      <w:r w:rsidR="007A49C5" w:rsidRPr="00FE51CF">
        <w:rPr>
          <w:rFonts w:ascii="Times New Roman" w:eastAsia="Calibri" w:hAnsi="Times New Roman" w:cs="Times New Roman"/>
          <w:sz w:val="24"/>
          <w:szCs w:val="24"/>
          <w:shd w:val="clear" w:color="auto" w:fill="FFFFFF"/>
        </w:rPr>
        <w:t>increased inflammatory markers like D-dimer, ESR, CRP, ferritin, fibrinogen</w:t>
      </w:r>
      <w:r w:rsidR="007D0B3B" w:rsidRPr="00FE51CF">
        <w:rPr>
          <w:rFonts w:ascii="Times New Roman" w:eastAsia="Calibri" w:hAnsi="Times New Roman" w:cs="Times New Roman"/>
          <w:sz w:val="24"/>
          <w:szCs w:val="24"/>
          <w:shd w:val="clear" w:color="auto" w:fill="FFFFFF"/>
        </w:rPr>
        <w:t>,</w:t>
      </w:r>
      <w:r w:rsidR="007A49C5" w:rsidRPr="00FE51CF">
        <w:rPr>
          <w:rFonts w:ascii="Times New Roman" w:eastAsia="Calibri" w:hAnsi="Times New Roman" w:cs="Times New Roman"/>
          <w:sz w:val="24"/>
          <w:szCs w:val="24"/>
          <w:shd w:val="clear" w:color="auto" w:fill="FFFFFF"/>
        </w:rPr>
        <w:t xml:space="preserve"> and pro-inflammatory cytokines </w:t>
      </w:r>
      <w:r w:rsidR="00D7243C">
        <w:rPr>
          <w:rFonts w:ascii="Times New Roman" w:eastAsia="Calibri" w:hAnsi="Times New Roman" w:cs="Times New Roman"/>
          <w:sz w:val="24"/>
          <w:szCs w:val="24"/>
          <w:shd w:val="clear" w:color="auto" w:fill="FFFFFF"/>
        </w:rPr>
        <w:t xml:space="preserve">such </w:t>
      </w:r>
      <w:r w:rsidR="006937E2" w:rsidRPr="00FE51CF">
        <w:rPr>
          <w:rFonts w:ascii="Times New Roman" w:eastAsia="Calibri" w:hAnsi="Times New Roman" w:cs="Times New Roman"/>
          <w:sz w:val="24"/>
          <w:szCs w:val="24"/>
          <w:shd w:val="clear" w:color="auto" w:fill="FFFFFF"/>
        </w:rPr>
        <w:t>as</w:t>
      </w:r>
      <w:r w:rsidR="007A49C5" w:rsidRPr="00FE51CF">
        <w:rPr>
          <w:rFonts w:ascii="Times New Roman" w:eastAsia="Calibri" w:hAnsi="Times New Roman" w:cs="Times New Roman"/>
          <w:sz w:val="24"/>
          <w:szCs w:val="24"/>
          <w:shd w:val="clear" w:color="auto" w:fill="FFFFFF"/>
        </w:rPr>
        <w:t xml:space="preserve"> IL-6</w:t>
      </w:r>
      <w:r w:rsidR="00B00075">
        <w:rPr>
          <w:rFonts w:ascii="Times New Roman" w:eastAsia="Calibri" w:hAnsi="Times New Roman" w:cs="Times New Roman"/>
          <w:sz w:val="24"/>
          <w:szCs w:val="24"/>
          <w:shd w:val="clear" w:color="auto" w:fill="FFFFFF"/>
        </w:rPr>
        <w:t xml:space="preserve"> </w:t>
      </w:r>
      <w:r w:rsidR="007A49C5" w:rsidRPr="00FE51CF">
        <w:rPr>
          <w:rFonts w:ascii="Times New Roman" w:eastAsia="Calibri" w:hAnsi="Times New Roman" w:cs="Times New Roman"/>
          <w:b/>
          <w:bCs/>
          <w:sz w:val="24"/>
          <w:szCs w:val="24"/>
          <w:shd w:val="clear" w:color="auto" w:fill="FFFFFF"/>
        </w:rPr>
        <w:t>[</w:t>
      </w:r>
      <w:r w:rsidR="00F22464">
        <w:rPr>
          <w:rFonts w:ascii="Times New Roman" w:eastAsia="Calibri" w:hAnsi="Times New Roman" w:cs="Times New Roman"/>
          <w:b/>
          <w:bCs/>
          <w:sz w:val="24"/>
          <w:szCs w:val="24"/>
          <w:shd w:val="clear" w:color="auto" w:fill="FFFFFF"/>
        </w:rPr>
        <w:t>2</w:t>
      </w:r>
      <w:r w:rsidR="00140066">
        <w:rPr>
          <w:rFonts w:ascii="Times New Roman" w:eastAsia="Calibri" w:hAnsi="Times New Roman" w:cs="Times New Roman"/>
          <w:b/>
          <w:bCs/>
          <w:sz w:val="24"/>
          <w:szCs w:val="24"/>
          <w:shd w:val="clear" w:color="auto" w:fill="FFFFFF"/>
        </w:rPr>
        <w:t>1</w:t>
      </w:r>
      <w:r w:rsidR="007A49C5" w:rsidRPr="00FE51CF">
        <w:rPr>
          <w:rFonts w:ascii="Times New Roman" w:eastAsia="Calibri" w:hAnsi="Times New Roman" w:cs="Times New Roman"/>
          <w:b/>
          <w:bCs/>
          <w:sz w:val="24"/>
          <w:szCs w:val="24"/>
          <w:shd w:val="clear" w:color="auto" w:fill="FFFFFF"/>
        </w:rPr>
        <w:t>].</w:t>
      </w:r>
      <w:r w:rsidR="007A49C5" w:rsidRPr="00FE51CF">
        <w:rPr>
          <w:rFonts w:ascii="Times New Roman" w:eastAsia="Calibri" w:hAnsi="Times New Roman" w:cs="Times New Roman"/>
          <w:sz w:val="24"/>
          <w:szCs w:val="24"/>
          <w:shd w:val="clear" w:color="auto" w:fill="FFFFFF"/>
        </w:rPr>
        <w:t xml:space="preserve"> A serial measuring </w:t>
      </w:r>
      <w:r w:rsidR="007D0B3B" w:rsidRPr="00FE51CF">
        <w:rPr>
          <w:rFonts w:ascii="Times New Roman" w:eastAsia="Calibri" w:hAnsi="Times New Roman" w:cs="Times New Roman"/>
          <w:sz w:val="24"/>
          <w:szCs w:val="24"/>
          <w:shd w:val="clear" w:color="auto" w:fill="FFFFFF"/>
        </w:rPr>
        <w:t xml:space="preserve">of </w:t>
      </w:r>
      <w:r w:rsidR="007A49C5" w:rsidRPr="00FE51CF">
        <w:rPr>
          <w:rFonts w:ascii="Times New Roman" w:eastAsia="Calibri" w:hAnsi="Times New Roman" w:cs="Times New Roman"/>
          <w:sz w:val="24"/>
          <w:szCs w:val="24"/>
          <w:shd w:val="clear" w:color="auto" w:fill="FFFFFF"/>
        </w:rPr>
        <w:t xml:space="preserve">inflammatory markers might help </w:t>
      </w:r>
      <w:r w:rsidR="00D7243C">
        <w:rPr>
          <w:rFonts w:ascii="Times New Roman" w:eastAsia="Calibri" w:hAnsi="Times New Roman" w:cs="Times New Roman"/>
          <w:sz w:val="24"/>
          <w:szCs w:val="24"/>
          <w:shd w:val="clear" w:color="auto" w:fill="FFFFFF"/>
        </w:rPr>
        <w:t>evaluate and monitor</w:t>
      </w:r>
      <w:r w:rsidR="007A49C5" w:rsidRPr="00FE51CF">
        <w:rPr>
          <w:rFonts w:ascii="Times New Roman" w:eastAsia="Calibri" w:hAnsi="Times New Roman" w:cs="Times New Roman"/>
          <w:sz w:val="24"/>
          <w:szCs w:val="24"/>
          <w:shd w:val="clear" w:color="auto" w:fill="FFFFFF"/>
        </w:rPr>
        <w:t xml:space="preserve"> </w:t>
      </w:r>
      <w:r w:rsidR="004516D6" w:rsidRPr="00FE51CF">
        <w:rPr>
          <w:rFonts w:ascii="Times New Roman" w:eastAsia="Calibri" w:hAnsi="Times New Roman" w:cs="Times New Roman"/>
          <w:sz w:val="24"/>
          <w:szCs w:val="24"/>
          <w:shd w:val="clear" w:color="auto" w:fill="FFFFFF"/>
        </w:rPr>
        <w:t>disease</w:t>
      </w:r>
      <w:r w:rsidR="007A49C5" w:rsidRPr="00FE51CF">
        <w:rPr>
          <w:rFonts w:ascii="Times New Roman" w:eastAsia="Calibri" w:hAnsi="Times New Roman" w:cs="Times New Roman"/>
          <w:sz w:val="24"/>
          <w:szCs w:val="24"/>
          <w:shd w:val="clear" w:color="auto" w:fill="FFFFFF"/>
        </w:rPr>
        <w:t xml:space="preserve"> severity. It is noted that </w:t>
      </w:r>
      <w:r w:rsidR="00D7243C">
        <w:rPr>
          <w:rFonts w:ascii="Times New Roman" w:eastAsia="Calibri" w:hAnsi="Times New Roman" w:cs="Times New Roman"/>
          <w:sz w:val="24"/>
          <w:szCs w:val="24"/>
          <w:shd w:val="clear" w:color="auto" w:fill="FFFFFF"/>
        </w:rPr>
        <w:t>specific</w:t>
      </w:r>
      <w:r w:rsidR="007A49C5" w:rsidRPr="00FE51CF">
        <w:rPr>
          <w:rFonts w:ascii="Times New Roman" w:eastAsia="Calibri" w:hAnsi="Times New Roman" w:cs="Times New Roman"/>
          <w:sz w:val="24"/>
          <w:szCs w:val="24"/>
          <w:shd w:val="clear" w:color="auto" w:fill="FFFFFF"/>
        </w:rPr>
        <w:t xml:space="preserve"> serological markers like IL-6, CRP, ferritin, </w:t>
      </w:r>
      <w:r w:rsidR="00D7243C">
        <w:rPr>
          <w:rFonts w:ascii="Times New Roman" w:eastAsia="Calibri" w:hAnsi="Times New Roman" w:cs="Times New Roman"/>
          <w:sz w:val="24"/>
          <w:szCs w:val="24"/>
          <w:shd w:val="clear" w:color="auto" w:fill="FFFFFF"/>
        </w:rPr>
        <w:t xml:space="preserve">and ESR are raised to a greater extent in severe COVID-19 disease than in </w:t>
      </w:r>
      <w:r w:rsidR="007A49C5" w:rsidRPr="00FE51CF">
        <w:rPr>
          <w:rFonts w:ascii="Times New Roman" w:eastAsia="Calibri" w:hAnsi="Times New Roman" w:cs="Times New Roman"/>
          <w:sz w:val="24"/>
          <w:szCs w:val="24"/>
          <w:shd w:val="clear" w:color="auto" w:fill="FFFFFF"/>
        </w:rPr>
        <w:t>mild one</w:t>
      </w:r>
      <w:r w:rsidR="007D0B3B" w:rsidRPr="00FE51CF">
        <w:rPr>
          <w:rFonts w:ascii="Times New Roman" w:eastAsia="Calibri" w:hAnsi="Times New Roman" w:cs="Times New Roman"/>
          <w:sz w:val="24"/>
          <w:szCs w:val="24"/>
          <w:shd w:val="clear" w:color="auto" w:fill="FFFFFF"/>
        </w:rPr>
        <w:t>s</w:t>
      </w:r>
      <w:r w:rsidR="007A49C5" w:rsidRPr="00FE51CF">
        <w:rPr>
          <w:rFonts w:ascii="Times New Roman" w:eastAsia="Calibri" w:hAnsi="Times New Roman" w:cs="Times New Roman"/>
          <w:sz w:val="24"/>
          <w:szCs w:val="24"/>
          <w:shd w:val="clear" w:color="auto" w:fill="FFFFFF"/>
        </w:rPr>
        <w:t xml:space="preserve"> </w:t>
      </w:r>
      <w:r w:rsidR="007A49C5" w:rsidRPr="00FE51CF">
        <w:rPr>
          <w:rFonts w:ascii="Times New Roman" w:eastAsia="Calibri" w:hAnsi="Times New Roman" w:cs="Times New Roman"/>
          <w:b/>
          <w:bCs/>
          <w:sz w:val="24"/>
          <w:szCs w:val="24"/>
          <w:shd w:val="clear" w:color="auto" w:fill="FFFFFF"/>
        </w:rPr>
        <w:t>[</w:t>
      </w:r>
      <w:r w:rsidR="00F22464">
        <w:rPr>
          <w:rFonts w:ascii="Times New Roman" w:eastAsia="Calibri" w:hAnsi="Times New Roman" w:cs="Times New Roman"/>
          <w:b/>
          <w:bCs/>
          <w:sz w:val="24"/>
          <w:szCs w:val="24"/>
          <w:shd w:val="clear" w:color="auto" w:fill="FFFFFF"/>
        </w:rPr>
        <w:t>2</w:t>
      </w:r>
      <w:r w:rsidR="00FC6C41">
        <w:rPr>
          <w:rFonts w:ascii="Times New Roman" w:eastAsia="Calibri" w:hAnsi="Times New Roman" w:cs="Times New Roman"/>
          <w:b/>
          <w:bCs/>
          <w:sz w:val="24"/>
          <w:szCs w:val="24"/>
          <w:shd w:val="clear" w:color="auto" w:fill="FFFFFF"/>
        </w:rPr>
        <w:t>2</w:t>
      </w:r>
      <w:r w:rsidR="007A49C5" w:rsidRPr="00FE51CF">
        <w:rPr>
          <w:rFonts w:ascii="Times New Roman" w:eastAsia="Calibri" w:hAnsi="Times New Roman" w:cs="Times New Roman"/>
          <w:b/>
          <w:bCs/>
          <w:sz w:val="24"/>
          <w:szCs w:val="24"/>
          <w:shd w:val="clear" w:color="auto" w:fill="FFFFFF"/>
        </w:rPr>
        <w:t>].</w:t>
      </w:r>
      <w:r w:rsidR="007A49C5" w:rsidRPr="00FE51CF">
        <w:rPr>
          <w:rFonts w:ascii="Times New Roman" w:eastAsia="Calibri" w:hAnsi="Times New Roman" w:cs="Times New Roman"/>
          <w:sz w:val="24"/>
          <w:szCs w:val="24"/>
          <w:shd w:val="clear" w:color="auto" w:fill="FFFFFF"/>
        </w:rPr>
        <w:t xml:space="preserve"> </w:t>
      </w:r>
      <w:r w:rsidR="00D7243C">
        <w:rPr>
          <w:rFonts w:ascii="Times New Roman" w:eastAsia="Calibri" w:hAnsi="Times New Roman" w:cs="Times New Roman"/>
          <w:sz w:val="24"/>
          <w:szCs w:val="24"/>
          <w:shd w:val="clear" w:color="auto" w:fill="FFFFFF"/>
        </w:rPr>
        <w:t>These</w:t>
      </w:r>
      <w:r w:rsidR="007A49C5" w:rsidRPr="00FE51CF">
        <w:rPr>
          <w:rFonts w:ascii="Times New Roman" w:eastAsia="Calibri" w:hAnsi="Times New Roman" w:cs="Times New Roman"/>
          <w:sz w:val="24"/>
          <w:szCs w:val="24"/>
          <w:shd w:val="clear" w:color="auto" w:fill="FFFFFF"/>
        </w:rPr>
        <w:t xml:space="preserve"> results were consistent with our data regarding the inflammatory markers</w:t>
      </w:r>
      <w:r w:rsidR="00D7243C">
        <w:rPr>
          <w:rFonts w:ascii="Times New Roman" w:eastAsia="Calibri" w:hAnsi="Times New Roman" w:cs="Times New Roman"/>
          <w:sz w:val="24"/>
          <w:szCs w:val="24"/>
          <w:shd w:val="clear" w:color="auto" w:fill="FFFFFF"/>
        </w:rPr>
        <w:t>. The</w:t>
      </w:r>
      <w:r w:rsidR="007A49C5" w:rsidRPr="00FE51CF">
        <w:rPr>
          <w:rFonts w:ascii="Times New Roman" w:eastAsia="Calibri" w:hAnsi="Times New Roman" w:cs="Times New Roman"/>
          <w:sz w:val="24"/>
          <w:szCs w:val="24"/>
          <w:shd w:val="clear" w:color="auto" w:fill="FFFFFF"/>
        </w:rPr>
        <w:t xml:space="preserve"> higher values in</w:t>
      </w:r>
      <w:r w:rsidR="00F30C4F" w:rsidRPr="00FE51CF">
        <w:rPr>
          <w:rFonts w:ascii="Times New Roman" w:eastAsia="Calibri" w:hAnsi="Times New Roman" w:cs="Times New Roman"/>
          <w:sz w:val="24"/>
          <w:szCs w:val="24"/>
          <w:shd w:val="clear" w:color="auto" w:fill="FFFFFF"/>
        </w:rPr>
        <w:t xml:space="preserve"> </w:t>
      </w:r>
      <w:r w:rsidR="00D7243C">
        <w:rPr>
          <w:rFonts w:ascii="Times New Roman" w:eastAsia="Calibri" w:hAnsi="Times New Roman" w:cs="Times New Roman"/>
          <w:sz w:val="24"/>
          <w:szCs w:val="24"/>
          <w:shd w:val="clear" w:color="auto" w:fill="FFFFFF"/>
        </w:rPr>
        <w:t>the four groups at the study's baseline had significantly reduced after seven days</w:t>
      </w:r>
      <w:r w:rsidR="007A49C5" w:rsidRPr="00FE51CF">
        <w:rPr>
          <w:rFonts w:ascii="Times New Roman" w:eastAsia="Calibri" w:hAnsi="Times New Roman" w:cs="Times New Roman"/>
          <w:sz w:val="24"/>
          <w:szCs w:val="24"/>
          <w:shd w:val="clear" w:color="auto" w:fill="FFFFFF"/>
        </w:rPr>
        <w:t xml:space="preserve"> </w:t>
      </w:r>
      <w:r w:rsidR="000E7C2A" w:rsidRPr="00FE51CF">
        <w:rPr>
          <w:rFonts w:ascii="Times New Roman" w:eastAsia="Calibri" w:hAnsi="Times New Roman" w:cs="Times New Roman"/>
          <w:sz w:val="24"/>
          <w:szCs w:val="24"/>
          <w:shd w:val="clear" w:color="auto" w:fill="FFFFFF"/>
        </w:rPr>
        <w:t>and after 21 days</w:t>
      </w:r>
      <w:r w:rsidR="007A49C5" w:rsidRPr="00FE51CF">
        <w:rPr>
          <w:rFonts w:ascii="Times New Roman" w:eastAsia="Calibri" w:hAnsi="Times New Roman" w:cs="Times New Roman"/>
          <w:sz w:val="24"/>
          <w:szCs w:val="24"/>
          <w:shd w:val="clear" w:color="auto" w:fill="FFFFFF"/>
        </w:rPr>
        <w:t>.</w:t>
      </w:r>
    </w:p>
    <w:p w14:paraId="0C2940F2" w14:textId="5B40E995" w:rsidR="00F1125E" w:rsidRPr="00F1125E" w:rsidRDefault="00F1125E" w:rsidP="00A40981">
      <w:pPr>
        <w:spacing w:after="0" w:line="360" w:lineRule="auto"/>
        <w:jc w:val="both"/>
        <w:rPr>
          <w:rFonts w:ascii="Times New Roman" w:eastAsia="Calibri" w:hAnsi="Times New Roman" w:cs="Times New Roman"/>
          <w:sz w:val="24"/>
          <w:szCs w:val="24"/>
          <w:shd w:val="clear" w:color="auto" w:fill="FFFFFF"/>
        </w:rPr>
      </w:pPr>
      <w:r w:rsidRPr="00F1125E">
        <w:rPr>
          <w:rFonts w:ascii="Times New Roman" w:eastAsia="Calibri" w:hAnsi="Times New Roman" w:cs="Times New Roman"/>
          <w:sz w:val="24"/>
          <w:szCs w:val="24"/>
          <w:shd w:val="clear" w:color="auto" w:fill="FFFFFF"/>
        </w:rPr>
        <w:t>Our findings on gastrointestinal (GI) symptoms, fecal calprotectin (FC) levels, and the severity of COVID-19 infection diverge from certain other studies, including those based on US data that did not establish a correlation between GI symptoms and adverse outcomes</w:t>
      </w:r>
      <w:r w:rsidR="000D49D9">
        <w:rPr>
          <w:rFonts w:ascii="Times New Roman" w:eastAsia="Calibri" w:hAnsi="Times New Roman" w:cs="Times New Roman"/>
          <w:sz w:val="24"/>
          <w:szCs w:val="24"/>
          <w:shd w:val="clear" w:color="auto" w:fill="FFFFFF"/>
        </w:rPr>
        <w:t xml:space="preserve"> </w:t>
      </w:r>
      <w:r w:rsidR="006C6288" w:rsidRPr="002735CF">
        <w:rPr>
          <w:rFonts w:ascii="Times New Roman" w:eastAsia="Calibri" w:hAnsi="Times New Roman" w:cs="Times New Roman"/>
          <w:b/>
          <w:bCs/>
          <w:sz w:val="24"/>
          <w:szCs w:val="24"/>
          <w:shd w:val="clear" w:color="auto" w:fill="FFFFFF"/>
        </w:rPr>
        <w:t>[2</w:t>
      </w:r>
      <w:r w:rsidR="006C6288">
        <w:rPr>
          <w:rFonts w:ascii="Times New Roman" w:eastAsia="Calibri" w:hAnsi="Times New Roman" w:cs="Times New Roman"/>
          <w:b/>
          <w:bCs/>
          <w:sz w:val="24"/>
          <w:szCs w:val="24"/>
          <w:shd w:val="clear" w:color="auto" w:fill="FFFFFF"/>
        </w:rPr>
        <w:t>3,</w:t>
      </w:r>
      <w:r w:rsidR="006C6288" w:rsidRPr="002735CF">
        <w:rPr>
          <w:rFonts w:ascii="Times New Roman" w:eastAsia="Calibri" w:hAnsi="Times New Roman" w:cs="Times New Roman"/>
          <w:b/>
          <w:bCs/>
          <w:sz w:val="24"/>
          <w:szCs w:val="24"/>
          <w:shd w:val="clear" w:color="auto" w:fill="FFFFFF"/>
        </w:rPr>
        <w:t>2</w:t>
      </w:r>
      <w:r w:rsidR="006C6288">
        <w:rPr>
          <w:rFonts w:ascii="Times New Roman" w:eastAsia="Calibri" w:hAnsi="Times New Roman" w:cs="Times New Roman"/>
          <w:b/>
          <w:bCs/>
          <w:sz w:val="24"/>
          <w:szCs w:val="24"/>
          <w:shd w:val="clear" w:color="auto" w:fill="FFFFFF"/>
        </w:rPr>
        <w:t>5</w:t>
      </w:r>
      <w:r w:rsidR="006C6288" w:rsidRPr="002735CF">
        <w:rPr>
          <w:rFonts w:ascii="Times New Roman" w:eastAsia="Calibri" w:hAnsi="Times New Roman" w:cs="Times New Roman"/>
          <w:b/>
          <w:bCs/>
          <w:sz w:val="24"/>
          <w:szCs w:val="24"/>
          <w:shd w:val="clear" w:color="auto" w:fill="FFFFFF"/>
        </w:rPr>
        <w:t>]</w:t>
      </w:r>
      <w:r w:rsidR="006C6288" w:rsidRPr="002735CF">
        <w:rPr>
          <w:rFonts w:ascii="Times New Roman" w:eastAsia="Calibri" w:hAnsi="Times New Roman" w:cs="Times New Roman"/>
          <w:sz w:val="24"/>
          <w:szCs w:val="24"/>
          <w:shd w:val="clear" w:color="auto" w:fill="FFFFFF"/>
        </w:rPr>
        <w:t xml:space="preserve">. </w:t>
      </w:r>
      <w:r w:rsidRPr="00F1125E">
        <w:rPr>
          <w:rFonts w:ascii="Times New Roman" w:eastAsia="Calibri" w:hAnsi="Times New Roman" w:cs="Times New Roman"/>
          <w:sz w:val="24"/>
          <w:szCs w:val="24"/>
          <w:shd w:val="clear" w:color="auto" w:fill="FFFFFF"/>
        </w:rPr>
        <w:t>Notably, a US case-control study reported a significantly lower short-term mortality rate among patients with digestive symptoms</w:t>
      </w:r>
      <w:r w:rsidR="00A40981">
        <w:rPr>
          <w:rFonts w:ascii="Times New Roman" w:eastAsia="Calibri" w:hAnsi="Times New Roman" w:cs="Times New Roman"/>
          <w:sz w:val="24"/>
          <w:szCs w:val="24"/>
          <w:shd w:val="clear" w:color="auto" w:fill="FFFFFF"/>
        </w:rPr>
        <w:t xml:space="preserve"> </w:t>
      </w:r>
      <w:r w:rsidR="00A40981" w:rsidRPr="002735CF">
        <w:rPr>
          <w:rFonts w:ascii="Times New Roman" w:eastAsia="Calibri" w:hAnsi="Times New Roman" w:cs="Times New Roman"/>
          <w:b/>
          <w:bCs/>
          <w:sz w:val="24"/>
          <w:szCs w:val="24"/>
          <w:shd w:val="clear" w:color="auto" w:fill="FFFFFF"/>
        </w:rPr>
        <w:t>[2</w:t>
      </w:r>
      <w:r w:rsidR="00A40981">
        <w:rPr>
          <w:rFonts w:ascii="Times New Roman" w:eastAsia="Calibri" w:hAnsi="Times New Roman" w:cs="Times New Roman"/>
          <w:b/>
          <w:bCs/>
          <w:sz w:val="24"/>
          <w:szCs w:val="24"/>
          <w:shd w:val="clear" w:color="auto" w:fill="FFFFFF"/>
        </w:rPr>
        <w:t>4</w:t>
      </w:r>
      <w:r w:rsidR="00A40981" w:rsidRPr="002735CF">
        <w:rPr>
          <w:rFonts w:ascii="Times New Roman" w:eastAsia="Calibri" w:hAnsi="Times New Roman" w:cs="Times New Roman"/>
          <w:b/>
          <w:bCs/>
          <w:sz w:val="24"/>
          <w:szCs w:val="24"/>
          <w:shd w:val="clear" w:color="auto" w:fill="FFFFFF"/>
        </w:rPr>
        <w:t>].</w:t>
      </w:r>
    </w:p>
    <w:p w14:paraId="55588BDB" w14:textId="56A74B82" w:rsidR="007A49C5" w:rsidRPr="00F86D95" w:rsidRDefault="00F1125E" w:rsidP="00131C38">
      <w:pPr>
        <w:spacing w:after="0" w:line="360" w:lineRule="auto"/>
        <w:jc w:val="both"/>
        <w:rPr>
          <w:rFonts w:ascii="Times New Roman" w:eastAsia="Calibri" w:hAnsi="Times New Roman" w:cs="Times New Roman"/>
          <w:sz w:val="24"/>
          <w:szCs w:val="24"/>
          <w:shd w:val="clear" w:color="auto" w:fill="FFFFFF"/>
        </w:rPr>
      </w:pPr>
      <w:r w:rsidRPr="00F1125E">
        <w:rPr>
          <w:rFonts w:ascii="Times New Roman" w:eastAsia="Calibri" w:hAnsi="Times New Roman" w:cs="Times New Roman"/>
          <w:sz w:val="24"/>
          <w:szCs w:val="24"/>
          <w:shd w:val="clear" w:color="auto" w:fill="FFFFFF"/>
        </w:rPr>
        <w:t xml:space="preserve">While the underlying reasons for these discrepancies remain unclear, potential explanations include variations in reporting practices, </w:t>
      </w:r>
      <w:r w:rsidR="00937992">
        <w:rPr>
          <w:rFonts w:ascii="Times New Roman" w:eastAsia="Calibri" w:hAnsi="Times New Roman" w:cs="Times New Roman"/>
          <w:sz w:val="24"/>
          <w:szCs w:val="24"/>
          <w:shd w:val="clear" w:color="auto" w:fill="FFFFFF"/>
        </w:rPr>
        <w:t xml:space="preserve">patient populations, and </w:t>
      </w:r>
      <w:r w:rsidRPr="00F1125E">
        <w:rPr>
          <w:rFonts w:ascii="Times New Roman" w:eastAsia="Calibri" w:hAnsi="Times New Roman" w:cs="Times New Roman"/>
          <w:sz w:val="24"/>
          <w:szCs w:val="24"/>
          <w:shd w:val="clear" w:color="auto" w:fill="FFFFFF"/>
        </w:rPr>
        <w:t>distinct viral strains</w:t>
      </w:r>
      <w:r w:rsidR="00CE6A34">
        <w:rPr>
          <w:rFonts w:ascii="Times New Roman" w:eastAsia="Calibri" w:hAnsi="Times New Roman" w:cs="Times New Roman"/>
          <w:sz w:val="24"/>
          <w:szCs w:val="24"/>
          <w:shd w:val="clear" w:color="auto" w:fill="FFFFFF"/>
        </w:rPr>
        <w:t xml:space="preserve"> </w:t>
      </w:r>
      <w:r w:rsidR="00CE6A34" w:rsidRPr="003D6EB5">
        <w:rPr>
          <w:rFonts w:ascii="Times New Roman" w:eastAsia="Calibri" w:hAnsi="Times New Roman" w:cs="Times New Roman"/>
          <w:b/>
          <w:bCs/>
          <w:sz w:val="24"/>
          <w:szCs w:val="24"/>
          <w:shd w:val="clear" w:color="auto" w:fill="FFFFFF"/>
        </w:rPr>
        <w:t>[26</w:t>
      </w:r>
      <w:r w:rsidR="00CE6A34">
        <w:rPr>
          <w:rFonts w:ascii="Times New Roman" w:eastAsia="Calibri" w:hAnsi="Times New Roman" w:cs="Times New Roman"/>
          <w:b/>
          <w:bCs/>
          <w:sz w:val="24"/>
          <w:szCs w:val="24"/>
          <w:shd w:val="clear" w:color="auto" w:fill="FFFFFF"/>
        </w:rPr>
        <w:t>,</w:t>
      </w:r>
      <w:r w:rsidR="00CE6A34" w:rsidRPr="003D6EB5">
        <w:rPr>
          <w:rFonts w:ascii="Times New Roman" w:eastAsia="Calibri" w:hAnsi="Times New Roman" w:cs="Times New Roman"/>
          <w:b/>
          <w:bCs/>
          <w:sz w:val="24"/>
          <w:szCs w:val="24"/>
          <w:shd w:val="clear" w:color="auto" w:fill="FFFFFF"/>
        </w:rPr>
        <w:t>27]</w:t>
      </w:r>
      <w:r w:rsidR="00CE6A34" w:rsidRPr="003D6EB5">
        <w:rPr>
          <w:rFonts w:ascii="Times New Roman" w:eastAsia="Calibri" w:hAnsi="Times New Roman" w:cs="Times New Roman"/>
          <w:sz w:val="24"/>
          <w:szCs w:val="24"/>
          <w:shd w:val="clear" w:color="auto" w:fill="FFFFFF"/>
        </w:rPr>
        <w:t>.</w:t>
      </w:r>
      <w:r w:rsidR="00CE6A34">
        <w:rPr>
          <w:rFonts w:ascii="Times New Roman" w:eastAsia="Calibri" w:hAnsi="Times New Roman" w:cs="Times New Roman"/>
          <w:sz w:val="24"/>
          <w:szCs w:val="24"/>
          <w:shd w:val="clear" w:color="auto" w:fill="FFFFFF"/>
        </w:rPr>
        <w:t xml:space="preserve"> </w:t>
      </w:r>
      <w:r w:rsidRPr="00F1125E">
        <w:rPr>
          <w:rFonts w:ascii="Times New Roman" w:eastAsia="Calibri" w:hAnsi="Times New Roman" w:cs="Times New Roman"/>
          <w:sz w:val="24"/>
          <w:szCs w:val="24"/>
          <w:shd w:val="clear" w:color="auto" w:fill="FFFFFF"/>
        </w:rPr>
        <w:t>Additionally, patients with digestive symptoms experience a significantly prolonged viral clearance compared to those solely exhibiting respiratory symptoms</w:t>
      </w:r>
      <w:r w:rsidR="004B2F23">
        <w:rPr>
          <w:rFonts w:ascii="Times New Roman" w:eastAsia="Calibri" w:hAnsi="Times New Roman" w:cs="Times New Roman"/>
          <w:sz w:val="24"/>
          <w:szCs w:val="24"/>
          <w:shd w:val="clear" w:color="auto" w:fill="FFFFFF"/>
        </w:rPr>
        <w:t xml:space="preserve"> </w:t>
      </w:r>
      <w:r w:rsidR="00131C38" w:rsidRPr="003D6EB5">
        <w:rPr>
          <w:rFonts w:ascii="Times New Roman" w:eastAsia="Calibri" w:hAnsi="Times New Roman" w:cs="Times New Roman"/>
          <w:b/>
          <w:bCs/>
          <w:sz w:val="24"/>
          <w:szCs w:val="24"/>
          <w:shd w:val="clear" w:color="auto" w:fill="FFFFFF"/>
        </w:rPr>
        <w:t>[28]</w:t>
      </w:r>
      <w:r w:rsidR="00131C38" w:rsidRPr="003D6EB5">
        <w:rPr>
          <w:rFonts w:ascii="Times New Roman" w:eastAsia="Calibri" w:hAnsi="Times New Roman" w:cs="Times New Roman"/>
          <w:sz w:val="24"/>
          <w:szCs w:val="24"/>
          <w:shd w:val="clear" w:color="auto" w:fill="FFFFFF"/>
        </w:rPr>
        <w:t>.</w:t>
      </w:r>
    </w:p>
    <w:p w14:paraId="36EE1CD1" w14:textId="29F73122" w:rsidR="00561BB2" w:rsidRDefault="007A49C5" w:rsidP="005B71D7">
      <w:pPr>
        <w:spacing w:after="0" w:line="360" w:lineRule="auto"/>
        <w:jc w:val="both"/>
        <w:rPr>
          <w:rFonts w:ascii="Times New Roman" w:eastAsia="Calibri" w:hAnsi="Times New Roman" w:cs="Times New Roman"/>
          <w:sz w:val="24"/>
          <w:szCs w:val="24"/>
          <w:shd w:val="clear" w:color="auto" w:fill="FFFFFF"/>
        </w:rPr>
      </w:pPr>
      <w:r w:rsidRPr="00F86D95">
        <w:rPr>
          <w:rFonts w:ascii="Times New Roman" w:eastAsia="Calibri" w:hAnsi="Times New Roman" w:cs="Times New Roman"/>
          <w:sz w:val="24"/>
          <w:szCs w:val="24"/>
          <w:shd w:val="clear" w:color="auto" w:fill="FFFFFF"/>
        </w:rPr>
        <w:t xml:space="preserve"> </w:t>
      </w:r>
      <w:r w:rsidRPr="005B71D7">
        <w:rPr>
          <w:rFonts w:ascii="Times New Roman" w:eastAsia="Calibri" w:hAnsi="Times New Roman" w:cs="Times New Roman"/>
          <w:sz w:val="24"/>
          <w:szCs w:val="24"/>
          <w:shd w:val="clear" w:color="auto" w:fill="FFFFFF"/>
        </w:rPr>
        <w:t xml:space="preserve">The strength of our study is </w:t>
      </w:r>
      <w:r w:rsidR="00D7243C">
        <w:rPr>
          <w:rFonts w:ascii="Times New Roman" w:eastAsia="Calibri" w:hAnsi="Times New Roman" w:cs="Times New Roman"/>
          <w:sz w:val="24"/>
          <w:szCs w:val="24"/>
          <w:shd w:val="clear" w:color="auto" w:fill="FFFFFF"/>
        </w:rPr>
        <w:t>that it includes four groups of different stages of COVID-19 severity to compare fecal calprotectin levels, inflammatory markers, and clinical follow-up</w:t>
      </w:r>
      <w:r w:rsidR="00947D92" w:rsidRPr="005B71D7">
        <w:rPr>
          <w:rFonts w:ascii="Times New Roman" w:eastAsia="Calibri" w:hAnsi="Times New Roman" w:cs="Times New Roman"/>
          <w:sz w:val="24"/>
          <w:szCs w:val="24"/>
          <w:shd w:val="clear" w:color="auto" w:fill="FFFFFF"/>
        </w:rPr>
        <w:t xml:space="preserve"> at baseline after 21 days</w:t>
      </w:r>
      <w:r w:rsidR="00EA3FC5" w:rsidRPr="005B71D7">
        <w:rPr>
          <w:rFonts w:ascii="Times New Roman" w:eastAsia="Calibri" w:hAnsi="Times New Roman" w:cs="Times New Roman"/>
          <w:sz w:val="24"/>
          <w:szCs w:val="24"/>
          <w:shd w:val="clear" w:color="auto" w:fill="FFFFFF"/>
        </w:rPr>
        <w:t xml:space="preserve">. </w:t>
      </w:r>
    </w:p>
    <w:p w14:paraId="66463862" w14:textId="6C99FDE4" w:rsidR="007A49C5" w:rsidRPr="005B71D7" w:rsidRDefault="00D7243C" w:rsidP="005B71D7">
      <w:pPr>
        <w:spacing w:after="0" w:line="36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Our study has some limitations</w:t>
      </w:r>
      <w:r w:rsidR="00130B6A" w:rsidRPr="00130B6A">
        <w:rPr>
          <w:rFonts w:ascii="Times New Roman" w:eastAsia="Calibri" w:hAnsi="Times New Roman" w:cs="Times New Roman"/>
          <w:sz w:val="24"/>
          <w:szCs w:val="24"/>
          <w:shd w:val="clear" w:color="auto" w:fill="FFFFFF"/>
        </w:rPr>
        <w:t>. The sample size is small, and we did not measure inflammatory cytokines (IL-6, TNF, IL-1b). Therefore, we could not assess the link between fecal calprotectin and cytokine levels. Further studies are recommended to confirm our findings.</w:t>
      </w:r>
    </w:p>
    <w:p w14:paraId="2222505B" w14:textId="33BCB362" w:rsidR="00B60996" w:rsidRPr="005B71D7" w:rsidRDefault="008B22B0" w:rsidP="00BE1624">
      <w:pPr>
        <w:pStyle w:val="Heading1"/>
        <w:spacing w:before="0" w:line="360" w:lineRule="auto"/>
      </w:pPr>
      <w:r w:rsidRPr="005B71D7">
        <w:rPr>
          <w:rFonts w:ascii="Times New Roman" w:eastAsia="Calibri" w:hAnsi="Times New Roman" w:cs="Times New Roman"/>
          <w:shd w:val="clear" w:color="auto" w:fill="FFFFFF"/>
        </w:rPr>
        <w:t>C</w:t>
      </w:r>
      <w:r w:rsidR="007A49C5" w:rsidRPr="005B71D7">
        <w:rPr>
          <w:rFonts w:ascii="Times New Roman" w:eastAsia="Calibri" w:hAnsi="Times New Roman" w:cs="Times New Roman"/>
          <w:shd w:val="clear" w:color="auto" w:fill="FFFFFF"/>
        </w:rPr>
        <w:t>onclusion</w:t>
      </w:r>
    </w:p>
    <w:p w14:paraId="0F168E5E" w14:textId="555108ED" w:rsidR="004E2B42" w:rsidRDefault="009E0C36" w:rsidP="00F242D5">
      <w:pPr>
        <w:spacing w:after="0" w:line="360" w:lineRule="auto"/>
        <w:jc w:val="both"/>
        <w:rPr>
          <w:rFonts w:ascii="Times New Roman" w:eastAsia="Calibri" w:hAnsi="Times New Roman" w:cs="Times New Roman"/>
          <w:sz w:val="24"/>
          <w:szCs w:val="24"/>
          <w:shd w:val="clear" w:color="auto" w:fill="FFFFFF"/>
        </w:rPr>
      </w:pPr>
      <w:r w:rsidRPr="0097072A">
        <w:rPr>
          <w:rFonts w:ascii="Times New Roman" w:eastAsia="Calibri" w:hAnsi="Times New Roman" w:cs="Times New Roman"/>
          <w:sz w:val="24"/>
          <w:szCs w:val="24"/>
          <w:shd w:val="clear" w:color="auto" w:fill="FFFFFF"/>
        </w:rPr>
        <w:t>Our findings indicate a substantial correlation between fecal calprotectin levels and the severity of COVID-19</w:t>
      </w:r>
      <w:r>
        <w:rPr>
          <w:rFonts w:ascii="Times New Roman" w:eastAsia="Calibri" w:hAnsi="Times New Roman" w:cs="Times New Roman"/>
          <w:sz w:val="24"/>
          <w:szCs w:val="24"/>
          <w:shd w:val="clear" w:color="auto" w:fill="FFFFFF"/>
        </w:rPr>
        <w:t xml:space="preserve">. </w:t>
      </w:r>
      <w:r w:rsidRPr="00B0040A">
        <w:rPr>
          <w:rFonts w:ascii="Times New Roman" w:eastAsia="Calibri" w:hAnsi="Times New Roman" w:cs="Times New Roman"/>
          <w:sz w:val="24"/>
          <w:szCs w:val="24"/>
          <w:shd w:val="clear" w:color="auto" w:fill="FFFFFF"/>
        </w:rPr>
        <w:t xml:space="preserve">Notably, fecal calprotectin levels were considerably higher in the critical group compared to other groups, both at baseline and after </w:t>
      </w:r>
      <w:r w:rsidR="00937992">
        <w:rPr>
          <w:rFonts w:ascii="Times New Roman" w:eastAsia="Calibri" w:hAnsi="Times New Roman" w:cs="Times New Roman"/>
          <w:sz w:val="24"/>
          <w:szCs w:val="24"/>
          <w:shd w:val="clear" w:color="auto" w:fill="FFFFFF"/>
        </w:rPr>
        <w:t>21 days</w:t>
      </w:r>
      <w:r w:rsidRPr="00B0040A">
        <w:rPr>
          <w:rFonts w:ascii="Times New Roman" w:eastAsia="Calibri" w:hAnsi="Times New Roman" w:cs="Times New Roman"/>
          <w:sz w:val="24"/>
          <w:szCs w:val="24"/>
          <w:shd w:val="clear" w:color="auto" w:fill="FFFFFF"/>
        </w:rPr>
        <w:t>.</w:t>
      </w:r>
      <w:r w:rsidR="005977FE" w:rsidRPr="000114D7">
        <w:rPr>
          <w:rFonts w:ascii="Times New Roman" w:eastAsia="Calibri" w:hAnsi="Times New Roman" w:cs="Times New Roman"/>
          <w:sz w:val="24"/>
          <w:szCs w:val="24"/>
          <w:shd w:val="clear" w:color="auto" w:fill="FFFFFF"/>
        </w:rPr>
        <w:t xml:space="preserve"> </w:t>
      </w:r>
      <w:r w:rsidR="007B2F31" w:rsidRPr="00BA05F1">
        <w:rPr>
          <w:rFonts w:asciiTheme="majorBidi" w:hAnsiTheme="majorBidi" w:cstheme="majorBidi"/>
          <w:sz w:val="24"/>
          <w:szCs w:val="24"/>
        </w:rPr>
        <w:t xml:space="preserve">Moreover, </w:t>
      </w:r>
      <w:r w:rsidR="00D7243C">
        <w:rPr>
          <w:rFonts w:asciiTheme="majorBidi" w:hAnsiTheme="majorBidi" w:cstheme="majorBidi"/>
          <w:sz w:val="24"/>
          <w:szCs w:val="24"/>
        </w:rPr>
        <w:t xml:space="preserve">the percentage of COVID-19 mortality within 21 days was significantly higher in critical patients than in other groups who manifested </w:t>
      </w:r>
      <w:r w:rsidR="004557F9" w:rsidRPr="00BA05F1">
        <w:rPr>
          <w:rFonts w:asciiTheme="majorBidi" w:hAnsiTheme="majorBidi" w:cstheme="majorBidi"/>
          <w:sz w:val="24"/>
          <w:szCs w:val="24"/>
        </w:rPr>
        <w:t xml:space="preserve">GI symptoms </w:t>
      </w:r>
      <w:r w:rsidR="004E2B42" w:rsidRPr="00BA05F1">
        <w:rPr>
          <w:rFonts w:asciiTheme="majorBidi" w:hAnsiTheme="majorBidi" w:cstheme="majorBidi"/>
          <w:sz w:val="24"/>
          <w:szCs w:val="24"/>
        </w:rPr>
        <w:t xml:space="preserve">with or without </w:t>
      </w:r>
      <w:r w:rsidR="004557F9" w:rsidRPr="00BA05F1">
        <w:rPr>
          <w:rFonts w:asciiTheme="majorBidi" w:hAnsiTheme="majorBidi" w:cstheme="majorBidi"/>
          <w:sz w:val="24"/>
          <w:szCs w:val="24"/>
        </w:rPr>
        <w:t>resp</w:t>
      </w:r>
      <w:r w:rsidR="00983366" w:rsidRPr="00BA05F1">
        <w:rPr>
          <w:rFonts w:asciiTheme="majorBidi" w:hAnsiTheme="majorBidi" w:cstheme="majorBidi"/>
          <w:sz w:val="24"/>
          <w:szCs w:val="24"/>
        </w:rPr>
        <w:t>iratory symptoms</w:t>
      </w:r>
      <w:r w:rsidR="007B2F31" w:rsidRPr="00BA05F1">
        <w:rPr>
          <w:rFonts w:asciiTheme="majorBidi" w:hAnsiTheme="majorBidi" w:cstheme="majorBidi"/>
          <w:sz w:val="24"/>
          <w:szCs w:val="24"/>
        </w:rPr>
        <w:t>.</w:t>
      </w:r>
      <w:r w:rsidR="00076206" w:rsidRPr="00BA05F1">
        <w:rPr>
          <w:rFonts w:ascii="Times New Roman" w:eastAsia="Calibri" w:hAnsi="Times New Roman" w:cs="Times New Roman"/>
          <w:sz w:val="24"/>
          <w:szCs w:val="24"/>
          <w:shd w:val="clear" w:color="auto" w:fill="FFFFFF"/>
        </w:rPr>
        <w:t xml:space="preserve"> </w:t>
      </w:r>
      <w:r w:rsidR="004E2B42" w:rsidRPr="00B0040A">
        <w:rPr>
          <w:rFonts w:ascii="Times New Roman" w:eastAsia="Calibri" w:hAnsi="Times New Roman" w:cs="Times New Roman"/>
          <w:sz w:val="24"/>
          <w:szCs w:val="24"/>
          <w:shd w:val="clear" w:color="auto" w:fill="FFFFFF"/>
        </w:rPr>
        <w:t xml:space="preserve">Consequently, fecal calprotectin </w:t>
      </w:r>
      <w:r w:rsidR="00937992">
        <w:rPr>
          <w:rFonts w:ascii="Times New Roman" w:eastAsia="Calibri" w:hAnsi="Times New Roman" w:cs="Times New Roman"/>
          <w:sz w:val="24"/>
          <w:szCs w:val="24"/>
          <w:shd w:val="clear" w:color="auto" w:fill="FFFFFF"/>
        </w:rPr>
        <w:t>is</w:t>
      </w:r>
      <w:r w:rsidR="004E2B42" w:rsidRPr="00B0040A">
        <w:rPr>
          <w:rFonts w:ascii="Times New Roman" w:eastAsia="Calibri" w:hAnsi="Times New Roman" w:cs="Times New Roman"/>
          <w:sz w:val="24"/>
          <w:szCs w:val="24"/>
          <w:shd w:val="clear" w:color="auto" w:fill="FFFFFF"/>
        </w:rPr>
        <w:t xml:space="preserve"> a potential marker for assessing the severity of COVID-19 disease.</w:t>
      </w:r>
    </w:p>
    <w:p w14:paraId="1095CBF7" w14:textId="77777777" w:rsidR="00B4067C" w:rsidRPr="00B4067C" w:rsidRDefault="00B4067C" w:rsidP="00B4067C">
      <w:pPr>
        <w:spacing w:line="240" w:lineRule="auto"/>
        <w:jc w:val="lowKashida"/>
        <w:rPr>
          <w:rFonts w:ascii="Times New Roman" w:eastAsia="Calibri" w:hAnsi="Times New Roman" w:cs="Times New Roman"/>
          <w:b/>
          <w:bCs/>
          <w:sz w:val="24"/>
          <w:szCs w:val="24"/>
        </w:rPr>
      </w:pPr>
      <w:r w:rsidRPr="00B4067C">
        <w:rPr>
          <w:rFonts w:ascii="Times New Roman" w:eastAsia="Calibri" w:hAnsi="Times New Roman" w:cs="Times New Roman"/>
          <w:b/>
          <w:bCs/>
          <w:sz w:val="24"/>
          <w:szCs w:val="24"/>
        </w:rPr>
        <w:t>Footnotes.</w:t>
      </w:r>
    </w:p>
    <w:p w14:paraId="5DBE7F59" w14:textId="49F1C595" w:rsidR="00B4067C" w:rsidRPr="00B4067C" w:rsidRDefault="00D91828" w:rsidP="00D91828">
      <w:pPr>
        <w:spacing w:line="240" w:lineRule="auto"/>
        <w:ind w:firstLine="180"/>
        <w:jc w:val="lowKashida"/>
        <w:rPr>
          <w:rFonts w:ascii="Times New Roman" w:eastAsia="Calibri" w:hAnsi="Times New Roman" w:cs="Times New Roman"/>
          <w:sz w:val="24"/>
          <w:szCs w:val="24"/>
        </w:rPr>
      </w:pPr>
      <w:r>
        <w:rPr>
          <w:rFonts w:ascii="Times New Roman" w:eastAsia="Calibri" w:hAnsi="Times New Roman" w:cs="Times New Roman"/>
          <w:sz w:val="24"/>
          <w:szCs w:val="24"/>
        </w:rPr>
        <w:t xml:space="preserve">Mohamed </w:t>
      </w:r>
      <w:r>
        <w:rPr>
          <w:rFonts w:ascii="Times New Roman" w:eastAsia="Calibri" w:hAnsi="Times New Roman" w:cs="Times New Roman"/>
          <w:sz w:val="24"/>
          <w:szCs w:val="24"/>
        </w:rPr>
        <w:t>Emara (</w:t>
      </w:r>
      <w:bookmarkStart w:id="25" w:name="_Hlk175576913"/>
      <w:r>
        <w:rPr>
          <w:rFonts w:ascii="Times New Roman" w:eastAsia="Calibri" w:hAnsi="Times New Roman" w:cs="Times New Roman"/>
          <w:sz w:val="24"/>
          <w:szCs w:val="24"/>
        </w:rPr>
        <w:t>professor of gastroenterology, hepatology, and infectious diseases</w:t>
      </w:r>
      <w:bookmarkEnd w:id="25"/>
      <w:r>
        <w:rPr>
          <w:rFonts w:ascii="Times New Roman" w:eastAsia="Calibri" w:hAnsi="Times New Roman" w:cs="Times New Roman"/>
          <w:sz w:val="24"/>
          <w:szCs w:val="24"/>
        </w:rPr>
        <w:t xml:space="preserve">), </w:t>
      </w:r>
      <w:r>
        <w:rPr>
          <w:rFonts w:ascii="Times New Roman" w:eastAsia="Calibri" w:hAnsi="Times New Roman" w:cs="Times New Roman"/>
          <w:sz w:val="24"/>
          <w:szCs w:val="24"/>
        </w:rPr>
        <w:t>Nabila</w:t>
      </w:r>
      <w:r>
        <w:rPr>
          <w:rFonts w:ascii="Times New Roman" w:eastAsia="Calibri" w:hAnsi="Times New Roman" w:cs="Times New Roman"/>
          <w:sz w:val="24"/>
          <w:szCs w:val="24"/>
        </w:rPr>
        <w:t xml:space="preserve"> Hassan (professor of gastroenterology, hepatology, and infectious diseases), and Amany</w:t>
      </w:r>
      <w:r>
        <w:rPr>
          <w:rFonts w:ascii="Times New Roman" w:eastAsia="Calibri" w:hAnsi="Times New Roman" w:cs="Times New Roman"/>
          <w:sz w:val="24"/>
          <w:szCs w:val="24"/>
        </w:rPr>
        <w:t xml:space="preserve"> Mohamed( assistant professor of community medicine) </w:t>
      </w:r>
      <w:r w:rsidR="00B4067C" w:rsidRPr="00B4067C">
        <w:rPr>
          <w:rFonts w:ascii="Times New Roman" w:eastAsia="Calibri" w:hAnsi="Times New Roman" w:cs="Times New Roman"/>
          <w:sz w:val="24"/>
          <w:szCs w:val="24"/>
        </w:rPr>
        <w:t>were the peer reviewers.</w:t>
      </w:r>
    </w:p>
    <w:p w14:paraId="70285125" w14:textId="77777777" w:rsidR="00B4067C" w:rsidRPr="00B4067C" w:rsidRDefault="00B4067C" w:rsidP="00B4067C">
      <w:pPr>
        <w:spacing w:line="240" w:lineRule="auto"/>
        <w:ind w:firstLine="180"/>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E- Editor:</w:t>
      </w:r>
      <w:r w:rsidRPr="00B4067C">
        <w:rPr>
          <w:rFonts w:ascii="Times New Roman" w:eastAsia="Calibri" w:hAnsi="Times New Roman" w:cs="Times New Roman"/>
          <w:sz w:val="24"/>
          <w:szCs w:val="24"/>
        </w:rPr>
        <w:t xml:space="preserve"> Salem Youssef Mohamed, Osama Ahmed Khalil, Amany Mohammed.</w:t>
      </w:r>
    </w:p>
    <w:p w14:paraId="55BDF426" w14:textId="77777777" w:rsidR="00B4067C" w:rsidRPr="00B4067C" w:rsidRDefault="00B4067C" w:rsidP="00B4067C">
      <w:pPr>
        <w:spacing w:line="240" w:lineRule="auto"/>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Copyright ©.</w:t>
      </w:r>
      <w:r w:rsidRPr="00B4067C">
        <w:rPr>
          <w:rFonts w:ascii="Times New Roman" w:eastAsia="Calibri" w:hAnsi="Times New Roman" w:cs="Times New Roman"/>
          <w:sz w:val="24"/>
          <w:szCs w:val="24"/>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34C2B72" w14:textId="77777777" w:rsidR="00B4067C" w:rsidRPr="00B4067C" w:rsidRDefault="00B4067C" w:rsidP="00B4067C">
      <w:pPr>
        <w:spacing w:line="240" w:lineRule="auto"/>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Disclaimer:</w:t>
      </w:r>
      <w:r w:rsidRPr="00B4067C">
        <w:rPr>
          <w:rFonts w:ascii="Times New Roman" w:eastAsia="Calibri" w:hAnsi="Times New Roman" w:cs="Times New Roman"/>
          <w:sz w:val="24"/>
          <w:szCs w:val="24"/>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4C2BA5DB" w14:textId="77777777" w:rsidR="00B4067C" w:rsidRPr="00D91828" w:rsidRDefault="00B4067C" w:rsidP="00B4067C">
      <w:pPr>
        <w:spacing w:after="0" w:line="360" w:lineRule="auto"/>
        <w:ind w:right="48"/>
        <w:contextualSpacing/>
        <w:jc w:val="both"/>
        <w:outlineLvl w:val="1"/>
        <w:rPr>
          <w:rFonts w:ascii="Times New Roman" w:eastAsia="Calibri" w:hAnsi="Times New Roman" w:cs="Times New Roman"/>
          <w:b/>
          <w:bCs/>
          <w:noProof/>
          <w:sz w:val="24"/>
          <w:szCs w:val="24"/>
        </w:rPr>
      </w:pPr>
      <w:r w:rsidRPr="00D91828">
        <w:rPr>
          <w:rFonts w:ascii="Times New Roman" w:eastAsia="Calibri" w:hAnsi="Times New Roman" w:cs="Times New Roman"/>
          <w:b/>
          <w:bCs/>
          <w:noProof/>
          <w:sz w:val="24"/>
          <w:szCs w:val="24"/>
        </w:rPr>
        <w:t>Ethical considerations</w:t>
      </w:r>
    </w:p>
    <w:p w14:paraId="1932508E" w14:textId="77777777" w:rsidR="00074A8B" w:rsidRPr="005B71D7" w:rsidRDefault="00074A8B" w:rsidP="00074A8B">
      <w:pPr>
        <w:autoSpaceDE w:val="0"/>
        <w:autoSpaceDN w:val="0"/>
        <w:adjustRightInd w:val="0"/>
        <w:spacing w:after="0" w:line="360" w:lineRule="auto"/>
        <w:jc w:val="both"/>
        <w:rPr>
          <w:rFonts w:ascii="Times New Roman" w:hAnsi="Times New Roman" w:cs="Times New Roman"/>
          <w:sz w:val="24"/>
          <w:szCs w:val="24"/>
        </w:rPr>
      </w:pPr>
      <w:r w:rsidRPr="005A6F6E">
        <w:rPr>
          <w:rFonts w:ascii="Times New Roman" w:hAnsi="Times New Roman" w:cs="Times New Roman"/>
          <w:sz w:val="24"/>
          <w:szCs w:val="24"/>
        </w:rPr>
        <w:t xml:space="preserve">The Zagazig institutional review board </w:t>
      </w:r>
      <w:r>
        <w:rPr>
          <w:rFonts w:ascii="Times New Roman" w:hAnsi="Times New Roman" w:cs="Times New Roman"/>
          <w:sz w:val="24"/>
          <w:szCs w:val="24"/>
        </w:rPr>
        <w:t>approved</w:t>
      </w:r>
      <w:r w:rsidRPr="005A6F6E">
        <w:rPr>
          <w:rFonts w:ascii="Times New Roman" w:hAnsi="Times New Roman" w:cs="Times New Roman"/>
          <w:sz w:val="24"/>
          <w:szCs w:val="24"/>
        </w:rPr>
        <w:t xml:space="preserve"> the study (ZU-IRB#9084-8-8-2021). All individual participants in the study provided written informed consent.</w:t>
      </w:r>
    </w:p>
    <w:p w14:paraId="11304E87" w14:textId="77777777" w:rsidR="00B4067C" w:rsidRPr="00B4067C" w:rsidRDefault="00B4067C" w:rsidP="00B4067C">
      <w:pPr>
        <w:spacing w:after="200" w:line="480" w:lineRule="auto"/>
        <w:jc w:val="both"/>
        <w:rPr>
          <w:rFonts w:ascii="Times New Roman" w:eastAsia="Calibri" w:hAnsi="Times New Roman" w:cs="Times New Roman"/>
          <w:noProof/>
          <w:sz w:val="24"/>
          <w:szCs w:val="24"/>
        </w:rPr>
      </w:pPr>
      <w:r w:rsidRPr="00B4067C">
        <w:rPr>
          <w:rFonts w:ascii="Times New Roman" w:eastAsia="Calibri" w:hAnsi="Times New Roman" w:cs="Times New Roman"/>
          <w:b/>
          <w:noProof/>
          <w:sz w:val="24"/>
          <w:szCs w:val="24"/>
        </w:rPr>
        <w:t>Ethical approval:</w:t>
      </w:r>
      <w:r w:rsidRPr="00B4067C">
        <w:rPr>
          <w:rFonts w:ascii="Times New Roman" w:eastAsia="Calibri" w:hAnsi="Times New Roman" w:cs="Times New Roman"/>
          <w:noProof/>
          <w:sz w:val="24"/>
          <w:szCs w:val="24"/>
        </w:rPr>
        <w:t xml:space="preserve"> All procedures involving human participants followed the institutional and national research committee's moral standards, the 1964 Helsinki Declaration, and its later amendments or comparable ethical standards. All authors declare that consent was obtained from the patient (or other approved parties) to publish this study.</w:t>
      </w:r>
    </w:p>
    <w:p w14:paraId="05413A68" w14:textId="77777777" w:rsidR="00B4067C" w:rsidRPr="00B4067C" w:rsidRDefault="00B4067C" w:rsidP="00B4067C">
      <w:pPr>
        <w:spacing w:line="240" w:lineRule="auto"/>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Data and materials availability:</w:t>
      </w:r>
      <w:r w:rsidRPr="00B4067C">
        <w:rPr>
          <w:rFonts w:ascii="Times New Roman" w:eastAsia="Calibri" w:hAnsi="Times New Roman" w:cs="Times New Roman"/>
          <w:sz w:val="24"/>
          <w:szCs w:val="24"/>
        </w:rPr>
        <w:t xml:space="preserve"> The datasets used or analyzed during the current study are available from the corresponding author upon reasonable request.</w:t>
      </w:r>
    </w:p>
    <w:p w14:paraId="326A6573" w14:textId="77777777" w:rsidR="00B4067C" w:rsidRPr="00B4067C" w:rsidRDefault="00B4067C" w:rsidP="00B4067C">
      <w:pPr>
        <w:spacing w:line="240" w:lineRule="auto"/>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Competing interests</w:t>
      </w:r>
      <w:r w:rsidRPr="00B4067C">
        <w:rPr>
          <w:rFonts w:ascii="Times New Roman" w:eastAsia="Calibri" w:hAnsi="Times New Roman" w:cs="Times New Roman"/>
          <w:sz w:val="24"/>
          <w:szCs w:val="24"/>
        </w:rPr>
        <w:t>: The authors declare that they have no competing interests.</w:t>
      </w:r>
    </w:p>
    <w:p w14:paraId="36C2B310" w14:textId="77777777" w:rsidR="00B4067C" w:rsidRPr="00B4067C" w:rsidRDefault="00B4067C" w:rsidP="00B4067C">
      <w:pPr>
        <w:spacing w:line="240" w:lineRule="auto"/>
        <w:jc w:val="lowKashida"/>
        <w:rPr>
          <w:rFonts w:ascii="Times New Roman" w:eastAsia="Calibri" w:hAnsi="Times New Roman" w:cs="Times New Roman"/>
          <w:sz w:val="24"/>
          <w:szCs w:val="24"/>
        </w:rPr>
      </w:pPr>
      <w:r w:rsidRPr="00B4067C">
        <w:rPr>
          <w:rFonts w:ascii="Times New Roman" w:eastAsia="Calibri" w:hAnsi="Times New Roman" w:cs="Times New Roman"/>
          <w:b/>
          <w:bCs/>
          <w:sz w:val="24"/>
          <w:szCs w:val="24"/>
        </w:rPr>
        <w:t>Funding</w:t>
      </w:r>
      <w:r w:rsidRPr="00B4067C">
        <w:rPr>
          <w:rFonts w:ascii="Times New Roman" w:eastAsia="Calibri" w:hAnsi="Times New Roman" w:cs="Times New Roman"/>
          <w:sz w:val="24"/>
          <w:szCs w:val="24"/>
        </w:rPr>
        <w:t>: This study had no funding from any resource.</w:t>
      </w:r>
    </w:p>
    <w:p w14:paraId="665C2ED3" w14:textId="77777777" w:rsidR="00B4067C" w:rsidRPr="00B4067C" w:rsidRDefault="00B4067C" w:rsidP="00B4067C">
      <w:pPr>
        <w:spacing w:after="200" w:line="480" w:lineRule="auto"/>
        <w:jc w:val="both"/>
        <w:rPr>
          <w:rFonts w:ascii="Times New Roman" w:eastAsia="Calibri" w:hAnsi="Times New Roman" w:cs="Times New Roman"/>
          <w:noProof/>
          <w:sz w:val="24"/>
          <w:szCs w:val="24"/>
        </w:rPr>
      </w:pPr>
      <w:r w:rsidRPr="00B4067C">
        <w:rPr>
          <w:rFonts w:ascii="Times New Roman" w:eastAsia="Calibri" w:hAnsi="Times New Roman" w:cs="Times New Roman"/>
          <w:noProof/>
          <w:sz w:val="24"/>
          <w:szCs w:val="24"/>
        </w:rPr>
        <w:t xml:space="preserve">This work was done according to the </w:t>
      </w:r>
      <w:r w:rsidRPr="00B4067C">
        <w:rPr>
          <w:rFonts w:ascii="Times New Roman" w:eastAsia="Calibri" w:hAnsi="Times New Roman" w:cs="Times New Roman"/>
          <w:b/>
          <w:bCs/>
          <w:noProof/>
          <w:sz w:val="24"/>
          <w:szCs w:val="24"/>
        </w:rPr>
        <w:t>STROBE</w:t>
      </w:r>
      <w:r w:rsidRPr="00B4067C">
        <w:rPr>
          <w:rFonts w:ascii="Times New Roman" w:eastAsia="Calibri" w:hAnsi="Times New Roman" w:cs="Times New Roman"/>
          <w:noProof/>
          <w:sz w:val="24"/>
          <w:szCs w:val="24"/>
        </w:rPr>
        <w:t xml:space="preserve"> guidelines.</w:t>
      </w:r>
    </w:p>
    <w:p w14:paraId="797D2F76" w14:textId="77777777" w:rsidR="00B4067C" w:rsidRPr="00B4067C" w:rsidRDefault="00B4067C" w:rsidP="00B4067C">
      <w:pPr>
        <w:spacing w:after="0" w:line="240" w:lineRule="auto"/>
        <w:jc w:val="lowKashida"/>
        <w:rPr>
          <w:rFonts w:ascii="Times New Roman" w:eastAsia="Calibri" w:hAnsi="Times New Roman" w:cs="Times New Roman"/>
          <w:b/>
          <w:bCs/>
          <w:sz w:val="24"/>
          <w:szCs w:val="24"/>
        </w:rPr>
      </w:pPr>
      <w:bookmarkStart w:id="26" w:name="h11"/>
      <w:bookmarkEnd w:id="26"/>
      <w:r w:rsidRPr="00B4067C">
        <w:rPr>
          <w:rFonts w:ascii="Times New Roman" w:eastAsia="Calibri" w:hAnsi="Times New Roman" w:cs="Times New Roman"/>
          <w:b/>
          <w:bCs/>
          <w:sz w:val="24"/>
          <w:szCs w:val="24"/>
        </w:rPr>
        <w:t>Authors’ contributions</w:t>
      </w:r>
    </w:p>
    <w:p w14:paraId="7AE35738" w14:textId="2EC6F515" w:rsidR="00D91828" w:rsidRDefault="00D91828" w:rsidP="00D91828">
      <w:pPr>
        <w:spacing w:after="0" w:line="360" w:lineRule="auto"/>
        <w:ind w:right="48" w:firstLine="720"/>
        <w:contextualSpacing/>
        <w:jc w:val="both"/>
        <w:outlineLvl w:val="1"/>
        <w:rPr>
          <w:rFonts w:ascii="Times New Roman" w:eastAsia="Calibri" w:hAnsi="Times New Roman" w:cs="Times New Roman"/>
          <w:sz w:val="24"/>
          <w:szCs w:val="24"/>
          <w:lang w:bidi="ar-EG"/>
        </w:rPr>
      </w:pPr>
      <w:r w:rsidRPr="00D91828">
        <w:rPr>
          <w:rFonts w:ascii="Times New Roman" w:eastAsia="Calibri" w:hAnsi="Times New Roman" w:cs="Times New Roman"/>
          <w:sz w:val="24"/>
          <w:szCs w:val="24"/>
          <w:lang w:bidi="ar-EG"/>
        </w:rPr>
        <w:t>AH conceived the research concept, while AG and AA conducted the clinical examinations and monitored the patients. AG and RA collaborated to gather the necessary laboratory data. All authors actively participated in analyzing and interpreting the patient information and composing the manuscript. All authors thoroughly reviewed and approved the final version of the manuscript.</w:t>
      </w:r>
    </w:p>
    <w:p w14:paraId="6B89B2F7" w14:textId="6AC5BFBB" w:rsidR="00074A8B" w:rsidRPr="00074A8B" w:rsidRDefault="00074A8B" w:rsidP="00074A8B">
      <w:pPr>
        <w:spacing w:after="0" w:line="360" w:lineRule="auto"/>
        <w:ind w:right="48"/>
        <w:contextualSpacing/>
        <w:jc w:val="both"/>
        <w:outlineLvl w:val="1"/>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Acknowledgments</w:t>
      </w:r>
    </w:p>
    <w:p w14:paraId="1CA3A372" w14:textId="77777777" w:rsidR="00074A8B" w:rsidRPr="00074A8B" w:rsidRDefault="00074A8B" w:rsidP="00074A8B">
      <w:pPr>
        <w:spacing w:after="0" w:line="360" w:lineRule="auto"/>
        <w:ind w:right="48" w:firstLine="720"/>
        <w:contextualSpacing/>
        <w:jc w:val="both"/>
        <w:outlineLvl w:val="1"/>
        <w:rPr>
          <w:rFonts w:ascii="Times New Roman" w:eastAsia="Calibri" w:hAnsi="Times New Roman" w:cs="Times New Roman"/>
          <w:sz w:val="24"/>
          <w:szCs w:val="24"/>
          <w:lang w:bidi="ar-EG"/>
        </w:rPr>
      </w:pPr>
      <w:r w:rsidRPr="00074A8B">
        <w:rPr>
          <w:rFonts w:ascii="Times New Roman" w:eastAsia="Calibri" w:hAnsi="Times New Roman" w:cs="Times New Roman"/>
          <w:sz w:val="24"/>
          <w:szCs w:val="24"/>
          <w:lang w:bidi="ar-EG"/>
        </w:rPr>
        <w:t>We thank our esteemed colleagues who have diligently worked in the COVID-19 isolation units at Zagazig University for their invaluable assistance in data collection and analysis. We also extend our sincere appreciation to all the patients who graciously participated in this research study.</w:t>
      </w:r>
    </w:p>
    <w:p w14:paraId="15DA1CA5" w14:textId="77777777" w:rsidR="00074A8B" w:rsidRPr="00D91828" w:rsidRDefault="00074A8B" w:rsidP="00D91828">
      <w:pPr>
        <w:spacing w:after="0" w:line="360" w:lineRule="auto"/>
        <w:ind w:right="48" w:firstLine="720"/>
        <w:contextualSpacing/>
        <w:jc w:val="both"/>
        <w:outlineLvl w:val="1"/>
        <w:rPr>
          <w:rFonts w:ascii="Times New Roman" w:eastAsia="Calibri" w:hAnsi="Times New Roman" w:cs="Times New Roman"/>
          <w:sz w:val="24"/>
          <w:szCs w:val="24"/>
          <w:lang w:bidi="ar-EG"/>
        </w:rPr>
      </w:pPr>
    </w:p>
    <w:p w14:paraId="58AD6F8B" w14:textId="77777777" w:rsidR="00B4067C" w:rsidRPr="00F86D95" w:rsidRDefault="00B4067C" w:rsidP="00F242D5">
      <w:pPr>
        <w:spacing w:after="0" w:line="360" w:lineRule="auto"/>
        <w:jc w:val="both"/>
        <w:rPr>
          <w:rFonts w:ascii="Times New Roman" w:eastAsia="Calibri" w:hAnsi="Times New Roman" w:cs="Times New Roman"/>
          <w:b/>
          <w:bCs/>
          <w:sz w:val="24"/>
          <w:szCs w:val="24"/>
        </w:rPr>
      </w:pPr>
    </w:p>
    <w:p w14:paraId="7D79CF35" w14:textId="736960D7" w:rsidR="007B39D2" w:rsidRPr="0034396C" w:rsidRDefault="008C411F" w:rsidP="0034396C">
      <w:pPr>
        <w:autoSpaceDE w:val="0"/>
        <w:autoSpaceDN w:val="0"/>
        <w:adjustRightInd w:val="0"/>
        <w:spacing w:after="0" w:line="480" w:lineRule="auto"/>
        <w:jc w:val="both"/>
        <w:rPr>
          <w:rFonts w:ascii="Times New Roman" w:eastAsia="Calibri" w:hAnsi="Times New Roman" w:cs="Times New Roman"/>
          <w:color w:val="000000"/>
          <w:sz w:val="24"/>
          <w:szCs w:val="24"/>
        </w:rPr>
      </w:pPr>
      <w:r w:rsidRPr="005B71D7">
        <w:rPr>
          <w:rFonts w:ascii="Times New Roman" w:eastAsia="Times New Roman" w:hAnsi="Times New Roman" w:cs="Times New Roman"/>
          <w:b/>
          <w:bCs/>
          <w:color w:val="000000"/>
          <w:sz w:val="24"/>
          <w:szCs w:val="24"/>
        </w:rPr>
        <w:t xml:space="preserve">7. </w:t>
      </w:r>
      <w:r w:rsidR="007B39D2" w:rsidRPr="005B71D7">
        <w:rPr>
          <w:rFonts w:ascii="Times New Roman" w:eastAsia="Times New Roman" w:hAnsi="Times New Roman" w:cs="Times New Roman"/>
          <w:b/>
          <w:bCs/>
          <w:color w:val="000000"/>
          <w:sz w:val="24"/>
          <w:szCs w:val="24"/>
        </w:rPr>
        <w:t xml:space="preserve">References </w:t>
      </w:r>
    </w:p>
    <w:p w14:paraId="23CF172E" w14:textId="51DCE5A9" w:rsidR="008F4595" w:rsidRPr="002C630D" w:rsidRDefault="005220F7" w:rsidP="008F4595">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[1] </w:t>
      </w:r>
      <w:r w:rsidR="008E3C47" w:rsidRPr="002C630D">
        <w:rPr>
          <w:rFonts w:asciiTheme="majorBidi" w:hAnsiTheme="majorBidi" w:cstheme="majorBidi"/>
          <w:noProof/>
          <w:sz w:val="24"/>
          <w:szCs w:val="24"/>
        </w:rPr>
        <w:t xml:space="preserve">    </w:t>
      </w:r>
      <w:r w:rsidR="00F162B7" w:rsidRPr="002C630D">
        <w:rPr>
          <w:rFonts w:asciiTheme="majorBidi" w:hAnsiTheme="majorBidi" w:cstheme="majorBidi"/>
          <w:noProof/>
          <w:sz w:val="24"/>
          <w:szCs w:val="24"/>
        </w:rPr>
        <w:t xml:space="preserve">Alhazzani W, Møller MH, Arabi YM, et al. Surviving sepsis campaign: guidelines </w:t>
      </w:r>
      <w:r w:rsidR="00937992">
        <w:rPr>
          <w:rFonts w:asciiTheme="majorBidi" w:hAnsiTheme="majorBidi" w:cstheme="majorBidi"/>
          <w:noProof/>
          <w:sz w:val="24"/>
          <w:szCs w:val="24"/>
        </w:rPr>
        <w:t>for managing</w:t>
      </w:r>
      <w:r w:rsidR="00F162B7" w:rsidRPr="002C630D">
        <w:rPr>
          <w:rFonts w:asciiTheme="majorBidi" w:hAnsiTheme="majorBidi" w:cstheme="majorBidi"/>
          <w:noProof/>
          <w:sz w:val="24"/>
          <w:szCs w:val="24"/>
        </w:rPr>
        <w:t xml:space="preserve"> critically </w:t>
      </w:r>
      <w:r w:rsidR="00EA5BA1">
        <w:rPr>
          <w:rFonts w:asciiTheme="majorBidi" w:hAnsiTheme="majorBidi" w:cstheme="majorBidi"/>
          <w:noProof/>
          <w:sz w:val="24"/>
          <w:szCs w:val="24"/>
        </w:rPr>
        <w:t>ill</w:t>
      </w:r>
      <w:r w:rsidR="00F162B7" w:rsidRPr="002C630D">
        <w:rPr>
          <w:rFonts w:asciiTheme="majorBidi" w:hAnsiTheme="majorBidi" w:cstheme="majorBidi"/>
          <w:noProof/>
          <w:sz w:val="24"/>
          <w:szCs w:val="24"/>
        </w:rPr>
        <w:t xml:space="preserve"> adults with Coronavirus disease 2019 (COVID-19). </w:t>
      </w:r>
      <w:r w:rsidR="00F162B7" w:rsidRPr="006838E5">
        <w:rPr>
          <w:rFonts w:asciiTheme="majorBidi" w:hAnsiTheme="majorBidi" w:cstheme="majorBidi"/>
          <w:noProof/>
          <w:sz w:val="24"/>
          <w:szCs w:val="24"/>
        </w:rPr>
        <w:t xml:space="preserve">Crit Care Med. 2020;48(6): e440–e469. </w:t>
      </w:r>
    </w:p>
    <w:p w14:paraId="55A8EFA6" w14:textId="62F56BF6" w:rsidR="0051337C" w:rsidRPr="002C630D" w:rsidRDefault="008F4595" w:rsidP="0051337C">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[2]     Gisbert JP, McNicholl AG. Questions and answers on the role of </w:t>
      </w:r>
      <w:r w:rsidR="00EA5BA1">
        <w:rPr>
          <w:rFonts w:asciiTheme="majorBidi" w:hAnsiTheme="majorBidi" w:cstheme="majorBidi"/>
          <w:noProof/>
          <w:sz w:val="24"/>
          <w:szCs w:val="24"/>
        </w:rPr>
        <w:t>fecal</w:t>
      </w:r>
      <w:r w:rsidRPr="002C630D">
        <w:rPr>
          <w:rFonts w:asciiTheme="majorBidi" w:hAnsiTheme="majorBidi" w:cstheme="majorBidi"/>
          <w:noProof/>
          <w:sz w:val="24"/>
          <w:szCs w:val="24"/>
        </w:rPr>
        <w:t xml:space="preserve"> calprotectin as a biological marker in inflammatory bowel disease. Dig Liver Dis. 2009 Jan. 41(1):56-66.</w:t>
      </w:r>
    </w:p>
    <w:p w14:paraId="30417CAD" w14:textId="77777777" w:rsidR="00EF2C24" w:rsidRPr="006838E5" w:rsidRDefault="0051337C" w:rsidP="00EF2C24">
      <w:pPr>
        <w:widowControl w:val="0"/>
        <w:autoSpaceDE w:val="0"/>
        <w:autoSpaceDN w:val="0"/>
        <w:adjustRightInd w:val="0"/>
        <w:spacing w:line="360" w:lineRule="auto"/>
        <w:ind w:left="640" w:hanging="640"/>
        <w:jc w:val="both"/>
        <w:rPr>
          <w:rFonts w:asciiTheme="majorBidi" w:hAnsiTheme="majorBidi" w:cstheme="majorBidi"/>
          <w:noProof/>
          <w:sz w:val="24"/>
          <w:szCs w:val="24"/>
          <w:lang w:val="de-DE"/>
        </w:rPr>
      </w:pPr>
      <w:r w:rsidRPr="002C630D">
        <w:rPr>
          <w:rFonts w:asciiTheme="majorBidi" w:hAnsiTheme="majorBidi" w:cstheme="majorBidi"/>
          <w:noProof/>
          <w:sz w:val="24"/>
          <w:szCs w:val="24"/>
        </w:rPr>
        <w:t>[</w:t>
      </w:r>
      <w:r w:rsidR="00726C12" w:rsidRPr="002C630D">
        <w:rPr>
          <w:rFonts w:asciiTheme="majorBidi" w:hAnsiTheme="majorBidi" w:cstheme="majorBidi"/>
          <w:noProof/>
          <w:sz w:val="24"/>
          <w:szCs w:val="24"/>
        </w:rPr>
        <w:t>3</w:t>
      </w:r>
      <w:r w:rsidRPr="002C630D">
        <w:rPr>
          <w:rFonts w:asciiTheme="majorBidi" w:hAnsiTheme="majorBidi" w:cstheme="majorBidi"/>
          <w:noProof/>
          <w:sz w:val="24"/>
          <w:szCs w:val="24"/>
        </w:rPr>
        <w:t xml:space="preserve">]  </w:t>
      </w:r>
      <w:r w:rsidR="00F162B7" w:rsidRPr="002C630D">
        <w:rPr>
          <w:rFonts w:asciiTheme="majorBidi" w:hAnsiTheme="majorBidi" w:cstheme="majorBidi"/>
          <w:noProof/>
          <w:sz w:val="24"/>
          <w:szCs w:val="24"/>
        </w:rPr>
        <w:t>Effenberger M, Grabherr F, Mayr L, et al. Faecal calprotectin indicates intestinal</w:t>
      </w:r>
      <w:r w:rsidR="00726C12" w:rsidRPr="002C630D">
        <w:rPr>
          <w:rFonts w:asciiTheme="majorBidi" w:hAnsiTheme="majorBidi" w:cstheme="majorBidi"/>
          <w:noProof/>
          <w:sz w:val="24"/>
          <w:szCs w:val="24"/>
        </w:rPr>
        <w:t xml:space="preserve"> </w:t>
      </w:r>
      <w:r w:rsidR="00F162B7" w:rsidRPr="002C630D">
        <w:rPr>
          <w:rFonts w:asciiTheme="majorBidi" w:hAnsiTheme="majorBidi" w:cstheme="majorBidi"/>
          <w:noProof/>
          <w:sz w:val="24"/>
          <w:szCs w:val="24"/>
        </w:rPr>
        <w:t xml:space="preserve">inflammation in COVID-19. </w:t>
      </w:r>
      <w:r w:rsidR="00F162B7" w:rsidRPr="006838E5">
        <w:rPr>
          <w:rFonts w:asciiTheme="majorBidi" w:hAnsiTheme="majorBidi" w:cstheme="majorBidi"/>
          <w:noProof/>
          <w:sz w:val="24"/>
          <w:szCs w:val="24"/>
          <w:lang w:val="de-DE"/>
        </w:rPr>
        <w:t>Gut 2020; 69(8):1543–1544.  gutjnl-2020-321388.</w:t>
      </w:r>
    </w:p>
    <w:p w14:paraId="23008A22" w14:textId="77777777" w:rsidR="00293871" w:rsidRPr="002C630D" w:rsidRDefault="00EF2C24" w:rsidP="00EF2C24">
      <w:pPr>
        <w:widowControl w:val="0"/>
        <w:autoSpaceDE w:val="0"/>
        <w:autoSpaceDN w:val="0"/>
        <w:adjustRightInd w:val="0"/>
        <w:spacing w:line="360" w:lineRule="auto"/>
        <w:ind w:left="640" w:hanging="640"/>
        <w:jc w:val="both"/>
      </w:pPr>
      <w:r w:rsidRPr="006838E5">
        <w:rPr>
          <w:rFonts w:asciiTheme="majorBidi" w:hAnsiTheme="majorBidi" w:cstheme="majorBidi"/>
          <w:noProof/>
          <w:sz w:val="24"/>
          <w:szCs w:val="24"/>
          <w:lang w:val="de-DE"/>
        </w:rPr>
        <w:t xml:space="preserve">[4]     </w:t>
      </w:r>
      <w:r w:rsidR="00D81D30" w:rsidRPr="006838E5">
        <w:rPr>
          <w:rFonts w:asciiTheme="majorBidi" w:hAnsiTheme="majorBidi" w:cstheme="majorBidi"/>
          <w:noProof/>
          <w:sz w:val="24"/>
          <w:szCs w:val="24"/>
          <w:lang w:val="de-DE"/>
        </w:rPr>
        <w:t xml:space="preserve">Lin L, Jiang X, Zhang Z, et al. </w:t>
      </w:r>
      <w:r w:rsidR="00D81D30" w:rsidRPr="002C630D">
        <w:rPr>
          <w:rFonts w:asciiTheme="majorBidi" w:hAnsiTheme="majorBidi" w:cstheme="majorBidi"/>
          <w:noProof/>
          <w:sz w:val="24"/>
          <w:szCs w:val="24"/>
        </w:rPr>
        <w:t xml:space="preserve">Gastrointestinal symptoms of 95 cases with </w:t>
      </w:r>
      <w:r w:rsidR="00262CD2" w:rsidRPr="002C630D">
        <w:rPr>
          <w:rFonts w:asciiTheme="majorBidi" w:hAnsiTheme="majorBidi" w:cstheme="majorBidi"/>
          <w:noProof/>
          <w:sz w:val="24"/>
          <w:szCs w:val="24"/>
        </w:rPr>
        <w:t>S</w:t>
      </w:r>
      <w:r w:rsidR="00D81D30" w:rsidRPr="002C630D">
        <w:rPr>
          <w:rFonts w:asciiTheme="majorBidi" w:hAnsiTheme="majorBidi" w:cstheme="majorBidi"/>
          <w:noProof/>
          <w:sz w:val="24"/>
          <w:szCs w:val="24"/>
        </w:rPr>
        <w:t>A</w:t>
      </w:r>
      <w:r w:rsidR="00262CD2" w:rsidRPr="002C630D">
        <w:rPr>
          <w:rFonts w:asciiTheme="majorBidi" w:hAnsiTheme="majorBidi" w:cstheme="majorBidi"/>
          <w:noProof/>
          <w:sz w:val="24"/>
          <w:szCs w:val="24"/>
        </w:rPr>
        <w:t>RS</w:t>
      </w:r>
      <w:r w:rsidR="00D81D30" w:rsidRPr="002C630D">
        <w:rPr>
          <w:rFonts w:asciiTheme="majorBidi" w:hAnsiTheme="majorBidi" w:cstheme="majorBidi"/>
          <w:noProof/>
          <w:sz w:val="24"/>
          <w:szCs w:val="24"/>
        </w:rPr>
        <w:t>-CoV-2 infection. Gut 2020;69:997–1001</w:t>
      </w:r>
      <w:r w:rsidR="00FA0380" w:rsidRPr="002C630D">
        <w:rPr>
          <w:rFonts w:asciiTheme="majorBidi" w:hAnsiTheme="majorBidi" w:cstheme="majorBidi"/>
          <w:noProof/>
          <w:sz w:val="24"/>
          <w:szCs w:val="24"/>
        </w:rPr>
        <w:t>.</w:t>
      </w:r>
    </w:p>
    <w:p w14:paraId="3244E8DA" w14:textId="77777777" w:rsidR="00CB78C4" w:rsidRPr="002C630D" w:rsidRDefault="00CB78C4" w:rsidP="00CB78C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[5]  Wang W, Xu Y, Gao R, et al. Detection of SARS-CoV-2 in different types of clinical specimens. JAMA 2020; 323(18):1843–1844. </w:t>
      </w:r>
    </w:p>
    <w:p w14:paraId="18A5AEC4" w14:textId="77777777" w:rsidR="00CB78C4" w:rsidRPr="002C630D" w:rsidRDefault="00CB78C4" w:rsidP="00CB78C4">
      <w:pPr>
        <w:widowControl w:val="0"/>
        <w:autoSpaceDE w:val="0"/>
        <w:autoSpaceDN w:val="0"/>
        <w:adjustRightInd w:val="0"/>
        <w:spacing w:line="360" w:lineRule="auto"/>
        <w:ind w:left="640" w:hanging="640"/>
        <w:rPr>
          <w:rFonts w:asciiTheme="majorBidi" w:hAnsiTheme="majorBidi" w:cstheme="majorBidi"/>
          <w:noProof/>
          <w:sz w:val="24"/>
          <w:szCs w:val="24"/>
        </w:rPr>
      </w:pPr>
      <w:r w:rsidRPr="002C630D">
        <w:rPr>
          <w:rFonts w:asciiTheme="majorBidi" w:hAnsiTheme="majorBidi" w:cstheme="majorBidi"/>
          <w:noProof/>
          <w:sz w:val="24"/>
          <w:szCs w:val="24"/>
        </w:rPr>
        <w:t>[6]  Kang M, Wei J, Yuan J, et al. Probable evidence of fecal aerosol transmission of SARS-CoV-2 in a high-rise building. Ann Intern Med 2020;173(12):974–980.</w:t>
      </w:r>
      <w:r w:rsidRPr="002C630D">
        <w:t xml:space="preserve"> </w:t>
      </w:r>
    </w:p>
    <w:p w14:paraId="272E5831" w14:textId="77777777" w:rsidR="00CB78C4" w:rsidRPr="002C630D" w:rsidRDefault="00CB78C4" w:rsidP="00CB78C4">
      <w:pPr>
        <w:widowControl w:val="0"/>
        <w:autoSpaceDE w:val="0"/>
        <w:autoSpaceDN w:val="0"/>
        <w:adjustRightInd w:val="0"/>
        <w:spacing w:line="360" w:lineRule="auto"/>
        <w:ind w:left="640" w:hanging="640"/>
        <w:rPr>
          <w:rFonts w:asciiTheme="majorBidi" w:hAnsiTheme="majorBidi" w:cstheme="majorBidi"/>
          <w:noProof/>
          <w:sz w:val="24"/>
          <w:szCs w:val="24"/>
        </w:rPr>
      </w:pPr>
      <w:r w:rsidRPr="002C630D">
        <w:rPr>
          <w:rFonts w:asciiTheme="majorBidi" w:hAnsiTheme="majorBidi" w:cstheme="majorBidi"/>
          <w:noProof/>
          <w:sz w:val="24"/>
          <w:szCs w:val="24"/>
        </w:rPr>
        <w:t>[7]  D’Amico F, Baumgart DC, Danese S, Peyrin-Biroulet L. Diarrhea during COVID-19 infection: pathogenesis, epidemiology, prevention and management. Clin Gastroenterol Hepatol 2020; 18(8):1663–1672.</w:t>
      </w:r>
    </w:p>
    <w:p w14:paraId="37FA121D" w14:textId="703A7D58" w:rsidR="00CB78C4" w:rsidRPr="002C630D" w:rsidRDefault="00CB78C4" w:rsidP="00CB78C4">
      <w:pPr>
        <w:widowControl w:val="0"/>
        <w:autoSpaceDE w:val="0"/>
        <w:autoSpaceDN w:val="0"/>
        <w:adjustRightInd w:val="0"/>
        <w:spacing w:line="360" w:lineRule="auto"/>
        <w:ind w:left="640" w:hanging="640"/>
        <w:rPr>
          <w:rFonts w:asciiTheme="majorBidi" w:hAnsiTheme="majorBidi" w:cstheme="majorBidi"/>
          <w:noProof/>
          <w:sz w:val="24"/>
          <w:szCs w:val="24"/>
          <w:lang w:val="da-DK"/>
        </w:rPr>
      </w:pPr>
      <w:r w:rsidRPr="002C630D">
        <w:rPr>
          <w:rFonts w:asciiTheme="majorBidi" w:hAnsiTheme="majorBidi" w:cstheme="majorBidi"/>
          <w:noProof/>
          <w:sz w:val="24"/>
          <w:szCs w:val="24"/>
        </w:rPr>
        <w:t xml:space="preserve">[8]  Goyal P, Choi JJ, Pinheiro LC, et al. Clinical characteristics of </w:t>
      </w:r>
      <w:r w:rsidR="00ED3FB7">
        <w:rPr>
          <w:rFonts w:asciiTheme="majorBidi" w:hAnsiTheme="majorBidi" w:cstheme="majorBidi"/>
          <w:noProof/>
          <w:sz w:val="24"/>
          <w:szCs w:val="24"/>
        </w:rPr>
        <w:t>COVID-19</w:t>
      </w:r>
      <w:r w:rsidRPr="002C630D">
        <w:rPr>
          <w:rFonts w:asciiTheme="majorBidi" w:hAnsiTheme="majorBidi" w:cstheme="majorBidi"/>
          <w:noProof/>
          <w:sz w:val="24"/>
          <w:szCs w:val="24"/>
        </w:rPr>
        <w:t xml:space="preserve"> in New York City. </w:t>
      </w:r>
      <w:r w:rsidRPr="002C630D">
        <w:rPr>
          <w:rFonts w:asciiTheme="majorBidi" w:hAnsiTheme="majorBidi" w:cstheme="majorBidi"/>
          <w:noProof/>
          <w:sz w:val="24"/>
          <w:szCs w:val="24"/>
          <w:lang w:val="da-DK"/>
        </w:rPr>
        <w:t>N Engl J Med 2020; 382(24):2372–2374.</w:t>
      </w:r>
    </w:p>
    <w:p w14:paraId="0F95B2DD" w14:textId="77777777" w:rsidR="00CB78C4" w:rsidRPr="002C630D" w:rsidRDefault="00CB78C4" w:rsidP="00CB78C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lang w:val="da-DK"/>
        </w:rPr>
        <w:t xml:space="preserve">[9]  Pan L, Mu M, Yang P, et al. </w:t>
      </w:r>
      <w:r w:rsidRPr="002C630D">
        <w:rPr>
          <w:rFonts w:asciiTheme="majorBidi" w:hAnsiTheme="majorBidi" w:cstheme="majorBidi"/>
          <w:noProof/>
          <w:sz w:val="24"/>
          <w:szCs w:val="24"/>
        </w:rPr>
        <w:t xml:space="preserve">Clinical characteristics of COVID-19 patients with digestive symptoms in Hubei, China: a descriptive, cross-sectional, multicenter study. Am J Gastroenterol 2020; 115(5):766–773. </w:t>
      </w:r>
    </w:p>
    <w:p w14:paraId="7CFB70F8" w14:textId="0EE790A2" w:rsidR="00CB78C4" w:rsidRPr="002C630D" w:rsidRDefault="00CB78C4" w:rsidP="00CB78C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[10]  Jin X, Lian J-S, Hu J-H, et al. Epidemiological, clinical</w:t>
      </w:r>
      <w:r w:rsidR="00ED3FB7">
        <w:rPr>
          <w:rFonts w:asciiTheme="majorBidi" w:hAnsiTheme="majorBidi" w:cstheme="majorBidi"/>
          <w:noProof/>
          <w:sz w:val="24"/>
          <w:szCs w:val="24"/>
        </w:rPr>
        <w:t>,</w:t>
      </w:r>
      <w:r w:rsidRPr="002C630D">
        <w:rPr>
          <w:rFonts w:asciiTheme="majorBidi" w:hAnsiTheme="majorBidi" w:cstheme="majorBidi"/>
          <w:noProof/>
          <w:sz w:val="24"/>
          <w:szCs w:val="24"/>
        </w:rPr>
        <w:t xml:space="preserve"> and virological characteristics of 74 cases of coronavirus-infected disease 2019 (COVID-19) with gastrointestinal symptoms. Gut. 2020; 69(6):1002–1009. </w:t>
      </w:r>
    </w:p>
    <w:p w14:paraId="5529CC22" w14:textId="77777777" w:rsidR="00CB78C4" w:rsidRPr="002C630D" w:rsidRDefault="00CB78C4" w:rsidP="00CB78C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[11]  Carvalho A, Alqusairi R, Adams A, et al. SARS-CoV-2 gastrointestinal infection causing hemorrhagic colitis: implications for detection and transmission of COVID-19 disease. Am J Gastroenterol 2020;115(6):942–946.</w:t>
      </w:r>
    </w:p>
    <w:p w14:paraId="3F891FE0" w14:textId="77777777" w:rsidR="00CB78C4" w:rsidRPr="002C630D" w:rsidRDefault="00CB78C4" w:rsidP="00CB78C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[12]  Cappell M. Moderately severe diarrhea and impaired renal function in COVID-19 disease. Am J Gastroenterol 2020; 115(6):947–948. </w:t>
      </w:r>
    </w:p>
    <w:p w14:paraId="7BA62563" w14:textId="21EA568A" w:rsidR="00C53274" w:rsidRDefault="00E023E8" w:rsidP="00C5327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w:t>
      </w:r>
      <w:r w:rsidR="0096529A" w:rsidRPr="002C630D">
        <w:rPr>
          <w:rFonts w:asciiTheme="majorBidi" w:hAnsiTheme="majorBidi" w:cstheme="majorBidi"/>
          <w:noProof/>
          <w:sz w:val="24"/>
          <w:szCs w:val="24"/>
        </w:rPr>
        <w:t>13</w:t>
      </w:r>
      <w:r w:rsidRPr="002C630D">
        <w:rPr>
          <w:rFonts w:asciiTheme="majorBidi" w:hAnsiTheme="majorBidi" w:cstheme="majorBidi"/>
          <w:noProof/>
          <w:sz w:val="24"/>
          <w:szCs w:val="24"/>
        </w:rPr>
        <w:t xml:space="preserve">]  </w:t>
      </w:r>
      <w:r w:rsidR="00C53274" w:rsidRPr="00C53274">
        <w:rPr>
          <w:rFonts w:asciiTheme="majorBidi" w:hAnsiTheme="majorBidi" w:cstheme="majorBidi"/>
          <w:noProof/>
          <w:sz w:val="24"/>
          <w:szCs w:val="24"/>
        </w:rPr>
        <w:t xml:space="preserve">Haimovich AD, Ravindra NG, Stoytchev S, </w:t>
      </w:r>
      <w:r w:rsidR="00BE30D8" w:rsidRPr="002C630D">
        <w:rPr>
          <w:rFonts w:asciiTheme="majorBidi" w:hAnsiTheme="majorBidi" w:cstheme="majorBidi"/>
          <w:noProof/>
          <w:sz w:val="24"/>
          <w:szCs w:val="24"/>
        </w:rPr>
        <w:t>et al</w:t>
      </w:r>
      <w:r w:rsidR="00C53274" w:rsidRPr="00C53274">
        <w:rPr>
          <w:rFonts w:asciiTheme="majorBidi" w:hAnsiTheme="majorBidi" w:cstheme="majorBidi"/>
          <w:noProof/>
          <w:sz w:val="24"/>
          <w:szCs w:val="24"/>
        </w:rPr>
        <w:t xml:space="preserve">. Development and Validation of the Quick COVID-19 Severity Index: A Prognostic Tool for Early Clinical Decompensation. Ann Emerg Med. 2020;76(4):442-453. </w:t>
      </w:r>
    </w:p>
    <w:p w14:paraId="6F77D45E" w14:textId="6C8D1687" w:rsidR="00C50BBF" w:rsidRPr="002C630D" w:rsidRDefault="00271D19" w:rsidP="00C5327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w:t>
      </w:r>
      <w:r w:rsidR="0096529A" w:rsidRPr="002C630D">
        <w:rPr>
          <w:rFonts w:asciiTheme="majorBidi" w:hAnsiTheme="majorBidi" w:cstheme="majorBidi"/>
          <w:noProof/>
          <w:sz w:val="24"/>
          <w:szCs w:val="24"/>
        </w:rPr>
        <w:t>14</w:t>
      </w:r>
      <w:r w:rsidRPr="002C630D">
        <w:rPr>
          <w:rFonts w:asciiTheme="majorBidi" w:hAnsiTheme="majorBidi" w:cstheme="majorBidi"/>
          <w:noProof/>
          <w:sz w:val="24"/>
          <w:szCs w:val="24"/>
        </w:rPr>
        <w:t xml:space="preserve">]  </w:t>
      </w:r>
      <w:r w:rsidR="00447EDA" w:rsidRPr="002C630D">
        <w:rPr>
          <w:rFonts w:asciiTheme="majorBidi" w:hAnsiTheme="majorBidi" w:cstheme="majorBidi"/>
          <w:noProof/>
          <w:sz w:val="24"/>
          <w:szCs w:val="24"/>
        </w:rPr>
        <w:t>Lin JF, Chen JM, Zuo JH, et al. Meta-analysis: fecal calprotectin for assessment of inflammatory bowel disease Inflamm Bowel Dis. 2014;20(8):1407–15.</w:t>
      </w:r>
    </w:p>
    <w:p w14:paraId="3D171A77" w14:textId="0C3E5DC5" w:rsidR="000A501A" w:rsidRPr="002C630D" w:rsidRDefault="00C50BBF" w:rsidP="00CE628E">
      <w:pPr>
        <w:widowControl w:val="0"/>
        <w:autoSpaceDE w:val="0"/>
        <w:autoSpaceDN w:val="0"/>
        <w:adjustRightInd w:val="0"/>
        <w:spacing w:line="360" w:lineRule="auto"/>
        <w:ind w:left="640" w:hanging="640"/>
        <w:jc w:val="both"/>
        <w:rPr>
          <w:rFonts w:asciiTheme="majorBidi" w:hAnsiTheme="majorBidi" w:cstheme="majorBidi"/>
          <w:noProof/>
          <w:sz w:val="24"/>
          <w:szCs w:val="24"/>
          <w:lang w:val="de-DE"/>
        </w:rPr>
      </w:pPr>
      <w:r w:rsidRPr="002C630D">
        <w:rPr>
          <w:rFonts w:asciiTheme="majorBidi" w:hAnsiTheme="majorBidi" w:cstheme="majorBidi"/>
          <w:noProof/>
          <w:sz w:val="24"/>
          <w:szCs w:val="24"/>
        </w:rPr>
        <w:t>[</w:t>
      </w:r>
      <w:r w:rsidR="0096529A" w:rsidRPr="002C630D">
        <w:rPr>
          <w:rFonts w:asciiTheme="majorBidi" w:hAnsiTheme="majorBidi" w:cstheme="majorBidi"/>
          <w:noProof/>
          <w:sz w:val="24"/>
          <w:szCs w:val="24"/>
        </w:rPr>
        <w:t>15</w:t>
      </w:r>
      <w:r w:rsidRPr="002C630D">
        <w:rPr>
          <w:rFonts w:asciiTheme="majorBidi" w:hAnsiTheme="majorBidi" w:cstheme="majorBidi"/>
          <w:noProof/>
          <w:sz w:val="24"/>
          <w:szCs w:val="24"/>
        </w:rPr>
        <w:t xml:space="preserve">]  </w:t>
      </w:r>
      <w:r w:rsidR="005C436C" w:rsidRPr="002C630D">
        <w:rPr>
          <w:rFonts w:asciiTheme="majorBidi" w:hAnsiTheme="majorBidi" w:cstheme="majorBidi"/>
          <w:noProof/>
          <w:sz w:val="24"/>
          <w:szCs w:val="24"/>
        </w:rPr>
        <w:t xml:space="preserve">Magro F, Lopes J, Borralho P, et al. Comparison of different histological indexes in the assessment of UC activity and their accuracy regarding endoscopic outcomes and faecal calprotectin levels. </w:t>
      </w:r>
      <w:r w:rsidR="005C436C" w:rsidRPr="002C630D">
        <w:rPr>
          <w:rFonts w:asciiTheme="majorBidi" w:hAnsiTheme="majorBidi" w:cstheme="majorBidi"/>
          <w:noProof/>
          <w:sz w:val="24"/>
          <w:szCs w:val="24"/>
          <w:lang w:val="de-DE"/>
        </w:rPr>
        <w:t>Gut 2019;68:594–603.</w:t>
      </w:r>
      <w:r w:rsidR="00CE628E" w:rsidRPr="002C630D">
        <w:rPr>
          <w:rFonts w:asciiTheme="majorBidi" w:hAnsiTheme="majorBidi" w:cstheme="majorBidi"/>
          <w:noProof/>
          <w:sz w:val="24"/>
          <w:szCs w:val="24"/>
          <w:lang w:val="de-DE"/>
        </w:rPr>
        <w:t xml:space="preserve"> </w:t>
      </w:r>
    </w:p>
    <w:p w14:paraId="0EC6FF41" w14:textId="3EC8D20A" w:rsidR="00CE628E" w:rsidRPr="002C630D" w:rsidRDefault="000A501A" w:rsidP="00CE628E">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lang w:val="de-DE"/>
        </w:rPr>
        <w:t>[</w:t>
      </w:r>
      <w:r w:rsidR="002C630D" w:rsidRPr="002C630D">
        <w:rPr>
          <w:rFonts w:asciiTheme="majorBidi" w:hAnsiTheme="majorBidi" w:cstheme="majorBidi"/>
          <w:noProof/>
          <w:sz w:val="24"/>
          <w:szCs w:val="24"/>
          <w:lang w:val="de-DE"/>
        </w:rPr>
        <w:t>16</w:t>
      </w:r>
      <w:r w:rsidRPr="002C630D">
        <w:rPr>
          <w:rFonts w:asciiTheme="majorBidi" w:hAnsiTheme="majorBidi" w:cstheme="majorBidi"/>
          <w:noProof/>
          <w:sz w:val="24"/>
          <w:szCs w:val="24"/>
          <w:lang w:val="de-DE"/>
        </w:rPr>
        <w:t xml:space="preserve">]  </w:t>
      </w:r>
      <w:r w:rsidR="00CE628E" w:rsidRPr="002C630D">
        <w:rPr>
          <w:rFonts w:asciiTheme="majorBidi" w:hAnsiTheme="majorBidi" w:cstheme="majorBidi"/>
          <w:noProof/>
          <w:sz w:val="24"/>
          <w:szCs w:val="24"/>
          <w:lang w:val="de-DE"/>
        </w:rPr>
        <w:t xml:space="preserve">Hoffmann M, Kleine-Weber H, schroeder s, et al. </w:t>
      </w:r>
      <w:r w:rsidR="00CE628E" w:rsidRPr="002C630D">
        <w:rPr>
          <w:rFonts w:asciiTheme="majorBidi" w:hAnsiTheme="majorBidi" w:cstheme="majorBidi"/>
          <w:noProof/>
          <w:sz w:val="24"/>
          <w:szCs w:val="24"/>
        </w:rPr>
        <w:t>SARS-CoV-2 cell entry depends on ACe2 and tMPrss2 and is blocked by a clinically proven protease inhibitor. Cell 2020. doi:10.1016/j.cell.2020.02.052. [epub ahead of print: 04 Mar 2020].</w:t>
      </w:r>
    </w:p>
    <w:p w14:paraId="66C29B83" w14:textId="080BCD4F" w:rsidR="00686F0B" w:rsidRPr="002C630D" w:rsidRDefault="005C5D3E" w:rsidP="00686F0B">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w:t>
      </w:r>
      <w:r w:rsidR="002C630D" w:rsidRPr="002C630D">
        <w:rPr>
          <w:rFonts w:asciiTheme="majorBidi" w:hAnsiTheme="majorBidi" w:cstheme="majorBidi"/>
          <w:noProof/>
          <w:sz w:val="24"/>
          <w:szCs w:val="24"/>
        </w:rPr>
        <w:t>17</w:t>
      </w:r>
      <w:r w:rsidRPr="002C630D">
        <w:rPr>
          <w:rFonts w:asciiTheme="majorBidi" w:hAnsiTheme="majorBidi" w:cstheme="majorBidi"/>
          <w:noProof/>
          <w:sz w:val="24"/>
          <w:szCs w:val="24"/>
        </w:rPr>
        <w:t xml:space="preserve">]  Zhang H, Kang Z, Gong H, et al. Digestive system is a potential route of COVID-19: an analysis of single-cell coexpression pattern of key proteins in viral entry process. </w:t>
      </w:r>
      <w:r w:rsidRPr="006838E5">
        <w:rPr>
          <w:rFonts w:asciiTheme="majorBidi" w:hAnsiTheme="majorBidi" w:cstheme="majorBidi"/>
          <w:noProof/>
          <w:sz w:val="24"/>
          <w:szCs w:val="24"/>
        </w:rPr>
        <w:t>Gut 2020;69:1010–8</w:t>
      </w:r>
      <w:r w:rsidR="009C6DCB" w:rsidRPr="006838E5">
        <w:rPr>
          <w:rFonts w:asciiTheme="majorBidi" w:hAnsiTheme="majorBidi" w:cstheme="majorBidi"/>
          <w:noProof/>
          <w:sz w:val="24"/>
          <w:szCs w:val="24"/>
        </w:rPr>
        <w:t xml:space="preserve"> </w:t>
      </w:r>
    </w:p>
    <w:p w14:paraId="0DB6BE5B" w14:textId="578584D2" w:rsidR="00C664FA" w:rsidRPr="002C630D" w:rsidRDefault="003F7496" w:rsidP="00C664FA">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[18]  </w:t>
      </w:r>
      <w:r w:rsidR="00C664FA" w:rsidRPr="002C630D">
        <w:rPr>
          <w:rFonts w:asciiTheme="majorBidi" w:hAnsiTheme="majorBidi" w:cstheme="majorBidi"/>
          <w:noProof/>
          <w:sz w:val="24"/>
          <w:szCs w:val="24"/>
        </w:rPr>
        <w:t>Cheung KS, Hung IF, Chan PP, et al. Gastrointestinal manifestations of SARS-CoV-2 infection and virus load in fecal samples from the Hong Kong cohort and systematic review and meta-analysis. Gastroenterology 2020; 159(1):81–95.</w:t>
      </w:r>
    </w:p>
    <w:p w14:paraId="6F2C6E93" w14:textId="77777777" w:rsidR="00CE6E75" w:rsidRPr="002C630D" w:rsidRDefault="003F7496" w:rsidP="00CE6E75">
      <w:pPr>
        <w:widowControl w:val="0"/>
        <w:autoSpaceDE w:val="0"/>
        <w:autoSpaceDN w:val="0"/>
        <w:adjustRightInd w:val="0"/>
        <w:spacing w:line="360" w:lineRule="auto"/>
        <w:ind w:left="640" w:hanging="640"/>
        <w:rPr>
          <w:rFonts w:ascii="Times New Roman" w:eastAsia="Calibri" w:hAnsi="Times New Roman" w:cs="Times New Roman"/>
          <w:noProof/>
          <w:sz w:val="24"/>
          <w:szCs w:val="24"/>
        </w:rPr>
      </w:pPr>
      <w:r w:rsidRPr="006838E5">
        <w:rPr>
          <w:rFonts w:asciiTheme="majorBidi" w:hAnsiTheme="majorBidi" w:cstheme="majorBidi"/>
          <w:noProof/>
          <w:sz w:val="24"/>
          <w:szCs w:val="24"/>
        </w:rPr>
        <w:t xml:space="preserve">[19]  </w:t>
      </w:r>
      <w:r w:rsidR="00C266A3" w:rsidRPr="006838E5">
        <w:rPr>
          <w:rFonts w:asciiTheme="majorBidi" w:hAnsiTheme="majorBidi" w:cstheme="majorBidi"/>
          <w:noProof/>
          <w:sz w:val="24"/>
          <w:szCs w:val="24"/>
        </w:rPr>
        <w:t xml:space="preserve">Liu J, Tao L, Liu X, et al. </w:t>
      </w:r>
      <w:r w:rsidR="00C266A3" w:rsidRPr="002C630D">
        <w:rPr>
          <w:rFonts w:asciiTheme="majorBidi" w:hAnsiTheme="majorBidi" w:cstheme="majorBidi"/>
          <w:noProof/>
          <w:sz w:val="24"/>
          <w:szCs w:val="24"/>
        </w:rPr>
        <w:t>GI symptoms and fever increase the risk of severe illness and death in patients with COVID-19. Gut 2020; 70(2):442–444.</w:t>
      </w:r>
      <w:r w:rsidR="00DE2CC7" w:rsidRPr="002C630D">
        <w:rPr>
          <w:rFonts w:ascii="Times New Roman" w:eastAsia="Calibri" w:hAnsi="Times New Roman" w:cs="Times New Roman"/>
          <w:noProof/>
          <w:sz w:val="24"/>
          <w:szCs w:val="24"/>
        </w:rPr>
        <w:t xml:space="preserve"> </w:t>
      </w:r>
    </w:p>
    <w:p w14:paraId="347BD750" w14:textId="07B3EB2F" w:rsidR="00DE2CC7" w:rsidRPr="002C630D" w:rsidRDefault="00FC5D28" w:rsidP="00FC5D28">
      <w:pPr>
        <w:widowControl w:val="0"/>
        <w:autoSpaceDE w:val="0"/>
        <w:autoSpaceDN w:val="0"/>
        <w:adjustRightInd w:val="0"/>
        <w:spacing w:line="360" w:lineRule="auto"/>
        <w:ind w:left="640" w:hanging="640"/>
        <w:rPr>
          <w:rFonts w:ascii="Times New Roman" w:eastAsia="Calibri" w:hAnsi="Times New Roman" w:cs="Times New Roman"/>
          <w:noProof/>
          <w:sz w:val="24"/>
          <w:szCs w:val="24"/>
        </w:rPr>
      </w:pPr>
      <w:r w:rsidRPr="006838E5">
        <w:rPr>
          <w:rFonts w:asciiTheme="majorBidi" w:hAnsiTheme="majorBidi" w:cstheme="majorBidi"/>
          <w:noProof/>
          <w:sz w:val="24"/>
          <w:szCs w:val="24"/>
        </w:rPr>
        <w:t xml:space="preserve">[20]  </w:t>
      </w:r>
      <w:r w:rsidR="00CE6E75" w:rsidRPr="006838E5">
        <w:rPr>
          <w:rFonts w:ascii="Times New Roman" w:eastAsia="Calibri" w:hAnsi="Times New Roman" w:cs="Times New Roman"/>
          <w:noProof/>
          <w:sz w:val="24"/>
          <w:szCs w:val="24"/>
        </w:rPr>
        <w:t xml:space="preserve">Nobel YR, Phipps M, Zucker J, et al. </w:t>
      </w:r>
      <w:r w:rsidR="00CE6E75" w:rsidRPr="002C630D">
        <w:rPr>
          <w:rFonts w:ascii="Times New Roman" w:eastAsia="Calibri" w:hAnsi="Times New Roman" w:cs="Times New Roman"/>
          <w:noProof/>
          <w:sz w:val="24"/>
          <w:szCs w:val="24"/>
        </w:rPr>
        <w:t>Gastrointestinal symptoms and COVID-19: case-control study from the United States. Gastroenterology</w:t>
      </w:r>
      <w:r w:rsidRPr="002C630D">
        <w:rPr>
          <w:rFonts w:ascii="Times New Roman" w:eastAsia="Calibri" w:hAnsi="Times New Roman" w:cs="Times New Roman"/>
          <w:noProof/>
          <w:sz w:val="24"/>
          <w:szCs w:val="24"/>
        </w:rPr>
        <w:t xml:space="preserve"> </w:t>
      </w:r>
      <w:r w:rsidR="00CE6E75" w:rsidRPr="002C630D">
        <w:rPr>
          <w:rFonts w:ascii="Times New Roman" w:eastAsia="Calibri" w:hAnsi="Times New Roman" w:cs="Times New Roman"/>
          <w:noProof/>
          <w:sz w:val="24"/>
          <w:szCs w:val="24"/>
        </w:rPr>
        <w:t xml:space="preserve">2020; 159(1):373–375. </w:t>
      </w:r>
    </w:p>
    <w:p w14:paraId="585BE75C" w14:textId="78D03EA7" w:rsidR="00DE2CC7" w:rsidRPr="002C630D" w:rsidRDefault="00DE2CC7" w:rsidP="00DE2CC7">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6838E5">
        <w:rPr>
          <w:rFonts w:asciiTheme="majorBidi" w:hAnsiTheme="majorBidi" w:cstheme="majorBidi"/>
          <w:noProof/>
          <w:sz w:val="24"/>
          <w:szCs w:val="24"/>
        </w:rPr>
        <w:t>[2</w:t>
      </w:r>
      <w:r w:rsidR="00FC5D28" w:rsidRPr="006838E5">
        <w:rPr>
          <w:rFonts w:asciiTheme="majorBidi" w:hAnsiTheme="majorBidi" w:cstheme="majorBidi"/>
          <w:noProof/>
          <w:sz w:val="24"/>
          <w:szCs w:val="24"/>
        </w:rPr>
        <w:t>1</w:t>
      </w:r>
      <w:r w:rsidRPr="006838E5">
        <w:rPr>
          <w:rFonts w:asciiTheme="majorBidi" w:hAnsiTheme="majorBidi" w:cstheme="majorBidi"/>
          <w:noProof/>
          <w:sz w:val="24"/>
          <w:szCs w:val="24"/>
        </w:rPr>
        <w:t xml:space="preserve">]  Zeng F, Huang Y, Guo Y, et al. </w:t>
      </w:r>
      <w:r w:rsidRPr="002C630D">
        <w:rPr>
          <w:rFonts w:asciiTheme="majorBidi" w:hAnsiTheme="majorBidi" w:cstheme="majorBidi"/>
          <w:noProof/>
          <w:sz w:val="24"/>
          <w:szCs w:val="24"/>
        </w:rPr>
        <w:t>Association of inflammatory markers with the severity of COVID-19: a meta-analysis [published online ahead of print, 2020 May 18]. Int J Infect Dis 2020;96:467–74.</w:t>
      </w:r>
    </w:p>
    <w:p w14:paraId="58C78707" w14:textId="744C50C8" w:rsidR="00DE2CC7" w:rsidRPr="00DE2CC7" w:rsidRDefault="00DE2CC7" w:rsidP="00DE2CC7">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DE2CC7">
        <w:rPr>
          <w:rFonts w:asciiTheme="majorBidi" w:hAnsiTheme="majorBidi" w:cstheme="majorBidi"/>
          <w:noProof/>
          <w:sz w:val="24"/>
          <w:szCs w:val="24"/>
        </w:rPr>
        <w:t>[</w:t>
      </w:r>
      <w:r w:rsidRPr="002C630D">
        <w:rPr>
          <w:rFonts w:asciiTheme="majorBidi" w:hAnsiTheme="majorBidi" w:cstheme="majorBidi"/>
          <w:noProof/>
          <w:sz w:val="24"/>
          <w:szCs w:val="24"/>
        </w:rPr>
        <w:t>2</w:t>
      </w:r>
      <w:r w:rsidR="00FC5D28" w:rsidRPr="002C630D">
        <w:rPr>
          <w:rFonts w:asciiTheme="majorBidi" w:hAnsiTheme="majorBidi" w:cstheme="majorBidi"/>
          <w:noProof/>
          <w:sz w:val="24"/>
          <w:szCs w:val="24"/>
        </w:rPr>
        <w:t>2</w:t>
      </w:r>
      <w:r w:rsidRPr="00DE2CC7">
        <w:rPr>
          <w:rFonts w:asciiTheme="majorBidi" w:hAnsiTheme="majorBidi" w:cstheme="majorBidi"/>
          <w:noProof/>
          <w:sz w:val="24"/>
          <w:szCs w:val="24"/>
        </w:rPr>
        <w:t>] Velavan TP, Meyer CG. Mild versus severe COVID-19: laboratory markers. Int J Infect Dis 2020;95:304–7.</w:t>
      </w:r>
    </w:p>
    <w:p w14:paraId="2A39248B" w14:textId="32218B42" w:rsidR="00CD58F1" w:rsidRPr="002C630D" w:rsidRDefault="006D70D0" w:rsidP="00862558">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6838E5">
        <w:rPr>
          <w:rFonts w:asciiTheme="majorBidi" w:hAnsiTheme="majorBidi" w:cstheme="majorBidi"/>
          <w:noProof/>
          <w:sz w:val="24"/>
          <w:szCs w:val="24"/>
        </w:rPr>
        <w:t>[2</w:t>
      </w:r>
      <w:r w:rsidR="00FC5D28" w:rsidRPr="006838E5">
        <w:rPr>
          <w:rFonts w:asciiTheme="majorBidi" w:hAnsiTheme="majorBidi" w:cstheme="majorBidi"/>
          <w:noProof/>
          <w:sz w:val="24"/>
          <w:szCs w:val="24"/>
        </w:rPr>
        <w:t>3</w:t>
      </w:r>
      <w:r w:rsidRPr="006838E5">
        <w:rPr>
          <w:rFonts w:asciiTheme="majorBidi" w:hAnsiTheme="majorBidi" w:cstheme="majorBidi"/>
          <w:noProof/>
          <w:sz w:val="24"/>
          <w:szCs w:val="24"/>
        </w:rPr>
        <w:t xml:space="preserve">] </w:t>
      </w:r>
      <w:r w:rsidR="00CD58F1" w:rsidRPr="006838E5">
        <w:rPr>
          <w:rFonts w:asciiTheme="majorBidi" w:hAnsiTheme="majorBidi" w:cstheme="majorBidi"/>
          <w:noProof/>
          <w:sz w:val="24"/>
          <w:szCs w:val="24"/>
        </w:rPr>
        <w:t xml:space="preserve">Cholankeril G, Podboy A, Aivaliotis VI, et al. </w:t>
      </w:r>
      <w:r w:rsidR="00CD58F1" w:rsidRPr="002C630D">
        <w:rPr>
          <w:rFonts w:asciiTheme="majorBidi" w:hAnsiTheme="majorBidi" w:cstheme="majorBidi"/>
          <w:noProof/>
          <w:sz w:val="24"/>
          <w:szCs w:val="24"/>
        </w:rPr>
        <w:t>High prevalence of concurrent gastrointestinal manifestations in patients with SARS-CoV-2: early</w:t>
      </w:r>
      <w:r w:rsidR="00862558"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experience from California. Gastroenterology 2020; 159(2):775–777.</w:t>
      </w:r>
    </w:p>
    <w:p w14:paraId="78694201" w14:textId="4F264A06" w:rsidR="00CD58F1" w:rsidRPr="002C630D" w:rsidRDefault="00A70B52" w:rsidP="00674400">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6838E5">
        <w:rPr>
          <w:rFonts w:asciiTheme="majorBidi" w:hAnsiTheme="majorBidi" w:cstheme="majorBidi"/>
          <w:noProof/>
          <w:sz w:val="24"/>
          <w:szCs w:val="24"/>
        </w:rPr>
        <w:t>[2</w:t>
      </w:r>
      <w:r w:rsidR="00FC5D28" w:rsidRPr="006838E5">
        <w:rPr>
          <w:rFonts w:asciiTheme="majorBidi" w:hAnsiTheme="majorBidi" w:cstheme="majorBidi"/>
          <w:noProof/>
          <w:sz w:val="24"/>
          <w:szCs w:val="24"/>
        </w:rPr>
        <w:t>4</w:t>
      </w:r>
      <w:r w:rsidRPr="006838E5">
        <w:rPr>
          <w:rFonts w:asciiTheme="majorBidi" w:hAnsiTheme="majorBidi" w:cstheme="majorBidi"/>
          <w:noProof/>
          <w:sz w:val="24"/>
          <w:szCs w:val="24"/>
        </w:rPr>
        <w:t xml:space="preserve">]  </w:t>
      </w:r>
      <w:r w:rsidR="00CD58F1" w:rsidRPr="006838E5">
        <w:rPr>
          <w:rFonts w:asciiTheme="majorBidi" w:hAnsiTheme="majorBidi" w:cstheme="majorBidi"/>
          <w:noProof/>
          <w:sz w:val="24"/>
          <w:szCs w:val="24"/>
        </w:rPr>
        <w:t xml:space="preserve">Nobel YR, Phipps M, Zucker J, et al. </w:t>
      </w:r>
      <w:r w:rsidR="00CD58F1" w:rsidRPr="002C630D">
        <w:rPr>
          <w:rFonts w:asciiTheme="majorBidi" w:hAnsiTheme="majorBidi" w:cstheme="majorBidi"/>
          <w:noProof/>
          <w:sz w:val="24"/>
          <w:szCs w:val="24"/>
        </w:rPr>
        <w:t>Gastrointestinal symptoms and</w:t>
      </w:r>
      <w:r w:rsidR="00674400"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 xml:space="preserve">COVID-19: </w:t>
      </w:r>
      <w:r w:rsidR="00135B78">
        <w:rPr>
          <w:rFonts w:asciiTheme="majorBidi" w:hAnsiTheme="majorBidi" w:cstheme="majorBidi"/>
          <w:noProof/>
          <w:sz w:val="24"/>
          <w:szCs w:val="24"/>
        </w:rPr>
        <w:t xml:space="preserve">a </w:t>
      </w:r>
      <w:r w:rsidR="00CD58F1" w:rsidRPr="002C630D">
        <w:rPr>
          <w:rFonts w:asciiTheme="majorBidi" w:hAnsiTheme="majorBidi" w:cstheme="majorBidi"/>
          <w:noProof/>
          <w:sz w:val="24"/>
          <w:szCs w:val="24"/>
        </w:rPr>
        <w:t>case-control study from the United States. Gastroenterology</w:t>
      </w:r>
      <w:r w:rsidR="00674400"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 xml:space="preserve">2020; 159(1):373–375. </w:t>
      </w:r>
    </w:p>
    <w:p w14:paraId="6A0FD9FD" w14:textId="45DD4BD1" w:rsidR="00821D39" w:rsidRPr="002C630D" w:rsidRDefault="00A70B52" w:rsidP="0085791F">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[2</w:t>
      </w:r>
      <w:r w:rsidR="009F63CC" w:rsidRPr="002C630D">
        <w:rPr>
          <w:rFonts w:asciiTheme="majorBidi" w:hAnsiTheme="majorBidi" w:cstheme="majorBidi"/>
          <w:noProof/>
          <w:sz w:val="24"/>
          <w:szCs w:val="24"/>
        </w:rPr>
        <w:t>5</w:t>
      </w:r>
      <w:r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Redd WD, Zhou JC, Hathorn KE, et al. Prevalence and characteristics</w:t>
      </w:r>
      <w:r w:rsidR="00674400"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of gastrointestinal symptoms in patients with SARS-CoV-2 infection in</w:t>
      </w:r>
      <w:r w:rsidR="00674400" w:rsidRPr="002C630D">
        <w:rPr>
          <w:rFonts w:asciiTheme="majorBidi" w:hAnsiTheme="majorBidi" w:cstheme="majorBidi"/>
          <w:noProof/>
          <w:sz w:val="24"/>
          <w:szCs w:val="24"/>
        </w:rPr>
        <w:t xml:space="preserve"> </w:t>
      </w:r>
      <w:r w:rsidR="00CD58F1" w:rsidRPr="002C630D">
        <w:rPr>
          <w:rFonts w:asciiTheme="majorBidi" w:hAnsiTheme="majorBidi" w:cstheme="majorBidi"/>
          <w:noProof/>
          <w:sz w:val="24"/>
          <w:szCs w:val="24"/>
        </w:rPr>
        <w:t xml:space="preserve">the United States: a multicenter cohort study. Gastroenterology 2020;159(2):765–767. </w:t>
      </w:r>
    </w:p>
    <w:p w14:paraId="0B7C9FA5" w14:textId="262826C6" w:rsidR="0085791F" w:rsidRPr="002C630D" w:rsidRDefault="00505E8D" w:rsidP="0085791F">
      <w:pPr>
        <w:widowControl w:val="0"/>
        <w:autoSpaceDE w:val="0"/>
        <w:autoSpaceDN w:val="0"/>
        <w:adjustRightInd w:val="0"/>
        <w:spacing w:line="360" w:lineRule="auto"/>
        <w:ind w:left="640" w:hanging="640"/>
        <w:jc w:val="both"/>
        <w:rPr>
          <w:rFonts w:asciiTheme="majorBidi" w:hAnsiTheme="majorBidi" w:cstheme="majorBidi"/>
          <w:noProof/>
          <w:sz w:val="24"/>
          <w:szCs w:val="24"/>
          <w:lang w:val="da-DK"/>
        </w:rPr>
      </w:pPr>
      <w:r w:rsidRPr="002C630D">
        <w:rPr>
          <w:rFonts w:asciiTheme="majorBidi" w:hAnsiTheme="majorBidi" w:cstheme="majorBidi"/>
          <w:noProof/>
          <w:sz w:val="24"/>
          <w:szCs w:val="24"/>
        </w:rPr>
        <w:t>[2</w:t>
      </w:r>
      <w:r w:rsidR="002C6F85" w:rsidRPr="002C630D">
        <w:rPr>
          <w:rFonts w:asciiTheme="majorBidi" w:hAnsiTheme="majorBidi" w:cstheme="majorBidi"/>
          <w:noProof/>
          <w:sz w:val="24"/>
          <w:szCs w:val="24"/>
        </w:rPr>
        <w:t>6</w:t>
      </w:r>
      <w:r w:rsidRPr="002C630D">
        <w:rPr>
          <w:rFonts w:asciiTheme="majorBidi" w:hAnsiTheme="majorBidi" w:cstheme="majorBidi"/>
          <w:noProof/>
          <w:sz w:val="24"/>
          <w:szCs w:val="24"/>
        </w:rPr>
        <w:t xml:space="preserve">]  </w:t>
      </w:r>
      <w:r w:rsidR="0085791F" w:rsidRPr="002C630D">
        <w:rPr>
          <w:rFonts w:asciiTheme="majorBidi" w:hAnsiTheme="majorBidi" w:cstheme="majorBidi"/>
          <w:noProof/>
          <w:sz w:val="24"/>
          <w:szCs w:val="24"/>
        </w:rPr>
        <w:t xml:space="preserve">Zhang H, Liao Y-S, Gong J, Liu J, Xia X, Zhang H. Clinical characteristics of coronavirus disease (COVID-19) patients with gastrointestinal symptoms: a report of 164 cases. </w:t>
      </w:r>
      <w:r w:rsidR="0085791F" w:rsidRPr="002C630D">
        <w:rPr>
          <w:rFonts w:asciiTheme="majorBidi" w:hAnsiTheme="majorBidi" w:cstheme="majorBidi"/>
          <w:noProof/>
          <w:sz w:val="24"/>
          <w:szCs w:val="24"/>
          <w:lang w:val="da-DK"/>
        </w:rPr>
        <w:t>Dig Liver Dis 2020; 52(10):1076–1079.</w:t>
      </w:r>
    </w:p>
    <w:p w14:paraId="3CA1133A" w14:textId="0D8C8D33" w:rsidR="0085791F" w:rsidRPr="002C630D" w:rsidRDefault="002C6F85" w:rsidP="00BE3404">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6838E5">
        <w:rPr>
          <w:rFonts w:asciiTheme="majorBidi" w:hAnsiTheme="majorBidi" w:cstheme="majorBidi"/>
          <w:noProof/>
          <w:sz w:val="24"/>
          <w:szCs w:val="24"/>
          <w:lang w:val="da-DK"/>
        </w:rPr>
        <w:t xml:space="preserve">[27]  </w:t>
      </w:r>
      <w:r w:rsidR="0085791F" w:rsidRPr="006838E5">
        <w:rPr>
          <w:rFonts w:asciiTheme="majorBidi" w:hAnsiTheme="majorBidi" w:cstheme="majorBidi"/>
          <w:noProof/>
          <w:sz w:val="24"/>
          <w:szCs w:val="24"/>
          <w:lang w:val="da-DK"/>
        </w:rPr>
        <w:t xml:space="preserve">Tang X, Wu C, Li X, et al. </w:t>
      </w:r>
      <w:r w:rsidR="0085791F" w:rsidRPr="002C630D">
        <w:rPr>
          <w:rFonts w:asciiTheme="majorBidi" w:hAnsiTheme="majorBidi" w:cstheme="majorBidi"/>
          <w:noProof/>
          <w:sz w:val="24"/>
          <w:szCs w:val="24"/>
        </w:rPr>
        <w:t>On the origin and continuing evolution of</w:t>
      </w:r>
      <w:r w:rsidR="00BE3404" w:rsidRPr="002C630D">
        <w:rPr>
          <w:rFonts w:asciiTheme="majorBidi" w:hAnsiTheme="majorBidi" w:cstheme="majorBidi"/>
          <w:noProof/>
          <w:sz w:val="24"/>
          <w:szCs w:val="24"/>
        </w:rPr>
        <w:t xml:space="preserve"> </w:t>
      </w:r>
      <w:r w:rsidR="0085791F" w:rsidRPr="002C630D">
        <w:rPr>
          <w:rFonts w:asciiTheme="majorBidi" w:hAnsiTheme="majorBidi" w:cstheme="majorBidi"/>
          <w:noProof/>
          <w:sz w:val="24"/>
          <w:szCs w:val="24"/>
        </w:rPr>
        <w:t>SARS-CoV-2. Natl Sci Rev 2020; Mar 3. doi:10.1093/nsr/nwaa036</w:t>
      </w:r>
    </w:p>
    <w:p w14:paraId="172BDA1D" w14:textId="690B7A37" w:rsidR="00D81EEC" w:rsidRDefault="00AF3134" w:rsidP="00D81EEC">
      <w:pPr>
        <w:widowControl w:val="0"/>
        <w:autoSpaceDE w:val="0"/>
        <w:autoSpaceDN w:val="0"/>
        <w:adjustRightInd w:val="0"/>
        <w:spacing w:line="360" w:lineRule="auto"/>
        <w:ind w:left="640" w:hanging="640"/>
        <w:jc w:val="both"/>
        <w:rPr>
          <w:rFonts w:asciiTheme="majorBidi" w:hAnsiTheme="majorBidi" w:cstheme="majorBidi"/>
          <w:noProof/>
          <w:sz w:val="24"/>
          <w:szCs w:val="24"/>
        </w:rPr>
      </w:pPr>
      <w:r w:rsidRPr="002C630D">
        <w:rPr>
          <w:rFonts w:asciiTheme="majorBidi" w:hAnsiTheme="majorBidi" w:cstheme="majorBidi"/>
          <w:noProof/>
          <w:sz w:val="24"/>
          <w:szCs w:val="24"/>
        </w:rPr>
        <w:t xml:space="preserve">[28]  </w:t>
      </w:r>
      <w:r w:rsidR="00D81EEC" w:rsidRPr="002C630D">
        <w:rPr>
          <w:rFonts w:asciiTheme="majorBidi" w:hAnsiTheme="majorBidi" w:cstheme="majorBidi"/>
          <w:noProof/>
          <w:sz w:val="24"/>
          <w:szCs w:val="24"/>
        </w:rPr>
        <w:t>Han C, Duan C, Zhang S, et al. Digestive symptoms in COVID-19 patients with mild disease severity: clinical presentation, stool viral RNA testing, and outcomes. Am J Gastroenterol 2020; 115(6):916–923.</w:t>
      </w:r>
    </w:p>
    <w:sectPr w:rsidR="00D81EEC" w:rsidSect="0013209D">
      <w:footerReference w:type="default" r:id="rId14"/>
      <w:pgSz w:w="12240" w:h="15840"/>
      <w:pgMar w:top="144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0000C" w14:textId="77777777" w:rsidR="003E6E8A" w:rsidRDefault="003E6E8A" w:rsidP="0042043F">
      <w:pPr>
        <w:spacing w:after="0" w:line="240" w:lineRule="auto"/>
      </w:pPr>
      <w:r>
        <w:separator/>
      </w:r>
    </w:p>
  </w:endnote>
  <w:endnote w:type="continuationSeparator" w:id="0">
    <w:p w14:paraId="2AEA392B" w14:textId="77777777" w:rsidR="003E6E8A" w:rsidRDefault="003E6E8A" w:rsidP="0042043F">
      <w:pPr>
        <w:spacing w:after="0" w:line="240" w:lineRule="auto"/>
      </w:pPr>
      <w:r>
        <w:continuationSeparator/>
      </w:r>
    </w:p>
  </w:endnote>
  <w:endnote w:type="continuationNotice" w:id="1">
    <w:p w14:paraId="70BD7D60" w14:textId="77777777" w:rsidR="003E6E8A" w:rsidRDefault="003E6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FrutigerLTPro-LightCnIt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vTimes">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Calibri" w:hAnsi="Times New Roman" w:cs="Times New Roman"/>
        <w:sz w:val="24"/>
        <w:szCs w:val="24"/>
        <w:lang w:bidi="ar-EG"/>
      </w:rPr>
      <w:id w:val="737216105"/>
      <w:docPartObj>
        <w:docPartGallery w:val="Page Numbers (Bottom of Page)"/>
        <w:docPartUnique/>
      </w:docPartObj>
    </w:sdtPr>
    <w:sdtContent>
      <w:sdt>
        <w:sdtPr>
          <w:rPr>
            <w:rFonts w:ascii="Calibri" w:eastAsia="Calibri" w:hAnsi="Calibri" w:cs="Arial"/>
          </w:rPr>
          <w:id w:val="705601247"/>
          <w:docPartObj>
            <w:docPartGallery w:val="Page Numbers (Bottom of Page)"/>
            <w:docPartUnique/>
          </w:docPartObj>
        </w:sdtPr>
        <w:sdtContent>
          <w:bookmarkStart w:id="1" w:name="_Hlk175408030" w:displacedByCustomXml="next"/>
          <w:sdt>
            <w:sdtPr>
              <w:rPr>
                <w:rFonts w:ascii="Calibri" w:eastAsia="Times New Roman" w:hAnsi="Calibri" w:cs="Times New Roman"/>
                <w:sz w:val="28"/>
                <w:szCs w:val="28"/>
              </w:rPr>
              <w:id w:val="307289815"/>
              <w:docPartObj>
                <w:docPartGallery w:val="Page Numbers (Bottom of Page)"/>
                <w:docPartUnique/>
              </w:docPartObj>
            </w:sdtPr>
            <w:sdtContent>
              <w:p w14:paraId="4DC5419C" w14:textId="49AEC5D5" w:rsidR="006711B4" w:rsidRPr="006711B4" w:rsidRDefault="006711B4" w:rsidP="006711B4">
                <w:pPr>
                  <w:pBdr>
                    <w:top w:val="thinThickSmallGap" w:sz="24" w:space="1" w:color="823B0B"/>
                  </w:pBdr>
                  <w:tabs>
                    <w:tab w:val="center" w:pos="4320"/>
                    <w:tab w:val="right" w:pos="8640"/>
                  </w:tabs>
                  <w:spacing w:after="240" w:line="480" w:lineRule="auto"/>
                  <w:ind w:firstLine="357"/>
                  <w:jc w:val="both"/>
                  <w:rPr>
                    <w:rFonts w:ascii="Calibri" w:eastAsia="Times New Roman" w:hAnsi="Calibri" w:cs="Times New Roman"/>
                    <w:noProof/>
                    <w:sz w:val="28"/>
                    <w:szCs w:val="28"/>
                  </w:rPr>
                </w:pPr>
                <w:r>
                  <w:rPr>
                    <w:rFonts w:ascii="Calibri" w:eastAsia="Calibri" w:hAnsi="Calibri" w:cs="Arial"/>
                  </w:rPr>
                  <w:t xml:space="preserve">Gad </w:t>
                </w:r>
                <w:r w:rsidRPr="006711B4">
                  <w:rPr>
                    <w:rFonts w:ascii="Calibri" w:eastAsia="Calibri" w:hAnsi="Calibri" w:cs="Arial"/>
                  </w:rPr>
                  <w:t xml:space="preserve">A </w:t>
                </w:r>
                <w:r>
                  <w:rPr>
                    <w:rFonts w:ascii="Calibri" w:eastAsia="Calibri" w:hAnsi="Calibri" w:cs="Arial"/>
                  </w:rPr>
                  <w:t>I e</w:t>
                </w:r>
                <w:r w:rsidRPr="006711B4">
                  <w:rPr>
                    <w:rFonts w:ascii="Calibri" w:eastAsia="Calibri" w:hAnsi="Calibri" w:cs="Arial"/>
                  </w:rPr>
                  <w:t>t al.2024</w:t>
                </w:r>
                <w:bookmarkEnd w:id="1"/>
                <w:r w:rsidRPr="006711B4">
                  <w:rPr>
                    <w:rFonts w:ascii="Calibri Light" w:eastAsia="Times New Roman" w:hAnsi="Calibri Light" w:cs="Times New Roman"/>
                  </w:rPr>
                  <w:ptab w:relativeTo="margin" w:alignment="right" w:leader="none"/>
                </w:r>
                <w:r w:rsidRPr="006711B4">
                  <w:rPr>
                    <w:rFonts w:ascii="Calibri Light" w:eastAsia="Times New Roman" w:hAnsi="Calibri Light" w:cs="Times New Roman"/>
                  </w:rPr>
                  <w:t xml:space="preserve"> </w:t>
                </w:r>
                <w:r w:rsidRPr="006711B4">
                  <w:rPr>
                    <w:rFonts w:ascii="Calibri" w:eastAsia="Times New Roman" w:hAnsi="Calibri" w:cs="Arial"/>
                  </w:rPr>
                  <w:fldChar w:fldCharType="begin"/>
                </w:r>
                <w:r w:rsidRPr="006711B4">
                  <w:rPr>
                    <w:rFonts w:ascii="Calibri" w:eastAsia="Calibri" w:hAnsi="Calibri" w:cs="Arial"/>
                  </w:rPr>
                  <w:instrText xml:space="preserve"> PAGE   \* MERGEFORMAT </w:instrText>
                </w:r>
                <w:r w:rsidRPr="006711B4">
                  <w:rPr>
                    <w:rFonts w:ascii="Calibri" w:eastAsia="Times New Roman" w:hAnsi="Calibri" w:cs="Arial"/>
                  </w:rPr>
                  <w:fldChar w:fldCharType="separate"/>
                </w:r>
                <w:r w:rsidRPr="006711B4">
                  <w:rPr>
                    <w:rFonts w:ascii="Calibri" w:eastAsia="Times New Roman" w:hAnsi="Calibri" w:cs="Arial"/>
                  </w:rPr>
                  <w:t>211</w:t>
                </w:r>
                <w:r w:rsidRPr="006711B4">
                  <w:rPr>
                    <w:rFonts w:ascii="Calibri Light" w:eastAsia="Times New Roman" w:hAnsi="Calibri Light" w:cs="Times New Roman"/>
                    <w:noProof/>
                  </w:rPr>
                  <w:fldChar w:fldCharType="end"/>
                </w:r>
              </w:p>
            </w:sdtContent>
          </w:sdt>
        </w:sdtContent>
      </w:sdt>
      <w:p w14:paraId="2372EE97" w14:textId="77777777" w:rsidR="006711B4" w:rsidRPr="006711B4" w:rsidRDefault="00000000" w:rsidP="006711B4">
        <w:pPr>
          <w:tabs>
            <w:tab w:val="center" w:pos="4153"/>
            <w:tab w:val="right" w:pos="8306"/>
          </w:tabs>
          <w:spacing w:after="0" w:line="240" w:lineRule="auto"/>
          <w:jc w:val="both"/>
          <w:rPr>
            <w:rFonts w:ascii="Times New Roman" w:eastAsia="Calibri" w:hAnsi="Times New Roman" w:cs="Times New Roman"/>
            <w:noProof/>
            <w:sz w:val="24"/>
            <w:szCs w:val="24"/>
            <w:lang w:bidi="ar-EG"/>
          </w:rPr>
        </w:pPr>
      </w:p>
    </w:sdtContent>
  </w:sdt>
  <w:p w14:paraId="36BF1FAB" w14:textId="77777777" w:rsidR="007C348F" w:rsidRDefault="007C3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Calibri" w:hAnsi="Times New Roman" w:cs="Times New Roman"/>
        <w:sz w:val="24"/>
        <w:szCs w:val="24"/>
        <w:lang w:bidi="ar-EG"/>
      </w:rPr>
      <w:id w:val="-219365742"/>
      <w:docPartObj>
        <w:docPartGallery w:val="Page Numbers (Bottom of Page)"/>
        <w:docPartUnique/>
      </w:docPartObj>
    </w:sdtPr>
    <w:sdtContent>
      <w:sdt>
        <w:sdtPr>
          <w:rPr>
            <w:rFonts w:ascii="Calibri" w:eastAsia="Calibri" w:hAnsi="Calibri" w:cs="Arial"/>
          </w:rPr>
          <w:id w:val="1593591980"/>
          <w:docPartObj>
            <w:docPartGallery w:val="Page Numbers (Bottom of Page)"/>
            <w:docPartUnique/>
          </w:docPartObj>
        </w:sdtPr>
        <w:sdtContent>
          <w:sdt>
            <w:sdtPr>
              <w:rPr>
                <w:rFonts w:ascii="Calibri" w:eastAsia="Times New Roman" w:hAnsi="Calibri" w:cs="Times New Roman"/>
                <w:sz w:val="28"/>
                <w:szCs w:val="28"/>
              </w:rPr>
              <w:id w:val="1259323819"/>
              <w:docPartObj>
                <w:docPartGallery w:val="Page Numbers (Bottom of Page)"/>
                <w:docPartUnique/>
              </w:docPartObj>
            </w:sdtPr>
            <w:sdtContent>
              <w:p w14:paraId="091A5845" w14:textId="700C8461" w:rsidR="006711B4" w:rsidRPr="006711B4" w:rsidRDefault="006711B4" w:rsidP="006711B4">
                <w:pPr>
                  <w:pBdr>
                    <w:top w:val="thinThickSmallGap" w:sz="24" w:space="1" w:color="823B0B"/>
                  </w:pBdr>
                  <w:tabs>
                    <w:tab w:val="center" w:pos="4320"/>
                    <w:tab w:val="right" w:pos="8640"/>
                  </w:tabs>
                  <w:spacing w:after="240" w:line="480" w:lineRule="auto"/>
                  <w:ind w:firstLine="357"/>
                  <w:jc w:val="both"/>
                  <w:rPr>
                    <w:rFonts w:ascii="Calibri" w:eastAsia="Times New Roman" w:hAnsi="Calibri" w:cs="Times New Roman"/>
                    <w:noProof/>
                    <w:sz w:val="28"/>
                    <w:szCs w:val="28"/>
                  </w:rPr>
                </w:pPr>
                <w:r>
                  <w:rPr>
                    <w:rFonts w:ascii="Calibri" w:eastAsia="Calibri" w:hAnsi="Calibri" w:cs="Arial"/>
                  </w:rPr>
                  <w:t xml:space="preserve">Gad </w:t>
                </w:r>
                <w:r w:rsidRPr="006711B4">
                  <w:rPr>
                    <w:rFonts w:ascii="Calibri" w:eastAsia="Calibri" w:hAnsi="Calibri" w:cs="Arial"/>
                  </w:rPr>
                  <w:t xml:space="preserve">A </w:t>
                </w:r>
                <w:r>
                  <w:rPr>
                    <w:rFonts w:ascii="Calibri" w:eastAsia="Calibri" w:hAnsi="Calibri" w:cs="Arial"/>
                  </w:rPr>
                  <w:t>I e</w:t>
                </w:r>
                <w:r w:rsidRPr="006711B4">
                  <w:rPr>
                    <w:rFonts w:ascii="Calibri" w:eastAsia="Calibri" w:hAnsi="Calibri" w:cs="Arial"/>
                  </w:rPr>
                  <w:t>t al.2024</w:t>
                </w:r>
                <w:r w:rsidRPr="006711B4">
                  <w:rPr>
                    <w:rFonts w:ascii="Calibri Light" w:eastAsia="Times New Roman" w:hAnsi="Calibri Light" w:cs="Times New Roman"/>
                  </w:rPr>
                  <w:ptab w:relativeTo="margin" w:alignment="right" w:leader="none"/>
                </w:r>
                <w:r w:rsidRPr="006711B4">
                  <w:rPr>
                    <w:rFonts w:ascii="Calibri Light" w:eastAsia="Times New Roman" w:hAnsi="Calibri Light" w:cs="Times New Roman"/>
                  </w:rPr>
                  <w:t xml:space="preserve"> </w:t>
                </w:r>
                <w:r w:rsidRPr="006711B4">
                  <w:rPr>
                    <w:rFonts w:ascii="Calibri" w:eastAsia="Times New Roman" w:hAnsi="Calibri" w:cs="Arial"/>
                  </w:rPr>
                  <w:fldChar w:fldCharType="begin"/>
                </w:r>
                <w:r w:rsidRPr="006711B4">
                  <w:rPr>
                    <w:rFonts w:ascii="Calibri" w:eastAsia="Calibri" w:hAnsi="Calibri" w:cs="Arial"/>
                  </w:rPr>
                  <w:instrText xml:space="preserve"> PAGE   \* MERGEFORMAT </w:instrText>
                </w:r>
                <w:r w:rsidRPr="006711B4">
                  <w:rPr>
                    <w:rFonts w:ascii="Calibri" w:eastAsia="Times New Roman" w:hAnsi="Calibri" w:cs="Arial"/>
                  </w:rPr>
                  <w:fldChar w:fldCharType="separate"/>
                </w:r>
                <w:r w:rsidRPr="006711B4">
                  <w:rPr>
                    <w:rFonts w:ascii="Calibri" w:eastAsia="Times New Roman" w:hAnsi="Calibri" w:cs="Arial"/>
                  </w:rPr>
                  <w:t>211</w:t>
                </w:r>
                <w:r w:rsidRPr="006711B4">
                  <w:rPr>
                    <w:rFonts w:ascii="Calibri Light" w:eastAsia="Times New Roman" w:hAnsi="Calibri Light" w:cs="Times New Roman"/>
                    <w:noProof/>
                  </w:rPr>
                  <w:fldChar w:fldCharType="end"/>
                </w:r>
              </w:p>
            </w:sdtContent>
          </w:sdt>
        </w:sdtContent>
      </w:sdt>
      <w:p w14:paraId="52B91559" w14:textId="77777777" w:rsidR="006711B4" w:rsidRPr="006711B4" w:rsidRDefault="00000000" w:rsidP="006711B4">
        <w:pPr>
          <w:tabs>
            <w:tab w:val="center" w:pos="4153"/>
            <w:tab w:val="right" w:pos="8306"/>
          </w:tabs>
          <w:spacing w:after="0" w:line="240" w:lineRule="auto"/>
          <w:jc w:val="both"/>
          <w:rPr>
            <w:rFonts w:ascii="Times New Roman" w:eastAsia="Calibri" w:hAnsi="Times New Roman" w:cs="Times New Roman"/>
            <w:noProof/>
            <w:sz w:val="24"/>
            <w:szCs w:val="24"/>
            <w:lang w:bidi="ar-EG"/>
          </w:rPr>
        </w:pPr>
      </w:p>
    </w:sdtContent>
  </w:sdt>
  <w:p w14:paraId="5DB76886" w14:textId="77777777" w:rsidR="000F5D2A" w:rsidRDefault="000F5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C67A" w14:textId="77777777" w:rsidR="003E6E8A" w:rsidRDefault="003E6E8A" w:rsidP="0042043F">
      <w:pPr>
        <w:spacing w:after="0" w:line="240" w:lineRule="auto"/>
      </w:pPr>
      <w:r>
        <w:separator/>
      </w:r>
    </w:p>
  </w:footnote>
  <w:footnote w:type="continuationSeparator" w:id="0">
    <w:p w14:paraId="13560C30" w14:textId="77777777" w:rsidR="003E6E8A" w:rsidRDefault="003E6E8A" w:rsidP="0042043F">
      <w:pPr>
        <w:spacing w:after="0" w:line="240" w:lineRule="auto"/>
      </w:pPr>
      <w:r>
        <w:continuationSeparator/>
      </w:r>
    </w:p>
  </w:footnote>
  <w:footnote w:type="continuationNotice" w:id="1">
    <w:p w14:paraId="123699F2" w14:textId="77777777" w:rsidR="003E6E8A" w:rsidRDefault="003E6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FFE32" w14:textId="77777777" w:rsidR="007C348F" w:rsidRPr="007C348F" w:rsidRDefault="007C348F" w:rsidP="007C348F">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7C348F">
      <w:rPr>
        <w:rFonts w:ascii="Cambria" w:eastAsia="Times New Roman" w:hAnsi="Cambria" w:cs="Times New Roman"/>
        <w:sz w:val="18"/>
        <w:szCs w:val="18"/>
      </w:rPr>
      <w:t>African journal of gastroenterology and hepatology</w:t>
    </w:r>
    <w:r w:rsidRPr="007C348F">
      <w:rPr>
        <w:rFonts w:ascii="Cambria" w:eastAsia="Times New Roman" w:hAnsi="Cambria" w:cs="Times New Roman"/>
        <w:sz w:val="18"/>
        <w:szCs w:val="18"/>
      </w:rPr>
      <w:tab/>
    </w:r>
    <w:r w:rsidRPr="007C348F">
      <w:rPr>
        <w:rFonts w:ascii="Calibri Light" w:eastAsia="Times New Roman" w:hAnsi="Calibri Light" w:cs="Times New Roman"/>
        <w:noProof/>
        <w:sz w:val="32"/>
        <w:szCs w:val="32"/>
      </w:rPr>
      <w:drawing>
        <wp:inline distT="0" distB="0" distL="0" distR="0" wp14:anchorId="45E8484F" wp14:editId="7B2AD649">
          <wp:extent cx="1447800" cy="209550"/>
          <wp:effectExtent l="0" t="0" r="0" b="0"/>
          <wp:docPr id="14358772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4BC7AA97" w14:textId="77777777" w:rsidR="007C348F" w:rsidRPr="007C348F" w:rsidRDefault="007C348F" w:rsidP="007C348F">
    <w:pPr>
      <w:tabs>
        <w:tab w:val="center" w:pos="4153"/>
        <w:tab w:val="right" w:pos="8306"/>
      </w:tabs>
      <w:spacing w:after="0" w:line="240" w:lineRule="auto"/>
      <w:ind w:firstLine="720"/>
      <w:jc w:val="both"/>
      <w:rPr>
        <w:rFonts w:ascii="Times New Roman" w:eastAsia="Calibri" w:hAnsi="Times New Roman" w:cs="Times New Roman"/>
        <w:sz w:val="24"/>
        <w:szCs w:val="24"/>
        <w:lang w:bidi="ar-EG"/>
      </w:rPr>
    </w:pPr>
  </w:p>
  <w:p w14:paraId="79E36E27" w14:textId="77777777" w:rsidR="007C348F" w:rsidRDefault="007C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32D24"/>
    <w:multiLevelType w:val="hybridMultilevel"/>
    <w:tmpl w:val="E780B3FC"/>
    <w:lvl w:ilvl="0" w:tplc="D7A0CA7E">
      <w:numFmt w:val="bullet"/>
      <w:lvlText w:val=""/>
      <w:lvlJc w:val="left"/>
      <w:pPr>
        <w:ind w:left="862" w:hanging="360"/>
      </w:pPr>
      <w:rPr>
        <w:rFonts w:ascii="Symbol" w:eastAsiaTheme="minorHAnsi" w:hAnsi="Symbol"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FC829C3"/>
    <w:multiLevelType w:val="hybridMultilevel"/>
    <w:tmpl w:val="8D08EB50"/>
    <w:lvl w:ilvl="0" w:tplc="44F244D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13597C52"/>
    <w:multiLevelType w:val="hybridMultilevel"/>
    <w:tmpl w:val="5198A3A6"/>
    <w:lvl w:ilvl="0" w:tplc="BC0CC316">
      <w:start w:val="1"/>
      <w:numFmt w:val="decimal"/>
      <w:lvlText w:val="%1-"/>
      <w:lvlJc w:val="left"/>
      <w:pPr>
        <w:ind w:left="786" w:hanging="360"/>
      </w:pPr>
      <w:rPr>
        <w:b/>
        <w:b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15:restartNumberingAfterBreak="0">
    <w:nsid w:val="33630B68"/>
    <w:multiLevelType w:val="multilevel"/>
    <w:tmpl w:val="BFBE92B0"/>
    <w:lvl w:ilvl="0">
      <w:start w:val="1"/>
      <w:numFmt w:val="decimal"/>
      <w:pStyle w:val="Heading1"/>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584BC6"/>
    <w:multiLevelType w:val="hybridMultilevel"/>
    <w:tmpl w:val="E8DE0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8775C"/>
    <w:multiLevelType w:val="hybridMultilevel"/>
    <w:tmpl w:val="BF5019BE"/>
    <w:lvl w:ilvl="0" w:tplc="992E25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42D4D"/>
    <w:multiLevelType w:val="hybridMultilevel"/>
    <w:tmpl w:val="07D8491A"/>
    <w:lvl w:ilvl="0" w:tplc="D05AADE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554598">
    <w:abstractNumId w:val="4"/>
  </w:num>
  <w:num w:numId="2" w16cid:durableId="1811677308">
    <w:abstractNumId w:val="6"/>
  </w:num>
  <w:num w:numId="3" w16cid:durableId="93247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427160">
    <w:abstractNumId w:val="3"/>
  </w:num>
  <w:num w:numId="5" w16cid:durableId="1283918099">
    <w:abstractNumId w:val="1"/>
  </w:num>
  <w:num w:numId="6" w16cid:durableId="102848438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437858">
    <w:abstractNumId w:val="3"/>
  </w:num>
  <w:num w:numId="8" w16cid:durableId="10296323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3431303">
    <w:abstractNumId w:val="3"/>
  </w:num>
  <w:num w:numId="10" w16cid:durableId="1827087803">
    <w:abstractNumId w:val="3"/>
  </w:num>
  <w:num w:numId="11" w16cid:durableId="1996176826">
    <w:abstractNumId w:val="0"/>
  </w:num>
  <w:num w:numId="12" w16cid:durableId="210925165">
    <w:abstractNumId w:val="5"/>
  </w:num>
  <w:num w:numId="13" w16cid:durableId="562718582">
    <w:abstractNumId w:val="3"/>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2tDAwM7M0MjYwtzBT0lEKTi0uzszPAykwNKkFANHnrtgtAAAA"/>
  </w:docVars>
  <w:rsids>
    <w:rsidRoot w:val="00957B85"/>
    <w:rsid w:val="000009BE"/>
    <w:rsid w:val="00000CBC"/>
    <w:rsid w:val="00001387"/>
    <w:rsid w:val="00002AA1"/>
    <w:rsid w:val="0000327A"/>
    <w:rsid w:val="0000590E"/>
    <w:rsid w:val="000061F6"/>
    <w:rsid w:val="00006F1C"/>
    <w:rsid w:val="0001129A"/>
    <w:rsid w:val="000114D7"/>
    <w:rsid w:val="0001167A"/>
    <w:rsid w:val="0001315D"/>
    <w:rsid w:val="00015760"/>
    <w:rsid w:val="000158CA"/>
    <w:rsid w:val="00021E7E"/>
    <w:rsid w:val="0002292C"/>
    <w:rsid w:val="00023B89"/>
    <w:rsid w:val="00024214"/>
    <w:rsid w:val="0002442A"/>
    <w:rsid w:val="00025136"/>
    <w:rsid w:val="00026D18"/>
    <w:rsid w:val="00027572"/>
    <w:rsid w:val="00030116"/>
    <w:rsid w:val="0003140F"/>
    <w:rsid w:val="000316F5"/>
    <w:rsid w:val="00031AA3"/>
    <w:rsid w:val="000322F0"/>
    <w:rsid w:val="00032B0F"/>
    <w:rsid w:val="00034339"/>
    <w:rsid w:val="00034965"/>
    <w:rsid w:val="00035564"/>
    <w:rsid w:val="00035CBC"/>
    <w:rsid w:val="00035CF4"/>
    <w:rsid w:val="00037760"/>
    <w:rsid w:val="000379C9"/>
    <w:rsid w:val="00037A6D"/>
    <w:rsid w:val="00037BE8"/>
    <w:rsid w:val="00040B24"/>
    <w:rsid w:val="00040BE9"/>
    <w:rsid w:val="00040EC9"/>
    <w:rsid w:val="000413CD"/>
    <w:rsid w:val="000417CF"/>
    <w:rsid w:val="0004339A"/>
    <w:rsid w:val="00045007"/>
    <w:rsid w:val="000467EC"/>
    <w:rsid w:val="00046F96"/>
    <w:rsid w:val="000511E9"/>
    <w:rsid w:val="00051C43"/>
    <w:rsid w:val="00051DA7"/>
    <w:rsid w:val="00055A56"/>
    <w:rsid w:val="000602F9"/>
    <w:rsid w:val="0006130B"/>
    <w:rsid w:val="000613DC"/>
    <w:rsid w:val="00061CFB"/>
    <w:rsid w:val="0006294E"/>
    <w:rsid w:val="0006324E"/>
    <w:rsid w:val="0006371E"/>
    <w:rsid w:val="00063B38"/>
    <w:rsid w:val="00064B3C"/>
    <w:rsid w:val="0006573D"/>
    <w:rsid w:val="00065D94"/>
    <w:rsid w:val="00066E6E"/>
    <w:rsid w:val="00071042"/>
    <w:rsid w:val="00071A32"/>
    <w:rsid w:val="0007250B"/>
    <w:rsid w:val="00072EBD"/>
    <w:rsid w:val="00073E7F"/>
    <w:rsid w:val="00074A8B"/>
    <w:rsid w:val="000753ED"/>
    <w:rsid w:val="000755B5"/>
    <w:rsid w:val="00076206"/>
    <w:rsid w:val="00077147"/>
    <w:rsid w:val="000775CC"/>
    <w:rsid w:val="00080775"/>
    <w:rsid w:val="00081162"/>
    <w:rsid w:val="00083056"/>
    <w:rsid w:val="00086CC7"/>
    <w:rsid w:val="0008709B"/>
    <w:rsid w:val="0008712A"/>
    <w:rsid w:val="00087809"/>
    <w:rsid w:val="00087F2B"/>
    <w:rsid w:val="00090B5C"/>
    <w:rsid w:val="000916AA"/>
    <w:rsid w:val="00092299"/>
    <w:rsid w:val="00093F5C"/>
    <w:rsid w:val="00094091"/>
    <w:rsid w:val="000946FB"/>
    <w:rsid w:val="000953A7"/>
    <w:rsid w:val="000979C7"/>
    <w:rsid w:val="000A19ED"/>
    <w:rsid w:val="000A2664"/>
    <w:rsid w:val="000A29C1"/>
    <w:rsid w:val="000A3BAF"/>
    <w:rsid w:val="000A501A"/>
    <w:rsid w:val="000A5DF4"/>
    <w:rsid w:val="000A6DC8"/>
    <w:rsid w:val="000A7424"/>
    <w:rsid w:val="000B039B"/>
    <w:rsid w:val="000B327F"/>
    <w:rsid w:val="000B5347"/>
    <w:rsid w:val="000B55CE"/>
    <w:rsid w:val="000B5C5A"/>
    <w:rsid w:val="000B6408"/>
    <w:rsid w:val="000B679F"/>
    <w:rsid w:val="000B6C2D"/>
    <w:rsid w:val="000B730B"/>
    <w:rsid w:val="000C003A"/>
    <w:rsid w:val="000C0C1B"/>
    <w:rsid w:val="000C18D6"/>
    <w:rsid w:val="000C5B6B"/>
    <w:rsid w:val="000C5D20"/>
    <w:rsid w:val="000C5F86"/>
    <w:rsid w:val="000C6B7F"/>
    <w:rsid w:val="000C77DE"/>
    <w:rsid w:val="000D12BF"/>
    <w:rsid w:val="000D1D6E"/>
    <w:rsid w:val="000D2336"/>
    <w:rsid w:val="000D2BDD"/>
    <w:rsid w:val="000D49D9"/>
    <w:rsid w:val="000D671E"/>
    <w:rsid w:val="000D680E"/>
    <w:rsid w:val="000E02EA"/>
    <w:rsid w:val="000E0D19"/>
    <w:rsid w:val="000E0E82"/>
    <w:rsid w:val="000E119C"/>
    <w:rsid w:val="000E2FB9"/>
    <w:rsid w:val="000E3057"/>
    <w:rsid w:val="000E3E5B"/>
    <w:rsid w:val="000E3EFF"/>
    <w:rsid w:val="000E4862"/>
    <w:rsid w:val="000E4C21"/>
    <w:rsid w:val="000E52CF"/>
    <w:rsid w:val="000E7C2A"/>
    <w:rsid w:val="000E7EF9"/>
    <w:rsid w:val="000F0988"/>
    <w:rsid w:val="000F20D3"/>
    <w:rsid w:val="000F5468"/>
    <w:rsid w:val="000F5D2A"/>
    <w:rsid w:val="000F6D76"/>
    <w:rsid w:val="000F6E5E"/>
    <w:rsid w:val="000F7975"/>
    <w:rsid w:val="000F7AA6"/>
    <w:rsid w:val="00100175"/>
    <w:rsid w:val="00100286"/>
    <w:rsid w:val="00101318"/>
    <w:rsid w:val="00104C29"/>
    <w:rsid w:val="00105734"/>
    <w:rsid w:val="001059C1"/>
    <w:rsid w:val="00105EFD"/>
    <w:rsid w:val="0010641D"/>
    <w:rsid w:val="00107073"/>
    <w:rsid w:val="0011013D"/>
    <w:rsid w:val="00110788"/>
    <w:rsid w:val="00111134"/>
    <w:rsid w:val="001116B1"/>
    <w:rsid w:val="00112A53"/>
    <w:rsid w:val="00113CDD"/>
    <w:rsid w:val="001144AF"/>
    <w:rsid w:val="00116840"/>
    <w:rsid w:val="00116ABB"/>
    <w:rsid w:val="00117B4D"/>
    <w:rsid w:val="00120E97"/>
    <w:rsid w:val="0012126A"/>
    <w:rsid w:val="0012127D"/>
    <w:rsid w:val="00121351"/>
    <w:rsid w:val="00121953"/>
    <w:rsid w:val="0012221E"/>
    <w:rsid w:val="0012392F"/>
    <w:rsid w:val="00125656"/>
    <w:rsid w:val="00125E46"/>
    <w:rsid w:val="00126DA5"/>
    <w:rsid w:val="001308BB"/>
    <w:rsid w:val="001308C4"/>
    <w:rsid w:val="00130B6A"/>
    <w:rsid w:val="00130C9E"/>
    <w:rsid w:val="001313EF"/>
    <w:rsid w:val="00131C38"/>
    <w:rsid w:val="0013209D"/>
    <w:rsid w:val="00133E4B"/>
    <w:rsid w:val="00134E39"/>
    <w:rsid w:val="00135B78"/>
    <w:rsid w:val="00137522"/>
    <w:rsid w:val="0013780A"/>
    <w:rsid w:val="00140066"/>
    <w:rsid w:val="001424EC"/>
    <w:rsid w:val="00142C0B"/>
    <w:rsid w:val="001431C5"/>
    <w:rsid w:val="0014348E"/>
    <w:rsid w:val="00143646"/>
    <w:rsid w:val="0014441A"/>
    <w:rsid w:val="001459E2"/>
    <w:rsid w:val="00146360"/>
    <w:rsid w:val="0015436F"/>
    <w:rsid w:val="0015442E"/>
    <w:rsid w:val="00154919"/>
    <w:rsid w:val="00156AB1"/>
    <w:rsid w:val="00157B7F"/>
    <w:rsid w:val="00157B9F"/>
    <w:rsid w:val="00157CC0"/>
    <w:rsid w:val="001602A0"/>
    <w:rsid w:val="00160B57"/>
    <w:rsid w:val="00161DDD"/>
    <w:rsid w:val="001636D1"/>
    <w:rsid w:val="00163875"/>
    <w:rsid w:val="00164A24"/>
    <w:rsid w:val="001654E0"/>
    <w:rsid w:val="00167EB2"/>
    <w:rsid w:val="001703A3"/>
    <w:rsid w:val="001708AB"/>
    <w:rsid w:val="0017095E"/>
    <w:rsid w:val="0017161E"/>
    <w:rsid w:val="00171841"/>
    <w:rsid w:val="00171D11"/>
    <w:rsid w:val="0017261D"/>
    <w:rsid w:val="0017262F"/>
    <w:rsid w:val="001744ED"/>
    <w:rsid w:val="0017459C"/>
    <w:rsid w:val="00175A9A"/>
    <w:rsid w:val="001774DC"/>
    <w:rsid w:val="0018001E"/>
    <w:rsid w:val="00180D09"/>
    <w:rsid w:val="00181392"/>
    <w:rsid w:val="00182852"/>
    <w:rsid w:val="00182CB2"/>
    <w:rsid w:val="00184694"/>
    <w:rsid w:val="00184900"/>
    <w:rsid w:val="001849F4"/>
    <w:rsid w:val="00185278"/>
    <w:rsid w:val="00185A95"/>
    <w:rsid w:val="001861A6"/>
    <w:rsid w:val="00190726"/>
    <w:rsid w:val="00190ECA"/>
    <w:rsid w:val="001921EF"/>
    <w:rsid w:val="00192643"/>
    <w:rsid w:val="001937D5"/>
    <w:rsid w:val="00194450"/>
    <w:rsid w:val="0019583B"/>
    <w:rsid w:val="001974E3"/>
    <w:rsid w:val="00197C39"/>
    <w:rsid w:val="001A3848"/>
    <w:rsid w:val="001A4DC3"/>
    <w:rsid w:val="001A60C6"/>
    <w:rsid w:val="001A6AFF"/>
    <w:rsid w:val="001B06C2"/>
    <w:rsid w:val="001B243A"/>
    <w:rsid w:val="001B272B"/>
    <w:rsid w:val="001B30B5"/>
    <w:rsid w:val="001B37D3"/>
    <w:rsid w:val="001B49B3"/>
    <w:rsid w:val="001B57EA"/>
    <w:rsid w:val="001B5997"/>
    <w:rsid w:val="001C184E"/>
    <w:rsid w:val="001C2294"/>
    <w:rsid w:val="001C2BC9"/>
    <w:rsid w:val="001C3391"/>
    <w:rsid w:val="001C6562"/>
    <w:rsid w:val="001D2028"/>
    <w:rsid w:val="001D25CC"/>
    <w:rsid w:val="001D333F"/>
    <w:rsid w:val="001D5935"/>
    <w:rsid w:val="001D5CF2"/>
    <w:rsid w:val="001D66E0"/>
    <w:rsid w:val="001D6913"/>
    <w:rsid w:val="001D6CCB"/>
    <w:rsid w:val="001E0760"/>
    <w:rsid w:val="001E12E3"/>
    <w:rsid w:val="001E2521"/>
    <w:rsid w:val="001E31C6"/>
    <w:rsid w:val="001E4635"/>
    <w:rsid w:val="001E4B8A"/>
    <w:rsid w:val="001E5C29"/>
    <w:rsid w:val="001E5E51"/>
    <w:rsid w:val="001F0088"/>
    <w:rsid w:val="001F1355"/>
    <w:rsid w:val="001F2832"/>
    <w:rsid w:val="001F4E6F"/>
    <w:rsid w:val="001F65EB"/>
    <w:rsid w:val="00200B40"/>
    <w:rsid w:val="00201921"/>
    <w:rsid w:val="00202D2A"/>
    <w:rsid w:val="00203594"/>
    <w:rsid w:val="0020366D"/>
    <w:rsid w:val="00203A42"/>
    <w:rsid w:val="002046F6"/>
    <w:rsid w:val="0020532F"/>
    <w:rsid w:val="002063DB"/>
    <w:rsid w:val="0020653D"/>
    <w:rsid w:val="002070E7"/>
    <w:rsid w:val="00207225"/>
    <w:rsid w:val="002072BA"/>
    <w:rsid w:val="0020798D"/>
    <w:rsid w:val="00207EA1"/>
    <w:rsid w:val="00210DF1"/>
    <w:rsid w:val="0021234E"/>
    <w:rsid w:val="00212D61"/>
    <w:rsid w:val="0021460F"/>
    <w:rsid w:val="00216C61"/>
    <w:rsid w:val="0022144D"/>
    <w:rsid w:val="00221A71"/>
    <w:rsid w:val="00224C42"/>
    <w:rsid w:val="00224FEC"/>
    <w:rsid w:val="0022552A"/>
    <w:rsid w:val="00225A1B"/>
    <w:rsid w:val="0022664A"/>
    <w:rsid w:val="00227145"/>
    <w:rsid w:val="002306C7"/>
    <w:rsid w:val="002316AB"/>
    <w:rsid w:val="002324AC"/>
    <w:rsid w:val="00233887"/>
    <w:rsid w:val="00234459"/>
    <w:rsid w:val="0023501C"/>
    <w:rsid w:val="0023581D"/>
    <w:rsid w:val="0023595B"/>
    <w:rsid w:val="00237278"/>
    <w:rsid w:val="00240888"/>
    <w:rsid w:val="002408F6"/>
    <w:rsid w:val="00241688"/>
    <w:rsid w:val="00242ACA"/>
    <w:rsid w:val="00245AF6"/>
    <w:rsid w:val="002461BB"/>
    <w:rsid w:val="002467CE"/>
    <w:rsid w:val="00247B19"/>
    <w:rsid w:val="00247D69"/>
    <w:rsid w:val="00247DFF"/>
    <w:rsid w:val="00250CEB"/>
    <w:rsid w:val="002513B1"/>
    <w:rsid w:val="00252379"/>
    <w:rsid w:val="002524AA"/>
    <w:rsid w:val="0025302D"/>
    <w:rsid w:val="00253F65"/>
    <w:rsid w:val="00255FD4"/>
    <w:rsid w:val="00257C19"/>
    <w:rsid w:val="002611E9"/>
    <w:rsid w:val="0026186C"/>
    <w:rsid w:val="00261C23"/>
    <w:rsid w:val="00262CD2"/>
    <w:rsid w:val="00262F0D"/>
    <w:rsid w:val="00262FEE"/>
    <w:rsid w:val="00263113"/>
    <w:rsid w:val="002639DD"/>
    <w:rsid w:val="002666FA"/>
    <w:rsid w:val="00267058"/>
    <w:rsid w:val="00267551"/>
    <w:rsid w:val="00267F40"/>
    <w:rsid w:val="002706E0"/>
    <w:rsid w:val="00270BD9"/>
    <w:rsid w:val="0027191F"/>
    <w:rsid w:val="00271D19"/>
    <w:rsid w:val="00272B29"/>
    <w:rsid w:val="002735CF"/>
    <w:rsid w:val="00273BBE"/>
    <w:rsid w:val="002746AF"/>
    <w:rsid w:val="002751F1"/>
    <w:rsid w:val="002776AD"/>
    <w:rsid w:val="002806E3"/>
    <w:rsid w:val="00280EFA"/>
    <w:rsid w:val="00281383"/>
    <w:rsid w:val="002813D8"/>
    <w:rsid w:val="002814E6"/>
    <w:rsid w:val="00283382"/>
    <w:rsid w:val="00285EB1"/>
    <w:rsid w:val="00287BEC"/>
    <w:rsid w:val="002903FB"/>
    <w:rsid w:val="00290464"/>
    <w:rsid w:val="00290F18"/>
    <w:rsid w:val="002919B3"/>
    <w:rsid w:val="00292B2E"/>
    <w:rsid w:val="00292F46"/>
    <w:rsid w:val="0029350C"/>
    <w:rsid w:val="00293871"/>
    <w:rsid w:val="00293C51"/>
    <w:rsid w:val="00294243"/>
    <w:rsid w:val="00295C37"/>
    <w:rsid w:val="0029627F"/>
    <w:rsid w:val="00296D3E"/>
    <w:rsid w:val="002A33B6"/>
    <w:rsid w:val="002A3B4B"/>
    <w:rsid w:val="002A41AE"/>
    <w:rsid w:val="002A4789"/>
    <w:rsid w:val="002A64D5"/>
    <w:rsid w:val="002A6528"/>
    <w:rsid w:val="002A6D34"/>
    <w:rsid w:val="002A7A33"/>
    <w:rsid w:val="002B1ED4"/>
    <w:rsid w:val="002B3DEC"/>
    <w:rsid w:val="002B51C8"/>
    <w:rsid w:val="002B61F2"/>
    <w:rsid w:val="002C083A"/>
    <w:rsid w:val="002C0AAF"/>
    <w:rsid w:val="002C11E3"/>
    <w:rsid w:val="002C22C1"/>
    <w:rsid w:val="002C4F8B"/>
    <w:rsid w:val="002C5733"/>
    <w:rsid w:val="002C630D"/>
    <w:rsid w:val="002C64AF"/>
    <w:rsid w:val="002C65D1"/>
    <w:rsid w:val="002C6B88"/>
    <w:rsid w:val="002C6F85"/>
    <w:rsid w:val="002C7367"/>
    <w:rsid w:val="002D10C0"/>
    <w:rsid w:val="002D1582"/>
    <w:rsid w:val="002D35B6"/>
    <w:rsid w:val="002D3BC9"/>
    <w:rsid w:val="002D4A7A"/>
    <w:rsid w:val="002D6099"/>
    <w:rsid w:val="002D6844"/>
    <w:rsid w:val="002D7415"/>
    <w:rsid w:val="002D794E"/>
    <w:rsid w:val="002E0083"/>
    <w:rsid w:val="002E03DB"/>
    <w:rsid w:val="002E11EA"/>
    <w:rsid w:val="002E66BA"/>
    <w:rsid w:val="002E6ACF"/>
    <w:rsid w:val="002F08BE"/>
    <w:rsid w:val="002F120A"/>
    <w:rsid w:val="002F1CA1"/>
    <w:rsid w:val="002F2978"/>
    <w:rsid w:val="002F4569"/>
    <w:rsid w:val="002F593F"/>
    <w:rsid w:val="002F59C2"/>
    <w:rsid w:val="002F5E9E"/>
    <w:rsid w:val="002F70A5"/>
    <w:rsid w:val="002F7956"/>
    <w:rsid w:val="00300272"/>
    <w:rsid w:val="003004AF"/>
    <w:rsid w:val="00300A46"/>
    <w:rsid w:val="003017D4"/>
    <w:rsid w:val="00301ED1"/>
    <w:rsid w:val="00302294"/>
    <w:rsid w:val="00303E28"/>
    <w:rsid w:val="00306B8F"/>
    <w:rsid w:val="00306D22"/>
    <w:rsid w:val="00310221"/>
    <w:rsid w:val="00311B3A"/>
    <w:rsid w:val="00312611"/>
    <w:rsid w:val="00315E59"/>
    <w:rsid w:val="003174DD"/>
    <w:rsid w:val="0032064A"/>
    <w:rsid w:val="00320C8F"/>
    <w:rsid w:val="00321CF7"/>
    <w:rsid w:val="00322597"/>
    <w:rsid w:val="0032272B"/>
    <w:rsid w:val="00323830"/>
    <w:rsid w:val="00323B42"/>
    <w:rsid w:val="003243E5"/>
    <w:rsid w:val="00324A1A"/>
    <w:rsid w:val="00324FBC"/>
    <w:rsid w:val="003250CE"/>
    <w:rsid w:val="00326769"/>
    <w:rsid w:val="0032761E"/>
    <w:rsid w:val="00327DAC"/>
    <w:rsid w:val="003321D4"/>
    <w:rsid w:val="00333363"/>
    <w:rsid w:val="00333A45"/>
    <w:rsid w:val="00334538"/>
    <w:rsid w:val="00335102"/>
    <w:rsid w:val="0033511A"/>
    <w:rsid w:val="00335426"/>
    <w:rsid w:val="003370CE"/>
    <w:rsid w:val="003376D6"/>
    <w:rsid w:val="003404A6"/>
    <w:rsid w:val="00341239"/>
    <w:rsid w:val="00342CDF"/>
    <w:rsid w:val="0034392B"/>
    <w:rsid w:val="0034396C"/>
    <w:rsid w:val="00344637"/>
    <w:rsid w:val="003501ED"/>
    <w:rsid w:val="0035199D"/>
    <w:rsid w:val="00353D2B"/>
    <w:rsid w:val="00354528"/>
    <w:rsid w:val="0035589C"/>
    <w:rsid w:val="00357838"/>
    <w:rsid w:val="00361886"/>
    <w:rsid w:val="00361F5D"/>
    <w:rsid w:val="00364204"/>
    <w:rsid w:val="0036485E"/>
    <w:rsid w:val="00371C86"/>
    <w:rsid w:val="00376459"/>
    <w:rsid w:val="00376996"/>
    <w:rsid w:val="00381563"/>
    <w:rsid w:val="00382190"/>
    <w:rsid w:val="00382C99"/>
    <w:rsid w:val="00383672"/>
    <w:rsid w:val="00386D1E"/>
    <w:rsid w:val="003872B0"/>
    <w:rsid w:val="00387D58"/>
    <w:rsid w:val="00391945"/>
    <w:rsid w:val="00393F28"/>
    <w:rsid w:val="00394CF6"/>
    <w:rsid w:val="00395401"/>
    <w:rsid w:val="00395A1A"/>
    <w:rsid w:val="00396AAB"/>
    <w:rsid w:val="0039783F"/>
    <w:rsid w:val="003A08C3"/>
    <w:rsid w:val="003A1650"/>
    <w:rsid w:val="003A1DC0"/>
    <w:rsid w:val="003A57ED"/>
    <w:rsid w:val="003A648F"/>
    <w:rsid w:val="003A6580"/>
    <w:rsid w:val="003A6DDC"/>
    <w:rsid w:val="003A6FD6"/>
    <w:rsid w:val="003A7372"/>
    <w:rsid w:val="003A7C20"/>
    <w:rsid w:val="003B07C4"/>
    <w:rsid w:val="003B210E"/>
    <w:rsid w:val="003B2A2E"/>
    <w:rsid w:val="003B3FFD"/>
    <w:rsid w:val="003B47EC"/>
    <w:rsid w:val="003B4A4A"/>
    <w:rsid w:val="003B58FD"/>
    <w:rsid w:val="003B5E4F"/>
    <w:rsid w:val="003B683D"/>
    <w:rsid w:val="003C06AC"/>
    <w:rsid w:val="003C1882"/>
    <w:rsid w:val="003C52FD"/>
    <w:rsid w:val="003C5A0B"/>
    <w:rsid w:val="003C5D40"/>
    <w:rsid w:val="003C60E7"/>
    <w:rsid w:val="003C6CB2"/>
    <w:rsid w:val="003C73C8"/>
    <w:rsid w:val="003C780A"/>
    <w:rsid w:val="003C78DC"/>
    <w:rsid w:val="003D207F"/>
    <w:rsid w:val="003D2AFF"/>
    <w:rsid w:val="003D3268"/>
    <w:rsid w:val="003D38AA"/>
    <w:rsid w:val="003D3DCF"/>
    <w:rsid w:val="003D40FF"/>
    <w:rsid w:val="003D5E5D"/>
    <w:rsid w:val="003D6EB5"/>
    <w:rsid w:val="003E1903"/>
    <w:rsid w:val="003E3529"/>
    <w:rsid w:val="003E3CB4"/>
    <w:rsid w:val="003E3F3B"/>
    <w:rsid w:val="003E5064"/>
    <w:rsid w:val="003E6E8A"/>
    <w:rsid w:val="003E7A29"/>
    <w:rsid w:val="003E7E6B"/>
    <w:rsid w:val="003F2875"/>
    <w:rsid w:val="003F28B7"/>
    <w:rsid w:val="003F2BD1"/>
    <w:rsid w:val="003F3720"/>
    <w:rsid w:val="003F44C3"/>
    <w:rsid w:val="003F4C93"/>
    <w:rsid w:val="003F6EAC"/>
    <w:rsid w:val="003F7496"/>
    <w:rsid w:val="004000EF"/>
    <w:rsid w:val="00400F19"/>
    <w:rsid w:val="004012F5"/>
    <w:rsid w:val="00402482"/>
    <w:rsid w:val="00403030"/>
    <w:rsid w:val="00403D99"/>
    <w:rsid w:val="00404714"/>
    <w:rsid w:val="004059F0"/>
    <w:rsid w:val="00405BC0"/>
    <w:rsid w:val="004075A9"/>
    <w:rsid w:val="00407976"/>
    <w:rsid w:val="00414380"/>
    <w:rsid w:val="0041526A"/>
    <w:rsid w:val="004175B1"/>
    <w:rsid w:val="0042043F"/>
    <w:rsid w:val="00421367"/>
    <w:rsid w:val="00421E3D"/>
    <w:rsid w:val="00421F37"/>
    <w:rsid w:val="00422A57"/>
    <w:rsid w:val="00424CA4"/>
    <w:rsid w:val="004257B8"/>
    <w:rsid w:val="0042586A"/>
    <w:rsid w:val="00425AFE"/>
    <w:rsid w:val="00425B6D"/>
    <w:rsid w:val="00425D8A"/>
    <w:rsid w:val="00426476"/>
    <w:rsid w:val="00426E5A"/>
    <w:rsid w:val="00430341"/>
    <w:rsid w:val="0043059B"/>
    <w:rsid w:val="00433F5A"/>
    <w:rsid w:val="00434ADD"/>
    <w:rsid w:val="00437FBA"/>
    <w:rsid w:val="004410E2"/>
    <w:rsid w:val="004411DD"/>
    <w:rsid w:val="00442DE5"/>
    <w:rsid w:val="004431A8"/>
    <w:rsid w:val="004445CA"/>
    <w:rsid w:val="00444ADF"/>
    <w:rsid w:val="00445A41"/>
    <w:rsid w:val="004468C5"/>
    <w:rsid w:val="00447EDA"/>
    <w:rsid w:val="00450124"/>
    <w:rsid w:val="004509CF"/>
    <w:rsid w:val="004516D6"/>
    <w:rsid w:val="00452283"/>
    <w:rsid w:val="00453CE8"/>
    <w:rsid w:val="004543FB"/>
    <w:rsid w:val="0045567F"/>
    <w:rsid w:val="004557F9"/>
    <w:rsid w:val="00455FD5"/>
    <w:rsid w:val="004573CA"/>
    <w:rsid w:val="004576D3"/>
    <w:rsid w:val="0046035D"/>
    <w:rsid w:val="00461732"/>
    <w:rsid w:val="00462C80"/>
    <w:rsid w:val="00463147"/>
    <w:rsid w:val="0046439C"/>
    <w:rsid w:val="00464572"/>
    <w:rsid w:val="0046457F"/>
    <w:rsid w:val="00464B85"/>
    <w:rsid w:val="004655E1"/>
    <w:rsid w:val="004724EB"/>
    <w:rsid w:val="004734DF"/>
    <w:rsid w:val="00473D24"/>
    <w:rsid w:val="00473EF3"/>
    <w:rsid w:val="00474581"/>
    <w:rsid w:val="00474816"/>
    <w:rsid w:val="0047526A"/>
    <w:rsid w:val="00475D69"/>
    <w:rsid w:val="00477265"/>
    <w:rsid w:val="004775BF"/>
    <w:rsid w:val="0048148B"/>
    <w:rsid w:val="00481F16"/>
    <w:rsid w:val="0048343F"/>
    <w:rsid w:val="00486D48"/>
    <w:rsid w:val="00487AD4"/>
    <w:rsid w:val="00490117"/>
    <w:rsid w:val="00490365"/>
    <w:rsid w:val="00490520"/>
    <w:rsid w:val="00492BD0"/>
    <w:rsid w:val="004947DA"/>
    <w:rsid w:val="00494F7B"/>
    <w:rsid w:val="004964AA"/>
    <w:rsid w:val="004A037C"/>
    <w:rsid w:val="004A1155"/>
    <w:rsid w:val="004A2748"/>
    <w:rsid w:val="004A3241"/>
    <w:rsid w:val="004A390D"/>
    <w:rsid w:val="004A3E6E"/>
    <w:rsid w:val="004A3F06"/>
    <w:rsid w:val="004A44BF"/>
    <w:rsid w:val="004A5C10"/>
    <w:rsid w:val="004B1718"/>
    <w:rsid w:val="004B250C"/>
    <w:rsid w:val="004B27F8"/>
    <w:rsid w:val="004B2A66"/>
    <w:rsid w:val="004B2F23"/>
    <w:rsid w:val="004B4BA5"/>
    <w:rsid w:val="004B5A9E"/>
    <w:rsid w:val="004B609D"/>
    <w:rsid w:val="004B6691"/>
    <w:rsid w:val="004B7EF1"/>
    <w:rsid w:val="004C2405"/>
    <w:rsid w:val="004C30EF"/>
    <w:rsid w:val="004C358D"/>
    <w:rsid w:val="004C41B5"/>
    <w:rsid w:val="004C50BB"/>
    <w:rsid w:val="004D0CA2"/>
    <w:rsid w:val="004D37CC"/>
    <w:rsid w:val="004D3A11"/>
    <w:rsid w:val="004D5D4E"/>
    <w:rsid w:val="004D6849"/>
    <w:rsid w:val="004D6982"/>
    <w:rsid w:val="004D6D1E"/>
    <w:rsid w:val="004D7203"/>
    <w:rsid w:val="004D7F26"/>
    <w:rsid w:val="004E09B7"/>
    <w:rsid w:val="004E1954"/>
    <w:rsid w:val="004E23BD"/>
    <w:rsid w:val="004E29DB"/>
    <w:rsid w:val="004E2B42"/>
    <w:rsid w:val="004E44A1"/>
    <w:rsid w:val="004E4824"/>
    <w:rsid w:val="004E4A95"/>
    <w:rsid w:val="004E5198"/>
    <w:rsid w:val="004E531F"/>
    <w:rsid w:val="004E5752"/>
    <w:rsid w:val="004E5A60"/>
    <w:rsid w:val="004E5AAA"/>
    <w:rsid w:val="004E5FD4"/>
    <w:rsid w:val="004E70B3"/>
    <w:rsid w:val="004E7D64"/>
    <w:rsid w:val="004F000C"/>
    <w:rsid w:val="004F0140"/>
    <w:rsid w:val="004F068E"/>
    <w:rsid w:val="004F1294"/>
    <w:rsid w:val="004F34FD"/>
    <w:rsid w:val="004F3F7C"/>
    <w:rsid w:val="004F5A02"/>
    <w:rsid w:val="004F678B"/>
    <w:rsid w:val="005018BC"/>
    <w:rsid w:val="0050383B"/>
    <w:rsid w:val="00503842"/>
    <w:rsid w:val="00503EA0"/>
    <w:rsid w:val="00504FB2"/>
    <w:rsid w:val="00505038"/>
    <w:rsid w:val="00505E8D"/>
    <w:rsid w:val="005118BA"/>
    <w:rsid w:val="00513293"/>
    <w:rsid w:val="0051337C"/>
    <w:rsid w:val="005138AD"/>
    <w:rsid w:val="0051568C"/>
    <w:rsid w:val="005156F6"/>
    <w:rsid w:val="0051642C"/>
    <w:rsid w:val="00516C9F"/>
    <w:rsid w:val="00517129"/>
    <w:rsid w:val="005200FB"/>
    <w:rsid w:val="00520771"/>
    <w:rsid w:val="005220F7"/>
    <w:rsid w:val="00523159"/>
    <w:rsid w:val="00524D63"/>
    <w:rsid w:val="00526439"/>
    <w:rsid w:val="0053002C"/>
    <w:rsid w:val="005301B4"/>
    <w:rsid w:val="00530EE6"/>
    <w:rsid w:val="0053155E"/>
    <w:rsid w:val="00534342"/>
    <w:rsid w:val="0053461C"/>
    <w:rsid w:val="00534729"/>
    <w:rsid w:val="00534B23"/>
    <w:rsid w:val="00535B75"/>
    <w:rsid w:val="00535CE0"/>
    <w:rsid w:val="005361B2"/>
    <w:rsid w:val="00536349"/>
    <w:rsid w:val="00537065"/>
    <w:rsid w:val="00540516"/>
    <w:rsid w:val="00540D4D"/>
    <w:rsid w:val="00541BC8"/>
    <w:rsid w:val="005420D7"/>
    <w:rsid w:val="005444E4"/>
    <w:rsid w:val="005452DB"/>
    <w:rsid w:val="0054670A"/>
    <w:rsid w:val="005472D8"/>
    <w:rsid w:val="0055108A"/>
    <w:rsid w:val="0055132E"/>
    <w:rsid w:val="005515B0"/>
    <w:rsid w:val="0055295B"/>
    <w:rsid w:val="0055629B"/>
    <w:rsid w:val="005562EF"/>
    <w:rsid w:val="005568F1"/>
    <w:rsid w:val="00556F5A"/>
    <w:rsid w:val="00561BB2"/>
    <w:rsid w:val="005653C4"/>
    <w:rsid w:val="00566687"/>
    <w:rsid w:val="00566C64"/>
    <w:rsid w:val="0056725F"/>
    <w:rsid w:val="00567F9B"/>
    <w:rsid w:val="00570A03"/>
    <w:rsid w:val="00570E3F"/>
    <w:rsid w:val="005724C8"/>
    <w:rsid w:val="00573E3B"/>
    <w:rsid w:val="00573EFE"/>
    <w:rsid w:val="00575647"/>
    <w:rsid w:val="00575B19"/>
    <w:rsid w:val="00575C0F"/>
    <w:rsid w:val="005802FE"/>
    <w:rsid w:val="005807E6"/>
    <w:rsid w:val="00580E43"/>
    <w:rsid w:val="00581833"/>
    <w:rsid w:val="00583942"/>
    <w:rsid w:val="00584E14"/>
    <w:rsid w:val="00585C6A"/>
    <w:rsid w:val="00586BDD"/>
    <w:rsid w:val="0059101C"/>
    <w:rsid w:val="005937C6"/>
    <w:rsid w:val="0059713B"/>
    <w:rsid w:val="005977FE"/>
    <w:rsid w:val="005A2896"/>
    <w:rsid w:val="005A2CC3"/>
    <w:rsid w:val="005A378C"/>
    <w:rsid w:val="005A6098"/>
    <w:rsid w:val="005A665B"/>
    <w:rsid w:val="005A6F6E"/>
    <w:rsid w:val="005A7D93"/>
    <w:rsid w:val="005B1992"/>
    <w:rsid w:val="005B2D25"/>
    <w:rsid w:val="005B3712"/>
    <w:rsid w:val="005B3B9B"/>
    <w:rsid w:val="005B5A70"/>
    <w:rsid w:val="005B6E3C"/>
    <w:rsid w:val="005B71D7"/>
    <w:rsid w:val="005C03AD"/>
    <w:rsid w:val="005C0595"/>
    <w:rsid w:val="005C07A7"/>
    <w:rsid w:val="005C0F53"/>
    <w:rsid w:val="005C1A4D"/>
    <w:rsid w:val="005C436C"/>
    <w:rsid w:val="005C5693"/>
    <w:rsid w:val="005C59BA"/>
    <w:rsid w:val="005C5D3E"/>
    <w:rsid w:val="005C6F10"/>
    <w:rsid w:val="005C71DD"/>
    <w:rsid w:val="005D10C4"/>
    <w:rsid w:val="005D123E"/>
    <w:rsid w:val="005D17AD"/>
    <w:rsid w:val="005D1F85"/>
    <w:rsid w:val="005D26B3"/>
    <w:rsid w:val="005D35A8"/>
    <w:rsid w:val="005D3BD7"/>
    <w:rsid w:val="005D4B22"/>
    <w:rsid w:val="005D6FA3"/>
    <w:rsid w:val="005D70F9"/>
    <w:rsid w:val="005D7BA8"/>
    <w:rsid w:val="005E0EDB"/>
    <w:rsid w:val="005E2202"/>
    <w:rsid w:val="005E4E53"/>
    <w:rsid w:val="005E5099"/>
    <w:rsid w:val="005E6501"/>
    <w:rsid w:val="005E6E87"/>
    <w:rsid w:val="005F0DA3"/>
    <w:rsid w:val="005F0E3D"/>
    <w:rsid w:val="005F1343"/>
    <w:rsid w:val="005F1C28"/>
    <w:rsid w:val="005F718F"/>
    <w:rsid w:val="006018F6"/>
    <w:rsid w:val="00602195"/>
    <w:rsid w:val="006025E6"/>
    <w:rsid w:val="00603A83"/>
    <w:rsid w:val="00603F23"/>
    <w:rsid w:val="00606408"/>
    <w:rsid w:val="006102D4"/>
    <w:rsid w:val="0061644F"/>
    <w:rsid w:val="006164E8"/>
    <w:rsid w:val="00623168"/>
    <w:rsid w:val="00626510"/>
    <w:rsid w:val="00627098"/>
    <w:rsid w:val="00627D3B"/>
    <w:rsid w:val="006308B1"/>
    <w:rsid w:val="00630C8B"/>
    <w:rsid w:val="006321DA"/>
    <w:rsid w:val="006326F6"/>
    <w:rsid w:val="00632F5E"/>
    <w:rsid w:val="00633842"/>
    <w:rsid w:val="006340F9"/>
    <w:rsid w:val="006344BA"/>
    <w:rsid w:val="006345B1"/>
    <w:rsid w:val="006346AA"/>
    <w:rsid w:val="006354EC"/>
    <w:rsid w:val="00640AAE"/>
    <w:rsid w:val="00640EE7"/>
    <w:rsid w:val="0064516F"/>
    <w:rsid w:val="00645498"/>
    <w:rsid w:val="00647F44"/>
    <w:rsid w:val="00650A35"/>
    <w:rsid w:val="00650EDD"/>
    <w:rsid w:val="00650F29"/>
    <w:rsid w:val="0065364F"/>
    <w:rsid w:val="0065378E"/>
    <w:rsid w:val="006543AF"/>
    <w:rsid w:val="00654B31"/>
    <w:rsid w:val="00654D33"/>
    <w:rsid w:val="00655D23"/>
    <w:rsid w:val="0065701F"/>
    <w:rsid w:val="006574EA"/>
    <w:rsid w:val="006605DA"/>
    <w:rsid w:val="00661038"/>
    <w:rsid w:val="00662A42"/>
    <w:rsid w:val="00663C62"/>
    <w:rsid w:val="00664915"/>
    <w:rsid w:val="006652D8"/>
    <w:rsid w:val="0066578C"/>
    <w:rsid w:val="006662BB"/>
    <w:rsid w:val="00666CF5"/>
    <w:rsid w:val="00667096"/>
    <w:rsid w:val="00670537"/>
    <w:rsid w:val="00670AC0"/>
    <w:rsid w:val="00670B71"/>
    <w:rsid w:val="00670E11"/>
    <w:rsid w:val="006711B4"/>
    <w:rsid w:val="00673083"/>
    <w:rsid w:val="006730DA"/>
    <w:rsid w:val="00674400"/>
    <w:rsid w:val="00675B47"/>
    <w:rsid w:val="00675B5A"/>
    <w:rsid w:val="00681AB0"/>
    <w:rsid w:val="00682525"/>
    <w:rsid w:val="006838E5"/>
    <w:rsid w:val="00684B94"/>
    <w:rsid w:val="006851D6"/>
    <w:rsid w:val="00686F0B"/>
    <w:rsid w:val="00691951"/>
    <w:rsid w:val="00692BDD"/>
    <w:rsid w:val="006937E2"/>
    <w:rsid w:val="00694237"/>
    <w:rsid w:val="00694692"/>
    <w:rsid w:val="00694B6D"/>
    <w:rsid w:val="006959A1"/>
    <w:rsid w:val="00696179"/>
    <w:rsid w:val="0069637F"/>
    <w:rsid w:val="0069677D"/>
    <w:rsid w:val="00697159"/>
    <w:rsid w:val="006976E4"/>
    <w:rsid w:val="00697C86"/>
    <w:rsid w:val="006A043B"/>
    <w:rsid w:val="006A59FA"/>
    <w:rsid w:val="006A61E4"/>
    <w:rsid w:val="006A6E2D"/>
    <w:rsid w:val="006A6F1F"/>
    <w:rsid w:val="006A73A0"/>
    <w:rsid w:val="006A76B6"/>
    <w:rsid w:val="006B2882"/>
    <w:rsid w:val="006B2B59"/>
    <w:rsid w:val="006B3CA0"/>
    <w:rsid w:val="006B3E71"/>
    <w:rsid w:val="006B45BE"/>
    <w:rsid w:val="006B4CEF"/>
    <w:rsid w:val="006B5021"/>
    <w:rsid w:val="006B58FB"/>
    <w:rsid w:val="006B7588"/>
    <w:rsid w:val="006C07B8"/>
    <w:rsid w:val="006C1571"/>
    <w:rsid w:val="006C1B81"/>
    <w:rsid w:val="006C21F6"/>
    <w:rsid w:val="006C24EC"/>
    <w:rsid w:val="006C36D4"/>
    <w:rsid w:val="006C489D"/>
    <w:rsid w:val="006C6288"/>
    <w:rsid w:val="006C73F8"/>
    <w:rsid w:val="006C7638"/>
    <w:rsid w:val="006D03A1"/>
    <w:rsid w:val="006D0770"/>
    <w:rsid w:val="006D0880"/>
    <w:rsid w:val="006D1C2B"/>
    <w:rsid w:val="006D2B8D"/>
    <w:rsid w:val="006D31D0"/>
    <w:rsid w:val="006D629C"/>
    <w:rsid w:val="006D66D1"/>
    <w:rsid w:val="006D6F28"/>
    <w:rsid w:val="006D70D0"/>
    <w:rsid w:val="006D7516"/>
    <w:rsid w:val="006D78DC"/>
    <w:rsid w:val="006E2657"/>
    <w:rsid w:val="006E4688"/>
    <w:rsid w:val="006E469A"/>
    <w:rsid w:val="006E5AD7"/>
    <w:rsid w:val="006E5CCD"/>
    <w:rsid w:val="006E6031"/>
    <w:rsid w:val="006E670D"/>
    <w:rsid w:val="006E7B73"/>
    <w:rsid w:val="006F1193"/>
    <w:rsid w:val="006F1AD5"/>
    <w:rsid w:val="006F20E7"/>
    <w:rsid w:val="006F2D3E"/>
    <w:rsid w:val="006F345D"/>
    <w:rsid w:val="006F3994"/>
    <w:rsid w:val="006F43B1"/>
    <w:rsid w:val="006F5306"/>
    <w:rsid w:val="006F5D50"/>
    <w:rsid w:val="006F6891"/>
    <w:rsid w:val="006F6BE9"/>
    <w:rsid w:val="006F7D84"/>
    <w:rsid w:val="00700C84"/>
    <w:rsid w:val="00700FC5"/>
    <w:rsid w:val="00701036"/>
    <w:rsid w:val="007027F3"/>
    <w:rsid w:val="00702EB6"/>
    <w:rsid w:val="0070345F"/>
    <w:rsid w:val="0070394F"/>
    <w:rsid w:val="0070403D"/>
    <w:rsid w:val="0070432D"/>
    <w:rsid w:val="00704BDC"/>
    <w:rsid w:val="007054F4"/>
    <w:rsid w:val="0071158F"/>
    <w:rsid w:val="00712149"/>
    <w:rsid w:val="0071368D"/>
    <w:rsid w:val="00714581"/>
    <w:rsid w:val="0071547F"/>
    <w:rsid w:val="00715F50"/>
    <w:rsid w:val="00716EED"/>
    <w:rsid w:val="00717E24"/>
    <w:rsid w:val="00720662"/>
    <w:rsid w:val="00720A31"/>
    <w:rsid w:val="0072150E"/>
    <w:rsid w:val="00721CB4"/>
    <w:rsid w:val="007223F1"/>
    <w:rsid w:val="00722934"/>
    <w:rsid w:val="00723476"/>
    <w:rsid w:val="00724D16"/>
    <w:rsid w:val="007256F1"/>
    <w:rsid w:val="0072672B"/>
    <w:rsid w:val="007267E8"/>
    <w:rsid w:val="00726C12"/>
    <w:rsid w:val="00727394"/>
    <w:rsid w:val="00727DE8"/>
    <w:rsid w:val="00730971"/>
    <w:rsid w:val="007309FD"/>
    <w:rsid w:val="00731847"/>
    <w:rsid w:val="0073238F"/>
    <w:rsid w:val="007331BF"/>
    <w:rsid w:val="00734F61"/>
    <w:rsid w:val="007373B9"/>
    <w:rsid w:val="00741096"/>
    <w:rsid w:val="007420FC"/>
    <w:rsid w:val="00743030"/>
    <w:rsid w:val="00743FEE"/>
    <w:rsid w:val="00744930"/>
    <w:rsid w:val="00746F3C"/>
    <w:rsid w:val="00747D92"/>
    <w:rsid w:val="007504D4"/>
    <w:rsid w:val="00750C79"/>
    <w:rsid w:val="00751B24"/>
    <w:rsid w:val="00752C09"/>
    <w:rsid w:val="00755EF8"/>
    <w:rsid w:val="00756262"/>
    <w:rsid w:val="00757B27"/>
    <w:rsid w:val="007602CB"/>
    <w:rsid w:val="00762B68"/>
    <w:rsid w:val="007636DD"/>
    <w:rsid w:val="007638C1"/>
    <w:rsid w:val="0076525F"/>
    <w:rsid w:val="00767003"/>
    <w:rsid w:val="007700D8"/>
    <w:rsid w:val="00770671"/>
    <w:rsid w:val="00771BC4"/>
    <w:rsid w:val="0077386A"/>
    <w:rsid w:val="0077479F"/>
    <w:rsid w:val="00777BFB"/>
    <w:rsid w:val="00777FD7"/>
    <w:rsid w:val="00780A4D"/>
    <w:rsid w:val="007819EC"/>
    <w:rsid w:val="0078272E"/>
    <w:rsid w:val="00783E0E"/>
    <w:rsid w:val="007845EB"/>
    <w:rsid w:val="007869B4"/>
    <w:rsid w:val="007900DA"/>
    <w:rsid w:val="00790FC1"/>
    <w:rsid w:val="0079183F"/>
    <w:rsid w:val="00793AE2"/>
    <w:rsid w:val="00794AB0"/>
    <w:rsid w:val="00794BB8"/>
    <w:rsid w:val="007959D5"/>
    <w:rsid w:val="00795EDC"/>
    <w:rsid w:val="00796290"/>
    <w:rsid w:val="0079670A"/>
    <w:rsid w:val="007A1811"/>
    <w:rsid w:val="007A207B"/>
    <w:rsid w:val="007A2AF8"/>
    <w:rsid w:val="007A454F"/>
    <w:rsid w:val="007A49C5"/>
    <w:rsid w:val="007A4FF2"/>
    <w:rsid w:val="007A5643"/>
    <w:rsid w:val="007B13F5"/>
    <w:rsid w:val="007B2A19"/>
    <w:rsid w:val="007B2F31"/>
    <w:rsid w:val="007B39D2"/>
    <w:rsid w:val="007B42B5"/>
    <w:rsid w:val="007B4A42"/>
    <w:rsid w:val="007B5DBA"/>
    <w:rsid w:val="007B61DF"/>
    <w:rsid w:val="007B707D"/>
    <w:rsid w:val="007B7B29"/>
    <w:rsid w:val="007C0296"/>
    <w:rsid w:val="007C1904"/>
    <w:rsid w:val="007C2512"/>
    <w:rsid w:val="007C348F"/>
    <w:rsid w:val="007C4ADF"/>
    <w:rsid w:val="007C4FFD"/>
    <w:rsid w:val="007C5164"/>
    <w:rsid w:val="007C5AE5"/>
    <w:rsid w:val="007C659A"/>
    <w:rsid w:val="007C681D"/>
    <w:rsid w:val="007C7346"/>
    <w:rsid w:val="007C7457"/>
    <w:rsid w:val="007D084A"/>
    <w:rsid w:val="007D0B3B"/>
    <w:rsid w:val="007D4880"/>
    <w:rsid w:val="007D4A95"/>
    <w:rsid w:val="007D4B04"/>
    <w:rsid w:val="007D5B19"/>
    <w:rsid w:val="007D5C8B"/>
    <w:rsid w:val="007D7367"/>
    <w:rsid w:val="007E0E31"/>
    <w:rsid w:val="007E2C1D"/>
    <w:rsid w:val="007E2D17"/>
    <w:rsid w:val="007E30F9"/>
    <w:rsid w:val="007E3592"/>
    <w:rsid w:val="007E453A"/>
    <w:rsid w:val="007E5493"/>
    <w:rsid w:val="007E5B3D"/>
    <w:rsid w:val="007E6EAC"/>
    <w:rsid w:val="007E7878"/>
    <w:rsid w:val="007F0D4D"/>
    <w:rsid w:val="007F0E1D"/>
    <w:rsid w:val="007F2468"/>
    <w:rsid w:val="007F2B39"/>
    <w:rsid w:val="007F3608"/>
    <w:rsid w:val="007F55BA"/>
    <w:rsid w:val="007F5B26"/>
    <w:rsid w:val="007F64B9"/>
    <w:rsid w:val="007F703E"/>
    <w:rsid w:val="007F7048"/>
    <w:rsid w:val="007F7096"/>
    <w:rsid w:val="007F76B3"/>
    <w:rsid w:val="007F795E"/>
    <w:rsid w:val="008015C2"/>
    <w:rsid w:val="00802538"/>
    <w:rsid w:val="0080319C"/>
    <w:rsid w:val="0080398A"/>
    <w:rsid w:val="00804778"/>
    <w:rsid w:val="00805D16"/>
    <w:rsid w:val="00806A42"/>
    <w:rsid w:val="00807282"/>
    <w:rsid w:val="008075C9"/>
    <w:rsid w:val="0080796F"/>
    <w:rsid w:val="0081009A"/>
    <w:rsid w:val="0081048D"/>
    <w:rsid w:val="0081108F"/>
    <w:rsid w:val="008120DA"/>
    <w:rsid w:val="0081257A"/>
    <w:rsid w:val="008137B4"/>
    <w:rsid w:val="00814649"/>
    <w:rsid w:val="00815189"/>
    <w:rsid w:val="00816B05"/>
    <w:rsid w:val="0081716A"/>
    <w:rsid w:val="00817DD7"/>
    <w:rsid w:val="00820779"/>
    <w:rsid w:val="00820A24"/>
    <w:rsid w:val="0082113A"/>
    <w:rsid w:val="008217CA"/>
    <w:rsid w:val="00821D39"/>
    <w:rsid w:val="00822D2F"/>
    <w:rsid w:val="00823232"/>
    <w:rsid w:val="00823444"/>
    <w:rsid w:val="00824DCF"/>
    <w:rsid w:val="00825754"/>
    <w:rsid w:val="00827EE6"/>
    <w:rsid w:val="00830E15"/>
    <w:rsid w:val="00833F8A"/>
    <w:rsid w:val="00834F86"/>
    <w:rsid w:val="008352F6"/>
    <w:rsid w:val="00835573"/>
    <w:rsid w:val="0084055B"/>
    <w:rsid w:val="00840A68"/>
    <w:rsid w:val="00841558"/>
    <w:rsid w:val="00841EF3"/>
    <w:rsid w:val="0085387A"/>
    <w:rsid w:val="00853F95"/>
    <w:rsid w:val="0085507B"/>
    <w:rsid w:val="0085636A"/>
    <w:rsid w:val="0085791F"/>
    <w:rsid w:val="00860369"/>
    <w:rsid w:val="00860EA6"/>
    <w:rsid w:val="00861FE0"/>
    <w:rsid w:val="0086252F"/>
    <w:rsid w:val="00862558"/>
    <w:rsid w:val="00863E93"/>
    <w:rsid w:val="008642E7"/>
    <w:rsid w:val="00864FCD"/>
    <w:rsid w:val="008657EC"/>
    <w:rsid w:val="00865915"/>
    <w:rsid w:val="00865E7B"/>
    <w:rsid w:val="00866642"/>
    <w:rsid w:val="00866D44"/>
    <w:rsid w:val="00872CA6"/>
    <w:rsid w:val="00872E6A"/>
    <w:rsid w:val="008737A4"/>
    <w:rsid w:val="00873F33"/>
    <w:rsid w:val="00873F80"/>
    <w:rsid w:val="00873FC5"/>
    <w:rsid w:val="008740AE"/>
    <w:rsid w:val="00875354"/>
    <w:rsid w:val="00876725"/>
    <w:rsid w:val="00877CBF"/>
    <w:rsid w:val="00877FDB"/>
    <w:rsid w:val="00881C98"/>
    <w:rsid w:val="0088274B"/>
    <w:rsid w:val="00882BC1"/>
    <w:rsid w:val="00884A39"/>
    <w:rsid w:val="00885DBE"/>
    <w:rsid w:val="00886DC6"/>
    <w:rsid w:val="008900F5"/>
    <w:rsid w:val="00892E06"/>
    <w:rsid w:val="00893483"/>
    <w:rsid w:val="00893F42"/>
    <w:rsid w:val="008942B9"/>
    <w:rsid w:val="00894FD7"/>
    <w:rsid w:val="008974E5"/>
    <w:rsid w:val="00897AE3"/>
    <w:rsid w:val="008A0068"/>
    <w:rsid w:val="008A050D"/>
    <w:rsid w:val="008A1632"/>
    <w:rsid w:val="008A1DA7"/>
    <w:rsid w:val="008A3C75"/>
    <w:rsid w:val="008A48A2"/>
    <w:rsid w:val="008A51C3"/>
    <w:rsid w:val="008A5E7E"/>
    <w:rsid w:val="008A67B8"/>
    <w:rsid w:val="008B06B8"/>
    <w:rsid w:val="008B1202"/>
    <w:rsid w:val="008B13C1"/>
    <w:rsid w:val="008B22B0"/>
    <w:rsid w:val="008B2CFA"/>
    <w:rsid w:val="008B2F3A"/>
    <w:rsid w:val="008B3590"/>
    <w:rsid w:val="008B3759"/>
    <w:rsid w:val="008B41B8"/>
    <w:rsid w:val="008B5871"/>
    <w:rsid w:val="008B58A6"/>
    <w:rsid w:val="008C1221"/>
    <w:rsid w:val="008C1978"/>
    <w:rsid w:val="008C411F"/>
    <w:rsid w:val="008C5480"/>
    <w:rsid w:val="008C592F"/>
    <w:rsid w:val="008C7099"/>
    <w:rsid w:val="008C72AB"/>
    <w:rsid w:val="008C7CCD"/>
    <w:rsid w:val="008D01CA"/>
    <w:rsid w:val="008D027E"/>
    <w:rsid w:val="008D067D"/>
    <w:rsid w:val="008D095A"/>
    <w:rsid w:val="008D14D6"/>
    <w:rsid w:val="008D1BB4"/>
    <w:rsid w:val="008D26CB"/>
    <w:rsid w:val="008D38BF"/>
    <w:rsid w:val="008D446A"/>
    <w:rsid w:val="008D45A8"/>
    <w:rsid w:val="008D50A0"/>
    <w:rsid w:val="008D519B"/>
    <w:rsid w:val="008E0852"/>
    <w:rsid w:val="008E0D6A"/>
    <w:rsid w:val="008E1536"/>
    <w:rsid w:val="008E1AE5"/>
    <w:rsid w:val="008E3C47"/>
    <w:rsid w:val="008E503F"/>
    <w:rsid w:val="008E51CE"/>
    <w:rsid w:val="008E5718"/>
    <w:rsid w:val="008F224F"/>
    <w:rsid w:val="008F2598"/>
    <w:rsid w:val="008F2624"/>
    <w:rsid w:val="008F2832"/>
    <w:rsid w:val="008F382B"/>
    <w:rsid w:val="008F3BAE"/>
    <w:rsid w:val="008F4595"/>
    <w:rsid w:val="008F503F"/>
    <w:rsid w:val="008F5750"/>
    <w:rsid w:val="008F6E40"/>
    <w:rsid w:val="009010A6"/>
    <w:rsid w:val="009044BD"/>
    <w:rsid w:val="00904B55"/>
    <w:rsid w:val="0090603C"/>
    <w:rsid w:val="00910A94"/>
    <w:rsid w:val="00912AC0"/>
    <w:rsid w:val="00913B8C"/>
    <w:rsid w:val="0091415C"/>
    <w:rsid w:val="00915360"/>
    <w:rsid w:val="00915DE2"/>
    <w:rsid w:val="00916131"/>
    <w:rsid w:val="00920056"/>
    <w:rsid w:val="00920D1E"/>
    <w:rsid w:val="0092181B"/>
    <w:rsid w:val="00922A9B"/>
    <w:rsid w:val="00923649"/>
    <w:rsid w:val="0092376F"/>
    <w:rsid w:val="009251FF"/>
    <w:rsid w:val="0092702F"/>
    <w:rsid w:val="00932F8E"/>
    <w:rsid w:val="0093574F"/>
    <w:rsid w:val="00935754"/>
    <w:rsid w:val="00936E68"/>
    <w:rsid w:val="00937992"/>
    <w:rsid w:val="009407D9"/>
    <w:rsid w:val="009419CD"/>
    <w:rsid w:val="00941D83"/>
    <w:rsid w:val="00941ECC"/>
    <w:rsid w:val="0094474A"/>
    <w:rsid w:val="00944B34"/>
    <w:rsid w:val="00944CDF"/>
    <w:rsid w:val="00945FDD"/>
    <w:rsid w:val="00946291"/>
    <w:rsid w:val="00947D92"/>
    <w:rsid w:val="00951AE9"/>
    <w:rsid w:val="009536B1"/>
    <w:rsid w:val="009545EE"/>
    <w:rsid w:val="009553D5"/>
    <w:rsid w:val="00957B85"/>
    <w:rsid w:val="0096021B"/>
    <w:rsid w:val="0096129F"/>
    <w:rsid w:val="00961B5A"/>
    <w:rsid w:val="00962741"/>
    <w:rsid w:val="009630B4"/>
    <w:rsid w:val="00963E0E"/>
    <w:rsid w:val="00964927"/>
    <w:rsid w:val="0096529A"/>
    <w:rsid w:val="00965316"/>
    <w:rsid w:val="00966061"/>
    <w:rsid w:val="0096682B"/>
    <w:rsid w:val="00966CDE"/>
    <w:rsid w:val="00967692"/>
    <w:rsid w:val="00967F38"/>
    <w:rsid w:val="0097072A"/>
    <w:rsid w:val="00970E4D"/>
    <w:rsid w:val="00970E97"/>
    <w:rsid w:val="009739E8"/>
    <w:rsid w:val="009774E3"/>
    <w:rsid w:val="009776B5"/>
    <w:rsid w:val="00977740"/>
    <w:rsid w:val="00983366"/>
    <w:rsid w:val="009839F7"/>
    <w:rsid w:val="0098403F"/>
    <w:rsid w:val="00985307"/>
    <w:rsid w:val="00987047"/>
    <w:rsid w:val="0098709B"/>
    <w:rsid w:val="00987B36"/>
    <w:rsid w:val="00992935"/>
    <w:rsid w:val="00995DF7"/>
    <w:rsid w:val="00995EA0"/>
    <w:rsid w:val="00996704"/>
    <w:rsid w:val="00997A54"/>
    <w:rsid w:val="00997AB4"/>
    <w:rsid w:val="009A09C1"/>
    <w:rsid w:val="009A200A"/>
    <w:rsid w:val="009A282A"/>
    <w:rsid w:val="009A4A18"/>
    <w:rsid w:val="009A4A1D"/>
    <w:rsid w:val="009A6BB9"/>
    <w:rsid w:val="009B0218"/>
    <w:rsid w:val="009B2CD0"/>
    <w:rsid w:val="009B3A8C"/>
    <w:rsid w:val="009B5A67"/>
    <w:rsid w:val="009C0410"/>
    <w:rsid w:val="009C0B39"/>
    <w:rsid w:val="009C0B8C"/>
    <w:rsid w:val="009C0D94"/>
    <w:rsid w:val="009C12E3"/>
    <w:rsid w:val="009C3668"/>
    <w:rsid w:val="009C4CA8"/>
    <w:rsid w:val="009C531F"/>
    <w:rsid w:val="009C6DCB"/>
    <w:rsid w:val="009C72B7"/>
    <w:rsid w:val="009D05FC"/>
    <w:rsid w:val="009D1149"/>
    <w:rsid w:val="009D2BAB"/>
    <w:rsid w:val="009D31CF"/>
    <w:rsid w:val="009D3E32"/>
    <w:rsid w:val="009D58A8"/>
    <w:rsid w:val="009D695E"/>
    <w:rsid w:val="009E0C36"/>
    <w:rsid w:val="009E0C63"/>
    <w:rsid w:val="009E44EB"/>
    <w:rsid w:val="009E4D96"/>
    <w:rsid w:val="009E51AD"/>
    <w:rsid w:val="009E5603"/>
    <w:rsid w:val="009E5C6C"/>
    <w:rsid w:val="009E5CC9"/>
    <w:rsid w:val="009E7A19"/>
    <w:rsid w:val="009F0CE5"/>
    <w:rsid w:val="009F156C"/>
    <w:rsid w:val="009F2892"/>
    <w:rsid w:val="009F2A48"/>
    <w:rsid w:val="009F3D57"/>
    <w:rsid w:val="009F4084"/>
    <w:rsid w:val="009F41E8"/>
    <w:rsid w:val="009F44D6"/>
    <w:rsid w:val="009F54F0"/>
    <w:rsid w:val="009F594B"/>
    <w:rsid w:val="009F63CC"/>
    <w:rsid w:val="00A0233A"/>
    <w:rsid w:val="00A052C8"/>
    <w:rsid w:val="00A0704F"/>
    <w:rsid w:val="00A076D5"/>
    <w:rsid w:val="00A11A9C"/>
    <w:rsid w:val="00A11BD3"/>
    <w:rsid w:val="00A15733"/>
    <w:rsid w:val="00A16B06"/>
    <w:rsid w:val="00A16DC2"/>
    <w:rsid w:val="00A17FD3"/>
    <w:rsid w:val="00A20323"/>
    <w:rsid w:val="00A20402"/>
    <w:rsid w:val="00A213DC"/>
    <w:rsid w:val="00A2142E"/>
    <w:rsid w:val="00A21A6F"/>
    <w:rsid w:val="00A21EF6"/>
    <w:rsid w:val="00A22CA2"/>
    <w:rsid w:val="00A256F8"/>
    <w:rsid w:val="00A26861"/>
    <w:rsid w:val="00A26A91"/>
    <w:rsid w:val="00A27884"/>
    <w:rsid w:val="00A30606"/>
    <w:rsid w:val="00A32C8C"/>
    <w:rsid w:val="00A332F2"/>
    <w:rsid w:val="00A3362B"/>
    <w:rsid w:val="00A34949"/>
    <w:rsid w:val="00A35764"/>
    <w:rsid w:val="00A40981"/>
    <w:rsid w:val="00A40FC9"/>
    <w:rsid w:val="00A417AB"/>
    <w:rsid w:val="00A424D6"/>
    <w:rsid w:val="00A4528E"/>
    <w:rsid w:val="00A46602"/>
    <w:rsid w:val="00A473FC"/>
    <w:rsid w:val="00A47CF5"/>
    <w:rsid w:val="00A50063"/>
    <w:rsid w:val="00A51192"/>
    <w:rsid w:val="00A512B9"/>
    <w:rsid w:val="00A53D6D"/>
    <w:rsid w:val="00A554B6"/>
    <w:rsid w:val="00A56B32"/>
    <w:rsid w:val="00A62930"/>
    <w:rsid w:val="00A64C5D"/>
    <w:rsid w:val="00A665BF"/>
    <w:rsid w:val="00A66BF2"/>
    <w:rsid w:val="00A707F4"/>
    <w:rsid w:val="00A70B52"/>
    <w:rsid w:val="00A70F28"/>
    <w:rsid w:val="00A710DA"/>
    <w:rsid w:val="00A71142"/>
    <w:rsid w:val="00A71430"/>
    <w:rsid w:val="00A71659"/>
    <w:rsid w:val="00A71799"/>
    <w:rsid w:val="00A71B3D"/>
    <w:rsid w:val="00A740F7"/>
    <w:rsid w:val="00A74437"/>
    <w:rsid w:val="00A7537A"/>
    <w:rsid w:val="00A76509"/>
    <w:rsid w:val="00A76EA7"/>
    <w:rsid w:val="00A8321F"/>
    <w:rsid w:val="00A83601"/>
    <w:rsid w:val="00A83726"/>
    <w:rsid w:val="00A84356"/>
    <w:rsid w:val="00A8449F"/>
    <w:rsid w:val="00A8603F"/>
    <w:rsid w:val="00A866C6"/>
    <w:rsid w:val="00A873F4"/>
    <w:rsid w:val="00A87E81"/>
    <w:rsid w:val="00A9168D"/>
    <w:rsid w:val="00A93768"/>
    <w:rsid w:val="00A9376F"/>
    <w:rsid w:val="00A93C1D"/>
    <w:rsid w:val="00A9414A"/>
    <w:rsid w:val="00A95632"/>
    <w:rsid w:val="00A964E6"/>
    <w:rsid w:val="00A96607"/>
    <w:rsid w:val="00A96ED6"/>
    <w:rsid w:val="00A976C9"/>
    <w:rsid w:val="00A97776"/>
    <w:rsid w:val="00A97ABF"/>
    <w:rsid w:val="00AA00DD"/>
    <w:rsid w:val="00AA1A47"/>
    <w:rsid w:val="00AA25CD"/>
    <w:rsid w:val="00AA5148"/>
    <w:rsid w:val="00AA5351"/>
    <w:rsid w:val="00AA6C80"/>
    <w:rsid w:val="00AA6CD5"/>
    <w:rsid w:val="00AB1285"/>
    <w:rsid w:val="00AB1BDF"/>
    <w:rsid w:val="00AB24A4"/>
    <w:rsid w:val="00AB3419"/>
    <w:rsid w:val="00AB675E"/>
    <w:rsid w:val="00AC0446"/>
    <w:rsid w:val="00AC10BF"/>
    <w:rsid w:val="00AC235A"/>
    <w:rsid w:val="00AC307E"/>
    <w:rsid w:val="00AC3D71"/>
    <w:rsid w:val="00AC5015"/>
    <w:rsid w:val="00AC57B8"/>
    <w:rsid w:val="00AC5EC1"/>
    <w:rsid w:val="00AC6E11"/>
    <w:rsid w:val="00AC708F"/>
    <w:rsid w:val="00AC7F2E"/>
    <w:rsid w:val="00AD043E"/>
    <w:rsid w:val="00AD213E"/>
    <w:rsid w:val="00AD2A60"/>
    <w:rsid w:val="00AD32B4"/>
    <w:rsid w:val="00AD7B3E"/>
    <w:rsid w:val="00AE0841"/>
    <w:rsid w:val="00AE15C0"/>
    <w:rsid w:val="00AE1EAD"/>
    <w:rsid w:val="00AE24E0"/>
    <w:rsid w:val="00AE283F"/>
    <w:rsid w:val="00AE425C"/>
    <w:rsid w:val="00AE42A5"/>
    <w:rsid w:val="00AE4555"/>
    <w:rsid w:val="00AE4FE3"/>
    <w:rsid w:val="00AE510E"/>
    <w:rsid w:val="00AE60E5"/>
    <w:rsid w:val="00AE7D1C"/>
    <w:rsid w:val="00AF0755"/>
    <w:rsid w:val="00AF1424"/>
    <w:rsid w:val="00AF3134"/>
    <w:rsid w:val="00AF3572"/>
    <w:rsid w:val="00AF37FE"/>
    <w:rsid w:val="00AF5668"/>
    <w:rsid w:val="00AF5B1B"/>
    <w:rsid w:val="00AF7393"/>
    <w:rsid w:val="00B00075"/>
    <w:rsid w:val="00B0040A"/>
    <w:rsid w:val="00B031CC"/>
    <w:rsid w:val="00B043F4"/>
    <w:rsid w:val="00B05152"/>
    <w:rsid w:val="00B109F6"/>
    <w:rsid w:val="00B11B71"/>
    <w:rsid w:val="00B11E7D"/>
    <w:rsid w:val="00B123F1"/>
    <w:rsid w:val="00B138D4"/>
    <w:rsid w:val="00B147D9"/>
    <w:rsid w:val="00B1487E"/>
    <w:rsid w:val="00B15083"/>
    <w:rsid w:val="00B1615E"/>
    <w:rsid w:val="00B17F7B"/>
    <w:rsid w:val="00B214D6"/>
    <w:rsid w:val="00B2555E"/>
    <w:rsid w:val="00B26261"/>
    <w:rsid w:val="00B262D7"/>
    <w:rsid w:val="00B27D90"/>
    <w:rsid w:val="00B32BA5"/>
    <w:rsid w:val="00B33187"/>
    <w:rsid w:val="00B33408"/>
    <w:rsid w:val="00B3613A"/>
    <w:rsid w:val="00B36CDC"/>
    <w:rsid w:val="00B37FA7"/>
    <w:rsid w:val="00B4067C"/>
    <w:rsid w:val="00B40A83"/>
    <w:rsid w:val="00B4282D"/>
    <w:rsid w:val="00B428CA"/>
    <w:rsid w:val="00B42F48"/>
    <w:rsid w:val="00B46768"/>
    <w:rsid w:val="00B505BC"/>
    <w:rsid w:val="00B518A1"/>
    <w:rsid w:val="00B530DB"/>
    <w:rsid w:val="00B53FAC"/>
    <w:rsid w:val="00B548E4"/>
    <w:rsid w:val="00B54EF5"/>
    <w:rsid w:val="00B55942"/>
    <w:rsid w:val="00B5627B"/>
    <w:rsid w:val="00B56BB0"/>
    <w:rsid w:val="00B6006B"/>
    <w:rsid w:val="00B605C6"/>
    <w:rsid w:val="00B60996"/>
    <w:rsid w:val="00B60E0C"/>
    <w:rsid w:val="00B61025"/>
    <w:rsid w:val="00B619B5"/>
    <w:rsid w:val="00B61E6B"/>
    <w:rsid w:val="00B629BB"/>
    <w:rsid w:val="00B64A37"/>
    <w:rsid w:val="00B64CD7"/>
    <w:rsid w:val="00B65C4C"/>
    <w:rsid w:val="00B66B05"/>
    <w:rsid w:val="00B672C4"/>
    <w:rsid w:val="00B67531"/>
    <w:rsid w:val="00B7052E"/>
    <w:rsid w:val="00B74834"/>
    <w:rsid w:val="00B755D7"/>
    <w:rsid w:val="00B75AD5"/>
    <w:rsid w:val="00B768BB"/>
    <w:rsid w:val="00B76F59"/>
    <w:rsid w:val="00B7707E"/>
    <w:rsid w:val="00B77DB4"/>
    <w:rsid w:val="00B80DD8"/>
    <w:rsid w:val="00B82528"/>
    <w:rsid w:val="00B82753"/>
    <w:rsid w:val="00B82874"/>
    <w:rsid w:val="00B848FB"/>
    <w:rsid w:val="00B860F9"/>
    <w:rsid w:val="00B8761E"/>
    <w:rsid w:val="00B909F7"/>
    <w:rsid w:val="00B9112A"/>
    <w:rsid w:val="00B92425"/>
    <w:rsid w:val="00B925F4"/>
    <w:rsid w:val="00B93944"/>
    <w:rsid w:val="00B93A53"/>
    <w:rsid w:val="00B94497"/>
    <w:rsid w:val="00B96755"/>
    <w:rsid w:val="00B9763F"/>
    <w:rsid w:val="00B97675"/>
    <w:rsid w:val="00B977CD"/>
    <w:rsid w:val="00BA01F4"/>
    <w:rsid w:val="00BA05F1"/>
    <w:rsid w:val="00BA06A2"/>
    <w:rsid w:val="00BA2C18"/>
    <w:rsid w:val="00BA32BC"/>
    <w:rsid w:val="00BA41F7"/>
    <w:rsid w:val="00BA565D"/>
    <w:rsid w:val="00BA5984"/>
    <w:rsid w:val="00BA7007"/>
    <w:rsid w:val="00BA70E9"/>
    <w:rsid w:val="00BA7598"/>
    <w:rsid w:val="00BB019F"/>
    <w:rsid w:val="00BB0349"/>
    <w:rsid w:val="00BB4AE9"/>
    <w:rsid w:val="00BC03A1"/>
    <w:rsid w:val="00BC2DC1"/>
    <w:rsid w:val="00BC4530"/>
    <w:rsid w:val="00BC465B"/>
    <w:rsid w:val="00BC512F"/>
    <w:rsid w:val="00BC5E66"/>
    <w:rsid w:val="00BC643C"/>
    <w:rsid w:val="00BC6E91"/>
    <w:rsid w:val="00BC6EDF"/>
    <w:rsid w:val="00BD29CA"/>
    <w:rsid w:val="00BD30A1"/>
    <w:rsid w:val="00BD3183"/>
    <w:rsid w:val="00BD4BCC"/>
    <w:rsid w:val="00BD6681"/>
    <w:rsid w:val="00BE101C"/>
    <w:rsid w:val="00BE1624"/>
    <w:rsid w:val="00BE214F"/>
    <w:rsid w:val="00BE2322"/>
    <w:rsid w:val="00BE30D8"/>
    <w:rsid w:val="00BE3404"/>
    <w:rsid w:val="00BE5870"/>
    <w:rsid w:val="00BE5979"/>
    <w:rsid w:val="00BE6625"/>
    <w:rsid w:val="00BE715D"/>
    <w:rsid w:val="00BE71F8"/>
    <w:rsid w:val="00BE7793"/>
    <w:rsid w:val="00BF08AC"/>
    <w:rsid w:val="00BF0D94"/>
    <w:rsid w:val="00BF109D"/>
    <w:rsid w:val="00BF1435"/>
    <w:rsid w:val="00BF1E74"/>
    <w:rsid w:val="00BF252F"/>
    <w:rsid w:val="00BF253D"/>
    <w:rsid w:val="00BF2676"/>
    <w:rsid w:val="00BF2A40"/>
    <w:rsid w:val="00BF3651"/>
    <w:rsid w:val="00BF40A2"/>
    <w:rsid w:val="00BF7E7A"/>
    <w:rsid w:val="00C00412"/>
    <w:rsid w:val="00C0377B"/>
    <w:rsid w:val="00C04632"/>
    <w:rsid w:val="00C04AFE"/>
    <w:rsid w:val="00C057C0"/>
    <w:rsid w:val="00C05BC7"/>
    <w:rsid w:val="00C0723D"/>
    <w:rsid w:val="00C127DF"/>
    <w:rsid w:val="00C12900"/>
    <w:rsid w:val="00C153CA"/>
    <w:rsid w:val="00C1567C"/>
    <w:rsid w:val="00C156E4"/>
    <w:rsid w:val="00C15B60"/>
    <w:rsid w:val="00C15F77"/>
    <w:rsid w:val="00C1641E"/>
    <w:rsid w:val="00C16AF7"/>
    <w:rsid w:val="00C17711"/>
    <w:rsid w:val="00C22BC7"/>
    <w:rsid w:val="00C22FE0"/>
    <w:rsid w:val="00C24040"/>
    <w:rsid w:val="00C24673"/>
    <w:rsid w:val="00C25A74"/>
    <w:rsid w:val="00C25FFD"/>
    <w:rsid w:val="00C26193"/>
    <w:rsid w:val="00C266A3"/>
    <w:rsid w:val="00C27211"/>
    <w:rsid w:val="00C2753D"/>
    <w:rsid w:val="00C277D8"/>
    <w:rsid w:val="00C3161F"/>
    <w:rsid w:val="00C31C4F"/>
    <w:rsid w:val="00C329B6"/>
    <w:rsid w:val="00C3323A"/>
    <w:rsid w:val="00C34F00"/>
    <w:rsid w:val="00C378EC"/>
    <w:rsid w:val="00C40C6A"/>
    <w:rsid w:val="00C429A7"/>
    <w:rsid w:val="00C42BCF"/>
    <w:rsid w:val="00C42E26"/>
    <w:rsid w:val="00C42FC7"/>
    <w:rsid w:val="00C431FB"/>
    <w:rsid w:val="00C43AC4"/>
    <w:rsid w:val="00C44D4F"/>
    <w:rsid w:val="00C44E32"/>
    <w:rsid w:val="00C457BA"/>
    <w:rsid w:val="00C47EB4"/>
    <w:rsid w:val="00C500E2"/>
    <w:rsid w:val="00C50BBF"/>
    <w:rsid w:val="00C524F0"/>
    <w:rsid w:val="00C52E07"/>
    <w:rsid w:val="00C53274"/>
    <w:rsid w:val="00C55B20"/>
    <w:rsid w:val="00C56D3D"/>
    <w:rsid w:val="00C57DEC"/>
    <w:rsid w:val="00C60719"/>
    <w:rsid w:val="00C6154A"/>
    <w:rsid w:val="00C62354"/>
    <w:rsid w:val="00C65D78"/>
    <w:rsid w:val="00C664FA"/>
    <w:rsid w:val="00C67622"/>
    <w:rsid w:val="00C70D0E"/>
    <w:rsid w:val="00C716FE"/>
    <w:rsid w:val="00C7215D"/>
    <w:rsid w:val="00C74237"/>
    <w:rsid w:val="00C75209"/>
    <w:rsid w:val="00C75B83"/>
    <w:rsid w:val="00C75F6D"/>
    <w:rsid w:val="00C76B0D"/>
    <w:rsid w:val="00C831E4"/>
    <w:rsid w:val="00C87949"/>
    <w:rsid w:val="00C87A86"/>
    <w:rsid w:val="00C87CDB"/>
    <w:rsid w:val="00C909C7"/>
    <w:rsid w:val="00C90C02"/>
    <w:rsid w:val="00C9366C"/>
    <w:rsid w:val="00C95080"/>
    <w:rsid w:val="00C971E0"/>
    <w:rsid w:val="00C97377"/>
    <w:rsid w:val="00CA274E"/>
    <w:rsid w:val="00CA29F7"/>
    <w:rsid w:val="00CA38FE"/>
    <w:rsid w:val="00CA3EE8"/>
    <w:rsid w:val="00CA432A"/>
    <w:rsid w:val="00CA4E41"/>
    <w:rsid w:val="00CA59F1"/>
    <w:rsid w:val="00CA5D30"/>
    <w:rsid w:val="00CA5E32"/>
    <w:rsid w:val="00CB05D8"/>
    <w:rsid w:val="00CB0EB4"/>
    <w:rsid w:val="00CB11FC"/>
    <w:rsid w:val="00CB1B2A"/>
    <w:rsid w:val="00CB1BF1"/>
    <w:rsid w:val="00CB1E8F"/>
    <w:rsid w:val="00CB2373"/>
    <w:rsid w:val="00CB47B7"/>
    <w:rsid w:val="00CB4F16"/>
    <w:rsid w:val="00CB5655"/>
    <w:rsid w:val="00CB5A17"/>
    <w:rsid w:val="00CB5D4D"/>
    <w:rsid w:val="00CB6598"/>
    <w:rsid w:val="00CB6CF2"/>
    <w:rsid w:val="00CB78C4"/>
    <w:rsid w:val="00CB7B79"/>
    <w:rsid w:val="00CB7BEC"/>
    <w:rsid w:val="00CC1670"/>
    <w:rsid w:val="00CC29BC"/>
    <w:rsid w:val="00CC351C"/>
    <w:rsid w:val="00CC3E69"/>
    <w:rsid w:val="00CC4B77"/>
    <w:rsid w:val="00CC51F3"/>
    <w:rsid w:val="00CC5EE9"/>
    <w:rsid w:val="00CC7407"/>
    <w:rsid w:val="00CC7604"/>
    <w:rsid w:val="00CD10E8"/>
    <w:rsid w:val="00CD13B6"/>
    <w:rsid w:val="00CD40DA"/>
    <w:rsid w:val="00CD44EC"/>
    <w:rsid w:val="00CD504E"/>
    <w:rsid w:val="00CD58F1"/>
    <w:rsid w:val="00CD5D14"/>
    <w:rsid w:val="00CD6439"/>
    <w:rsid w:val="00CD79D7"/>
    <w:rsid w:val="00CD7AA1"/>
    <w:rsid w:val="00CD7BFD"/>
    <w:rsid w:val="00CD7C0A"/>
    <w:rsid w:val="00CD7DEE"/>
    <w:rsid w:val="00CE0167"/>
    <w:rsid w:val="00CE0DA7"/>
    <w:rsid w:val="00CE1EF0"/>
    <w:rsid w:val="00CE3FD3"/>
    <w:rsid w:val="00CE4063"/>
    <w:rsid w:val="00CE626D"/>
    <w:rsid w:val="00CE628E"/>
    <w:rsid w:val="00CE6514"/>
    <w:rsid w:val="00CE6A34"/>
    <w:rsid w:val="00CE6E75"/>
    <w:rsid w:val="00CE74E6"/>
    <w:rsid w:val="00CF47C9"/>
    <w:rsid w:val="00CF4F4A"/>
    <w:rsid w:val="00CF61E4"/>
    <w:rsid w:val="00CF6A99"/>
    <w:rsid w:val="00CF6C08"/>
    <w:rsid w:val="00D01A56"/>
    <w:rsid w:val="00D039AD"/>
    <w:rsid w:val="00D05743"/>
    <w:rsid w:val="00D102A0"/>
    <w:rsid w:val="00D119FD"/>
    <w:rsid w:val="00D12093"/>
    <w:rsid w:val="00D133C4"/>
    <w:rsid w:val="00D1462D"/>
    <w:rsid w:val="00D16AF2"/>
    <w:rsid w:val="00D20FB6"/>
    <w:rsid w:val="00D21819"/>
    <w:rsid w:val="00D22DF7"/>
    <w:rsid w:val="00D23DBE"/>
    <w:rsid w:val="00D2687B"/>
    <w:rsid w:val="00D26A12"/>
    <w:rsid w:val="00D26EBE"/>
    <w:rsid w:val="00D278BE"/>
    <w:rsid w:val="00D27E92"/>
    <w:rsid w:val="00D30417"/>
    <w:rsid w:val="00D30C49"/>
    <w:rsid w:val="00D317A4"/>
    <w:rsid w:val="00D31CDD"/>
    <w:rsid w:val="00D3371B"/>
    <w:rsid w:val="00D33DDA"/>
    <w:rsid w:val="00D33DE3"/>
    <w:rsid w:val="00D34384"/>
    <w:rsid w:val="00D344C7"/>
    <w:rsid w:val="00D35BF5"/>
    <w:rsid w:val="00D35ED5"/>
    <w:rsid w:val="00D3641F"/>
    <w:rsid w:val="00D424FB"/>
    <w:rsid w:val="00D42AAB"/>
    <w:rsid w:val="00D45B44"/>
    <w:rsid w:val="00D45D7A"/>
    <w:rsid w:val="00D46A83"/>
    <w:rsid w:val="00D46CCD"/>
    <w:rsid w:val="00D46CFB"/>
    <w:rsid w:val="00D4735E"/>
    <w:rsid w:val="00D5124D"/>
    <w:rsid w:val="00D5194F"/>
    <w:rsid w:val="00D53BF3"/>
    <w:rsid w:val="00D55220"/>
    <w:rsid w:val="00D559CF"/>
    <w:rsid w:val="00D560B8"/>
    <w:rsid w:val="00D57857"/>
    <w:rsid w:val="00D62563"/>
    <w:rsid w:val="00D628CB"/>
    <w:rsid w:val="00D62C0C"/>
    <w:rsid w:val="00D63260"/>
    <w:rsid w:val="00D639F6"/>
    <w:rsid w:val="00D65295"/>
    <w:rsid w:val="00D66600"/>
    <w:rsid w:val="00D670C3"/>
    <w:rsid w:val="00D67634"/>
    <w:rsid w:val="00D70B5B"/>
    <w:rsid w:val="00D710BF"/>
    <w:rsid w:val="00D71700"/>
    <w:rsid w:val="00D7243C"/>
    <w:rsid w:val="00D7386D"/>
    <w:rsid w:val="00D752FD"/>
    <w:rsid w:val="00D76FDA"/>
    <w:rsid w:val="00D775FC"/>
    <w:rsid w:val="00D77E55"/>
    <w:rsid w:val="00D800B7"/>
    <w:rsid w:val="00D81065"/>
    <w:rsid w:val="00D81D30"/>
    <w:rsid w:val="00D81EEC"/>
    <w:rsid w:val="00D82292"/>
    <w:rsid w:val="00D82348"/>
    <w:rsid w:val="00D84746"/>
    <w:rsid w:val="00D84DD2"/>
    <w:rsid w:val="00D84F16"/>
    <w:rsid w:val="00D855CE"/>
    <w:rsid w:val="00D85F96"/>
    <w:rsid w:val="00D86531"/>
    <w:rsid w:val="00D86650"/>
    <w:rsid w:val="00D876CE"/>
    <w:rsid w:val="00D9082E"/>
    <w:rsid w:val="00D90FC2"/>
    <w:rsid w:val="00D91218"/>
    <w:rsid w:val="00D91828"/>
    <w:rsid w:val="00D9262B"/>
    <w:rsid w:val="00D93587"/>
    <w:rsid w:val="00D94479"/>
    <w:rsid w:val="00D95761"/>
    <w:rsid w:val="00D95828"/>
    <w:rsid w:val="00D97749"/>
    <w:rsid w:val="00D979F7"/>
    <w:rsid w:val="00D97E90"/>
    <w:rsid w:val="00DA08A2"/>
    <w:rsid w:val="00DA504D"/>
    <w:rsid w:val="00DA5725"/>
    <w:rsid w:val="00DA6C5B"/>
    <w:rsid w:val="00DA7236"/>
    <w:rsid w:val="00DA7268"/>
    <w:rsid w:val="00DB23FF"/>
    <w:rsid w:val="00DB2B3C"/>
    <w:rsid w:val="00DB472A"/>
    <w:rsid w:val="00DB69E7"/>
    <w:rsid w:val="00DC0119"/>
    <w:rsid w:val="00DC0206"/>
    <w:rsid w:val="00DC0304"/>
    <w:rsid w:val="00DC0C86"/>
    <w:rsid w:val="00DC0D28"/>
    <w:rsid w:val="00DC0D7E"/>
    <w:rsid w:val="00DC162D"/>
    <w:rsid w:val="00DC3468"/>
    <w:rsid w:val="00DC36FE"/>
    <w:rsid w:val="00DC4F82"/>
    <w:rsid w:val="00DC61B3"/>
    <w:rsid w:val="00DC66E3"/>
    <w:rsid w:val="00DC6B3A"/>
    <w:rsid w:val="00DD0DE9"/>
    <w:rsid w:val="00DD1F52"/>
    <w:rsid w:val="00DD335D"/>
    <w:rsid w:val="00DD3E8C"/>
    <w:rsid w:val="00DD6A78"/>
    <w:rsid w:val="00DE06F4"/>
    <w:rsid w:val="00DE0852"/>
    <w:rsid w:val="00DE1616"/>
    <w:rsid w:val="00DE2CC7"/>
    <w:rsid w:val="00DE3438"/>
    <w:rsid w:val="00DE5534"/>
    <w:rsid w:val="00DE5DB4"/>
    <w:rsid w:val="00DE64E5"/>
    <w:rsid w:val="00DE6F5A"/>
    <w:rsid w:val="00DE7A41"/>
    <w:rsid w:val="00DF0AE7"/>
    <w:rsid w:val="00DF17DD"/>
    <w:rsid w:val="00DF2498"/>
    <w:rsid w:val="00DF291B"/>
    <w:rsid w:val="00DF2E33"/>
    <w:rsid w:val="00DF3CFF"/>
    <w:rsid w:val="00DF3F2D"/>
    <w:rsid w:val="00DF4453"/>
    <w:rsid w:val="00DF469D"/>
    <w:rsid w:val="00DF4AAE"/>
    <w:rsid w:val="00DF6A38"/>
    <w:rsid w:val="00DF6D51"/>
    <w:rsid w:val="00DF73E8"/>
    <w:rsid w:val="00DF73F6"/>
    <w:rsid w:val="00DF7B79"/>
    <w:rsid w:val="00E00D2A"/>
    <w:rsid w:val="00E023E8"/>
    <w:rsid w:val="00E036A6"/>
    <w:rsid w:val="00E03FC2"/>
    <w:rsid w:val="00E052E2"/>
    <w:rsid w:val="00E10E1B"/>
    <w:rsid w:val="00E1420E"/>
    <w:rsid w:val="00E14F12"/>
    <w:rsid w:val="00E15D54"/>
    <w:rsid w:val="00E15F69"/>
    <w:rsid w:val="00E16CEA"/>
    <w:rsid w:val="00E20B18"/>
    <w:rsid w:val="00E23EE5"/>
    <w:rsid w:val="00E258A6"/>
    <w:rsid w:val="00E259C6"/>
    <w:rsid w:val="00E25DA7"/>
    <w:rsid w:val="00E266AE"/>
    <w:rsid w:val="00E26E9A"/>
    <w:rsid w:val="00E276CA"/>
    <w:rsid w:val="00E279A8"/>
    <w:rsid w:val="00E27B66"/>
    <w:rsid w:val="00E27D31"/>
    <w:rsid w:val="00E30622"/>
    <w:rsid w:val="00E30C2D"/>
    <w:rsid w:val="00E30EB1"/>
    <w:rsid w:val="00E32CA0"/>
    <w:rsid w:val="00E346BB"/>
    <w:rsid w:val="00E34ADA"/>
    <w:rsid w:val="00E36428"/>
    <w:rsid w:val="00E40833"/>
    <w:rsid w:val="00E41054"/>
    <w:rsid w:val="00E43A97"/>
    <w:rsid w:val="00E451F5"/>
    <w:rsid w:val="00E4726A"/>
    <w:rsid w:val="00E475D1"/>
    <w:rsid w:val="00E52B5A"/>
    <w:rsid w:val="00E52F1C"/>
    <w:rsid w:val="00E5682B"/>
    <w:rsid w:val="00E56B1C"/>
    <w:rsid w:val="00E56E85"/>
    <w:rsid w:val="00E577BE"/>
    <w:rsid w:val="00E6017A"/>
    <w:rsid w:val="00E60F91"/>
    <w:rsid w:val="00E61C8D"/>
    <w:rsid w:val="00E627E9"/>
    <w:rsid w:val="00E63E01"/>
    <w:rsid w:val="00E64855"/>
    <w:rsid w:val="00E66C64"/>
    <w:rsid w:val="00E671E6"/>
    <w:rsid w:val="00E7205C"/>
    <w:rsid w:val="00E72942"/>
    <w:rsid w:val="00E73AF5"/>
    <w:rsid w:val="00E7402D"/>
    <w:rsid w:val="00E744F1"/>
    <w:rsid w:val="00E748D6"/>
    <w:rsid w:val="00E74F15"/>
    <w:rsid w:val="00E75489"/>
    <w:rsid w:val="00E755BB"/>
    <w:rsid w:val="00E7583E"/>
    <w:rsid w:val="00E75DBE"/>
    <w:rsid w:val="00E814BD"/>
    <w:rsid w:val="00E81628"/>
    <w:rsid w:val="00E81F68"/>
    <w:rsid w:val="00E842B6"/>
    <w:rsid w:val="00E85389"/>
    <w:rsid w:val="00E85562"/>
    <w:rsid w:val="00E87D5E"/>
    <w:rsid w:val="00E905F7"/>
    <w:rsid w:val="00E915A0"/>
    <w:rsid w:val="00E91F39"/>
    <w:rsid w:val="00E93893"/>
    <w:rsid w:val="00E93C41"/>
    <w:rsid w:val="00E951C3"/>
    <w:rsid w:val="00EA209A"/>
    <w:rsid w:val="00EA39B6"/>
    <w:rsid w:val="00EA3A35"/>
    <w:rsid w:val="00EA3FC5"/>
    <w:rsid w:val="00EA40FC"/>
    <w:rsid w:val="00EA4B05"/>
    <w:rsid w:val="00EA5BA1"/>
    <w:rsid w:val="00EA7D44"/>
    <w:rsid w:val="00EB4C0D"/>
    <w:rsid w:val="00EB606F"/>
    <w:rsid w:val="00EB6BA4"/>
    <w:rsid w:val="00EC12F4"/>
    <w:rsid w:val="00EC16C7"/>
    <w:rsid w:val="00EC1825"/>
    <w:rsid w:val="00EC18B7"/>
    <w:rsid w:val="00EC19A3"/>
    <w:rsid w:val="00EC3236"/>
    <w:rsid w:val="00EC6C02"/>
    <w:rsid w:val="00EC6CAE"/>
    <w:rsid w:val="00EC7BC6"/>
    <w:rsid w:val="00ED01C6"/>
    <w:rsid w:val="00ED2BED"/>
    <w:rsid w:val="00ED3FB7"/>
    <w:rsid w:val="00ED7AB5"/>
    <w:rsid w:val="00EE015F"/>
    <w:rsid w:val="00EE07C6"/>
    <w:rsid w:val="00EE0A0B"/>
    <w:rsid w:val="00EE1762"/>
    <w:rsid w:val="00EE18ED"/>
    <w:rsid w:val="00EE3013"/>
    <w:rsid w:val="00EE345B"/>
    <w:rsid w:val="00EE5AC4"/>
    <w:rsid w:val="00EE6D78"/>
    <w:rsid w:val="00EE7E14"/>
    <w:rsid w:val="00EF0E81"/>
    <w:rsid w:val="00EF21D6"/>
    <w:rsid w:val="00EF25AD"/>
    <w:rsid w:val="00EF2C24"/>
    <w:rsid w:val="00EF34D9"/>
    <w:rsid w:val="00EF4D8A"/>
    <w:rsid w:val="00EF5A2B"/>
    <w:rsid w:val="00F020C4"/>
    <w:rsid w:val="00F02D9A"/>
    <w:rsid w:val="00F04F4C"/>
    <w:rsid w:val="00F04FFD"/>
    <w:rsid w:val="00F07B6C"/>
    <w:rsid w:val="00F10454"/>
    <w:rsid w:val="00F1047A"/>
    <w:rsid w:val="00F10538"/>
    <w:rsid w:val="00F1125E"/>
    <w:rsid w:val="00F11CCB"/>
    <w:rsid w:val="00F12587"/>
    <w:rsid w:val="00F12A96"/>
    <w:rsid w:val="00F13DEE"/>
    <w:rsid w:val="00F147FB"/>
    <w:rsid w:val="00F15014"/>
    <w:rsid w:val="00F15292"/>
    <w:rsid w:val="00F1593C"/>
    <w:rsid w:val="00F162B7"/>
    <w:rsid w:val="00F1704B"/>
    <w:rsid w:val="00F21A0B"/>
    <w:rsid w:val="00F22133"/>
    <w:rsid w:val="00F22464"/>
    <w:rsid w:val="00F257E4"/>
    <w:rsid w:val="00F263D6"/>
    <w:rsid w:val="00F2647C"/>
    <w:rsid w:val="00F26ABA"/>
    <w:rsid w:val="00F26B37"/>
    <w:rsid w:val="00F27D98"/>
    <w:rsid w:val="00F30523"/>
    <w:rsid w:val="00F30C4F"/>
    <w:rsid w:val="00F3259B"/>
    <w:rsid w:val="00F32B63"/>
    <w:rsid w:val="00F32DEE"/>
    <w:rsid w:val="00F32F3B"/>
    <w:rsid w:val="00F338B1"/>
    <w:rsid w:val="00F34275"/>
    <w:rsid w:val="00F359F1"/>
    <w:rsid w:val="00F35A30"/>
    <w:rsid w:val="00F37C3E"/>
    <w:rsid w:val="00F4076A"/>
    <w:rsid w:val="00F40848"/>
    <w:rsid w:val="00F422F6"/>
    <w:rsid w:val="00F4264A"/>
    <w:rsid w:val="00F428E3"/>
    <w:rsid w:val="00F42CD8"/>
    <w:rsid w:val="00F42CFC"/>
    <w:rsid w:val="00F4338B"/>
    <w:rsid w:val="00F45795"/>
    <w:rsid w:val="00F4610E"/>
    <w:rsid w:val="00F47D5D"/>
    <w:rsid w:val="00F512DE"/>
    <w:rsid w:val="00F51714"/>
    <w:rsid w:val="00F52AE0"/>
    <w:rsid w:val="00F538C7"/>
    <w:rsid w:val="00F5646A"/>
    <w:rsid w:val="00F56507"/>
    <w:rsid w:val="00F565C5"/>
    <w:rsid w:val="00F57CD2"/>
    <w:rsid w:val="00F60A39"/>
    <w:rsid w:val="00F60CD7"/>
    <w:rsid w:val="00F60E0B"/>
    <w:rsid w:val="00F60E12"/>
    <w:rsid w:val="00F60E13"/>
    <w:rsid w:val="00F6190B"/>
    <w:rsid w:val="00F61A75"/>
    <w:rsid w:val="00F61E66"/>
    <w:rsid w:val="00F62F13"/>
    <w:rsid w:val="00F634A0"/>
    <w:rsid w:val="00F6779C"/>
    <w:rsid w:val="00F6799C"/>
    <w:rsid w:val="00F70956"/>
    <w:rsid w:val="00F72334"/>
    <w:rsid w:val="00F73471"/>
    <w:rsid w:val="00F73C3A"/>
    <w:rsid w:val="00F74D31"/>
    <w:rsid w:val="00F800AD"/>
    <w:rsid w:val="00F80F11"/>
    <w:rsid w:val="00F81B44"/>
    <w:rsid w:val="00F82020"/>
    <w:rsid w:val="00F82602"/>
    <w:rsid w:val="00F839DF"/>
    <w:rsid w:val="00F83A03"/>
    <w:rsid w:val="00F84F06"/>
    <w:rsid w:val="00F85731"/>
    <w:rsid w:val="00F85FD0"/>
    <w:rsid w:val="00F86D95"/>
    <w:rsid w:val="00F9313E"/>
    <w:rsid w:val="00F93492"/>
    <w:rsid w:val="00F944AC"/>
    <w:rsid w:val="00F94CA6"/>
    <w:rsid w:val="00F9620E"/>
    <w:rsid w:val="00FA0380"/>
    <w:rsid w:val="00FA0613"/>
    <w:rsid w:val="00FA0F93"/>
    <w:rsid w:val="00FA143C"/>
    <w:rsid w:val="00FA2071"/>
    <w:rsid w:val="00FA2791"/>
    <w:rsid w:val="00FA2854"/>
    <w:rsid w:val="00FA3629"/>
    <w:rsid w:val="00FA3A95"/>
    <w:rsid w:val="00FA4FA6"/>
    <w:rsid w:val="00FA58EE"/>
    <w:rsid w:val="00FA66AD"/>
    <w:rsid w:val="00FA731D"/>
    <w:rsid w:val="00FA789B"/>
    <w:rsid w:val="00FB028D"/>
    <w:rsid w:val="00FB14E6"/>
    <w:rsid w:val="00FB1574"/>
    <w:rsid w:val="00FB3589"/>
    <w:rsid w:val="00FB387D"/>
    <w:rsid w:val="00FB42D6"/>
    <w:rsid w:val="00FB5C8C"/>
    <w:rsid w:val="00FB72C8"/>
    <w:rsid w:val="00FB7454"/>
    <w:rsid w:val="00FB7698"/>
    <w:rsid w:val="00FC012D"/>
    <w:rsid w:val="00FC10D9"/>
    <w:rsid w:val="00FC113A"/>
    <w:rsid w:val="00FC1B8C"/>
    <w:rsid w:val="00FC2D2F"/>
    <w:rsid w:val="00FC3842"/>
    <w:rsid w:val="00FC4447"/>
    <w:rsid w:val="00FC57B8"/>
    <w:rsid w:val="00FC5D28"/>
    <w:rsid w:val="00FC6C41"/>
    <w:rsid w:val="00FC7308"/>
    <w:rsid w:val="00FC75FF"/>
    <w:rsid w:val="00FD182E"/>
    <w:rsid w:val="00FD3642"/>
    <w:rsid w:val="00FD58FF"/>
    <w:rsid w:val="00FD71DA"/>
    <w:rsid w:val="00FD75FA"/>
    <w:rsid w:val="00FE0E43"/>
    <w:rsid w:val="00FE0E7F"/>
    <w:rsid w:val="00FE1058"/>
    <w:rsid w:val="00FE1640"/>
    <w:rsid w:val="00FE2442"/>
    <w:rsid w:val="00FE2EBF"/>
    <w:rsid w:val="00FE3F13"/>
    <w:rsid w:val="00FE51CF"/>
    <w:rsid w:val="00FE7361"/>
    <w:rsid w:val="00FF07EE"/>
    <w:rsid w:val="00FF0BCF"/>
    <w:rsid w:val="00FF10AA"/>
    <w:rsid w:val="00FF1DE0"/>
    <w:rsid w:val="00FF3557"/>
    <w:rsid w:val="00FF38B6"/>
    <w:rsid w:val="00FF3D86"/>
    <w:rsid w:val="00FF433E"/>
    <w:rsid w:val="00FF4865"/>
    <w:rsid w:val="00FF4A77"/>
    <w:rsid w:val="00FF5A70"/>
    <w:rsid w:val="00FF7341"/>
    <w:rsid w:val="00FF7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719F7"/>
  <w15:docId w15:val="{4E90F88F-733A-4D19-AD00-019EBFAF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30"/>
  </w:style>
  <w:style w:type="paragraph" w:styleId="Heading1">
    <w:name w:val="heading 1"/>
    <w:basedOn w:val="Normal"/>
    <w:next w:val="Normal"/>
    <w:link w:val="Heading1Char"/>
    <w:uiPriority w:val="9"/>
    <w:qFormat/>
    <w:rsid w:val="00EE6D78"/>
    <w:pPr>
      <w:keepNext/>
      <w:keepLines/>
      <w:numPr>
        <w:numId w:val="4"/>
      </w:numPr>
      <w:spacing w:before="240" w:after="0"/>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0387D58"/>
    <w:pPr>
      <w:keepNext/>
      <w:keepLines/>
      <w:spacing w:before="40" w:after="0"/>
      <w:ind w:left="360"/>
      <w:outlineLvl w:val="1"/>
    </w:pPr>
    <w:rPr>
      <w:rFonts w:asciiTheme="majorBidi" w:eastAsiaTheme="majorEastAsia" w:hAnsiTheme="majorBidi" w:cstheme="majorBid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3AF5"/>
    <w:pPr>
      <w:ind w:left="720"/>
      <w:contextualSpacing/>
    </w:pPr>
  </w:style>
  <w:style w:type="character" w:styleId="Hyperlink">
    <w:name w:val="Hyperlink"/>
    <w:basedOn w:val="DefaultParagraphFont"/>
    <w:uiPriority w:val="99"/>
    <w:unhideWhenUsed/>
    <w:rsid w:val="00B26261"/>
    <w:rPr>
      <w:color w:val="0000FF"/>
      <w:u w:val="single"/>
    </w:rPr>
  </w:style>
  <w:style w:type="table" w:styleId="TableGrid">
    <w:name w:val="Table Grid"/>
    <w:basedOn w:val="TableNormal"/>
    <w:uiPriority w:val="59"/>
    <w:rsid w:val="0002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7D58"/>
    <w:rPr>
      <w:rFonts w:asciiTheme="majorBidi" w:eastAsiaTheme="majorEastAsia" w:hAnsiTheme="majorBidi" w:cstheme="majorBidi"/>
      <w:b/>
      <w:bCs/>
      <w:sz w:val="24"/>
      <w:szCs w:val="24"/>
    </w:rPr>
  </w:style>
  <w:style w:type="character" w:customStyle="1" w:styleId="fontstyle01">
    <w:name w:val="fontstyle01"/>
    <w:basedOn w:val="DefaultParagraphFont"/>
    <w:rsid w:val="00387D58"/>
    <w:rPr>
      <w:rFonts w:ascii="AdvPTimes" w:hAnsi="AdvPTimes" w:hint="default"/>
      <w:b w:val="0"/>
      <w:bCs w:val="0"/>
      <w:i w:val="0"/>
      <w:iCs w:val="0"/>
      <w:color w:val="000000"/>
      <w:sz w:val="20"/>
      <w:szCs w:val="20"/>
    </w:rPr>
  </w:style>
  <w:style w:type="character" w:customStyle="1" w:styleId="Heading1Char">
    <w:name w:val="Heading 1 Char"/>
    <w:basedOn w:val="DefaultParagraphFont"/>
    <w:link w:val="Heading1"/>
    <w:uiPriority w:val="9"/>
    <w:rsid w:val="00EE6D78"/>
    <w:rPr>
      <w:rFonts w:asciiTheme="majorBidi" w:eastAsiaTheme="majorEastAsia" w:hAnsiTheme="majorBidi" w:cstheme="majorBidi"/>
      <w:b/>
      <w:bCs/>
      <w:sz w:val="24"/>
      <w:szCs w:val="24"/>
    </w:rPr>
  </w:style>
  <w:style w:type="character" w:styleId="SubtleEmphasis">
    <w:name w:val="Subtle Emphasis"/>
    <w:basedOn w:val="DefaultParagraphFont"/>
    <w:uiPriority w:val="19"/>
    <w:qFormat/>
    <w:rsid w:val="00B60E0C"/>
    <w:rPr>
      <w:i/>
      <w:iCs/>
      <w:color w:val="808080" w:themeColor="text1" w:themeTint="7F"/>
    </w:rPr>
  </w:style>
  <w:style w:type="paragraph" w:styleId="Caption">
    <w:name w:val="caption"/>
    <w:aliases w:val="Table Caption"/>
    <w:basedOn w:val="Normal"/>
    <w:next w:val="Normal"/>
    <w:link w:val="CaptionChar"/>
    <w:uiPriority w:val="35"/>
    <w:unhideWhenUsed/>
    <w:qFormat/>
    <w:rsid w:val="004576D3"/>
    <w:pPr>
      <w:spacing w:after="200" w:line="240" w:lineRule="auto"/>
    </w:pPr>
    <w:rPr>
      <w:b/>
      <w:bCs/>
      <w:color w:val="4472C4" w:themeColor="accent1"/>
      <w:sz w:val="18"/>
      <w:szCs w:val="18"/>
    </w:rPr>
  </w:style>
  <w:style w:type="character" w:styleId="FollowedHyperlink">
    <w:name w:val="FollowedHyperlink"/>
    <w:basedOn w:val="DefaultParagraphFont"/>
    <w:uiPriority w:val="99"/>
    <w:semiHidden/>
    <w:unhideWhenUsed/>
    <w:rsid w:val="00037A6D"/>
    <w:rPr>
      <w:color w:val="954F72" w:themeColor="followedHyperlink"/>
      <w:u w:val="single"/>
    </w:rPr>
  </w:style>
  <w:style w:type="paragraph" w:styleId="BalloonText">
    <w:name w:val="Balloon Text"/>
    <w:basedOn w:val="Normal"/>
    <w:link w:val="BalloonTextChar"/>
    <w:uiPriority w:val="99"/>
    <w:semiHidden/>
    <w:unhideWhenUsed/>
    <w:rsid w:val="00281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3D8"/>
    <w:rPr>
      <w:rFonts w:ascii="Segoe UI" w:hAnsi="Segoe UI" w:cs="Segoe UI"/>
      <w:sz w:val="18"/>
      <w:szCs w:val="18"/>
    </w:rPr>
  </w:style>
  <w:style w:type="table" w:customStyle="1" w:styleId="PlainTable21">
    <w:name w:val="Plain Table 21"/>
    <w:basedOn w:val="TableNormal"/>
    <w:uiPriority w:val="42"/>
    <w:rsid w:val="00B505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5D3BD7"/>
  </w:style>
  <w:style w:type="paragraph" w:styleId="Header">
    <w:name w:val="header"/>
    <w:basedOn w:val="Normal"/>
    <w:link w:val="HeaderChar"/>
    <w:uiPriority w:val="99"/>
    <w:unhideWhenUsed/>
    <w:rsid w:val="004204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043F"/>
  </w:style>
  <w:style w:type="paragraph" w:styleId="Footer">
    <w:name w:val="footer"/>
    <w:basedOn w:val="Normal"/>
    <w:link w:val="FooterChar"/>
    <w:uiPriority w:val="99"/>
    <w:unhideWhenUsed/>
    <w:rsid w:val="004204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043F"/>
  </w:style>
  <w:style w:type="character" w:styleId="Emphasis">
    <w:name w:val="Emphasis"/>
    <w:basedOn w:val="DefaultParagraphFont"/>
    <w:uiPriority w:val="20"/>
    <w:qFormat/>
    <w:rsid w:val="00F35A30"/>
    <w:rPr>
      <w:i/>
      <w:iCs/>
    </w:rPr>
  </w:style>
  <w:style w:type="paragraph" w:styleId="NormalWeb">
    <w:name w:val="Normal (Web)"/>
    <w:basedOn w:val="Normal"/>
    <w:uiPriority w:val="99"/>
    <w:semiHidden/>
    <w:unhideWhenUsed/>
    <w:rsid w:val="00B74834"/>
    <w:pPr>
      <w:spacing w:before="100" w:beforeAutospacing="1" w:after="100" w:afterAutospacing="1" w:line="240" w:lineRule="auto"/>
    </w:pPr>
    <w:rPr>
      <w:rFonts w:ascii="Times New Roman" w:eastAsiaTheme="minorEastAsia" w:hAnsi="Times New Roman" w:cs="Times New Roman"/>
      <w:sz w:val="20"/>
      <w:szCs w:val="20"/>
      <w:lang w:bidi="hi-IN"/>
    </w:rPr>
  </w:style>
  <w:style w:type="character" w:styleId="Strong">
    <w:name w:val="Strong"/>
    <w:basedOn w:val="DefaultParagraphFont"/>
    <w:uiPriority w:val="22"/>
    <w:qFormat/>
    <w:rsid w:val="00B36CDC"/>
    <w:rPr>
      <w:b/>
      <w:bCs/>
    </w:rPr>
  </w:style>
  <w:style w:type="character" w:styleId="UnresolvedMention">
    <w:name w:val="Unresolved Mention"/>
    <w:basedOn w:val="DefaultParagraphFont"/>
    <w:uiPriority w:val="99"/>
    <w:semiHidden/>
    <w:unhideWhenUsed/>
    <w:rsid w:val="00F4338B"/>
    <w:rPr>
      <w:color w:val="605E5C"/>
      <w:shd w:val="clear" w:color="auto" w:fill="E1DFDD"/>
    </w:rPr>
  </w:style>
  <w:style w:type="character" w:customStyle="1" w:styleId="fontstyle21">
    <w:name w:val="fontstyle21"/>
    <w:basedOn w:val="DefaultParagraphFont"/>
    <w:rsid w:val="005C436C"/>
    <w:rPr>
      <w:rFonts w:ascii="FrutigerLTPro-LightCnIta" w:hAnsi="FrutigerLTPro-LightCnIta" w:hint="default"/>
      <w:b w:val="0"/>
      <w:bCs w:val="0"/>
      <w:i w:val="0"/>
      <w:iCs w:val="0"/>
      <w:color w:val="242021"/>
      <w:sz w:val="16"/>
      <w:szCs w:val="16"/>
    </w:rPr>
  </w:style>
  <w:style w:type="paragraph" w:styleId="Revision">
    <w:name w:val="Revision"/>
    <w:hidden/>
    <w:uiPriority w:val="99"/>
    <w:semiHidden/>
    <w:rsid w:val="000E4C21"/>
    <w:pPr>
      <w:spacing w:after="0" w:line="240" w:lineRule="auto"/>
    </w:pPr>
  </w:style>
  <w:style w:type="paragraph" w:customStyle="1" w:styleId="Table">
    <w:name w:val="Table"/>
    <w:basedOn w:val="Normal"/>
    <w:link w:val="TableChar"/>
    <w:qFormat/>
    <w:rsid w:val="00B1615E"/>
    <w:pPr>
      <w:autoSpaceDE w:val="0"/>
      <w:autoSpaceDN w:val="0"/>
      <w:adjustRightInd w:val="0"/>
      <w:spacing w:after="0" w:line="276" w:lineRule="auto"/>
      <w:jc w:val="both"/>
    </w:pPr>
    <w:rPr>
      <w:rFonts w:ascii="Times New Roman" w:eastAsiaTheme="minorEastAsia" w:hAnsi="Times New Roman" w:cstheme="majorBidi"/>
      <w:b/>
      <w:bCs/>
      <w:sz w:val="28"/>
      <w:szCs w:val="28"/>
    </w:rPr>
  </w:style>
  <w:style w:type="character" w:customStyle="1" w:styleId="TableChar">
    <w:name w:val="Table Char"/>
    <w:basedOn w:val="DefaultParagraphFont"/>
    <w:link w:val="Table"/>
    <w:rsid w:val="00B1615E"/>
    <w:rPr>
      <w:rFonts w:ascii="Times New Roman" w:eastAsiaTheme="minorEastAsia" w:hAnsi="Times New Roman" w:cstheme="majorBidi"/>
      <w:b/>
      <w:bCs/>
      <w:sz w:val="28"/>
      <w:szCs w:val="28"/>
    </w:rPr>
  </w:style>
  <w:style w:type="character" w:customStyle="1" w:styleId="result">
    <w:name w:val="result"/>
    <w:rsid w:val="00B1615E"/>
    <w:rPr>
      <w:color w:val="000080"/>
    </w:rPr>
  </w:style>
  <w:style w:type="paragraph" w:customStyle="1" w:styleId="footnote">
    <w:name w:val="footnote"/>
    <w:basedOn w:val="Normal"/>
    <w:link w:val="footnoteChar"/>
    <w:qFormat/>
    <w:rsid w:val="00B1615E"/>
    <w:pPr>
      <w:spacing w:after="0" w:line="240" w:lineRule="auto"/>
    </w:pPr>
    <w:rPr>
      <w:rFonts w:asciiTheme="majorBidi" w:eastAsiaTheme="minorEastAsia" w:hAnsiTheme="majorBidi" w:cstheme="majorBidi"/>
      <w:sz w:val="20"/>
      <w:szCs w:val="20"/>
      <w:lang w:bidi="ar-EG"/>
    </w:rPr>
  </w:style>
  <w:style w:type="character" w:customStyle="1" w:styleId="footnoteChar">
    <w:name w:val="footnote Char"/>
    <w:basedOn w:val="DefaultParagraphFont"/>
    <w:link w:val="footnote"/>
    <w:rsid w:val="00B1615E"/>
    <w:rPr>
      <w:rFonts w:asciiTheme="majorBidi" w:eastAsiaTheme="minorEastAsia" w:hAnsiTheme="majorBidi" w:cstheme="majorBidi"/>
      <w:sz w:val="20"/>
      <w:szCs w:val="20"/>
      <w:lang w:bidi="ar-EG"/>
    </w:rPr>
  </w:style>
  <w:style w:type="table" w:styleId="GridTable5Dark-Accent3">
    <w:name w:val="Grid Table 5 Dark Accent 3"/>
    <w:basedOn w:val="TableNormal"/>
    <w:uiPriority w:val="50"/>
    <w:rsid w:val="00B161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Normal"/>
    <w:link w:val="paragraphChar"/>
    <w:qFormat/>
    <w:rsid w:val="000D1D6E"/>
    <w:pPr>
      <w:spacing w:after="0" w:line="360" w:lineRule="auto"/>
      <w:ind w:firstLine="720"/>
      <w:jc w:val="both"/>
    </w:pPr>
    <w:rPr>
      <w:rFonts w:asciiTheme="majorBidi" w:eastAsiaTheme="minorEastAsia" w:hAnsiTheme="majorBidi" w:cstheme="majorBidi"/>
      <w:sz w:val="28"/>
      <w:szCs w:val="24"/>
    </w:rPr>
  </w:style>
  <w:style w:type="character" w:customStyle="1" w:styleId="paragraphChar">
    <w:name w:val="paragraph Char"/>
    <w:basedOn w:val="DefaultParagraphFont"/>
    <w:link w:val="paragraph"/>
    <w:rsid w:val="000D1D6E"/>
    <w:rPr>
      <w:rFonts w:asciiTheme="majorBidi" w:eastAsiaTheme="minorEastAsia" w:hAnsiTheme="majorBidi" w:cstheme="majorBidi"/>
      <w:sz w:val="28"/>
      <w:szCs w:val="24"/>
    </w:rPr>
  </w:style>
  <w:style w:type="character" w:customStyle="1" w:styleId="CaptionChar">
    <w:name w:val="Caption Char"/>
    <w:aliases w:val="Table Caption Char"/>
    <w:basedOn w:val="DefaultParagraphFont"/>
    <w:link w:val="Caption"/>
    <w:uiPriority w:val="35"/>
    <w:locked/>
    <w:rsid w:val="00777BFB"/>
    <w:rPr>
      <w:b/>
      <w:bCs/>
      <w:color w:val="4472C4" w:themeColor="accent1"/>
      <w:sz w:val="18"/>
      <w:szCs w:val="18"/>
    </w:rPr>
  </w:style>
  <w:style w:type="table" w:customStyle="1" w:styleId="GridTable5Dark-Accent11">
    <w:name w:val="Grid Table 5 Dark - Accent 11"/>
    <w:basedOn w:val="TableNormal"/>
    <w:uiPriority w:val="50"/>
    <w:rsid w:val="00777BFB"/>
    <w:pPr>
      <w:spacing w:after="0" w:line="240" w:lineRule="auto"/>
    </w:pPr>
    <w:rPr>
      <w:rFonts w:asciiTheme="majorBidi" w:eastAsiaTheme="minorEastAsia" w:hAnsiTheme="majorBidi" w:cstheme="maj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itle">
    <w:name w:val="Title"/>
    <w:basedOn w:val="Normal"/>
    <w:next w:val="Normal"/>
    <w:link w:val="TitleChar"/>
    <w:uiPriority w:val="10"/>
    <w:qFormat/>
    <w:rsid w:val="004834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4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48508">
      <w:bodyDiv w:val="1"/>
      <w:marLeft w:val="0"/>
      <w:marRight w:val="0"/>
      <w:marTop w:val="0"/>
      <w:marBottom w:val="0"/>
      <w:divBdr>
        <w:top w:val="none" w:sz="0" w:space="0" w:color="auto"/>
        <w:left w:val="none" w:sz="0" w:space="0" w:color="auto"/>
        <w:bottom w:val="none" w:sz="0" w:space="0" w:color="auto"/>
        <w:right w:val="none" w:sz="0" w:space="0" w:color="auto"/>
      </w:divBdr>
    </w:div>
    <w:div w:id="165438783">
      <w:bodyDiv w:val="1"/>
      <w:marLeft w:val="0"/>
      <w:marRight w:val="0"/>
      <w:marTop w:val="0"/>
      <w:marBottom w:val="0"/>
      <w:divBdr>
        <w:top w:val="none" w:sz="0" w:space="0" w:color="auto"/>
        <w:left w:val="none" w:sz="0" w:space="0" w:color="auto"/>
        <w:bottom w:val="none" w:sz="0" w:space="0" w:color="auto"/>
        <w:right w:val="none" w:sz="0" w:space="0" w:color="auto"/>
      </w:divBdr>
    </w:div>
    <w:div w:id="175924673">
      <w:bodyDiv w:val="1"/>
      <w:marLeft w:val="0"/>
      <w:marRight w:val="0"/>
      <w:marTop w:val="0"/>
      <w:marBottom w:val="0"/>
      <w:divBdr>
        <w:top w:val="none" w:sz="0" w:space="0" w:color="auto"/>
        <w:left w:val="none" w:sz="0" w:space="0" w:color="auto"/>
        <w:bottom w:val="none" w:sz="0" w:space="0" w:color="auto"/>
        <w:right w:val="none" w:sz="0" w:space="0" w:color="auto"/>
      </w:divBdr>
    </w:div>
    <w:div w:id="237980953">
      <w:bodyDiv w:val="1"/>
      <w:marLeft w:val="0"/>
      <w:marRight w:val="0"/>
      <w:marTop w:val="0"/>
      <w:marBottom w:val="0"/>
      <w:divBdr>
        <w:top w:val="none" w:sz="0" w:space="0" w:color="auto"/>
        <w:left w:val="none" w:sz="0" w:space="0" w:color="auto"/>
        <w:bottom w:val="none" w:sz="0" w:space="0" w:color="auto"/>
        <w:right w:val="none" w:sz="0" w:space="0" w:color="auto"/>
      </w:divBdr>
    </w:div>
    <w:div w:id="273249424">
      <w:bodyDiv w:val="1"/>
      <w:marLeft w:val="0"/>
      <w:marRight w:val="0"/>
      <w:marTop w:val="0"/>
      <w:marBottom w:val="0"/>
      <w:divBdr>
        <w:top w:val="none" w:sz="0" w:space="0" w:color="auto"/>
        <w:left w:val="none" w:sz="0" w:space="0" w:color="auto"/>
        <w:bottom w:val="none" w:sz="0" w:space="0" w:color="auto"/>
        <w:right w:val="none" w:sz="0" w:space="0" w:color="auto"/>
      </w:divBdr>
    </w:div>
    <w:div w:id="280696184">
      <w:bodyDiv w:val="1"/>
      <w:marLeft w:val="0"/>
      <w:marRight w:val="0"/>
      <w:marTop w:val="0"/>
      <w:marBottom w:val="0"/>
      <w:divBdr>
        <w:top w:val="none" w:sz="0" w:space="0" w:color="auto"/>
        <w:left w:val="none" w:sz="0" w:space="0" w:color="auto"/>
        <w:bottom w:val="none" w:sz="0" w:space="0" w:color="auto"/>
        <w:right w:val="none" w:sz="0" w:space="0" w:color="auto"/>
      </w:divBdr>
    </w:div>
    <w:div w:id="294415070">
      <w:bodyDiv w:val="1"/>
      <w:marLeft w:val="0"/>
      <w:marRight w:val="0"/>
      <w:marTop w:val="0"/>
      <w:marBottom w:val="0"/>
      <w:divBdr>
        <w:top w:val="none" w:sz="0" w:space="0" w:color="auto"/>
        <w:left w:val="none" w:sz="0" w:space="0" w:color="auto"/>
        <w:bottom w:val="none" w:sz="0" w:space="0" w:color="auto"/>
        <w:right w:val="none" w:sz="0" w:space="0" w:color="auto"/>
      </w:divBdr>
    </w:div>
    <w:div w:id="303198937">
      <w:bodyDiv w:val="1"/>
      <w:marLeft w:val="0"/>
      <w:marRight w:val="0"/>
      <w:marTop w:val="0"/>
      <w:marBottom w:val="0"/>
      <w:divBdr>
        <w:top w:val="none" w:sz="0" w:space="0" w:color="auto"/>
        <w:left w:val="none" w:sz="0" w:space="0" w:color="auto"/>
        <w:bottom w:val="none" w:sz="0" w:space="0" w:color="auto"/>
        <w:right w:val="none" w:sz="0" w:space="0" w:color="auto"/>
      </w:divBdr>
    </w:div>
    <w:div w:id="448821957">
      <w:bodyDiv w:val="1"/>
      <w:marLeft w:val="0"/>
      <w:marRight w:val="0"/>
      <w:marTop w:val="0"/>
      <w:marBottom w:val="0"/>
      <w:divBdr>
        <w:top w:val="none" w:sz="0" w:space="0" w:color="auto"/>
        <w:left w:val="none" w:sz="0" w:space="0" w:color="auto"/>
        <w:bottom w:val="none" w:sz="0" w:space="0" w:color="auto"/>
        <w:right w:val="none" w:sz="0" w:space="0" w:color="auto"/>
      </w:divBdr>
    </w:div>
    <w:div w:id="611983170">
      <w:bodyDiv w:val="1"/>
      <w:marLeft w:val="0"/>
      <w:marRight w:val="0"/>
      <w:marTop w:val="0"/>
      <w:marBottom w:val="0"/>
      <w:divBdr>
        <w:top w:val="none" w:sz="0" w:space="0" w:color="auto"/>
        <w:left w:val="none" w:sz="0" w:space="0" w:color="auto"/>
        <w:bottom w:val="none" w:sz="0" w:space="0" w:color="auto"/>
        <w:right w:val="none" w:sz="0" w:space="0" w:color="auto"/>
      </w:divBdr>
    </w:div>
    <w:div w:id="633410275">
      <w:bodyDiv w:val="1"/>
      <w:marLeft w:val="0"/>
      <w:marRight w:val="0"/>
      <w:marTop w:val="0"/>
      <w:marBottom w:val="0"/>
      <w:divBdr>
        <w:top w:val="none" w:sz="0" w:space="0" w:color="auto"/>
        <w:left w:val="none" w:sz="0" w:space="0" w:color="auto"/>
        <w:bottom w:val="none" w:sz="0" w:space="0" w:color="auto"/>
        <w:right w:val="none" w:sz="0" w:space="0" w:color="auto"/>
      </w:divBdr>
    </w:div>
    <w:div w:id="669909094">
      <w:bodyDiv w:val="1"/>
      <w:marLeft w:val="0"/>
      <w:marRight w:val="0"/>
      <w:marTop w:val="0"/>
      <w:marBottom w:val="0"/>
      <w:divBdr>
        <w:top w:val="none" w:sz="0" w:space="0" w:color="auto"/>
        <w:left w:val="none" w:sz="0" w:space="0" w:color="auto"/>
        <w:bottom w:val="none" w:sz="0" w:space="0" w:color="auto"/>
        <w:right w:val="none" w:sz="0" w:space="0" w:color="auto"/>
      </w:divBdr>
    </w:div>
    <w:div w:id="705720168">
      <w:bodyDiv w:val="1"/>
      <w:marLeft w:val="0"/>
      <w:marRight w:val="0"/>
      <w:marTop w:val="0"/>
      <w:marBottom w:val="0"/>
      <w:divBdr>
        <w:top w:val="none" w:sz="0" w:space="0" w:color="auto"/>
        <w:left w:val="none" w:sz="0" w:space="0" w:color="auto"/>
        <w:bottom w:val="none" w:sz="0" w:space="0" w:color="auto"/>
        <w:right w:val="none" w:sz="0" w:space="0" w:color="auto"/>
      </w:divBdr>
    </w:div>
    <w:div w:id="757100709">
      <w:bodyDiv w:val="1"/>
      <w:marLeft w:val="0"/>
      <w:marRight w:val="0"/>
      <w:marTop w:val="0"/>
      <w:marBottom w:val="0"/>
      <w:divBdr>
        <w:top w:val="none" w:sz="0" w:space="0" w:color="auto"/>
        <w:left w:val="none" w:sz="0" w:space="0" w:color="auto"/>
        <w:bottom w:val="none" w:sz="0" w:space="0" w:color="auto"/>
        <w:right w:val="none" w:sz="0" w:space="0" w:color="auto"/>
      </w:divBdr>
    </w:div>
    <w:div w:id="761923923">
      <w:bodyDiv w:val="1"/>
      <w:marLeft w:val="0"/>
      <w:marRight w:val="0"/>
      <w:marTop w:val="0"/>
      <w:marBottom w:val="0"/>
      <w:divBdr>
        <w:top w:val="none" w:sz="0" w:space="0" w:color="auto"/>
        <w:left w:val="none" w:sz="0" w:space="0" w:color="auto"/>
        <w:bottom w:val="none" w:sz="0" w:space="0" w:color="auto"/>
        <w:right w:val="none" w:sz="0" w:space="0" w:color="auto"/>
      </w:divBdr>
    </w:div>
    <w:div w:id="778985772">
      <w:bodyDiv w:val="1"/>
      <w:marLeft w:val="0"/>
      <w:marRight w:val="0"/>
      <w:marTop w:val="0"/>
      <w:marBottom w:val="0"/>
      <w:divBdr>
        <w:top w:val="none" w:sz="0" w:space="0" w:color="auto"/>
        <w:left w:val="none" w:sz="0" w:space="0" w:color="auto"/>
        <w:bottom w:val="none" w:sz="0" w:space="0" w:color="auto"/>
        <w:right w:val="none" w:sz="0" w:space="0" w:color="auto"/>
      </w:divBdr>
    </w:div>
    <w:div w:id="953247365">
      <w:bodyDiv w:val="1"/>
      <w:marLeft w:val="0"/>
      <w:marRight w:val="0"/>
      <w:marTop w:val="0"/>
      <w:marBottom w:val="0"/>
      <w:divBdr>
        <w:top w:val="none" w:sz="0" w:space="0" w:color="auto"/>
        <w:left w:val="none" w:sz="0" w:space="0" w:color="auto"/>
        <w:bottom w:val="none" w:sz="0" w:space="0" w:color="auto"/>
        <w:right w:val="none" w:sz="0" w:space="0" w:color="auto"/>
      </w:divBdr>
    </w:div>
    <w:div w:id="956717153">
      <w:bodyDiv w:val="1"/>
      <w:marLeft w:val="0"/>
      <w:marRight w:val="0"/>
      <w:marTop w:val="0"/>
      <w:marBottom w:val="0"/>
      <w:divBdr>
        <w:top w:val="none" w:sz="0" w:space="0" w:color="auto"/>
        <w:left w:val="none" w:sz="0" w:space="0" w:color="auto"/>
        <w:bottom w:val="none" w:sz="0" w:space="0" w:color="auto"/>
        <w:right w:val="none" w:sz="0" w:space="0" w:color="auto"/>
      </w:divBdr>
    </w:div>
    <w:div w:id="977227494">
      <w:bodyDiv w:val="1"/>
      <w:marLeft w:val="0"/>
      <w:marRight w:val="0"/>
      <w:marTop w:val="0"/>
      <w:marBottom w:val="0"/>
      <w:divBdr>
        <w:top w:val="none" w:sz="0" w:space="0" w:color="auto"/>
        <w:left w:val="none" w:sz="0" w:space="0" w:color="auto"/>
        <w:bottom w:val="none" w:sz="0" w:space="0" w:color="auto"/>
        <w:right w:val="none" w:sz="0" w:space="0" w:color="auto"/>
      </w:divBdr>
    </w:div>
    <w:div w:id="1073625483">
      <w:bodyDiv w:val="1"/>
      <w:marLeft w:val="0"/>
      <w:marRight w:val="0"/>
      <w:marTop w:val="0"/>
      <w:marBottom w:val="0"/>
      <w:divBdr>
        <w:top w:val="none" w:sz="0" w:space="0" w:color="auto"/>
        <w:left w:val="none" w:sz="0" w:space="0" w:color="auto"/>
        <w:bottom w:val="none" w:sz="0" w:space="0" w:color="auto"/>
        <w:right w:val="none" w:sz="0" w:space="0" w:color="auto"/>
      </w:divBdr>
    </w:div>
    <w:div w:id="1128815339">
      <w:bodyDiv w:val="1"/>
      <w:marLeft w:val="0"/>
      <w:marRight w:val="0"/>
      <w:marTop w:val="0"/>
      <w:marBottom w:val="0"/>
      <w:divBdr>
        <w:top w:val="none" w:sz="0" w:space="0" w:color="auto"/>
        <w:left w:val="none" w:sz="0" w:space="0" w:color="auto"/>
        <w:bottom w:val="none" w:sz="0" w:space="0" w:color="auto"/>
        <w:right w:val="none" w:sz="0" w:space="0" w:color="auto"/>
      </w:divBdr>
    </w:div>
    <w:div w:id="1143500211">
      <w:bodyDiv w:val="1"/>
      <w:marLeft w:val="0"/>
      <w:marRight w:val="0"/>
      <w:marTop w:val="0"/>
      <w:marBottom w:val="0"/>
      <w:divBdr>
        <w:top w:val="none" w:sz="0" w:space="0" w:color="auto"/>
        <w:left w:val="none" w:sz="0" w:space="0" w:color="auto"/>
        <w:bottom w:val="none" w:sz="0" w:space="0" w:color="auto"/>
        <w:right w:val="none" w:sz="0" w:space="0" w:color="auto"/>
      </w:divBdr>
    </w:div>
    <w:div w:id="1154299496">
      <w:bodyDiv w:val="1"/>
      <w:marLeft w:val="0"/>
      <w:marRight w:val="0"/>
      <w:marTop w:val="0"/>
      <w:marBottom w:val="0"/>
      <w:divBdr>
        <w:top w:val="none" w:sz="0" w:space="0" w:color="auto"/>
        <w:left w:val="none" w:sz="0" w:space="0" w:color="auto"/>
        <w:bottom w:val="none" w:sz="0" w:space="0" w:color="auto"/>
        <w:right w:val="none" w:sz="0" w:space="0" w:color="auto"/>
      </w:divBdr>
    </w:div>
    <w:div w:id="1291403503">
      <w:bodyDiv w:val="1"/>
      <w:marLeft w:val="0"/>
      <w:marRight w:val="0"/>
      <w:marTop w:val="0"/>
      <w:marBottom w:val="0"/>
      <w:divBdr>
        <w:top w:val="none" w:sz="0" w:space="0" w:color="auto"/>
        <w:left w:val="none" w:sz="0" w:space="0" w:color="auto"/>
        <w:bottom w:val="none" w:sz="0" w:space="0" w:color="auto"/>
        <w:right w:val="none" w:sz="0" w:space="0" w:color="auto"/>
      </w:divBdr>
    </w:div>
    <w:div w:id="1292594351">
      <w:bodyDiv w:val="1"/>
      <w:marLeft w:val="0"/>
      <w:marRight w:val="0"/>
      <w:marTop w:val="0"/>
      <w:marBottom w:val="0"/>
      <w:divBdr>
        <w:top w:val="none" w:sz="0" w:space="0" w:color="auto"/>
        <w:left w:val="none" w:sz="0" w:space="0" w:color="auto"/>
        <w:bottom w:val="none" w:sz="0" w:space="0" w:color="auto"/>
        <w:right w:val="none" w:sz="0" w:space="0" w:color="auto"/>
      </w:divBdr>
    </w:div>
    <w:div w:id="1311206781">
      <w:bodyDiv w:val="1"/>
      <w:marLeft w:val="0"/>
      <w:marRight w:val="0"/>
      <w:marTop w:val="0"/>
      <w:marBottom w:val="0"/>
      <w:divBdr>
        <w:top w:val="none" w:sz="0" w:space="0" w:color="auto"/>
        <w:left w:val="none" w:sz="0" w:space="0" w:color="auto"/>
        <w:bottom w:val="none" w:sz="0" w:space="0" w:color="auto"/>
        <w:right w:val="none" w:sz="0" w:space="0" w:color="auto"/>
      </w:divBdr>
    </w:div>
    <w:div w:id="1340504708">
      <w:bodyDiv w:val="1"/>
      <w:marLeft w:val="0"/>
      <w:marRight w:val="0"/>
      <w:marTop w:val="0"/>
      <w:marBottom w:val="0"/>
      <w:divBdr>
        <w:top w:val="none" w:sz="0" w:space="0" w:color="auto"/>
        <w:left w:val="none" w:sz="0" w:space="0" w:color="auto"/>
        <w:bottom w:val="none" w:sz="0" w:space="0" w:color="auto"/>
        <w:right w:val="none" w:sz="0" w:space="0" w:color="auto"/>
      </w:divBdr>
    </w:div>
    <w:div w:id="1393626081">
      <w:bodyDiv w:val="1"/>
      <w:marLeft w:val="0"/>
      <w:marRight w:val="0"/>
      <w:marTop w:val="0"/>
      <w:marBottom w:val="0"/>
      <w:divBdr>
        <w:top w:val="none" w:sz="0" w:space="0" w:color="auto"/>
        <w:left w:val="none" w:sz="0" w:space="0" w:color="auto"/>
        <w:bottom w:val="none" w:sz="0" w:space="0" w:color="auto"/>
        <w:right w:val="none" w:sz="0" w:space="0" w:color="auto"/>
      </w:divBdr>
    </w:div>
    <w:div w:id="1402488410">
      <w:bodyDiv w:val="1"/>
      <w:marLeft w:val="0"/>
      <w:marRight w:val="0"/>
      <w:marTop w:val="0"/>
      <w:marBottom w:val="0"/>
      <w:divBdr>
        <w:top w:val="none" w:sz="0" w:space="0" w:color="auto"/>
        <w:left w:val="none" w:sz="0" w:space="0" w:color="auto"/>
        <w:bottom w:val="none" w:sz="0" w:space="0" w:color="auto"/>
        <w:right w:val="none" w:sz="0" w:space="0" w:color="auto"/>
      </w:divBdr>
    </w:div>
    <w:div w:id="1427652120">
      <w:bodyDiv w:val="1"/>
      <w:marLeft w:val="0"/>
      <w:marRight w:val="0"/>
      <w:marTop w:val="0"/>
      <w:marBottom w:val="0"/>
      <w:divBdr>
        <w:top w:val="none" w:sz="0" w:space="0" w:color="auto"/>
        <w:left w:val="none" w:sz="0" w:space="0" w:color="auto"/>
        <w:bottom w:val="none" w:sz="0" w:space="0" w:color="auto"/>
        <w:right w:val="none" w:sz="0" w:space="0" w:color="auto"/>
      </w:divBdr>
    </w:div>
    <w:div w:id="1520243208">
      <w:bodyDiv w:val="1"/>
      <w:marLeft w:val="0"/>
      <w:marRight w:val="0"/>
      <w:marTop w:val="0"/>
      <w:marBottom w:val="0"/>
      <w:divBdr>
        <w:top w:val="none" w:sz="0" w:space="0" w:color="auto"/>
        <w:left w:val="none" w:sz="0" w:space="0" w:color="auto"/>
        <w:bottom w:val="none" w:sz="0" w:space="0" w:color="auto"/>
        <w:right w:val="none" w:sz="0" w:space="0" w:color="auto"/>
      </w:divBdr>
    </w:div>
    <w:div w:id="1685935999">
      <w:bodyDiv w:val="1"/>
      <w:marLeft w:val="0"/>
      <w:marRight w:val="0"/>
      <w:marTop w:val="0"/>
      <w:marBottom w:val="0"/>
      <w:divBdr>
        <w:top w:val="none" w:sz="0" w:space="0" w:color="auto"/>
        <w:left w:val="none" w:sz="0" w:space="0" w:color="auto"/>
        <w:bottom w:val="none" w:sz="0" w:space="0" w:color="auto"/>
        <w:right w:val="none" w:sz="0" w:space="0" w:color="auto"/>
      </w:divBdr>
    </w:div>
    <w:div w:id="1713767376">
      <w:bodyDiv w:val="1"/>
      <w:marLeft w:val="0"/>
      <w:marRight w:val="0"/>
      <w:marTop w:val="0"/>
      <w:marBottom w:val="0"/>
      <w:divBdr>
        <w:top w:val="none" w:sz="0" w:space="0" w:color="auto"/>
        <w:left w:val="none" w:sz="0" w:space="0" w:color="auto"/>
        <w:bottom w:val="none" w:sz="0" w:space="0" w:color="auto"/>
        <w:right w:val="none" w:sz="0" w:space="0" w:color="auto"/>
      </w:divBdr>
    </w:div>
    <w:div w:id="2040430534">
      <w:bodyDiv w:val="1"/>
      <w:marLeft w:val="0"/>
      <w:marRight w:val="0"/>
      <w:marTop w:val="0"/>
      <w:marBottom w:val="0"/>
      <w:divBdr>
        <w:top w:val="none" w:sz="0" w:space="0" w:color="auto"/>
        <w:left w:val="none" w:sz="0" w:space="0" w:color="auto"/>
        <w:bottom w:val="none" w:sz="0" w:space="0" w:color="auto"/>
        <w:right w:val="none" w:sz="0" w:space="0" w:color="auto"/>
      </w:divBdr>
    </w:div>
    <w:div w:id="2040860817">
      <w:bodyDiv w:val="1"/>
      <w:marLeft w:val="0"/>
      <w:marRight w:val="0"/>
      <w:marTop w:val="0"/>
      <w:marBottom w:val="0"/>
      <w:divBdr>
        <w:top w:val="none" w:sz="0" w:space="0" w:color="auto"/>
        <w:left w:val="none" w:sz="0" w:space="0" w:color="auto"/>
        <w:bottom w:val="none" w:sz="0" w:space="0" w:color="auto"/>
        <w:right w:val="none" w:sz="0" w:space="0" w:color="auto"/>
      </w:divBdr>
    </w:div>
    <w:div w:id="2107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gadmed@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E:\ajgh%202024\Fecal%20calprotectin%20as%20a%20Marker%20of%20Severity%20of%20COVID-19%20Disease%20A%20Hospital-based%20Study\PIBLICATION\10.21608\ajgh.2024.302248.1056" TargetMode="External"/><Relationship Id="rId4" Type="http://schemas.openxmlformats.org/officeDocument/2006/relationships/settings" Target="settings.xml"/><Relationship Id="rId9" Type="http://schemas.openxmlformats.org/officeDocument/2006/relationships/hyperlink" Target="https://orcid.org/0000-0001-9818-0078?la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87FF-3C28-4907-8473-A3B549B5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5937</Words>
  <Characters>33311</Characters>
  <Application>Microsoft Office Word</Application>
  <DocSecurity>0</DocSecurity>
  <Lines>1448</Lines>
  <Paragraphs>957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Introduction </vt:lpstr>
      <vt:lpstr>Patients and Methods </vt:lpstr>
      <vt:lpstr>    2.1. Study design:</vt:lpstr>
      <vt:lpstr>    2.2. Patient Selection and Data Collection: </vt:lpstr>
      <vt:lpstr>    2.3.2 Methods:</vt:lpstr>
      <vt:lpstr>    2.4. Statistical analysis</vt:lpstr>
      <vt:lpstr>Results </vt:lpstr>
      <vt:lpstr>Discussion</vt:lpstr>
      <vt:lpstr>Conclusion</vt:lpstr>
      <vt:lpstr>    Ethical considerations</vt:lpstr>
      <vt:lpstr>    AH conceived the research concept, while AG and AA conducted the clinical examin</vt:lpstr>
      <vt:lpstr>    Acknowledgments</vt:lpstr>
      <vt:lpstr>    We thank our esteemed colleagues who have diligently worked in the COVID-19 isol</vt:lpstr>
      <vt: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hoseen011232@medicine.zu.edu.eg</dc:creator>
  <cp:keywords/>
  <dc:description/>
  <cp:lastModifiedBy>SYSalem</cp:lastModifiedBy>
  <cp:revision>2</cp:revision>
  <dcterms:created xsi:type="dcterms:W3CDTF">2024-08-26T12:36:00Z</dcterms:created>
  <dcterms:modified xsi:type="dcterms:W3CDTF">2024-08-26T12:36:00Z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690c8f47-c549-3b29-9ba7-ccb920babfb6</vt:lpwstr>
  </property>
  <property fmtid="{D5CDD505-2E9C-101B-9397-08002B2CF9AE}" pid="24" name="Mendeley Citation Style_1">
    <vt:lpwstr>http://www.zotero.org/styles/ieee</vt:lpwstr>
  </property>
  <property fmtid="{D5CDD505-2E9C-101B-9397-08002B2CF9AE}" pid="25" name="GrammarlyDocumentId">
    <vt:lpwstr>55189f515fabe695e505f983f105c546f9f2721ca26f9af8ca743d6dfcea8a2c</vt:lpwstr>
  </property>
</Properties>
</file>