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1ADF6" w14:textId="77777777" w:rsidR="003245A6" w:rsidRPr="007C382C" w:rsidRDefault="003245A6" w:rsidP="003245A6">
      <w:pPr>
        <w:spacing w:after="0" w:line="360" w:lineRule="auto"/>
        <w:jc w:val="center"/>
        <w:rPr>
          <w:rFonts w:ascii="Arial" w:hAnsi="Arial" w:cs="Arial"/>
          <w:b/>
          <w:color w:val="000000" w:themeColor="text1"/>
          <w:sz w:val="24"/>
          <w:szCs w:val="24"/>
        </w:rPr>
      </w:pPr>
      <w:r w:rsidRPr="007C382C">
        <w:rPr>
          <w:rFonts w:ascii="Arial" w:hAnsi="Arial" w:cs="Arial"/>
          <w:b/>
          <w:color w:val="000000" w:themeColor="text1"/>
          <w:sz w:val="24"/>
          <w:szCs w:val="24"/>
        </w:rPr>
        <w:t>Muhimbili National Hospital</w:t>
      </w:r>
    </w:p>
    <w:p w14:paraId="2F9B82F2" w14:textId="77777777" w:rsidR="003245A6" w:rsidRPr="007C382C" w:rsidRDefault="003245A6" w:rsidP="003245A6">
      <w:pPr>
        <w:spacing w:after="0" w:line="360" w:lineRule="auto"/>
        <w:jc w:val="center"/>
        <w:rPr>
          <w:rFonts w:ascii="Arial" w:hAnsi="Arial" w:cs="Arial"/>
          <w:b/>
          <w:color w:val="000000" w:themeColor="text1"/>
          <w:sz w:val="24"/>
          <w:szCs w:val="24"/>
        </w:rPr>
      </w:pPr>
      <w:r w:rsidRPr="007C382C">
        <w:rPr>
          <w:rFonts w:ascii="Arial" w:hAnsi="Arial" w:cs="Arial"/>
          <w:b/>
          <w:color w:val="000000" w:themeColor="text1"/>
          <w:sz w:val="24"/>
          <w:szCs w:val="24"/>
        </w:rPr>
        <w:t>Department of Surgery</w:t>
      </w:r>
    </w:p>
    <w:p w14:paraId="7BFB49D0" w14:textId="77777777" w:rsidR="003245A6" w:rsidRPr="007C382C" w:rsidRDefault="003245A6" w:rsidP="003245A6">
      <w:pPr>
        <w:spacing w:after="0" w:line="360" w:lineRule="auto"/>
        <w:jc w:val="both"/>
        <w:rPr>
          <w:rFonts w:ascii="Arial" w:hAnsi="Arial" w:cs="Arial"/>
          <w:b/>
          <w:color w:val="000000" w:themeColor="text1"/>
          <w:sz w:val="24"/>
          <w:szCs w:val="24"/>
        </w:rPr>
      </w:pPr>
      <w:r w:rsidRPr="007C382C">
        <w:rPr>
          <w:rFonts w:ascii="Arial" w:hAnsi="Arial" w:cs="Arial"/>
          <w:b/>
          <w:color w:val="000000" w:themeColor="text1"/>
          <w:sz w:val="24"/>
          <w:szCs w:val="24"/>
        </w:rPr>
        <w:t>Case report</w:t>
      </w:r>
    </w:p>
    <w:p w14:paraId="724BB0D6" w14:textId="77777777" w:rsidR="003245A6" w:rsidRPr="007C382C" w:rsidRDefault="003245A6" w:rsidP="00A55CCD">
      <w:pPr>
        <w:spacing w:after="0" w:line="360" w:lineRule="auto"/>
        <w:rPr>
          <w:rFonts w:ascii="Arial" w:hAnsi="Arial" w:cs="Arial"/>
          <w:b/>
          <w:color w:val="000000" w:themeColor="text1"/>
          <w:sz w:val="24"/>
          <w:szCs w:val="24"/>
        </w:rPr>
      </w:pPr>
      <w:r w:rsidRPr="007C382C">
        <w:rPr>
          <w:rFonts w:ascii="Arial" w:hAnsi="Arial" w:cs="Arial"/>
          <w:b/>
          <w:color w:val="000000" w:themeColor="text1"/>
          <w:sz w:val="24"/>
          <w:szCs w:val="24"/>
        </w:rPr>
        <w:t>Laparoscopic Heller’s cardio-myotomy and fundoplication.; A successful approach for Achalasia Management at Muhimbili</w:t>
      </w:r>
      <w:r w:rsidR="00A55CCD" w:rsidRPr="007C382C">
        <w:rPr>
          <w:rFonts w:ascii="Arial" w:hAnsi="Arial" w:cs="Arial"/>
          <w:b/>
          <w:color w:val="000000" w:themeColor="text1"/>
          <w:sz w:val="24"/>
          <w:szCs w:val="24"/>
        </w:rPr>
        <w:t xml:space="preserve"> National Hospital, Tanzania: A </w:t>
      </w:r>
      <w:r w:rsidRPr="007C382C">
        <w:rPr>
          <w:rFonts w:ascii="Arial" w:hAnsi="Arial" w:cs="Arial"/>
          <w:b/>
          <w:color w:val="000000" w:themeColor="text1"/>
          <w:sz w:val="24"/>
          <w:szCs w:val="24"/>
        </w:rPr>
        <w:t>cases series</w:t>
      </w:r>
    </w:p>
    <w:p w14:paraId="5CCC00BF" w14:textId="208182A6" w:rsidR="003245A6" w:rsidRPr="007C382C" w:rsidRDefault="003245A6" w:rsidP="003245A6">
      <w:pPr>
        <w:spacing w:after="0" w:line="360" w:lineRule="auto"/>
        <w:rPr>
          <w:rFonts w:ascii="Arial" w:hAnsi="Arial" w:cs="Arial"/>
          <w:b/>
          <w:color w:val="000000" w:themeColor="text1"/>
          <w:sz w:val="24"/>
          <w:szCs w:val="24"/>
        </w:rPr>
      </w:pPr>
      <w:r w:rsidRPr="007C382C">
        <w:rPr>
          <w:rFonts w:ascii="Arial" w:hAnsi="Arial" w:cs="Arial"/>
          <w:b/>
          <w:color w:val="000000" w:themeColor="text1"/>
          <w:sz w:val="24"/>
          <w:szCs w:val="24"/>
        </w:rPr>
        <w:t>Kitembo Salum Kibwana</w:t>
      </w:r>
      <w:r w:rsidRPr="007C382C">
        <w:rPr>
          <w:rFonts w:ascii="Arial" w:hAnsi="Arial" w:cs="Arial"/>
          <w:b/>
          <w:color w:val="000000" w:themeColor="text1"/>
          <w:sz w:val="24"/>
          <w:szCs w:val="24"/>
          <w:vertAlign w:val="superscript"/>
        </w:rPr>
        <w:t>1*</w:t>
      </w:r>
      <w:r w:rsidRPr="007C382C">
        <w:rPr>
          <w:rFonts w:ascii="Arial" w:hAnsi="Arial" w:cs="Arial"/>
          <w:b/>
          <w:color w:val="000000" w:themeColor="text1"/>
          <w:sz w:val="24"/>
          <w:szCs w:val="24"/>
        </w:rPr>
        <w:t>, Jenikalo Kaguo</w:t>
      </w:r>
      <w:r w:rsidRPr="007C382C">
        <w:rPr>
          <w:rFonts w:ascii="Arial" w:hAnsi="Arial" w:cs="Arial"/>
          <w:b/>
          <w:color w:val="000000" w:themeColor="text1"/>
          <w:sz w:val="24"/>
          <w:szCs w:val="24"/>
          <w:vertAlign w:val="superscript"/>
        </w:rPr>
        <w:t>1</w:t>
      </w:r>
      <w:r w:rsidRPr="007C382C">
        <w:rPr>
          <w:rFonts w:ascii="Arial" w:hAnsi="Arial" w:cs="Arial"/>
          <w:b/>
          <w:color w:val="000000" w:themeColor="text1"/>
          <w:sz w:val="24"/>
          <w:szCs w:val="24"/>
        </w:rPr>
        <w:t xml:space="preserve">, Mohammed Sultan </w:t>
      </w:r>
      <w:r w:rsidR="00EA5911" w:rsidRPr="007C382C">
        <w:rPr>
          <w:rFonts w:ascii="Arial" w:hAnsi="Arial" w:cs="Arial"/>
          <w:b/>
          <w:color w:val="000000" w:themeColor="text1"/>
          <w:sz w:val="24"/>
          <w:szCs w:val="24"/>
        </w:rPr>
        <w:t>Salim</w:t>
      </w:r>
      <w:r w:rsidR="00EA5911" w:rsidRPr="007C382C">
        <w:rPr>
          <w:rFonts w:ascii="Arial" w:hAnsi="Arial" w:cs="Arial"/>
          <w:b/>
          <w:color w:val="000000" w:themeColor="text1"/>
          <w:sz w:val="24"/>
          <w:szCs w:val="24"/>
          <w:vertAlign w:val="superscript"/>
        </w:rPr>
        <w:t>1</w:t>
      </w:r>
      <w:r w:rsidR="00EA5911" w:rsidRPr="00B70357">
        <w:rPr>
          <w:rFonts w:ascii="Arial" w:hAnsi="Arial" w:cs="Arial"/>
          <w:b/>
          <w:color w:val="000000" w:themeColor="text1"/>
          <w:sz w:val="24"/>
          <w:szCs w:val="24"/>
        </w:rPr>
        <w:t>, Godfrey</w:t>
      </w:r>
      <w:r w:rsidR="009E0C09">
        <w:rPr>
          <w:rFonts w:ascii="Arial" w:hAnsi="Arial" w:cs="Arial"/>
          <w:b/>
          <w:color w:val="000000" w:themeColor="text1"/>
          <w:sz w:val="24"/>
          <w:szCs w:val="24"/>
        </w:rPr>
        <w:t xml:space="preserve"> Mchele</w:t>
      </w:r>
      <w:r w:rsidR="009E0C09">
        <w:rPr>
          <w:rFonts w:ascii="Arial" w:hAnsi="Arial" w:cs="Arial"/>
          <w:b/>
          <w:color w:val="000000" w:themeColor="text1"/>
          <w:sz w:val="24"/>
          <w:szCs w:val="24"/>
          <w:vertAlign w:val="superscript"/>
        </w:rPr>
        <w:t>1</w:t>
      </w:r>
      <w:r w:rsidR="009E0C09" w:rsidRPr="009E0C09">
        <w:rPr>
          <w:rFonts w:ascii="Arial" w:hAnsi="Arial" w:cs="Arial"/>
          <w:b/>
          <w:color w:val="000000" w:themeColor="text1"/>
          <w:sz w:val="24"/>
          <w:szCs w:val="24"/>
        </w:rPr>
        <w:t>,</w:t>
      </w:r>
      <w:r w:rsidR="009E0C09">
        <w:rPr>
          <w:rFonts w:ascii="Arial" w:hAnsi="Arial" w:cs="Arial"/>
          <w:b/>
          <w:color w:val="000000" w:themeColor="text1"/>
          <w:sz w:val="24"/>
          <w:szCs w:val="24"/>
        </w:rPr>
        <w:t xml:space="preserve"> </w:t>
      </w:r>
      <w:r w:rsidR="009E0C09" w:rsidRPr="009E0C09">
        <w:rPr>
          <w:rFonts w:ascii="Arial" w:hAnsi="Arial" w:cs="Arial"/>
          <w:b/>
          <w:color w:val="000000" w:themeColor="text1"/>
          <w:sz w:val="24"/>
          <w:szCs w:val="24"/>
        </w:rPr>
        <w:t>William</w:t>
      </w:r>
      <w:r w:rsidR="00B70357">
        <w:rPr>
          <w:rFonts w:ascii="Arial" w:hAnsi="Arial" w:cs="Arial"/>
          <w:b/>
          <w:color w:val="000000" w:themeColor="text1"/>
          <w:sz w:val="24"/>
          <w:szCs w:val="24"/>
        </w:rPr>
        <w:t xml:space="preserve"> Lutege</w:t>
      </w:r>
      <w:r w:rsidR="00B70357">
        <w:rPr>
          <w:rFonts w:ascii="Arial" w:hAnsi="Arial" w:cs="Arial"/>
          <w:b/>
          <w:color w:val="000000" w:themeColor="text1"/>
          <w:sz w:val="24"/>
          <w:szCs w:val="24"/>
          <w:vertAlign w:val="superscript"/>
        </w:rPr>
        <w:t>1</w:t>
      </w:r>
      <w:r w:rsidR="00F84CDB">
        <w:rPr>
          <w:rFonts w:ascii="Arial" w:hAnsi="Arial" w:cs="Arial"/>
          <w:b/>
          <w:color w:val="000000" w:themeColor="text1"/>
          <w:sz w:val="24"/>
          <w:szCs w:val="24"/>
        </w:rPr>
        <w:t>, Yona E Ri</w:t>
      </w:r>
      <w:r w:rsidR="00253367">
        <w:rPr>
          <w:rFonts w:ascii="Arial" w:hAnsi="Arial" w:cs="Arial"/>
          <w:b/>
          <w:color w:val="000000" w:themeColor="text1"/>
          <w:sz w:val="24"/>
          <w:szCs w:val="24"/>
        </w:rPr>
        <w:t>n</w:t>
      </w:r>
      <w:r w:rsidR="00F84CDB">
        <w:rPr>
          <w:rFonts w:ascii="Arial" w:hAnsi="Arial" w:cs="Arial"/>
          <w:b/>
          <w:color w:val="000000" w:themeColor="text1"/>
          <w:sz w:val="24"/>
          <w:szCs w:val="24"/>
        </w:rPr>
        <w:t>go</w:t>
      </w:r>
      <w:r w:rsidR="00B70357" w:rsidRPr="0010390D">
        <w:rPr>
          <w:rFonts w:ascii="Arial" w:hAnsi="Arial" w:cs="Arial"/>
          <w:b/>
          <w:color w:val="000000" w:themeColor="text1"/>
          <w:sz w:val="24"/>
          <w:szCs w:val="24"/>
          <w:vertAlign w:val="superscript"/>
        </w:rPr>
        <w:t>1</w:t>
      </w:r>
    </w:p>
    <w:p w14:paraId="194574BC" w14:textId="12881583" w:rsidR="003245A6" w:rsidRPr="007C382C" w:rsidRDefault="003245A6" w:rsidP="003245A6">
      <w:pPr>
        <w:spacing w:after="0" w:line="240" w:lineRule="auto"/>
        <w:rPr>
          <w:rFonts w:ascii="Arial" w:hAnsi="Arial" w:cs="Arial"/>
          <w:b/>
          <w:color w:val="000000" w:themeColor="text1"/>
          <w:sz w:val="24"/>
          <w:szCs w:val="24"/>
        </w:rPr>
      </w:pPr>
      <w:r w:rsidRPr="007C382C">
        <w:rPr>
          <w:rFonts w:ascii="Arial" w:hAnsi="Arial" w:cs="Arial"/>
          <w:b/>
          <w:color w:val="000000" w:themeColor="text1"/>
          <w:sz w:val="24"/>
          <w:szCs w:val="24"/>
          <w:vertAlign w:val="superscript"/>
        </w:rPr>
        <w:t>1</w:t>
      </w:r>
      <w:r w:rsidRPr="007C382C">
        <w:rPr>
          <w:rFonts w:ascii="Arial" w:hAnsi="Arial" w:cs="Arial"/>
          <w:b/>
          <w:color w:val="000000" w:themeColor="text1"/>
          <w:sz w:val="24"/>
          <w:szCs w:val="24"/>
        </w:rPr>
        <w:t>Department of Surgery- Gastroenterology Unit</w:t>
      </w:r>
      <w:r w:rsidR="00EA5911">
        <w:rPr>
          <w:rFonts w:ascii="Arial" w:hAnsi="Arial" w:cs="Arial"/>
          <w:b/>
          <w:color w:val="000000" w:themeColor="text1"/>
          <w:sz w:val="24"/>
          <w:szCs w:val="24"/>
        </w:rPr>
        <w:t>,</w:t>
      </w:r>
      <w:r w:rsidRPr="007C382C">
        <w:rPr>
          <w:rFonts w:ascii="Arial" w:hAnsi="Arial" w:cs="Arial"/>
          <w:b/>
          <w:color w:val="000000" w:themeColor="text1"/>
          <w:sz w:val="24"/>
          <w:szCs w:val="24"/>
        </w:rPr>
        <w:t xml:space="preserve"> </w:t>
      </w:r>
      <w:proofErr w:type="spellStart"/>
      <w:r w:rsidRPr="007C382C">
        <w:rPr>
          <w:rFonts w:ascii="Arial" w:hAnsi="Arial" w:cs="Arial"/>
          <w:b/>
          <w:color w:val="000000" w:themeColor="text1"/>
          <w:sz w:val="24"/>
          <w:szCs w:val="24"/>
        </w:rPr>
        <w:t>Muhimbili</w:t>
      </w:r>
      <w:proofErr w:type="spellEnd"/>
      <w:r w:rsidRPr="007C382C">
        <w:rPr>
          <w:rFonts w:ascii="Arial" w:hAnsi="Arial" w:cs="Arial"/>
          <w:b/>
          <w:color w:val="000000" w:themeColor="text1"/>
          <w:sz w:val="24"/>
          <w:szCs w:val="24"/>
        </w:rPr>
        <w:t xml:space="preserve"> National Hospital, Dar-es-salaam, Tanzania.</w:t>
      </w:r>
    </w:p>
    <w:p w14:paraId="189BFF81" w14:textId="77777777" w:rsidR="003245A6" w:rsidRPr="007C382C" w:rsidRDefault="003245A6" w:rsidP="003245A6">
      <w:pPr>
        <w:spacing w:after="0" w:line="240" w:lineRule="auto"/>
        <w:rPr>
          <w:rFonts w:ascii="Arial" w:hAnsi="Arial" w:cs="Arial"/>
          <w:b/>
          <w:color w:val="000000" w:themeColor="text1"/>
          <w:sz w:val="24"/>
          <w:szCs w:val="24"/>
        </w:rPr>
      </w:pPr>
    </w:p>
    <w:p w14:paraId="33A5BBF9" w14:textId="77777777" w:rsidR="003245A6" w:rsidRPr="007C382C" w:rsidRDefault="003245A6" w:rsidP="003245A6">
      <w:pPr>
        <w:spacing w:after="0" w:line="240" w:lineRule="auto"/>
        <w:rPr>
          <w:rFonts w:ascii="Arial" w:hAnsi="Arial" w:cs="Arial"/>
          <w:b/>
          <w:color w:val="000000" w:themeColor="text1"/>
          <w:sz w:val="24"/>
          <w:szCs w:val="24"/>
        </w:rPr>
      </w:pPr>
      <w:r w:rsidRPr="007C382C">
        <w:rPr>
          <w:rFonts w:ascii="Arial" w:hAnsi="Arial" w:cs="Arial"/>
          <w:b/>
          <w:color w:val="000000" w:themeColor="text1"/>
          <w:sz w:val="24"/>
          <w:szCs w:val="24"/>
        </w:rPr>
        <w:t>*Co</w:t>
      </w:r>
      <w:r w:rsidR="007C5008" w:rsidRPr="007C382C">
        <w:rPr>
          <w:rFonts w:ascii="Arial" w:hAnsi="Arial" w:cs="Arial"/>
          <w:b/>
          <w:color w:val="000000" w:themeColor="text1"/>
          <w:sz w:val="24"/>
          <w:szCs w:val="24"/>
        </w:rPr>
        <w:t>rresponding author: Kitembo Salu</w:t>
      </w:r>
      <w:r w:rsidRPr="007C382C">
        <w:rPr>
          <w:rFonts w:ascii="Arial" w:hAnsi="Arial" w:cs="Arial"/>
          <w:b/>
          <w:color w:val="000000" w:themeColor="text1"/>
          <w:sz w:val="24"/>
          <w:szCs w:val="24"/>
        </w:rPr>
        <w:t>m Kibwana, Muhimbili National Hospital, Dar-es-salaam, P.O.  Box 65000, Dar-es-salaam, Tanzania. Telephone +255784607682; Email kkitembo@yahoo.com.</w:t>
      </w:r>
      <w:r w:rsidRPr="007C382C">
        <w:rPr>
          <w:rFonts w:ascii="Arial" w:hAnsi="Arial" w:cs="Arial"/>
          <w:b/>
          <w:color w:val="000000" w:themeColor="text1"/>
          <w:sz w:val="24"/>
          <w:szCs w:val="24"/>
        </w:rPr>
        <w:tab/>
        <w:t xml:space="preserve"> </w:t>
      </w:r>
    </w:p>
    <w:p w14:paraId="78291D90" w14:textId="77777777" w:rsidR="003245A6" w:rsidRPr="007C382C" w:rsidRDefault="003245A6" w:rsidP="003245A6">
      <w:pPr>
        <w:spacing w:after="0" w:line="240" w:lineRule="auto"/>
        <w:rPr>
          <w:rFonts w:ascii="Arial" w:hAnsi="Arial" w:cs="Arial"/>
          <w:b/>
          <w:color w:val="000000" w:themeColor="text1"/>
          <w:sz w:val="24"/>
          <w:szCs w:val="24"/>
        </w:rPr>
      </w:pPr>
      <w:r w:rsidRPr="007C382C">
        <w:rPr>
          <w:rFonts w:ascii="Arial" w:hAnsi="Arial" w:cs="Arial"/>
          <w:b/>
          <w:color w:val="000000" w:themeColor="text1"/>
          <w:sz w:val="24"/>
          <w:szCs w:val="24"/>
        </w:rPr>
        <w:t>______________________________________________</w:t>
      </w:r>
      <w:r w:rsidR="00C70F22" w:rsidRPr="007C382C">
        <w:rPr>
          <w:rFonts w:ascii="Arial" w:hAnsi="Arial" w:cs="Arial"/>
          <w:b/>
          <w:color w:val="000000" w:themeColor="text1"/>
          <w:sz w:val="24"/>
          <w:szCs w:val="24"/>
        </w:rPr>
        <w:t>________________________</w:t>
      </w:r>
    </w:p>
    <w:p w14:paraId="5C6022E9" w14:textId="77777777" w:rsidR="003245A6" w:rsidRPr="007C382C" w:rsidRDefault="003245A6" w:rsidP="003245A6">
      <w:pPr>
        <w:spacing w:after="0" w:line="360" w:lineRule="auto"/>
        <w:jc w:val="both"/>
        <w:rPr>
          <w:rFonts w:ascii="Arial" w:hAnsi="Arial" w:cs="Arial"/>
          <w:b/>
          <w:color w:val="000000" w:themeColor="text1"/>
          <w:sz w:val="24"/>
          <w:szCs w:val="24"/>
        </w:rPr>
      </w:pPr>
    </w:p>
    <w:p w14:paraId="6F281963" w14:textId="77777777" w:rsidR="003245A6" w:rsidRPr="007C382C" w:rsidRDefault="003245A6" w:rsidP="003245A6">
      <w:pPr>
        <w:pStyle w:val="Heading1"/>
        <w:spacing w:line="360" w:lineRule="auto"/>
        <w:rPr>
          <w:rFonts w:ascii="Arial" w:hAnsi="Arial" w:cs="Arial"/>
          <w:b/>
          <w:color w:val="000000" w:themeColor="text1"/>
          <w:sz w:val="24"/>
          <w:szCs w:val="24"/>
        </w:rPr>
      </w:pPr>
      <w:r w:rsidRPr="007C382C">
        <w:rPr>
          <w:rFonts w:ascii="Arial" w:hAnsi="Arial" w:cs="Arial"/>
          <w:b/>
          <w:color w:val="000000" w:themeColor="text1"/>
          <w:sz w:val="24"/>
          <w:szCs w:val="24"/>
        </w:rPr>
        <w:t xml:space="preserve">Abstract: </w:t>
      </w:r>
    </w:p>
    <w:p w14:paraId="4DA29AE9" w14:textId="231F5842" w:rsidR="00F454F4" w:rsidRPr="00F454F4" w:rsidRDefault="00F454F4" w:rsidP="00F454F4">
      <w:pPr>
        <w:spacing w:after="0" w:line="360" w:lineRule="auto"/>
        <w:jc w:val="both"/>
        <w:rPr>
          <w:rFonts w:ascii="Arial" w:hAnsi="Arial" w:cs="Arial"/>
          <w:sz w:val="24"/>
          <w:szCs w:val="24"/>
        </w:rPr>
      </w:pPr>
      <w:r w:rsidRPr="00F454F4">
        <w:rPr>
          <w:rFonts w:ascii="Arial" w:hAnsi="Arial" w:cs="Arial"/>
          <w:b/>
          <w:bCs/>
          <w:sz w:val="24"/>
          <w:szCs w:val="24"/>
        </w:rPr>
        <w:t>Aims:</w:t>
      </w:r>
      <w:r w:rsidRPr="001613F9">
        <w:rPr>
          <w:rFonts w:ascii="Arial" w:hAnsi="Arial" w:cs="Arial"/>
          <w:sz w:val="24"/>
          <w:szCs w:val="24"/>
        </w:rPr>
        <w:t xml:space="preserve"> </w:t>
      </w:r>
      <w:r w:rsidRPr="00F454F4">
        <w:rPr>
          <w:rFonts w:ascii="Arial" w:hAnsi="Arial" w:cs="Arial"/>
          <w:sz w:val="24"/>
          <w:szCs w:val="24"/>
        </w:rPr>
        <w:t>To describe the surgical management and outcomes of pediatric achalasia in two patients with rare comorbidities, focusing on the challenges and limitations in a resource-limited setting.</w:t>
      </w:r>
    </w:p>
    <w:p w14:paraId="721DBD86" w14:textId="3E37882F" w:rsidR="00F454F4" w:rsidRPr="00F454F4" w:rsidRDefault="00F454F4" w:rsidP="00F454F4">
      <w:pPr>
        <w:spacing w:after="0" w:line="360" w:lineRule="auto"/>
        <w:jc w:val="both"/>
        <w:rPr>
          <w:rFonts w:ascii="Arial" w:hAnsi="Arial" w:cs="Arial"/>
          <w:sz w:val="24"/>
          <w:szCs w:val="24"/>
        </w:rPr>
      </w:pPr>
      <w:r w:rsidRPr="00F454F4">
        <w:rPr>
          <w:rFonts w:ascii="Arial" w:hAnsi="Arial" w:cs="Arial"/>
          <w:b/>
          <w:bCs/>
          <w:sz w:val="24"/>
          <w:szCs w:val="24"/>
        </w:rPr>
        <w:t>Patients &amp; Methods:</w:t>
      </w:r>
      <w:r w:rsidR="00B0727A" w:rsidRPr="001613F9">
        <w:rPr>
          <w:rFonts w:ascii="Arial" w:hAnsi="Arial" w:cs="Arial"/>
          <w:sz w:val="24"/>
          <w:szCs w:val="24"/>
        </w:rPr>
        <w:t xml:space="preserve"> </w:t>
      </w:r>
      <w:r w:rsidRPr="00F454F4">
        <w:rPr>
          <w:rFonts w:ascii="Arial" w:hAnsi="Arial" w:cs="Arial"/>
          <w:sz w:val="24"/>
          <w:szCs w:val="24"/>
        </w:rPr>
        <w:t>This case series includes a 9-year-old male with Triple-A syndrome and a 7-year-old male with Addison’s disease, both presenting with long-standing dysphagia. Both patients underwent laparoscopic Heller’s myotomy and Dor fundoplication. Diagnosis was primarily based on clinical presentation and barium swallow due to the unavailability of esophageal manometry.</w:t>
      </w:r>
    </w:p>
    <w:p w14:paraId="79FCB88F" w14:textId="06176747" w:rsidR="00F454F4" w:rsidRPr="00F454F4" w:rsidRDefault="00F454F4" w:rsidP="00F454F4">
      <w:pPr>
        <w:spacing w:after="0" w:line="360" w:lineRule="auto"/>
        <w:jc w:val="both"/>
        <w:rPr>
          <w:rFonts w:ascii="Arial" w:hAnsi="Arial" w:cs="Arial"/>
          <w:sz w:val="24"/>
          <w:szCs w:val="24"/>
        </w:rPr>
      </w:pPr>
      <w:r w:rsidRPr="00F454F4">
        <w:rPr>
          <w:rFonts w:ascii="Arial" w:hAnsi="Arial" w:cs="Arial"/>
          <w:b/>
          <w:bCs/>
          <w:sz w:val="24"/>
          <w:szCs w:val="24"/>
        </w:rPr>
        <w:t>Results:</w:t>
      </w:r>
      <w:r w:rsidR="0049599E" w:rsidRPr="001613F9">
        <w:rPr>
          <w:rFonts w:ascii="Arial" w:hAnsi="Arial" w:cs="Arial"/>
          <w:sz w:val="24"/>
          <w:szCs w:val="24"/>
        </w:rPr>
        <w:t xml:space="preserve"> </w:t>
      </w:r>
      <w:r w:rsidRPr="00F454F4">
        <w:rPr>
          <w:rFonts w:ascii="Arial" w:hAnsi="Arial" w:cs="Arial"/>
          <w:sz w:val="24"/>
          <w:szCs w:val="24"/>
        </w:rPr>
        <w:t>Both patients demonstrated significant improvements in dysphagia postoperatively. No intraoperative complications occurred, and at follow-up, neither patient experienced recurrence or complications. However, the lack of manometric studies may have affected diagnostic precision.</w:t>
      </w:r>
    </w:p>
    <w:p w14:paraId="12FD4960" w14:textId="477F2CD7" w:rsidR="003245A6" w:rsidRPr="001613F9" w:rsidRDefault="00F454F4" w:rsidP="00F454F4">
      <w:pPr>
        <w:spacing w:line="360" w:lineRule="auto"/>
        <w:jc w:val="both"/>
        <w:rPr>
          <w:rFonts w:ascii="Arial" w:hAnsi="Arial" w:cs="Arial"/>
          <w:sz w:val="24"/>
          <w:szCs w:val="24"/>
        </w:rPr>
      </w:pPr>
      <w:r w:rsidRPr="00F454F4">
        <w:rPr>
          <w:rFonts w:ascii="Arial" w:hAnsi="Arial" w:cs="Arial"/>
          <w:b/>
          <w:bCs/>
          <w:sz w:val="24"/>
          <w:szCs w:val="24"/>
        </w:rPr>
        <w:t>Conclusions:</w:t>
      </w:r>
      <w:r w:rsidR="00D86505" w:rsidRPr="001613F9">
        <w:rPr>
          <w:rFonts w:ascii="Arial" w:hAnsi="Arial" w:cs="Arial"/>
          <w:sz w:val="24"/>
          <w:szCs w:val="24"/>
        </w:rPr>
        <w:t xml:space="preserve"> </w:t>
      </w:r>
      <w:r w:rsidRPr="00F454F4">
        <w:rPr>
          <w:rFonts w:ascii="Arial" w:hAnsi="Arial" w:cs="Arial"/>
          <w:sz w:val="24"/>
          <w:szCs w:val="24"/>
        </w:rPr>
        <w:t xml:space="preserve">This case series highlights the effective use of laparoscopic Heller’s myotomy in pediatric achalasia patients with complex comorbidities. </w:t>
      </w:r>
      <w:r w:rsidRPr="00044ACB">
        <w:rPr>
          <w:rFonts w:ascii="Arial" w:hAnsi="Arial" w:cs="Arial"/>
          <w:b/>
          <w:sz w:val="24"/>
          <w:szCs w:val="24"/>
        </w:rPr>
        <w:t xml:space="preserve">The absence of manometric studies and Per-Oral Endoscopic Myotomy options underscores the </w:t>
      </w:r>
      <w:r w:rsidRPr="00044ACB">
        <w:rPr>
          <w:rFonts w:ascii="Arial" w:hAnsi="Arial" w:cs="Arial"/>
          <w:b/>
          <w:sz w:val="24"/>
          <w:szCs w:val="24"/>
        </w:rPr>
        <w:lastRenderedPageBreak/>
        <w:t>need for advanced diagnostic tools and surgical techniques in resource-limited settings.</w:t>
      </w:r>
    </w:p>
    <w:p w14:paraId="65C36DDD" w14:textId="369F92B9" w:rsidR="001F07B2" w:rsidRPr="007C382C" w:rsidRDefault="003245A6" w:rsidP="000743CD">
      <w:pPr>
        <w:spacing w:after="0" w:line="360" w:lineRule="auto"/>
        <w:jc w:val="both"/>
        <w:rPr>
          <w:rFonts w:ascii="Arial" w:eastAsiaTheme="majorEastAsia" w:hAnsi="Arial" w:cs="Arial"/>
          <w:b/>
          <w:color w:val="000000" w:themeColor="text1"/>
          <w:sz w:val="24"/>
          <w:szCs w:val="24"/>
        </w:rPr>
      </w:pPr>
      <w:r w:rsidRPr="007C382C">
        <w:rPr>
          <w:rFonts w:ascii="Arial" w:hAnsi="Arial" w:cs="Arial"/>
          <w:b/>
          <w:bCs/>
          <w:sz w:val="24"/>
          <w:szCs w:val="24"/>
        </w:rPr>
        <w:t xml:space="preserve">keywords: </w:t>
      </w:r>
      <w:r w:rsidR="009B1B3B" w:rsidRPr="00E84990">
        <w:rPr>
          <w:rFonts w:ascii="Arial" w:hAnsi="Arial" w:cs="Arial"/>
          <w:b/>
          <w:sz w:val="24"/>
          <w:szCs w:val="24"/>
        </w:rPr>
        <w:t>Achalasia, Pediatric Surgery, Laparoscopic Heller's Myotomy, Dor Fundoplication, Triple-A Syndrome, Addison’s Disease, Esophageal Motility Disorders, Barium Swallow, Resource-Limited Settings, Surgical Outcomes</w:t>
      </w:r>
      <w:r w:rsidRPr="00E84990">
        <w:rPr>
          <w:rFonts w:ascii="Arial" w:hAnsi="Arial" w:cs="Arial"/>
          <w:b/>
          <w:sz w:val="24"/>
          <w:szCs w:val="24"/>
        </w:rPr>
        <w:t>.</w:t>
      </w:r>
    </w:p>
    <w:p w14:paraId="155A95D9" w14:textId="77777777" w:rsidR="003245A6" w:rsidRPr="007C382C" w:rsidRDefault="003245A6" w:rsidP="003245A6">
      <w:pPr>
        <w:pStyle w:val="Heading1"/>
        <w:spacing w:line="360" w:lineRule="auto"/>
        <w:rPr>
          <w:rFonts w:ascii="Arial" w:hAnsi="Arial" w:cs="Arial"/>
          <w:b/>
          <w:color w:val="000000" w:themeColor="text1"/>
          <w:sz w:val="24"/>
          <w:szCs w:val="24"/>
        </w:rPr>
      </w:pPr>
      <w:r w:rsidRPr="007C382C">
        <w:rPr>
          <w:rFonts w:ascii="Arial" w:hAnsi="Arial" w:cs="Arial"/>
          <w:b/>
          <w:color w:val="000000" w:themeColor="text1"/>
          <w:sz w:val="24"/>
          <w:szCs w:val="24"/>
        </w:rPr>
        <w:t xml:space="preserve"> Introduction </w:t>
      </w:r>
    </w:p>
    <w:p w14:paraId="6F7ACDFF" w14:textId="3C1CA5EC" w:rsidR="004C552A" w:rsidRDefault="00CF6D4B" w:rsidP="00CF6D4B">
      <w:pPr>
        <w:spacing w:line="360" w:lineRule="auto"/>
        <w:jc w:val="both"/>
        <w:rPr>
          <w:rFonts w:ascii="Arial" w:eastAsia="Times New Roman" w:hAnsi="Arial" w:cs="Arial"/>
          <w:sz w:val="24"/>
          <w:szCs w:val="24"/>
        </w:rPr>
      </w:pPr>
      <w:r>
        <w:rPr>
          <w:rFonts w:ascii="Arial" w:eastAsia="Times New Roman" w:hAnsi="Arial" w:cs="Arial"/>
          <w:sz w:val="24"/>
          <w:szCs w:val="24"/>
        </w:rPr>
        <w:t xml:space="preserve">Esophageal </w:t>
      </w:r>
      <w:r w:rsidR="008516FB" w:rsidRPr="008516FB">
        <w:rPr>
          <w:rFonts w:ascii="Arial" w:eastAsia="Times New Roman" w:hAnsi="Arial" w:cs="Arial"/>
          <w:sz w:val="24"/>
          <w:szCs w:val="24"/>
        </w:rPr>
        <w:t>Achalasia</w:t>
      </w:r>
      <w:r>
        <w:rPr>
          <w:rFonts w:ascii="Arial" w:eastAsia="Times New Roman" w:hAnsi="Arial" w:cs="Arial"/>
          <w:sz w:val="24"/>
          <w:szCs w:val="24"/>
        </w:rPr>
        <w:t xml:space="preserve"> (EA)</w:t>
      </w:r>
      <w:r w:rsidR="008516FB" w:rsidRPr="008516FB">
        <w:rPr>
          <w:rFonts w:ascii="Arial" w:eastAsia="Times New Roman" w:hAnsi="Arial" w:cs="Arial"/>
          <w:sz w:val="24"/>
          <w:szCs w:val="24"/>
        </w:rPr>
        <w:t xml:space="preserve"> is an uncommon esophageal motility disorder characterized by neurodegeneration, particularly in the pediatric demographic</w:t>
      </w:r>
      <w:r w:rsidR="008516FB">
        <w:rPr>
          <w:rFonts w:ascii="Arial" w:eastAsia="Times New Roman" w:hAnsi="Arial" w:cs="Arial"/>
          <w:sz w:val="24"/>
          <w:szCs w:val="24"/>
        </w:rPr>
        <w:t xml:space="preserve"> </w:t>
      </w:r>
      <w:r w:rsidR="008516FB">
        <w:rPr>
          <w:rFonts w:ascii="Arial" w:eastAsia="Times New Roman" w:hAnsi="Arial" w:cs="Arial"/>
          <w:sz w:val="24"/>
          <w:szCs w:val="24"/>
        </w:rPr>
        <w:fldChar w:fldCharType="begin" w:fldLock="1"/>
      </w:r>
      <w:r w:rsidR="00A67C95">
        <w:rPr>
          <w:rFonts w:ascii="Arial" w:eastAsia="Times New Roman" w:hAnsi="Arial" w:cs="Arial"/>
          <w:sz w:val="24"/>
          <w:szCs w:val="24"/>
        </w:rPr>
        <w:instrText>ADDIN CSL_CITATION {"citationItems":[{"id":"ITEM-1","itemData":{"DOI":"10.4253/wjge.v6.i4.105","ISSN":"1948-5190 (Print)","PMID":"24748917","abstract":"Achalasia is an esophageal motility disorder characterized by failure of lower  esophageal sphincter (LES) relaxation and is rare in children. The most common symptoms are vomiting, dysphagia, regurgitation, and weight loss. Definitive diagnosis is made with barium swallow study and esophageal manometry. In adults, endoscopic biopsy is recommended to exclude malignancy however; it is not as often indicated in children. Medical management often fails resulting in recurrent symptoms and the ultimate definitive treatment is surgical. Laparoscopic Heller myotomy with or without an anti-reflux procedure is the treatment of choice and has become standard of care for children with achalasia. Peroral endoscopic myotomy is a novel therapy utilized with increasing frequency for achalasia treatment in adults. More experience is needed to determine the safety, efficacy, and feasibility of peroral endoscopic myotomy in children.","author":[{"dropping-particle":"","family":"Franklin","given":"Ashanti L","non-dropping-particle":"","parse-names":false,"suffix":""},{"dropping-particle":"","family":"Petrosyan","given":"Mikael","non-dropping-particle":"","parse-names":false,"suffix":""},{"dropping-particle":"","family":"Kane","given":"Timothy D","non-dropping-particle":"","parse-names":false,"suffix":""}],"container-title":"World journal of gastrointestinal endoscopy","id":"ITEM-1","issue":"4","issued":{"date-parts":[["2014","4"]]},"language":"eng","page":"105-111","publisher-place":"United States","title":"Childhood achalasia: A comprehensive review of disease, diagnosis and therapeutic  management.","type":"article-journal","volume":"6"},"uris":["http://www.mendeley.com/documents/?uuid=7737528e-b843-457b-b99d-8da4f759edee"]}],"mendeley":{"formattedCitation":"[1]","plainTextFormattedCitation":"[1]","previouslyFormattedCitation":"[1]"},"properties":{"noteIndex":0},"schema":"https://github.com/citation-style-language/schema/raw/master/csl-citation.json"}</w:instrText>
      </w:r>
      <w:r w:rsidR="008516FB">
        <w:rPr>
          <w:rFonts w:ascii="Arial" w:eastAsia="Times New Roman" w:hAnsi="Arial" w:cs="Arial"/>
          <w:sz w:val="24"/>
          <w:szCs w:val="24"/>
        </w:rPr>
        <w:fldChar w:fldCharType="separate"/>
      </w:r>
      <w:r w:rsidR="008516FB" w:rsidRPr="008516FB">
        <w:rPr>
          <w:rFonts w:ascii="Arial" w:eastAsia="Times New Roman" w:hAnsi="Arial" w:cs="Arial"/>
          <w:noProof/>
          <w:sz w:val="24"/>
          <w:szCs w:val="24"/>
        </w:rPr>
        <w:t>[1]</w:t>
      </w:r>
      <w:r w:rsidR="008516FB">
        <w:rPr>
          <w:rFonts w:ascii="Arial" w:eastAsia="Times New Roman" w:hAnsi="Arial" w:cs="Arial"/>
          <w:sz w:val="24"/>
          <w:szCs w:val="24"/>
        </w:rPr>
        <w:fldChar w:fldCharType="end"/>
      </w:r>
      <w:r w:rsidR="008516FB" w:rsidRPr="008516FB">
        <w:rPr>
          <w:rFonts w:ascii="Arial" w:eastAsia="Times New Roman" w:hAnsi="Arial" w:cs="Arial"/>
          <w:sz w:val="24"/>
          <w:szCs w:val="24"/>
        </w:rPr>
        <w:t>. This condition is exceptionally rare among children under the age of five</w:t>
      </w:r>
      <w:r w:rsidR="00A67C95">
        <w:rPr>
          <w:rFonts w:ascii="Arial" w:eastAsia="Times New Roman" w:hAnsi="Arial" w:cs="Arial"/>
          <w:sz w:val="24"/>
          <w:szCs w:val="24"/>
        </w:rPr>
        <w:t xml:space="preserve"> </w:t>
      </w:r>
      <w:r w:rsidR="00A67C95">
        <w:rPr>
          <w:rFonts w:ascii="Arial" w:eastAsia="Times New Roman" w:hAnsi="Arial" w:cs="Arial"/>
          <w:sz w:val="24"/>
          <w:szCs w:val="24"/>
        </w:rPr>
        <w:fldChar w:fldCharType="begin" w:fldLock="1"/>
      </w:r>
      <w:r w:rsidR="00A67C95">
        <w:rPr>
          <w:rFonts w:ascii="Arial" w:eastAsia="Times New Roman" w:hAnsi="Arial" w:cs="Arial"/>
          <w:sz w:val="24"/>
          <w:szCs w:val="24"/>
        </w:rPr>
        <w:instrText>ADDIN CSL_CITATION {"citationItems":[{"id":"ITEM-1","itemData":{"DOI":"10.1016/j.jpedsurg.2010.02.086","ISSN":"1531-5037 (Electronic)","PMID":"20620315","abstract":"PURPOSE: The optimal management of achalasia in children and adolescents remains  unclear. The aim of this study was to review a single institution's experience with endoscopic and surgical interventions in children with achalasia. METHODS: A retrospective review was conducted of the medical records of children treated for achalasia from 1978 to 2008. Patient demographics and interventions were reviewed. Outcomes after procedural intervention were evaluated. RESULTS: Thirty-five patients with achalasia were identified, and data were available for 34 (age, 13 +/- 6 years; male, 62%). Eighteen patients underwent esophageal dilation (ED), and 16 patients underwent Heller myotomy (HM). Follow-up was available for 30 patients (ED, 15; HM, 15). There was symptom recurrence in 15 of 15 ED cases and 8 (53%) of 15 HM cases (P &lt; .01). Additional interventions were performed in 14 (93%) of 15 ED cases and 6 (40%) of 15 HM cases (P &lt; .01). CONCLUSIONS: Heller myotomy may provide more durable long-term outcomes, as defined by symptom recurrence and need for subsequent intervention, and may be considered the procedure of choice.","author":[{"dropping-particle":"","family":"Lee","given":"Constance W","non-dropping-particle":"","parse-names":false,"suffix":""},{"dropping-particle":"","family":"Kays","given":"David W","non-dropping-particle":"","parse-names":false,"suffix":""},{"dropping-particle":"","family":"Chen","given":"Mike K","non-dropping-particle":"","parse-names":false,"suffix":""},{"dropping-particle":"","family":"Islam","given":"Saleem","non-dropping-particle":"","parse-names":false,"suffix":""}],"container-title":"Journal of pediatric surgery","id":"ITEM-1","issue":"6","issued":{"date-parts":[["2010","6"]]},"language":"eng","page":"1173-1177","publisher-place":"United States","title":"Outcomes of treatment of childhood achalasia.","type":"article-journal","volume":"45"},"uris":["http://www.mendeley.com/documents/?uuid=94a1670f-f431-40d3-b9d2-104558655308"]},{"id":"ITEM-2","itemData":{"DOI":"10.1016/j.gtc.2008.09.002","ISSN":"0889-8553 (Print)","PMID":"19028319","abstract":"Achalasia is the best understood and most readily treatable esophageal motility  disorder. It serves as a prototype for disorders of the enteric nervous system with degeneration of the myenteric neurons that innervate the lower esophageal sphincter (LES) and esophageal body. Investigations into the pathogenesis have highlighted the importance of nitric oxide and the possible role of an autoimmune response to a viral insult in genetically susceptible individuals. Advances in diagnostic testing have delineated manometric variants of achalasia that have implications for management. Treatment studies have demonstrated the limited efficacy of botulinum toxin as well as less than ideal, long-term effectiveness of both pneumatic dilation and Heller myotomy. This article incorporates these recent developments into the current understanding of achalasia.","author":[{"dropping-particle":"","family":"Walzer","given":"Natasha","non-dropping-particle":"","parse-names":false,"suffix":""},{"dropping-particle":"","family":"Hirano","given":"Ikuo","non-dropping-particle":"","parse-names":false,"suffix":""}],"container-title":"Gastroenterology clinics of North America","id":"ITEM-2","issue":"4","issued":{"date-parts":[["2008","12"]]},"language":"eng","page":"807-25, viii","publisher-place":"United States","title":"Achalasia.","type":"article-journal","volume":"37"},"uris":["http://www.mendeley.com/documents/?uuid=21bc81d6-f5a3-4234-a862-a519cb65773d"]}],"mendeley":{"formattedCitation":"[2,3]","plainTextFormattedCitation":"[2,3]","previouslyFormattedCitation":"[2,3]"},"properties":{"noteIndex":0},"schema":"https://github.com/citation-style-language/schema/raw/master/csl-citation.json"}</w:instrText>
      </w:r>
      <w:r w:rsidR="00A67C95">
        <w:rPr>
          <w:rFonts w:ascii="Arial" w:eastAsia="Times New Roman" w:hAnsi="Arial" w:cs="Arial"/>
          <w:sz w:val="24"/>
          <w:szCs w:val="24"/>
        </w:rPr>
        <w:fldChar w:fldCharType="separate"/>
      </w:r>
      <w:r w:rsidR="00A67C95" w:rsidRPr="00A67C95">
        <w:rPr>
          <w:rFonts w:ascii="Arial" w:eastAsia="Times New Roman" w:hAnsi="Arial" w:cs="Arial"/>
          <w:noProof/>
          <w:sz w:val="24"/>
          <w:szCs w:val="24"/>
        </w:rPr>
        <w:t>[2,3]</w:t>
      </w:r>
      <w:r w:rsidR="00A67C95">
        <w:rPr>
          <w:rFonts w:ascii="Arial" w:eastAsia="Times New Roman" w:hAnsi="Arial" w:cs="Arial"/>
          <w:sz w:val="24"/>
          <w:szCs w:val="24"/>
        </w:rPr>
        <w:fldChar w:fldCharType="end"/>
      </w:r>
      <w:r w:rsidR="008516FB" w:rsidRPr="008516FB">
        <w:rPr>
          <w:rFonts w:ascii="Arial" w:eastAsia="Times New Roman" w:hAnsi="Arial" w:cs="Arial"/>
          <w:sz w:val="24"/>
          <w:szCs w:val="24"/>
        </w:rPr>
        <w:t>. The epidemiological incidence of achalasia in the pediatric population is estimated at 0.11 per 100,000 children per year</w:t>
      </w:r>
      <w:r w:rsidR="00A67C95">
        <w:rPr>
          <w:rFonts w:ascii="Arial" w:eastAsia="Times New Roman" w:hAnsi="Arial" w:cs="Arial"/>
          <w:sz w:val="24"/>
          <w:szCs w:val="24"/>
        </w:rPr>
        <w:t xml:space="preserve"> </w:t>
      </w:r>
      <w:r w:rsidR="00A67C95">
        <w:rPr>
          <w:rFonts w:ascii="Arial" w:eastAsia="Times New Roman" w:hAnsi="Arial" w:cs="Arial"/>
          <w:sz w:val="24"/>
          <w:szCs w:val="24"/>
        </w:rPr>
        <w:fldChar w:fldCharType="begin" w:fldLock="1"/>
      </w:r>
      <w:r w:rsidR="007C0508">
        <w:rPr>
          <w:rFonts w:ascii="Arial" w:eastAsia="Times New Roman" w:hAnsi="Arial" w:cs="Arial"/>
          <w:sz w:val="24"/>
          <w:szCs w:val="24"/>
        </w:rPr>
        <w:instrText>ADDIN CSL_CITATION {"citationItems":[{"id":"ITEM-1","itemData":{"DOI":"10.1007/s00383-012-3214-3","ISSN":"1437-9813 (Electronic)","PMID":"23135808","abstract":"PURPOSE: Although achalasia is a rare disorder in children, its symptom may mimic  common childhood diseases. This study aimed to assess the diagnosis and management of achalasia in children and adolescents in a Brazilian single center during a 12-year period. METHODS: Patients with achalasia were identified from a database built during the period of January 2000-January 2012 from a Pediatric Gastroenterology reference center. Information regarding demographic data, clinical symptoms, diagnosis, treatment, and long-term follow-up were described. RESULTS: Thirteen patients were studied; median age was 7 (1-14) years. Most frequent symptoms were vomiting (84.6 %) and dysphagia (69.2 %). Weight loss occurred in 46.0 % of patients and chronic cough in 46.1 %. Associated disorders were Down's syndrome, Allgrove syndrome, and congenital central hypoventilation syndrome. Achalasia was misdiagnosed with anorexia nervosa. Six patients were previously treated as having gastroesophageal reflux disease and asthma. Five patients had pneumatic balloon dilation as initial therapy whereas five had esophageal myotomy. Finally, 11 patients had surgical therapy with a favorable follow-up. CONCLUSION: Achalasia symptoms may mimic common diseases in children, and therefore, may delay the diagnosis. This study emphasizes the importance of the clinical symptoms for the diagnosis of achalasia, mainly in those cases with associated disorders.","author":[{"dropping-particle":"","family":"Hallal","given":"Cristiane","non-dropping-particle":"","parse-names":false,"suffix":""},{"dropping-particle":"","family":"Kieling","given":"Carlos O","non-dropping-particle":"","parse-names":false,"suffix":""},{"dropping-particle":"","family":"Nunes","given":"Daltro L","non-dropping-particle":"","parse-names":false,"suffix":""},{"dropping-particle":"","family":"Ferreira","given":"Cristina T","non-dropping-particle":"","parse-names":false,"suffix":""},{"dropping-particle":"","family":"Peterson","given":"Guilherme","non-dropping-particle":"","parse-names":false,"suffix":""},{"dropping-particle":"","family":"Barros","given":"Sérgio G S","non-dropping-particle":"","parse-names":false,"suffix":""},{"dropping-particle":"","family":"Arruda","given":"Cristina A","non-dropping-particle":"","parse-names":false,"suffix":""},{"dropping-particle":"","family":"Fraga","given":"José C","non-dropping-particle":"","parse-names":false,"suffix":""},{"dropping-particle":"","family":"Goldani","given":"Helena A S","non-dropping-particle":"","parse-names":false,"suffix":""}],"container-title":"Pediatric surgery international","id":"ITEM-1","issue":"12","issued":{"date-parts":[["2012","12"]]},"language":"eng","page":"1211-1217","publisher-place":"Germany","title":"Diagnosis, misdiagnosis, and associated diseases of achalasia in children and  adolescents: a twelve-year single center experience.","type":"article-journal","volume":"28"},"uris":["http://www.mendeley.com/documents/?uuid=ffda21b2-2879-4fdf-9c4b-634f51bd0a4a"]}],"mendeley":{"formattedCitation":"[4]","plainTextFormattedCitation":"[4]","previouslyFormattedCitation":"[4]"},"properties":{"noteIndex":0},"schema":"https://github.com/citation-style-language/schema/raw/master/csl-citation.json"}</w:instrText>
      </w:r>
      <w:r w:rsidR="00A67C95">
        <w:rPr>
          <w:rFonts w:ascii="Arial" w:eastAsia="Times New Roman" w:hAnsi="Arial" w:cs="Arial"/>
          <w:sz w:val="24"/>
          <w:szCs w:val="24"/>
        </w:rPr>
        <w:fldChar w:fldCharType="separate"/>
      </w:r>
      <w:r w:rsidR="00A67C95" w:rsidRPr="00A67C95">
        <w:rPr>
          <w:rFonts w:ascii="Arial" w:eastAsia="Times New Roman" w:hAnsi="Arial" w:cs="Arial"/>
          <w:noProof/>
          <w:sz w:val="24"/>
          <w:szCs w:val="24"/>
        </w:rPr>
        <w:t>[4]</w:t>
      </w:r>
      <w:r w:rsidR="00A67C95">
        <w:rPr>
          <w:rFonts w:ascii="Arial" w:eastAsia="Times New Roman" w:hAnsi="Arial" w:cs="Arial"/>
          <w:sz w:val="24"/>
          <w:szCs w:val="24"/>
        </w:rPr>
        <w:fldChar w:fldCharType="end"/>
      </w:r>
      <w:r w:rsidR="008516FB" w:rsidRPr="008516FB">
        <w:rPr>
          <w:rFonts w:ascii="Arial" w:eastAsia="Times New Roman" w:hAnsi="Arial" w:cs="Arial"/>
          <w:sz w:val="24"/>
          <w:szCs w:val="24"/>
        </w:rPr>
        <w:t>.</w:t>
      </w:r>
      <w:r w:rsidR="00A67C95">
        <w:rPr>
          <w:rFonts w:ascii="Arial" w:eastAsia="Times New Roman" w:hAnsi="Arial" w:cs="Arial"/>
          <w:sz w:val="24"/>
          <w:szCs w:val="24"/>
        </w:rPr>
        <w:t xml:space="preserve"> </w:t>
      </w:r>
      <w:r w:rsidR="001F07B2" w:rsidRPr="007C382C">
        <w:rPr>
          <w:rFonts w:ascii="Arial" w:eastAsia="Times New Roman" w:hAnsi="Arial" w:cs="Arial"/>
          <w:sz w:val="24"/>
          <w:szCs w:val="24"/>
        </w:rPr>
        <w:t xml:space="preserve">While rare, </w:t>
      </w:r>
      <w:r>
        <w:rPr>
          <w:rFonts w:ascii="Arial" w:eastAsia="Times New Roman" w:hAnsi="Arial" w:cs="Arial"/>
          <w:sz w:val="24"/>
          <w:szCs w:val="24"/>
        </w:rPr>
        <w:t>EA</w:t>
      </w:r>
      <w:r w:rsidR="001F07B2" w:rsidRPr="007C382C">
        <w:rPr>
          <w:rFonts w:ascii="Arial" w:eastAsia="Times New Roman" w:hAnsi="Arial" w:cs="Arial"/>
          <w:sz w:val="24"/>
          <w:szCs w:val="24"/>
        </w:rPr>
        <w:t xml:space="preserve"> can be associated with complex syndromes such as Allgrove syndrome (also </w:t>
      </w:r>
      <w:r w:rsidR="00922EB2" w:rsidRPr="007C382C">
        <w:rPr>
          <w:rFonts w:ascii="Arial" w:eastAsia="Times New Roman" w:hAnsi="Arial" w:cs="Arial"/>
          <w:sz w:val="24"/>
          <w:szCs w:val="24"/>
        </w:rPr>
        <w:t>known as</w:t>
      </w:r>
      <w:r w:rsidR="001F07B2" w:rsidRPr="007C382C">
        <w:rPr>
          <w:rFonts w:ascii="Arial" w:eastAsia="Times New Roman" w:hAnsi="Arial" w:cs="Arial"/>
          <w:sz w:val="24"/>
          <w:szCs w:val="24"/>
        </w:rPr>
        <w:t xml:space="preserve"> triple A syndrome-</w:t>
      </w:r>
      <w:r w:rsidR="00922EB2" w:rsidRPr="007C382C">
        <w:rPr>
          <w:rFonts w:ascii="Arial" w:eastAsia="Times New Roman" w:hAnsi="Arial" w:cs="Arial"/>
          <w:sz w:val="24"/>
          <w:szCs w:val="24"/>
        </w:rPr>
        <w:t>characterized</w:t>
      </w:r>
      <w:r w:rsidR="001F07B2" w:rsidRPr="007C382C">
        <w:rPr>
          <w:rFonts w:ascii="Arial" w:eastAsia="Times New Roman" w:hAnsi="Arial" w:cs="Arial"/>
          <w:sz w:val="24"/>
          <w:szCs w:val="24"/>
        </w:rPr>
        <w:t xml:space="preserve"> by </w:t>
      </w:r>
      <w:r w:rsidR="00922EB2" w:rsidRPr="007C382C">
        <w:rPr>
          <w:rFonts w:ascii="Arial" w:eastAsia="Times New Roman" w:hAnsi="Arial" w:cs="Arial"/>
          <w:sz w:val="24"/>
          <w:szCs w:val="24"/>
        </w:rPr>
        <w:t>Alacrimia, Achalasia, and Adrenocorticotropic hormone deficiency), Down’s syndrome, or familial visceral neuropathy</w:t>
      </w:r>
      <w:r w:rsidR="007C0508">
        <w:rPr>
          <w:rFonts w:ascii="Arial" w:eastAsia="Times New Roman" w:hAnsi="Arial" w:cs="Arial"/>
          <w:sz w:val="24"/>
          <w:szCs w:val="24"/>
        </w:rPr>
        <w:t xml:space="preserve"> </w:t>
      </w:r>
      <w:r w:rsidR="007C0508">
        <w:rPr>
          <w:rFonts w:ascii="Arial" w:eastAsia="Times New Roman" w:hAnsi="Arial" w:cs="Arial"/>
          <w:sz w:val="24"/>
          <w:szCs w:val="24"/>
        </w:rPr>
        <w:fldChar w:fldCharType="begin" w:fldLock="1"/>
      </w:r>
      <w:r w:rsidR="009D0D5A">
        <w:rPr>
          <w:rFonts w:ascii="Arial" w:eastAsia="Times New Roman" w:hAnsi="Arial" w:cs="Arial"/>
          <w:sz w:val="24"/>
          <w:szCs w:val="24"/>
        </w:rPr>
        <w:instrText xml:space="preserve">ADDIN CSL_CITATION {"citationItems":[{"id":"ITEM-1","itemData":{"DOI":"10.3390/jcm10173917","ISSN":"2077-0383 (Print)","PMID":"34501361","abstract":"BACKGROUND: In spite of the introduction of peroral endoscopic myotomy (POEM),  Heller myotomy (HM) remains the mainstay of treatment and the role of pneumatic dilatation (PD) is being debated. The aim of this study was to present a single-center experience in the diagnostic approach and treatment of esophageal achalasia (EA), including the long-term assessment of the QoL. METHODS: Data collection was based on the retrospective analysis of clinical notes and prospective interviews with patients and their parents. RESULTS: The study group consisted of 60 patients with EA (F: 26, M: 34), with a median age of 12.0 (1-17) years at diagnosis. The time from the first symptoms until the diagnosis was 1.0 year (0.5-2.0) and the most common were: regurgitation (91.3%), dysphagia (84.8%), and chest pain (47.8%). The diagnostic approach showed a high sensitivity for barium X-ray follow through, esophageal manometry, and endoscopy. Overall, a long-term good outcome of HM was achieved in 27 out of 37 patients (73%) and it was negatively affected by the time between the first symptoms and the diagnosis. Out of the 16 patients who underwent PD before HM, a good outcome was achieved in 14 patients (87.5%), compared to 13 out of 21 patients (62%) who only underwent HM (p = 0.22). Concomitant fundoplication was routinely performed, and 18% required post-operative endoscopic dilatation. At the end of the 12.1 (0.7-26.6)-year follow up, most patients had a good QoL, which significantly corresponded with the treatment outcomes. CONCLUSIONS: Patients suspected of EA should undergo a thorough clinical evaluation including a manometry, a barium X-ray, and an endoscopy. HM is a safe and effective treatment for achalasia and the outcome is not worsened by a preceding endoscopic PD. In most patients, HM alleviates symptoms, although an impaired QoL is common in long-term follow ups.","author":[{"dropping-particle":"","family":"Jarzębicka","given":"Dorota","non-dropping-particle":"","parse-names":false,"suffix":""},{"dropping-particle":"","family":"Czubkowski","given":"Piotr","non-dropping-particle":"","parse-names":false,"suffix":""},{"dropping-particle":"","family":"Sieczkowska-Gołub","given":"Joanna","non-dropping-particle":"","parse-names":false,"suffix":""},{"dropping-particle":"","family":"Kierkuś","given":"Jarosław","non-dropping-particle":"","parse-names":false,"suffix":""},{"dropping-particle":"","family":"Kowalski","given":"Adam","non-dropping-particle":"","parse-names":false,"suffix":""},{"dropping-particle":"","family":"Stefanowicz","given":"Marek","non-dropping-particle":"","parse-names":false,"suffix":""},{"dropping-particle":"","family":"Oracz","given":"Grzegorz","non-dropping-particle":"","parse-names":false,"suffix":""}],"container-title":"Journal of clinical medicine","id":"ITEM-1","issue":"17","issued":{"date-parts":[["2021","8"]]},"language":"eng","publisher-place":"Switzerland","title":"Achalasia in Children-Clinical Presentation, Diagnosis, Long-Term Treatment  Outcomes, and Quality of Life.","type":"article-journal","volume":"10"},"uris":["http://www.mendeley.com/documents/?uuid=cc092646-5eb3-46f2-82bf-4c5aa524473f"]},{"id":"ITEM-2","itemData":{"DOI":"10.1016/j.radcr.2023.09.081","ISSN":"1930-0433","author":[{"dropping-particle":"","family":"Santiana","given":"Leni","non-dropping-particle":"","parse-names":false,"suffix":""},{"dropping-particle":"","family":"Kusuma","given":"Filomena Fabiola","non-dropping-particle":"","parse-names":false,"suffix":""}],"container-title":"Radiology Case Reports","id":"ITEM-2","issue":"1","issued":{"date-parts":[["2024"]]},"page":"39-43","publisher":"Elsevier Inc.","title":"A rare case of mega-esophagus due to achalasia causing tracheal compression </w:instrText>
      </w:r>
      <w:r w:rsidR="009D0D5A">
        <w:rPr>
          <w:rFonts w:ascii="Segoe UI Symbol" w:eastAsia="Times New Roman" w:hAnsi="Segoe UI Symbol" w:cs="Segoe UI Symbol"/>
          <w:sz w:val="24"/>
          <w:szCs w:val="24"/>
        </w:rPr>
        <w:instrText>✩</w:instrText>
      </w:r>
      <w:r w:rsidR="009D0D5A">
        <w:rPr>
          <w:rFonts w:ascii="Arial" w:eastAsia="Times New Roman" w:hAnsi="Arial" w:cs="Arial"/>
          <w:sz w:val="24"/>
          <w:szCs w:val="24"/>
        </w:rPr>
        <w:instrText>","type":"article-journal","volume":"19"},"uris":["http://www.mendeley.com/documents/?uuid=34a0d2fc-4845-465e-9d02-4b56279ea00a"]}],"mendeley":{"formattedCitation":"[5,6]","plainTextFormattedCitation":"[5,6]","previouslyFormattedCitation":"[5,6]"},"properties":{"noteIndex":0},"schema":"https://github.com/citation-style-language/schema/raw/master/csl-citation.json"}</w:instrText>
      </w:r>
      <w:r w:rsidR="007C0508">
        <w:rPr>
          <w:rFonts w:ascii="Arial" w:eastAsia="Times New Roman" w:hAnsi="Arial" w:cs="Arial"/>
          <w:sz w:val="24"/>
          <w:szCs w:val="24"/>
        </w:rPr>
        <w:fldChar w:fldCharType="separate"/>
      </w:r>
      <w:r w:rsidR="007C0508" w:rsidRPr="007C0508">
        <w:rPr>
          <w:rFonts w:ascii="Arial" w:eastAsia="Times New Roman" w:hAnsi="Arial" w:cs="Arial"/>
          <w:noProof/>
          <w:sz w:val="24"/>
          <w:szCs w:val="24"/>
        </w:rPr>
        <w:t>[5,6]</w:t>
      </w:r>
      <w:r w:rsidR="007C0508">
        <w:rPr>
          <w:rFonts w:ascii="Arial" w:eastAsia="Times New Roman" w:hAnsi="Arial" w:cs="Arial"/>
          <w:sz w:val="24"/>
          <w:szCs w:val="24"/>
        </w:rPr>
        <w:fldChar w:fldCharType="end"/>
      </w:r>
      <w:r w:rsidR="00922EB2" w:rsidRPr="007C382C">
        <w:rPr>
          <w:rFonts w:ascii="Arial" w:eastAsia="Times New Roman" w:hAnsi="Arial" w:cs="Arial"/>
          <w:sz w:val="24"/>
          <w:szCs w:val="24"/>
        </w:rPr>
        <w:t>.</w:t>
      </w:r>
      <w:r w:rsidR="003245A6" w:rsidRPr="007C382C">
        <w:rPr>
          <w:rFonts w:ascii="Arial" w:eastAsia="Times New Roman" w:hAnsi="Arial" w:cs="Arial"/>
          <w:sz w:val="24"/>
          <w:szCs w:val="24"/>
        </w:rPr>
        <w:t xml:space="preserve"> </w:t>
      </w:r>
      <w:r w:rsidR="00922EB2" w:rsidRPr="007C382C">
        <w:rPr>
          <w:rFonts w:ascii="Arial" w:eastAsia="Times New Roman" w:hAnsi="Arial" w:cs="Arial"/>
          <w:sz w:val="24"/>
          <w:szCs w:val="24"/>
        </w:rPr>
        <w:t>Diagnosis of achalasia typically involves imaging or endoscopic evaluations, with confirmatory testing performed using esophageal manomet</w:t>
      </w:r>
      <w:r>
        <w:rPr>
          <w:rFonts w:ascii="Arial" w:eastAsia="Times New Roman" w:hAnsi="Arial" w:cs="Arial"/>
          <w:sz w:val="24"/>
          <w:szCs w:val="24"/>
        </w:rPr>
        <w:t>ry</w:t>
      </w:r>
      <w:r w:rsidR="00922EB2" w:rsidRPr="007C382C">
        <w:rPr>
          <w:rFonts w:ascii="Arial" w:eastAsia="Times New Roman" w:hAnsi="Arial" w:cs="Arial"/>
          <w:sz w:val="24"/>
          <w:szCs w:val="24"/>
        </w:rPr>
        <w:t xml:space="preserve"> </w:t>
      </w:r>
      <w:r w:rsidR="00415DA5" w:rsidRPr="007C382C">
        <w:rPr>
          <w:rFonts w:ascii="Arial" w:eastAsia="Times New Roman" w:hAnsi="Arial" w:cs="Arial"/>
          <w:sz w:val="24"/>
          <w:szCs w:val="24"/>
        </w:rPr>
        <w:fldChar w:fldCharType="begin" w:fldLock="1"/>
      </w:r>
      <w:r w:rsidR="009D0D5A">
        <w:rPr>
          <w:rFonts w:ascii="Arial" w:eastAsia="Times New Roman" w:hAnsi="Arial" w:cs="Arial"/>
          <w:sz w:val="24"/>
          <w:szCs w:val="24"/>
        </w:rPr>
        <w:instrText xml:space="preserve">ADDIN CSL_CITATION {"citationItems":[{"id":"ITEM-1","itemData":{"id":"ITEM-1","issued":{"date-parts":[["0"]]},"title":"No Title","type":"article-journal"},"uris":["http://www.mendeley.com/documents/?uuid=ebb414c7-785c-42ad-93cc-65307dd4991e","http://www.mendeley.com/documents/?uuid=7b27da71-1d9e-4b57-90af-2ab46a4c09b0"]},{"id":"ITEM-2","itemData":{"DOI":"10.1016/S0140-6736(13)60651-0","author":[{"dropping-particle":"","family":"Boeckxstaens","given":"Guy E","non-dropping-particle":"","parse-names":false,"suffix":""},{"dropping-particle":"","family":"Zaninotto","given":"Giovanni","non-dropping-particle":"","parse-names":false,"suffix":""},{"dropping-particle":"","family":"Richter","given":"Joel E","non-dropping-particle":"","parse-names":false,"suffix":""}],"id":"ITEM-2","issue":"13","issued":{"date-parts":[["2013"]]},"page":"1-11","title":"Achalasia","type":"article-journal","volume":"6736"},"uris":["http://www.mendeley.com/documents/?uuid=e208e970-1b0a-47aa-993d-83539a8fd1d8","http://www.mendeley.com/documents/?uuid=0b644d5e-f104-4bfd-8607-fa72d5d19205"]},{"id":"ITEM-3","itemData":{"DOI":"10.1016/j.radcr.2023.09.081","ISSN":"1930-0433","author":[{"dropping-particle":"","family":"Santiana","given":"Leni","non-dropping-particle":"","parse-names":false,"suffix":""},{"dropping-particle":"","family":"Kusuma","given":"Filomena Fabiola","non-dropping-particle":"","parse-names":false,"suffix":""}],"container-title":"Radiology Case Reports","id":"ITEM-3","issue":"1","issued":{"date-parts":[["2024"]]},"page":"39-43","publisher":"Elsevier Inc.","title":"A rare case of mega-esophagus due to achalasia causing tracheal compression </w:instrText>
      </w:r>
      <w:r w:rsidR="009D0D5A">
        <w:rPr>
          <w:rFonts w:ascii="Segoe UI Symbol" w:eastAsia="Times New Roman" w:hAnsi="Segoe UI Symbol" w:cs="Segoe UI Symbol"/>
          <w:sz w:val="24"/>
          <w:szCs w:val="24"/>
        </w:rPr>
        <w:instrText>✩</w:instrText>
      </w:r>
      <w:r w:rsidR="009D0D5A">
        <w:rPr>
          <w:rFonts w:ascii="Arial" w:eastAsia="Times New Roman" w:hAnsi="Arial" w:cs="Arial"/>
          <w:sz w:val="24"/>
          <w:szCs w:val="24"/>
        </w:rPr>
        <w:instrText>","type":"article-journal","volume":"19"},"uris":["http://www.mendeley.com/documents/?uuid=34a0d2fc-4845-465e-9d02-4b56279ea00a","http://www.mendeley.com/documents/?uuid=a71e0259-a5d5-4df1-8541-a5bd7a313be8"]}],"mendeley":{"formattedCitation":"[6–8]","plainTextFormattedCitation":"[6–8]","previouslyFormattedCitation":"[6–8]"},"properties":{"noteIndex":0},"schema":"https://github.com/citation-style-language/schema/raw/master/csl-citation.json"}</w:instrText>
      </w:r>
      <w:r w:rsidR="00415DA5" w:rsidRPr="007C382C">
        <w:rPr>
          <w:rFonts w:ascii="Arial" w:eastAsia="Times New Roman" w:hAnsi="Arial" w:cs="Arial"/>
          <w:sz w:val="24"/>
          <w:szCs w:val="24"/>
        </w:rPr>
        <w:fldChar w:fldCharType="separate"/>
      </w:r>
      <w:r w:rsidR="007C0508" w:rsidRPr="007C0508">
        <w:rPr>
          <w:rFonts w:ascii="Arial" w:eastAsia="Times New Roman" w:hAnsi="Arial" w:cs="Arial"/>
          <w:noProof/>
          <w:sz w:val="24"/>
          <w:szCs w:val="24"/>
        </w:rPr>
        <w:t>[6–8]</w:t>
      </w:r>
      <w:r w:rsidR="00415DA5" w:rsidRPr="007C382C">
        <w:rPr>
          <w:rFonts w:ascii="Arial" w:eastAsia="Times New Roman" w:hAnsi="Arial" w:cs="Arial"/>
          <w:sz w:val="24"/>
          <w:szCs w:val="24"/>
        </w:rPr>
        <w:fldChar w:fldCharType="end"/>
      </w:r>
      <w:r w:rsidR="00922EB2" w:rsidRPr="007C382C">
        <w:rPr>
          <w:rFonts w:ascii="Arial" w:eastAsia="Times New Roman" w:hAnsi="Arial" w:cs="Arial"/>
          <w:sz w:val="24"/>
          <w:szCs w:val="24"/>
        </w:rPr>
        <w:t>.</w:t>
      </w:r>
    </w:p>
    <w:p w14:paraId="553DAA12" w14:textId="25CC9C67" w:rsidR="003245A6" w:rsidRPr="007C382C" w:rsidRDefault="00CF6D4B" w:rsidP="00340D12">
      <w:pPr>
        <w:spacing w:line="360" w:lineRule="auto"/>
        <w:jc w:val="both"/>
        <w:rPr>
          <w:rFonts w:ascii="Arial" w:eastAsia="Times New Roman" w:hAnsi="Arial" w:cs="Arial"/>
          <w:sz w:val="24"/>
          <w:szCs w:val="24"/>
        </w:rPr>
      </w:pPr>
      <w:r w:rsidRPr="00CF6D4B">
        <w:rPr>
          <w:rFonts w:ascii="Arial" w:eastAsia="Times New Roman" w:hAnsi="Arial" w:cs="Arial"/>
          <w:sz w:val="24"/>
          <w:szCs w:val="24"/>
        </w:rPr>
        <w:t>The management of EA</w:t>
      </w:r>
      <w:r>
        <w:rPr>
          <w:rFonts w:ascii="Arial" w:eastAsia="Times New Roman" w:hAnsi="Arial" w:cs="Arial"/>
          <w:sz w:val="24"/>
          <w:szCs w:val="24"/>
        </w:rPr>
        <w:t xml:space="preserve"> </w:t>
      </w:r>
      <w:r w:rsidRPr="00CF6D4B">
        <w:rPr>
          <w:rFonts w:ascii="Arial" w:eastAsia="Times New Roman" w:hAnsi="Arial" w:cs="Arial"/>
          <w:sz w:val="24"/>
          <w:szCs w:val="24"/>
        </w:rPr>
        <w:t>focuses on alleviating lower esophageal sphincter (LES) pressure to enhance swallowing and improve quality of life. Pharmacological interventions are largely ineffective, and endoscopic treatments like botulinum toxin injections and pneumatic dilation have notable limitations. Surgical Heller myotomy (HM) is regarded as the gold standard due to its proven efficacy and safety</w:t>
      </w:r>
      <w:r w:rsidR="009D0D5A">
        <w:rPr>
          <w:rFonts w:ascii="Arial" w:eastAsia="Times New Roman" w:hAnsi="Arial" w:cs="Arial"/>
          <w:sz w:val="24"/>
          <w:szCs w:val="24"/>
        </w:rPr>
        <w:t xml:space="preserve"> </w:t>
      </w:r>
      <w:r w:rsidR="009D0D5A">
        <w:rPr>
          <w:rFonts w:ascii="Arial" w:eastAsia="Times New Roman" w:hAnsi="Arial" w:cs="Arial"/>
          <w:sz w:val="24"/>
          <w:szCs w:val="24"/>
        </w:rPr>
        <w:fldChar w:fldCharType="begin" w:fldLock="1"/>
      </w:r>
      <w:r w:rsidR="000C0E6C">
        <w:rPr>
          <w:rFonts w:ascii="Arial" w:eastAsia="Times New Roman" w:hAnsi="Arial" w:cs="Arial"/>
          <w:sz w:val="24"/>
          <w:szCs w:val="24"/>
        </w:rPr>
        <w:instrText>ADDIN CSL_CITATION {"citationItems":[{"id":"ITEM-1","itemData":{"DOI":"10.1016/j.jpedsurg.2015.02.047","ISSN":"1531-5037 (Electronic)","PMID":"25783358","abstract":"BACKGROUND: Esophageal achalasia (EA) is a rare esophageal motility disorder in  children. Laparoscopic Heller myotomy (LHM) represents the treatment of choice in young patients. Peroral endoscopic myotomy (POEM) is becoming an alternative to LHM. The aim of this study is to evaluate the effectiveness, safety, and outcomes of POEM vs LHM in treatment of children with EA. METHODS: Data of pediatric patients with EA, who underwent LHM and POEM from February 2009 to December 2013 in two centers, were collected. RESULTS: Eighteen patients (9 male, mean age: 11.6 years; range: 2-17 years) were included. Nine patients (6 male, mean age: 10.7 years; range: 2-16 years) underwent LHM, and the other 9 (3 males, mean age: 12.2 years; range: 6-17 years) underwent POEM procedure. Mean operation time was shorter in POEM group compared with LHM group (62/149 minutes). Myotomy was longer in POEM group than in LHM group (11/7 cm). One major complication occurred after LHM (esophageal perforation). No clinical and manometric differences were observed between LHM and POEM in follow-up. The incidence of iatrogenic gastroesophageal reflux disease was low (1 patient in both groups). CONCLUSIONS: Results of a midterm follow-up show that LHM and POEM are safe and effective treatments also in children. Besides, POEM is a mini-invasive technique with an inferior execution timing compared to LHM. A skilled endoscopic team is mandatory to perform this procedure.","author":[{"dropping-particle":"","family":"Caldaro","given":"Tamara","non-dropping-particle":"","parse-names":false,"suffix":""},{"dropping-particle":"","family":"Familiari","given":"Pietro","non-dropping-particle":"","parse-names":false,"suffix":""},{"dropping-particle":"","family":"Romeo","given":"Erminia Francesca","non-dropping-particle":"","parse-names":false,"suffix":""},{"dropping-particle":"","family":"Gigante","given":"Giovanni","non-dropping-particle":"","parse-names":false,"suffix":""},{"dropping-particle":"","family":"Marchese","given":"Michele","non-dropping-particle":"","parse-names":false,"suffix":""},{"dropping-particle":"","family":"Contini","given":"Anna Chiara Iolanda","non-dropping-particle":"","parse-names":false,"suffix":""},{"dropping-particle":"","family":"Federici di Abriola","given":"Giovanni","non-dropping-particle":"","parse-names":false,"suffix":""},{"dropping-particle":"","family":"Cucchiara","given":"Salvatore","non-dropping-particle":"","parse-names":false,"suffix":""},{"dropping-particle":"","family":"Angelis","given":"Paola","non-dropping-particle":"De","parse-names":false,"suffix":""},{"dropping-particle":"","family":"Torroni","given":"Filippo","non-dropping-particle":"","parse-names":false,"suffix":""},{"dropping-particle":"","family":"Dall'Oglio","given":"Luigi","non-dropping-particle":"","parse-names":false,"suffix":""},{"dropping-particle":"","family":"Costamagna","given":"Guido","non-dropping-particle":"","parse-names":false,"suffix":""}],"container-title":"Journal of pediatric surgery","id":"ITEM-1","issue":"5","issued":{"date-parts":[["2015","5"]]},"language":"eng","page":"726-730","publisher-place":"United States","title":"Treatment of esophageal achalasia in children: Today and tomorrow.","type":"article-journal","volume":"50"},"uris":["http://www.mendeley.com/documents/?uuid=f30f6067-1a60-408a-bb3d-aaf0584ba947"]},{"id":"ITEM-2","itemData":{"DOI":"10.3390/jcm10173917","ISSN":"2077-0383 (Print)","PMID":"34501361","abstract":"BACKGROUND: In spite of the introduction of peroral endoscopic myotomy (POEM),  Heller myotomy (HM) remains the mainstay of treatment and the role of pneumatic dilatation (PD) is being debated. The aim of this study was to present a single-center experience in the diagnostic approach and treatment of esophageal achalasia (EA), including the long-term assessment of the QoL. METHODS: Data collection was based on the retrospective analysis of clinical notes and prospective interviews with patients and their parents. RESULTS: The study group consisted of 60 patients with EA (F: 26, M: 34), with a median age of 12.0 (1-17) years at diagnosis. The time from the first symptoms until the diagnosis was 1.0 year (0.5-2.0) and the most common were: regurgitation (91.3%), dysphagia (84.8%), and chest pain (47.8%). The diagnostic approach showed a high sensitivity for barium X-ray follow through, esophageal manometry, and endoscopy. Overall, a long-term good outcome of HM was achieved in 27 out of 37 patients (73%) and it was negatively affected by the time between the first symptoms and the diagnosis. Out of the 16 patients who underwent PD before HM, a good outcome was achieved in 14 patients (87.5%), compared to 13 out of 21 patients (62%) who only underwent HM (p = 0.22). Concomitant fundoplication was routinely performed, and 18% required post-operative endoscopic dilatation. At the end of the 12.1 (0.7-26.6)-year follow up, most patients had a good QoL, which significantly corresponded with the treatment outcomes. CONCLUSIONS: Patients suspected of EA should undergo a thorough clinical evaluation including a manometry, a barium X-ray, and an endoscopy. HM is a safe and effective treatment for achalasia and the outcome is not worsened by a preceding endoscopic PD. In most patients, HM alleviates symptoms, although an impaired QoL is common in long-term follow ups.","author":[{"dropping-particle":"","family":"Jarzębicka","given":"Dorota","non-dropping-particle":"","parse-names":false,"suffix":""},{"dropping-particle":"","family":"Czubkowski","given":"Piotr","non-dropping-particle":"","parse-names":false,"suffix":""},{"dropping-particle":"","family":"Sieczkowska-Gołub","given":"Joanna","non-dropping-particle":"","parse-names":false,"suffix":""},{"dropping-particle":"","family":"Kierkuś","given":"Jarosław","non-dropping-particle":"","parse-names":false,"suffix":""},{"dropping-particle":"","family":"Kowalski","given":"Adam","non-dropping-particle":"","parse-names":false,"suffix":""},{"dropping-particle":"","family":"Stefanowicz","given":"Marek","non-dropping-particle":"","parse-names":false,"suffix":""},{"dropping-particle":"","family":"Oracz","given":"Grzegorz","non-dropping-particle":"","parse-names":false,"suffix":""}],"container-title":"Journal of clinical medicine","id":"ITEM-2","issue":"17","issued":{"date-parts":[["2021","8"]]},"language":"eng","publisher-place":"Switzerland","title":"Achalasia in Children-Clinical Presentation, Diagnosis, Long-Term Treatment  Outcomes, and Quality of Life.","type":"article-journal","volume":"10"},"uris":["http://www.mendeley.com/documents/?uuid=cc092646-5eb3-46f2-82bf-4c5aa524473f"]}],"mendeley":{"formattedCitation":"[5,9]","plainTextFormattedCitation":"[5,9]","previouslyFormattedCitation":"[5,9]"},"properties":{"noteIndex":0},"schema":"https://github.com/citation-style-language/schema/raw/master/csl-citation.json"}</w:instrText>
      </w:r>
      <w:r w:rsidR="009D0D5A">
        <w:rPr>
          <w:rFonts w:ascii="Arial" w:eastAsia="Times New Roman" w:hAnsi="Arial" w:cs="Arial"/>
          <w:sz w:val="24"/>
          <w:szCs w:val="24"/>
        </w:rPr>
        <w:fldChar w:fldCharType="separate"/>
      </w:r>
      <w:r w:rsidR="009D0D5A" w:rsidRPr="009D0D5A">
        <w:rPr>
          <w:rFonts w:ascii="Arial" w:eastAsia="Times New Roman" w:hAnsi="Arial" w:cs="Arial"/>
          <w:noProof/>
          <w:sz w:val="24"/>
          <w:szCs w:val="24"/>
        </w:rPr>
        <w:t>[5,9]</w:t>
      </w:r>
      <w:r w:rsidR="009D0D5A">
        <w:rPr>
          <w:rFonts w:ascii="Arial" w:eastAsia="Times New Roman" w:hAnsi="Arial" w:cs="Arial"/>
          <w:sz w:val="24"/>
          <w:szCs w:val="24"/>
        </w:rPr>
        <w:fldChar w:fldCharType="end"/>
      </w:r>
      <w:r w:rsidRPr="00CF6D4B">
        <w:rPr>
          <w:rFonts w:ascii="Arial" w:eastAsia="Times New Roman" w:hAnsi="Arial" w:cs="Arial"/>
          <w:sz w:val="24"/>
          <w:szCs w:val="24"/>
        </w:rPr>
        <w:t>. Recently, peroral endoscopic myotomy (POEM) emerged as a minimally invasive alternative, demonstrating comparable success rates with fewer complications</w:t>
      </w:r>
      <w:r w:rsidR="000C0E6C">
        <w:rPr>
          <w:rFonts w:ascii="Arial" w:eastAsia="Times New Roman" w:hAnsi="Arial" w:cs="Arial"/>
          <w:sz w:val="24"/>
          <w:szCs w:val="24"/>
        </w:rPr>
        <w:t xml:space="preserve"> </w:t>
      </w:r>
      <w:r w:rsidR="000C0E6C">
        <w:rPr>
          <w:rFonts w:ascii="Arial" w:eastAsia="Times New Roman" w:hAnsi="Arial" w:cs="Arial"/>
          <w:sz w:val="24"/>
          <w:szCs w:val="24"/>
        </w:rPr>
        <w:fldChar w:fldCharType="begin" w:fldLock="1"/>
      </w:r>
      <w:r w:rsidR="000C0E6C">
        <w:rPr>
          <w:rFonts w:ascii="Arial" w:eastAsia="Times New Roman" w:hAnsi="Arial" w:cs="Arial"/>
          <w:sz w:val="24"/>
          <w:szCs w:val="24"/>
        </w:rPr>
        <w:instrText>ADDIN CSL_CITATION {"citationItems":[{"id":"ITEM-1","itemData":{"DOI":"10.1055/s-0029-1244080","ISSN":"1438-8812 (Electronic)","PMID":"20354937","abstract":"BACKGROUND: Peroral endoscopic myotomy (POEM) was developed by our group to  provide a less invasive permanent treatment for esophageal achalasia. PATIENTS AND METHODS: POEM was performed in 17 consecutive patients with achalasia (10 men, 7 women; mean age 41.4 years). A long submucosal tunnel was created (mean length 12.4 cm), followed by endoscopic myotomy of circular muscle bundles of a mean total length of 8.1 cm (6.1 cm in distal esophagus and 2.0 cm in cardia). Smooth passage of an endoscope through the gastroesophageal junction was confirmed at the end of the procedure. RESULTS: In all cases POEM significantly reduced the dysphagia symptom score (from mean 10 to 1.3; P = 0.0003) and the resting lower esophageal sphincter (LES) pressure (from mean 52.4 mmHg to 19.9 mmHg; P = 0.0001). No serious complications related to POEM were encountered. During follow-up (mean 5 months), additional treatment or medication was necessary in only one patient (case 17) who developed reflux esophagitis (Los Angeles classification B); this was well controlled with regular intake of protein pump inhibitors (PPIs). CONCLUSIONS: The short-term outcome of POEM for achalasia was excellent; further studies on long-term efficacy and on comparison of POEM with other interventional therapies are awaited.","author":[{"dropping-particle":"","family":"Inoue","given":"H","non-dropping-particle":"","parse-names":false,"suffix":""},{"dropping-particle":"","family":"Minami","given":"H","non-dropping-particle":"","parse-names":false,"suffix":""},{"dropping-particle":"","family":"Kobayashi","given":"Y","non-dropping-particle":"","parse-names":false,"suffix":""},{"dropping-particle":"","family":"Sato","given":"Y","non-dropping-particle":"","parse-names":false,"suffix":""},{"dropping-particle":"","family":"Kaga","given":"M","non-dropping-particle":"","parse-names":false,"suffix":""},{"dropping-particle":"","family":"Suzuki","given":"M","non-dropping-particle":"","parse-names":false,"suffix":""},{"dropping-particle":"","family":"Satodate","given":"H","non-dropping-particle":"","parse-names":false,"suffix":""},{"dropping-particle":"","family":"Odaka","given":"N","non-dropping-particle":"","parse-names":false,"suffix":""},{"dropping-particle":"","family":"Itoh","given":"H","non-dropping-particle":"","parse-names":false,"suffix":""},{"dropping-particle":"","family":"Kudo","given":"S","non-dropping-particle":"","parse-names":false,"suffix":""}],"container-title":"Endoscopy","id":"ITEM-1","issue":"4","issued":{"date-parts":[["2010","4"]]},"language":"eng","page":"265-271","publisher-place":"Germany","title":"Peroral endoscopic myotomy (POEM) for esophageal achalasia.","type":"article-journal","volume":"42"},"uris":["http://www.mendeley.com/documents/?uuid=be6b216a-9725-40fc-9de0-fd2231798a3d"]}],"mendeley":{"formattedCitation":"[10]","plainTextFormattedCitation":"[10]","previouslyFormattedCitation":"[10]"},"properties":{"noteIndex":0},"schema":"https://github.com/citation-style-language/schema/raw/master/csl-citation.json"}</w:instrText>
      </w:r>
      <w:r w:rsidR="000C0E6C">
        <w:rPr>
          <w:rFonts w:ascii="Arial" w:eastAsia="Times New Roman" w:hAnsi="Arial" w:cs="Arial"/>
          <w:sz w:val="24"/>
          <w:szCs w:val="24"/>
        </w:rPr>
        <w:fldChar w:fldCharType="separate"/>
      </w:r>
      <w:r w:rsidR="000C0E6C" w:rsidRPr="000C0E6C">
        <w:rPr>
          <w:rFonts w:ascii="Arial" w:eastAsia="Times New Roman" w:hAnsi="Arial" w:cs="Arial"/>
          <w:noProof/>
          <w:sz w:val="24"/>
          <w:szCs w:val="24"/>
        </w:rPr>
        <w:t>[10]</w:t>
      </w:r>
      <w:r w:rsidR="000C0E6C">
        <w:rPr>
          <w:rFonts w:ascii="Arial" w:eastAsia="Times New Roman" w:hAnsi="Arial" w:cs="Arial"/>
          <w:sz w:val="24"/>
          <w:szCs w:val="24"/>
        </w:rPr>
        <w:fldChar w:fldCharType="end"/>
      </w:r>
      <w:r w:rsidRPr="00CF6D4B">
        <w:rPr>
          <w:rFonts w:ascii="Arial" w:eastAsia="Times New Roman" w:hAnsi="Arial" w:cs="Arial"/>
          <w:sz w:val="24"/>
          <w:szCs w:val="24"/>
        </w:rPr>
        <w:t>. However, access to POEM is limited in pediatric patients, necessitating further evaluation of its long-term efficacy</w:t>
      </w:r>
      <w:r w:rsidR="000C0E6C">
        <w:rPr>
          <w:rFonts w:ascii="Arial" w:eastAsia="Times New Roman" w:hAnsi="Arial" w:cs="Arial"/>
          <w:sz w:val="24"/>
          <w:szCs w:val="24"/>
        </w:rPr>
        <w:t xml:space="preserve"> </w:t>
      </w:r>
      <w:r w:rsidR="000C0E6C">
        <w:rPr>
          <w:rFonts w:ascii="Arial" w:eastAsia="Times New Roman" w:hAnsi="Arial" w:cs="Arial"/>
          <w:sz w:val="24"/>
          <w:szCs w:val="24"/>
        </w:rPr>
        <w:fldChar w:fldCharType="begin" w:fldLock="1"/>
      </w:r>
      <w:r w:rsidR="002B0EAF">
        <w:rPr>
          <w:rFonts w:ascii="Arial" w:eastAsia="Times New Roman" w:hAnsi="Arial" w:cs="Arial"/>
          <w:sz w:val="24"/>
          <w:szCs w:val="24"/>
        </w:rPr>
        <w:instrText>ADDIN CSL_CITATION {"citationItems":[{"id":"ITEM-1","itemData":{"DOI":"10.1055/s-0039-1697958","ISSN":"1439-359X (Electronic)","PMID":"31600801","abstract":"INTRODUCTION:  There are no evidence-based guidelines on the surgical management  of esophageal achalasia (OA) in children. This can be a challenging condition with significant physical and psychological morbidity. Our aim was to identify the most common management modalities and their outcomes. MATERIALS AND METHODS: A systematic review was performed through a literature search of health care databases in accordance with the Preferred Reporting Items for Systematic Reviews and Meta-Analyses guidelines, aiming at identifying pediatric series discussing the diagnosis and management of OA. Duplicates, case series with &lt; 9 patients, and follow-up of &lt; 1 year were excluded. The included papers were analyzed for diagnostic methods, primary treatment method, complications, follow-up duration, outcome measures recorded, and outcome. RESULTS:  Data from 33 papers for 742 children treated for OA was analyzed. Eleven mentioned multiple management modalities. In summary, 25 described Heller's esophagomyotomy (HM), 13 esophageal dilatation (EOD), and 6 peroral esophageal myotomy (POEM). Mean follow-up was 43.7 months (12-180). Outcome measures were heterogeneous. However, analysis of reported success showed a mean success of 78% for HM (p = 1.79 × 10(-7)), 44.9% for EOD (p = 0.24), and 99.3% for POEM (p = 0.001). Reported complications were 12.8% for HM, 5% for EOD, and 24.4% for POEM. Further interventions were required for 10.9% of HM, 62.3% of EOD, and 0.01% of POEM patient groups. CONCLUSION: Methods of diagnosis and measures of successful outcomes were heterogeneous, limiting the strength of evidence. HM showed superior short-term success rates to EOD. POEM is a promising modality but requires investment in equipment and training. Information about sustainability of response and long-term outcomes is lacking.","author":[{"dropping-particle":"","family":"Goneidy","given":"Ayman","non-dropping-particle":"","parse-names":false,"suffix":""},{"dropping-particle":"","family":"Cory-Wright","given":"James","non-dropping-particle":"","parse-names":false,"suffix":""},{"dropping-particle":"","family":"Zhu","given":"Limeng","non-dropping-particle":"","parse-names":false,"suffix":""},{"dropping-particle":"","family":"Malakounides","given":"Georgina","non-dropping-particle":"","parse-names":false,"suffix":""}],"container-title":"European journal of pediatric surgery : official journal of Austrian Association  of Pediatric Surgery ... [et al] = Zeitschrift fur Kinderchirurgie","id":"ITEM-1","issue":"1","issued":{"date-parts":[["2020","2"]]},"language":"eng","page":"13-20","publisher-place":"United States","title":"Surgical Management of Esophageal Achalasia in Pediatrics: A Systematic Review.","type":"article-journal","volume":"30"},"uris":["http://www.mendeley.com/documents/?uuid=8b94e973-ad2f-4395-bdd1-e30d055fed3b"]}],"mendeley":{"formattedCitation":"[11]","plainTextFormattedCitation":"[11]","previouslyFormattedCitation":"[11]"},"properties":{"noteIndex":0},"schema":"https://github.com/citation-style-language/schema/raw/master/csl-citation.json"}</w:instrText>
      </w:r>
      <w:r w:rsidR="000C0E6C">
        <w:rPr>
          <w:rFonts w:ascii="Arial" w:eastAsia="Times New Roman" w:hAnsi="Arial" w:cs="Arial"/>
          <w:sz w:val="24"/>
          <w:szCs w:val="24"/>
        </w:rPr>
        <w:fldChar w:fldCharType="separate"/>
      </w:r>
      <w:r w:rsidR="000C0E6C" w:rsidRPr="000C0E6C">
        <w:rPr>
          <w:rFonts w:ascii="Arial" w:eastAsia="Times New Roman" w:hAnsi="Arial" w:cs="Arial"/>
          <w:noProof/>
          <w:sz w:val="24"/>
          <w:szCs w:val="24"/>
        </w:rPr>
        <w:t>[11]</w:t>
      </w:r>
      <w:r w:rsidR="000C0E6C">
        <w:rPr>
          <w:rFonts w:ascii="Arial" w:eastAsia="Times New Roman" w:hAnsi="Arial" w:cs="Arial"/>
          <w:sz w:val="24"/>
          <w:szCs w:val="24"/>
        </w:rPr>
        <w:fldChar w:fldCharType="end"/>
      </w:r>
      <w:r w:rsidRPr="00CF6D4B">
        <w:rPr>
          <w:rFonts w:ascii="Arial" w:eastAsia="Times New Roman" w:hAnsi="Arial" w:cs="Arial"/>
          <w:sz w:val="24"/>
          <w:szCs w:val="24"/>
        </w:rPr>
        <w:t xml:space="preserve">. </w:t>
      </w:r>
      <w:r w:rsidR="000C0E6C" w:rsidRPr="000C0E6C">
        <w:rPr>
          <w:rFonts w:ascii="Arial" w:eastAsia="Times New Roman" w:hAnsi="Arial" w:cs="Arial"/>
          <w:sz w:val="24"/>
          <w:szCs w:val="24"/>
        </w:rPr>
        <w:t>This study presents two c</w:t>
      </w:r>
      <w:r w:rsidR="000C0E6C">
        <w:rPr>
          <w:rFonts w:ascii="Arial" w:eastAsia="Times New Roman" w:hAnsi="Arial" w:cs="Arial"/>
          <w:sz w:val="24"/>
          <w:szCs w:val="24"/>
        </w:rPr>
        <w:t>ases of pediatric achalasia who underwent HM</w:t>
      </w:r>
      <w:r w:rsidR="00D51D65">
        <w:rPr>
          <w:rFonts w:ascii="Arial" w:eastAsia="Times New Roman" w:hAnsi="Arial" w:cs="Arial"/>
          <w:sz w:val="24"/>
          <w:szCs w:val="24"/>
        </w:rPr>
        <w:t xml:space="preserve"> and Fundoplication</w:t>
      </w:r>
      <w:r w:rsidRPr="00CF6D4B">
        <w:rPr>
          <w:rFonts w:ascii="Arial" w:eastAsia="Times New Roman" w:hAnsi="Arial" w:cs="Arial"/>
          <w:sz w:val="24"/>
          <w:szCs w:val="24"/>
        </w:rPr>
        <w:t>.</w:t>
      </w:r>
      <w:r w:rsidR="00D51D65" w:rsidRPr="00D51D65">
        <w:rPr>
          <w:rFonts w:ascii="Arial" w:eastAsia="Times New Roman" w:hAnsi="Arial" w:cs="Arial"/>
          <w:b/>
          <w:sz w:val="24"/>
          <w:szCs w:val="24"/>
        </w:rPr>
        <w:t xml:space="preserve"> </w:t>
      </w:r>
      <w:r w:rsidR="00D51D65">
        <w:rPr>
          <w:rFonts w:ascii="Arial" w:eastAsia="Times New Roman" w:hAnsi="Arial" w:cs="Arial"/>
          <w:b/>
          <w:sz w:val="24"/>
          <w:szCs w:val="24"/>
        </w:rPr>
        <w:t>Note; Laparoscopic Dorr fundoplication involves wrapping a portion of the stomach the fundus around the lower esophagus to prevent gastric contents reflux to the esophagus</w:t>
      </w:r>
    </w:p>
    <w:p w14:paraId="39B25246" w14:textId="77777777" w:rsidR="003245A6" w:rsidRPr="007C382C" w:rsidRDefault="003245A6" w:rsidP="003245A6">
      <w:pPr>
        <w:pStyle w:val="Heading2"/>
        <w:spacing w:line="360" w:lineRule="auto"/>
        <w:rPr>
          <w:rFonts w:ascii="Arial" w:hAnsi="Arial" w:cs="Arial"/>
          <w:color w:val="000000" w:themeColor="text1"/>
          <w:sz w:val="24"/>
          <w:szCs w:val="24"/>
        </w:rPr>
      </w:pPr>
      <w:r w:rsidRPr="007C382C">
        <w:rPr>
          <w:rFonts w:ascii="Arial" w:hAnsi="Arial" w:cs="Arial"/>
          <w:color w:val="000000" w:themeColor="text1"/>
          <w:sz w:val="24"/>
          <w:szCs w:val="24"/>
        </w:rPr>
        <w:t>Case series</w:t>
      </w:r>
    </w:p>
    <w:p w14:paraId="090B2A30" w14:textId="77777777" w:rsidR="003245A6" w:rsidRPr="007C382C" w:rsidRDefault="004C552A" w:rsidP="004C552A">
      <w:pPr>
        <w:pStyle w:val="Heading2"/>
        <w:spacing w:line="360" w:lineRule="auto"/>
        <w:rPr>
          <w:rFonts w:ascii="Arial" w:hAnsi="Arial" w:cs="Arial"/>
          <w:color w:val="000000" w:themeColor="text1"/>
          <w:sz w:val="24"/>
          <w:szCs w:val="24"/>
        </w:rPr>
      </w:pPr>
      <w:r w:rsidRPr="007C382C">
        <w:rPr>
          <w:rFonts w:ascii="Arial" w:hAnsi="Arial" w:cs="Arial"/>
          <w:color w:val="000000" w:themeColor="text1"/>
          <w:sz w:val="24"/>
          <w:szCs w:val="24"/>
        </w:rPr>
        <w:t xml:space="preserve">Case </w:t>
      </w:r>
      <w:r w:rsidR="0029741A" w:rsidRPr="007C382C">
        <w:rPr>
          <w:rFonts w:ascii="Arial" w:hAnsi="Arial" w:cs="Arial"/>
          <w:color w:val="000000" w:themeColor="text1"/>
          <w:sz w:val="24"/>
          <w:szCs w:val="24"/>
        </w:rPr>
        <w:t>1:</w:t>
      </w:r>
      <w:r w:rsidRPr="007C382C">
        <w:rPr>
          <w:rFonts w:ascii="Arial" w:hAnsi="Arial" w:cs="Arial"/>
          <w:color w:val="000000" w:themeColor="text1"/>
          <w:sz w:val="24"/>
          <w:szCs w:val="24"/>
        </w:rPr>
        <w:t xml:space="preserve"> Triple-A syndrome </w:t>
      </w:r>
    </w:p>
    <w:p w14:paraId="613D6A08" w14:textId="4B1E2EDA" w:rsidR="00E94A8E" w:rsidRDefault="003245A6" w:rsidP="00E94A8E">
      <w:pPr>
        <w:spacing w:line="360" w:lineRule="auto"/>
        <w:jc w:val="both"/>
        <w:rPr>
          <w:rFonts w:ascii="Arial" w:hAnsi="Arial" w:cs="Arial"/>
          <w:color w:val="000000" w:themeColor="text1"/>
          <w:sz w:val="24"/>
          <w:szCs w:val="24"/>
        </w:rPr>
      </w:pPr>
      <w:r w:rsidRPr="007C382C">
        <w:rPr>
          <w:rFonts w:ascii="Arial" w:hAnsi="Arial" w:cs="Arial"/>
          <w:color w:val="000000" w:themeColor="text1"/>
          <w:sz w:val="24"/>
          <w:szCs w:val="24"/>
        </w:rPr>
        <w:t>A</w:t>
      </w:r>
      <w:r w:rsidR="004C552A" w:rsidRPr="007C382C">
        <w:rPr>
          <w:rFonts w:ascii="Arial" w:hAnsi="Arial" w:cs="Arial"/>
          <w:color w:val="000000" w:themeColor="text1"/>
          <w:sz w:val="24"/>
          <w:szCs w:val="24"/>
        </w:rPr>
        <w:t xml:space="preserve"> 9 years old male presented with a long history</w:t>
      </w:r>
      <w:r w:rsidR="0029741A" w:rsidRPr="007C382C">
        <w:rPr>
          <w:rFonts w:ascii="Arial" w:hAnsi="Arial" w:cs="Arial"/>
          <w:color w:val="000000" w:themeColor="text1"/>
          <w:sz w:val="24"/>
          <w:szCs w:val="24"/>
        </w:rPr>
        <w:t xml:space="preserve"> of</w:t>
      </w:r>
      <w:r w:rsidRPr="007C382C">
        <w:rPr>
          <w:rFonts w:ascii="Arial" w:hAnsi="Arial" w:cs="Arial"/>
          <w:color w:val="000000" w:themeColor="text1"/>
          <w:sz w:val="24"/>
          <w:szCs w:val="24"/>
        </w:rPr>
        <w:t xml:space="preserve"> dysphagia to liquid since the age of 3 years, </w:t>
      </w:r>
      <w:r w:rsidR="0029741A" w:rsidRPr="007C382C">
        <w:rPr>
          <w:rFonts w:ascii="Arial" w:hAnsi="Arial" w:cs="Arial"/>
          <w:color w:val="000000" w:themeColor="text1"/>
          <w:sz w:val="24"/>
          <w:szCs w:val="24"/>
        </w:rPr>
        <w:t xml:space="preserve">He </w:t>
      </w:r>
      <w:r w:rsidRPr="007C382C">
        <w:rPr>
          <w:rFonts w:ascii="Arial" w:hAnsi="Arial" w:cs="Arial"/>
          <w:color w:val="000000" w:themeColor="text1"/>
          <w:sz w:val="24"/>
          <w:szCs w:val="24"/>
        </w:rPr>
        <w:t xml:space="preserve">currently </w:t>
      </w:r>
      <w:r w:rsidR="0029741A" w:rsidRPr="007C382C">
        <w:rPr>
          <w:rFonts w:ascii="Arial" w:hAnsi="Arial" w:cs="Arial"/>
          <w:color w:val="000000" w:themeColor="text1"/>
          <w:sz w:val="24"/>
          <w:szCs w:val="24"/>
        </w:rPr>
        <w:t>manages solid food with</w:t>
      </w:r>
      <w:r w:rsidRPr="007C382C">
        <w:rPr>
          <w:rFonts w:ascii="Arial" w:hAnsi="Arial" w:cs="Arial"/>
          <w:color w:val="000000" w:themeColor="text1"/>
          <w:sz w:val="24"/>
          <w:szCs w:val="24"/>
        </w:rPr>
        <w:t xml:space="preserve"> water</w:t>
      </w:r>
      <w:r w:rsidR="0029741A" w:rsidRPr="007C382C">
        <w:rPr>
          <w:rFonts w:ascii="Arial" w:hAnsi="Arial" w:cs="Arial"/>
          <w:color w:val="000000" w:themeColor="text1"/>
          <w:sz w:val="24"/>
          <w:szCs w:val="24"/>
        </w:rPr>
        <w:t xml:space="preserve"> assistance. His symptoms are accompanied by recurrent episodes of diarrhea and vomiting, hypoglycemia and poor growth since age 2. He has a history of two admissions for diarrhea, during which low cortisol levels were detected.</w:t>
      </w:r>
      <w:r w:rsidR="002032D0">
        <w:rPr>
          <w:rFonts w:ascii="Arial" w:hAnsi="Arial" w:cs="Arial"/>
          <w:color w:val="000000" w:themeColor="text1"/>
          <w:sz w:val="24"/>
          <w:szCs w:val="24"/>
        </w:rPr>
        <w:t xml:space="preserve"> </w:t>
      </w:r>
      <w:r w:rsidR="002032D0" w:rsidRPr="007C382C">
        <w:rPr>
          <w:rFonts w:ascii="Arial" w:hAnsi="Arial" w:cs="Arial"/>
          <w:color w:val="000000" w:themeColor="text1"/>
          <w:sz w:val="24"/>
          <w:szCs w:val="24"/>
        </w:rPr>
        <w:t>Notably, his mother reported an absence of tears when cries</w:t>
      </w:r>
      <w:r w:rsidR="002032D0">
        <w:rPr>
          <w:rFonts w:ascii="Arial" w:hAnsi="Arial" w:cs="Arial"/>
          <w:color w:val="000000" w:themeColor="text1"/>
          <w:sz w:val="24"/>
          <w:szCs w:val="24"/>
        </w:rPr>
        <w:t>.</w:t>
      </w:r>
      <w:r w:rsidR="002032D0" w:rsidRPr="002032D0">
        <w:t xml:space="preserve"> </w:t>
      </w:r>
      <w:r w:rsidR="002032D0" w:rsidRPr="001613F9">
        <w:rPr>
          <w:rFonts w:ascii="Arial" w:hAnsi="Arial" w:cs="Arial"/>
          <w:color w:val="000000" w:themeColor="text1"/>
          <w:sz w:val="24"/>
          <w:szCs w:val="24"/>
        </w:rPr>
        <w:t>He had been diagnosed with Triple-A syndrome (Allgrove syndrome) based on his dysphagia, alacrimia, and adrenal insufficiency. Barium swallow confirmed esophageal dilatation</w:t>
      </w:r>
      <w:r w:rsidR="00C171A3" w:rsidRPr="001613F9">
        <w:rPr>
          <w:rFonts w:ascii="Arial" w:hAnsi="Arial" w:cs="Arial"/>
          <w:color w:val="000000" w:themeColor="text1"/>
          <w:sz w:val="24"/>
          <w:szCs w:val="24"/>
        </w:rPr>
        <w:t xml:space="preserve">, see </w:t>
      </w:r>
      <w:r w:rsidR="00C171A3" w:rsidRPr="00641CD8">
        <w:rPr>
          <w:rFonts w:ascii="Arial" w:hAnsi="Arial" w:cs="Arial"/>
          <w:b/>
          <w:bCs/>
          <w:color w:val="000000" w:themeColor="text1"/>
          <w:sz w:val="24"/>
          <w:szCs w:val="24"/>
        </w:rPr>
        <w:t>Figure 1</w:t>
      </w:r>
      <w:r w:rsidR="002032D0" w:rsidRPr="00641CD8">
        <w:rPr>
          <w:rFonts w:ascii="Arial" w:hAnsi="Arial" w:cs="Arial"/>
          <w:b/>
          <w:bCs/>
          <w:color w:val="000000" w:themeColor="text1"/>
          <w:sz w:val="24"/>
          <w:szCs w:val="24"/>
        </w:rPr>
        <w:t>.</w:t>
      </w:r>
      <w:r w:rsidR="0029741A" w:rsidRPr="002032D0">
        <w:rPr>
          <w:rFonts w:ascii="Arial" w:hAnsi="Arial" w:cs="Arial"/>
          <w:b/>
          <w:bCs/>
          <w:color w:val="000000" w:themeColor="text1"/>
          <w:sz w:val="24"/>
          <w:szCs w:val="24"/>
        </w:rPr>
        <w:t xml:space="preserve"> </w:t>
      </w:r>
      <w:r w:rsidR="0029741A" w:rsidRPr="007C382C">
        <w:rPr>
          <w:rFonts w:ascii="Arial" w:hAnsi="Arial" w:cs="Arial"/>
          <w:color w:val="000000" w:themeColor="text1"/>
          <w:sz w:val="24"/>
          <w:szCs w:val="24"/>
        </w:rPr>
        <w:t xml:space="preserve">Presently, he is on a regimen of hydrocortisone 10mg in the morning and 5mg in the evening, along with Fludrocortisone 50mcg. </w:t>
      </w:r>
    </w:p>
    <w:p w14:paraId="2D46C05D" w14:textId="77777777" w:rsidR="00E94A8E" w:rsidRPr="00E94A8E" w:rsidRDefault="00E94A8E" w:rsidP="003245A6">
      <w:pPr>
        <w:spacing w:after="0" w:line="360" w:lineRule="auto"/>
        <w:jc w:val="both"/>
        <w:rPr>
          <w:rFonts w:ascii="Arial" w:hAnsi="Arial" w:cs="Arial"/>
          <w:b/>
          <w:bCs/>
          <w:color w:val="000000" w:themeColor="text1"/>
          <w:sz w:val="24"/>
          <w:szCs w:val="24"/>
        </w:rPr>
      </w:pPr>
      <w:r w:rsidRPr="00E94A8E">
        <w:rPr>
          <w:rFonts w:ascii="Arial" w:hAnsi="Arial" w:cs="Arial"/>
          <w:b/>
          <w:bCs/>
          <w:color w:val="000000" w:themeColor="text1"/>
          <w:sz w:val="24"/>
          <w:szCs w:val="24"/>
        </w:rPr>
        <w:t>Management</w:t>
      </w:r>
    </w:p>
    <w:p w14:paraId="1E3197F2" w14:textId="752705EC" w:rsidR="001A78F1" w:rsidRPr="007C382C" w:rsidRDefault="008859DE" w:rsidP="003245A6">
      <w:pPr>
        <w:spacing w:after="0" w:line="360" w:lineRule="auto"/>
        <w:jc w:val="both"/>
        <w:rPr>
          <w:rFonts w:ascii="Arial" w:hAnsi="Arial" w:cs="Arial"/>
          <w:color w:val="000000" w:themeColor="text1"/>
          <w:sz w:val="24"/>
          <w:szCs w:val="24"/>
        </w:rPr>
      </w:pPr>
      <w:r w:rsidRPr="008859DE">
        <w:rPr>
          <w:rFonts w:ascii="Arial" w:hAnsi="Arial" w:cs="Arial"/>
          <w:color w:val="000000" w:themeColor="text1"/>
          <w:sz w:val="24"/>
          <w:szCs w:val="24"/>
        </w:rPr>
        <w:t>The patient underwent laparoscopic Heller’s oesophagocardiomyotomy</w:t>
      </w:r>
      <w:r>
        <w:rPr>
          <w:rFonts w:ascii="Arial" w:hAnsi="Arial" w:cs="Arial"/>
          <w:color w:val="000000" w:themeColor="text1"/>
          <w:sz w:val="24"/>
          <w:szCs w:val="24"/>
        </w:rPr>
        <w:t xml:space="preserve"> </w:t>
      </w:r>
      <w:r w:rsidRPr="00920A01">
        <w:rPr>
          <w:rFonts w:ascii="Arial" w:hAnsi="Arial" w:cs="Arial"/>
          <w:b/>
          <w:bCs/>
          <w:color w:val="000000" w:themeColor="text1"/>
          <w:sz w:val="24"/>
          <w:szCs w:val="24"/>
        </w:rPr>
        <w:t>(</w:t>
      </w:r>
      <w:r w:rsidR="00641CD8" w:rsidRPr="00920A01">
        <w:rPr>
          <w:rFonts w:ascii="Arial" w:hAnsi="Arial" w:cs="Arial"/>
          <w:b/>
          <w:bCs/>
          <w:color w:val="000000" w:themeColor="text1"/>
          <w:sz w:val="24"/>
          <w:szCs w:val="24"/>
        </w:rPr>
        <w:t>see</w:t>
      </w:r>
      <w:r w:rsidR="00641CD8">
        <w:rPr>
          <w:rFonts w:ascii="Arial" w:hAnsi="Arial" w:cs="Arial"/>
          <w:color w:val="000000" w:themeColor="text1"/>
          <w:sz w:val="24"/>
          <w:szCs w:val="24"/>
        </w:rPr>
        <w:t xml:space="preserve"> </w:t>
      </w:r>
      <w:r w:rsidRPr="00641CD8">
        <w:rPr>
          <w:rFonts w:ascii="Arial" w:hAnsi="Arial" w:cs="Arial"/>
          <w:b/>
          <w:bCs/>
          <w:color w:val="000000" w:themeColor="text1"/>
          <w:sz w:val="24"/>
          <w:szCs w:val="24"/>
        </w:rPr>
        <w:t xml:space="preserve">Figure </w:t>
      </w:r>
      <w:r w:rsidR="008D6F16" w:rsidRPr="00641CD8">
        <w:rPr>
          <w:rFonts w:ascii="Arial" w:hAnsi="Arial" w:cs="Arial"/>
          <w:b/>
          <w:bCs/>
          <w:color w:val="000000" w:themeColor="text1"/>
          <w:sz w:val="24"/>
          <w:szCs w:val="24"/>
        </w:rPr>
        <w:t>3</w:t>
      </w:r>
      <w:r w:rsidRPr="00920A01">
        <w:rPr>
          <w:rFonts w:ascii="Arial" w:hAnsi="Arial" w:cs="Arial"/>
          <w:b/>
          <w:bCs/>
          <w:color w:val="000000" w:themeColor="text1"/>
          <w:sz w:val="24"/>
          <w:szCs w:val="24"/>
        </w:rPr>
        <w:t>)</w:t>
      </w:r>
      <w:r w:rsidRPr="008859DE">
        <w:rPr>
          <w:rFonts w:ascii="Arial" w:hAnsi="Arial" w:cs="Arial"/>
          <w:color w:val="000000" w:themeColor="text1"/>
          <w:sz w:val="24"/>
          <w:szCs w:val="24"/>
        </w:rPr>
        <w:t xml:space="preserve"> and </w:t>
      </w:r>
      <w:r w:rsidRPr="001613F9">
        <w:rPr>
          <w:rFonts w:ascii="Arial" w:hAnsi="Arial" w:cs="Arial"/>
          <w:color w:val="000000" w:themeColor="text1"/>
          <w:sz w:val="24"/>
          <w:szCs w:val="24"/>
        </w:rPr>
        <w:t>Dor fundoplication</w:t>
      </w:r>
      <w:r w:rsidR="00E43C90">
        <w:rPr>
          <w:rFonts w:ascii="Arial" w:hAnsi="Arial" w:cs="Arial"/>
          <w:color w:val="000000" w:themeColor="text1"/>
          <w:sz w:val="24"/>
          <w:szCs w:val="24"/>
        </w:rPr>
        <w:t xml:space="preserve"> that </w:t>
      </w:r>
      <w:r w:rsidR="00E43C90" w:rsidRPr="00E43C90">
        <w:rPr>
          <w:rFonts w:ascii="Arial" w:hAnsi="Arial" w:cs="Arial"/>
          <w:color w:val="000000" w:themeColor="text1"/>
          <w:sz w:val="24"/>
          <w:szCs w:val="24"/>
        </w:rPr>
        <w:t>involves wrapping the stomach 180-270 degrees around the esophagus to prevent reflux</w:t>
      </w:r>
      <w:r w:rsidRPr="001613F9">
        <w:rPr>
          <w:rFonts w:ascii="Arial" w:hAnsi="Arial" w:cs="Arial"/>
          <w:color w:val="000000" w:themeColor="text1"/>
          <w:sz w:val="24"/>
          <w:szCs w:val="24"/>
        </w:rPr>
        <w:t>.</w:t>
      </w:r>
      <w:r w:rsidRPr="008859DE">
        <w:rPr>
          <w:rFonts w:ascii="Arial" w:hAnsi="Arial" w:cs="Arial"/>
          <w:color w:val="000000" w:themeColor="text1"/>
          <w:sz w:val="24"/>
          <w:szCs w:val="24"/>
        </w:rPr>
        <w:t xml:space="preserve"> Intraoperative findings included hypertrophic muscles at the lower intraabdominal esophagus. The procedure lasted 85 minutes, and the patient was discharged after 24 hours.</w:t>
      </w:r>
    </w:p>
    <w:p w14:paraId="6F9ECEDE" w14:textId="77777777" w:rsidR="001A78F1" w:rsidRPr="007C382C" w:rsidRDefault="001A78F1" w:rsidP="003245A6">
      <w:pPr>
        <w:spacing w:after="0" w:line="360" w:lineRule="auto"/>
        <w:jc w:val="both"/>
        <w:rPr>
          <w:rFonts w:ascii="Arial" w:hAnsi="Arial" w:cs="Arial"/>
          <w:b/>
          <w:color w:val="000000" w:themeColor="text1"/>
          <w:sz w:val="24"/>
          <w:szCs w:val="24"/>
        </w:rPr>
      </w:pPr>
      <w:r w:rsidRPr="007C382C">
        <w:rPr>
          <w:rFonts w:ascii="Arial" w:hAnsi="Arial" w:cs="Arial"/>
          <w:b/>
          <w:color w:val="000000" w:themeColor="text1"/>
          <w:sz w:val="24"/>
          <w:szCs w:val="24"/>
        </w:rPr>
        <w:t xml:space="preserve">Follow up </w:t>
      </w:r>
    </w:p>
    <w:p w14:paraId="688A209A" w14:textId="6B8D8608" w:rsidR="007C5008" w:rsidRPr="001613F9" w:rsidRDefault="008D6F16" w:rsidP="003245A6">
      <w:pPr>
        <w:spacing w:after="0" w:line="360" w:lineRule="auto"/>
        <w:jc w:val="both"/>
        <w:rPr>
          <w:rFonts w:ascii="Arial" w:hAnsi="Arial" w:cs="Arial"/>
          <w:color w:val="000000" w:themeColor="text1"/>
          <w:sz w:val="24"/>
          <w:szCs w:val="24"/>
        </w:rPr>
      </w:pPr>
      <w:r w:rsidRPr="001613F9">
        <w:rPr>
          <w:rFonts w:ascii="Arial" w:hAnsi="Arial" w:cs="Arial"/>
          <w:color w:val="000000" w:themeColor="text1"/>
          <w:sz w:val="24"/>
          <w:szCs w:val="24"/>
        </w:rPr>
        <w:t>At the one-week follow-up, the patient showed significant improvement in dysphagia symptoms and tolerated oral intake well. No recurrence was reported during the two-month follow-up.</w:t>
      </w:r>
    </w:p>
    <w:tbl>
      <w:tblPr>
        <w:tblStyle w:val="TableGrid"/>
        <w:tblW w:w="0" w:type="auto"/>
        <w:tblLook w:val="04A0" w:firstRow="1" w:lastRow="0" w:firstColumn="1" w:lastColumn="0" w:noHBand="0" w:noVBand="1"/>
      </w:tblPr>
      <w:tblGrid>
        <w:gridCol w:w="3242"/>
        <w:gridCol w:w="2948"/>
        <w:gridCol w:w="3160"/>
      </w:tblGrid>
      <w:tr w:rsidR="003245A6" w:rsidRPr="007C382C" w14:paraId="38DDFBF9" w14:textId="77777777" w:rsidTr="00076249">
        <w:trPr>
          <w:trHeight w:val="2798"/>
        </w:trPr>
        <w:tc>
          <w:tcPr>
            <w:tcW w:w="3192" w:type="dxa"/>
          </w:tcPr>
          <w:p w14:paraId="16119DE6" w14:textId="77777777" w:rsidR="003245A6" w:rsidRPr="00044ACB" w:rsidRDefault="003245A6" w:rsidP="00044ACB">
            <w:pPr>
              <w:jc w:val="both"/>
              <w:rPr>
                <w:rFonts w:ascii="Arial" w:hAnsi="Arial" w:cs="Arial"/>
                <w:b/>
                <w:bCs/>
                <w:color w:val="000000" w:themeColor="text1"/>
                <w:sz w:val="24"/>
                <w:szCs w:val="24"/>
              </w:rPr>
            </w:pPr>
            <w:r w:rsidRPr="00044ACB">
              <w:rPr>
                <w:rFonts w:ascii="Arial" w:hAnsi="Arial" w:cs="Arial"/>
                <w:b/>
                <w:bCs/>
                <w:noProof/>
                <w:color w:val="000000" w:themeColor="text1"/>
                <w:sz w:val="24"/>
                <w:szCs w:val="24"/>
              </w:rPr>
              <mc:AlternateContent>
                <mc:Choice Requires="wps">
                  <w:drawing>
                    <wp:anchor distT="0" distB="0" distL="114300" distR="114300" simplePos="0" relativeHeight="251658240" behindDoc="0" locked="0" layoutInCell="1" allowOverlap="1" wp14:anchorId="0ADE7F8B" wp14:editId="6C17F673">
                      <wp:simplePos x="0" y="0"/>
                      <wp:positionH relativeFrom="column">
                        <wp:posOffset>1020461</wp:posOffset>
                      </wp:positionH>
                      <wp:positionV relativeFrom="paragraph">
                        <wp:posOffset>892608</wp:posOffset>
                      </wp:positionV>
                      <wp:extent cx="175936" cy="841846"/>
                      <wp:effectExtent l="228600" t="0" r="224155" b="0"/>
                      <wp:wrapNone/>
                      <wp:docPr id="9" name="Down Arrow 9"/>
                      <wp:cNvGraphicFramePr/>
                      <a:graphic xmlns:a="http://schemas.openxmlformats.org/drawingml/2006/main">
                        <a:graphicData uri="http://schemas.microsoft.com/office/word/2010/wordprocessingShape">
                          <wps:wsp>
                            <wps:cNvSpPr/>
                            <wps:spPr>
                              <a:xfrm rot="2506399">
                                <a:off x="0" y="0"/>
                                <a:ext cx="175936" cy="841846"/>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2EA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80.35pt;margin-top:70.3pt;width:13.85pt;height:66.3pt;rotation:2737656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" adj="19343" fillcolor="#4f7ac7 [3032]" strokecolor="#4472c4 [3208]" strokeweight=".5pt">
                      <v:fill color2="#416fc3 [3176]" rotate="t" colors="0 #6083cb;.5 #3e70ca;1 #2e61ba" focus="100%" type="gradient">
                        <o:fill v:ext="view" type="gradientUnscaled"/>
                      </v:fill>
                    </v:shape>
                  </w:pict>
                </mc:Fallback>
              </mc:AlternateContent>
            </w:r>
            <w:r w:rsidRPr="00044ACB">
              <w:rPr>
                <w:rFonts w:ascii="Arial" w:hAnsi="Arial" w:cs="Arial"/>
                <w:b/>
                <w:bCs/>
                <w:noProof/>
                <w:color w:val="000000" w:themeColor="text1"/>
                <w:sz w:val="24"/>
                <w:szCs w:val="24"/>
              </w:rPr>
              <w:drawing>
                <wp:inline distT="0" distB="0" distL="0" distR="0" wp14:anchorId="7BC9AC1E" wp14:editId="63F35F29">
                  <wp:extent cx="2111231" cy="2036751"/>
                  <wp:effectExtent l="0" t="0" r="3810" b="1905"/>
                  <wp:docPr id="1" name="Picture 1" descr="C:\Users\Dr Jenikalo\AppData\Local\Packages\5319275A.WhatsAppDesktop_cv1g1gvanyjgm\TempState\56CA899F1D9119EF81D60FB720426D4C\WhatsApp Image 2024-03-10 at 11.58.35_fc11bd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Jenikalo\AppData\Local\Packages\5319275A.WhatsAppDesktop_cv1g1gvanyjgm\TempState\56CA899F1D9119EF81D60FB720426D4C\WhatsApp Image 2024-03-10 at 11.58.35_fc11bdd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299" t="7373" r="2146" b="23113"/>
                          <a:stretch/>
                        </pic:blipFill>
                        <pic:spPr bwMode="auto">
                          <a:xfrm>
                            <a:off x="0" y="0"/>
                            <a:ext cx="2166159" cy="2089741"/>
                          </a:xfrm>
                          <a:prstGeom prst="rect">
                            <a:avLst/>
                          </a:prstGeom>
                          <a:noFill/>
                          <a:ln>
                            <a:noFill/>
                          </a:ln>
                          <a:extLst>
                            <a:ext uri="{53640926-AAD7-44D8-BBD7-CCE9431645EC}">
                              <a14:shadowObscured xmlns:a14="http://schemas.microsoft.com/office/drawing/2010/main"/>
                            </a:ext>
                          </a:extLst>
                        </pic:spPr>
                      </pic:pic>
                    </a:graphicData>
                  </a:graphic>
                </wp:inline>
              </w:drawing>
            </w:r>
          </w:p>
          <w:p w14:paraId="3CE32DE3" w14:textId="77777777" w:rsidR="003245A6" w:rsidRPr="007C382C" w:rsidRDefault="003245A6" w:rsidP="00044ACB">
            <w:pPr>
              <w:rPr>
                <w:rFonts w:ascii="Arial" w:hAnsi="Arial" w:cs="Arial"/>
                <w:color w:val="000000" w:themeColor="text1"/>
                <w:sz w:val="24"/>
                <w:szCs w:val="24"/>
              </w:rPr>
            </w:pPr>
            <w:r w:rsidRPr="00044ACB">
              <w:rPr>
                <w:rFonts w:ascii="Arial" w:hAnsi="Arial" w:cs="Arial"/>
                <w:b/>
                <w:bCs/>
                <w:color w:val="000000" w:themeColor="text1"/>
                <w:sz w:val="24"/>
                <w:szCs w:val="24"/>
              </w:rPr>
              <w:t xml:space="preserve">Figure. 1: </w:t>
            </w:r>
            <w:r w:rsidRPr="00044ACB">
              <w:rPr>
                <w:rFonts w:ascii="Arial" w:hAnsi="Arial" w:cs="Arial"/>
                <w:color w:val="000000" w:themeColor="text1"/>
                <w:sz w:val="24"/>
                <w:szCs w:val="24"/>
              </w:rPr>
              <w:t>Barium swallow showing dilatation of the distal esophagus</w:t>
            </w:r>
            <w:r w:rsidRPr="00044ACB">
              <w:rPr>
                <w:rFonts w:ascii="Arial" w:hAnsi="Arial" w:cs="Arial"/>
                <w:b/>
                <w:bCs/>
                <w:noProof/>
                <w:color w:val="000000" w:themeColor="text1"/>
                <w:sz w:val="24"/>
                <w:szCs w:val="24"/>
              </w:rPr>
              <w:t xml:space="preserve"> </w:t>
            </w:r>
          </w:p>
        </w:tc>
        <w:tc>
          <w:tcPr>
            <w:tcW w:w="3192" w:type="dxa"/>
          </w:tcPr>
          <w:p w14:paraId="7264332E" w14:textId="77777777" w:rsidR="003245A6" w:rsidRPr="007C382C" w:rsidRDefault="003245A6" w:rsidP="00076249">
            <w:pPr>
              <w:spacing w:line="360" w:lineRule="auto"/>
              <w:jc w:val="both"/>
              <w:rPr>
                <w:rFonts w:ascii="Arial" w:hAnsi="Arial" w:cs="Arial"/>
                <w:color w:val="000000" w:themeColor="text1"/>
                <w:sz w:val="24"/>
                <w:szCs w:val="24"/>
              </w:rPr>
            </w:pPr>
            <w:r w:rsidRPr="007C382C">
              <w:rPr>
                <w:rFonts w:ascii="Arial" w:hAnsi="Arial" w:cs="Arial"/>
                <w:noProof/>
                <w:sz w:val="24"/>
                <w:szCs w:val="24"/>
              </w:rPr>
              <w:drawing>
                <wp:inline distT="0" distB="0" distL="0" distR="0" wp14:anchorId="6F3CFCE3" wp14:editId="097B19A9">
                  <wp:extent cx="1909445" cy="20364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65927" cy="2096684"/>
                          </a:xfrm>
                          <a:prstGeom prst="rect">
                            <a:avLst/>
                          </a:prstGeom>
                        </pic:spPr>
                      </pic:pic>
                    </a:graphicData>
                  </a:graphic>
                </wp:inline>
              </w:drawing>
            </w:r>
          </w:p>
          <w:p w14:paraId="090C6420" w14:textId="77777777" w:rsidR="003245A6" w:rsidRPr="007C382C" w:rsidRDefault="003245A6" w:rsidP="00076249">
            <w:pPr>
              <w:spacing w:line="360" w:lineRule="auto"/>
              <w:rPr>
                <w:rFonts w:ascii="Arial" w:hAnsi="Arial" w:cs="Arial"/>
                <w:color w:val="000000" w:themeColor="text1"/>
                <w:sz w:val="24"/>
                <w:szCs w:val="24"/>
              </w:rPr>
            </w:pPr>
            <w:r w:rsidRPr="007C382C">
              <w:rPr>
                <w:rFonts w:ascii="Arial" w:hAnsi="Arial" w:cs="Arial"/>
                <w:b/>
                <w:color w:val="000000" w:themeColor="text1"/>
                <w:sz w:val="24"/>
                <w:szCs w:val="24"/>
              </w:rPr>
              <w:t>Figure 2:</w:t>
            </w:r>
            <w:r w:rsidRPr="007C382C">
              <w:rPr>
                <w:rFonts w:ascii="Arial" w:hAnsi="Arial" w:cs="Arial"/>
                <w:color w:val="000000" w:themeColor="text1"/>
                <w:sz w:val="24"/>
                <w:szCs w:val="24"/>
              </w:rPr>
              <w:t xml:space="preserve"> Pots setting during procedure</w:t>
            </w:r>
          </w:p>
        </w:tc>
        <w:tc>
          <w:tcPr>
            <w:tcW w:w="3192" w:type="dxa"/>
          </w:tcPr>
          <w:p w14:paraId="3B69CF34" w14:textId="77777777" w:rsidR="003245A6" w:rsidRPr="007C382C" w:rsidRDefault="003245A6" w:rsidP="00076249">
            <w:pPr>
              <w:spacing w:line="360" w:lineRule="auto"/>
              <w:jc w:val="both"/>
              <w:rPr>
                <w:rFonts w:ascii="Arial" w:hAnsi="Arial" w:cs="Arial"/>
                <w:b/>
                <w:bCs/>
                <w:color w:val="000000" w:themeColor="text1"/>
                <w:sz w:val="24"/>
                <w:szCs w:val="24"/>
              </w:rPr>
            </w:pPr>
            <w:r w:rsidRPr="007C382C">
              <w:rPr>
                <w:rFonts w:ascii="Arial" w:hAnsi="Arial" w:cs="Arial"/>
                <w:noProof/>
                <w:color w:val="000000" w:themeColor="text1"/>
                <w:sz w:val="24"/>
                <w:szCs w:val="24"/>
              </w:rPr>
              <mc:AlternateContent>
                <mc:Choice Requires="wps">
                  <w:drawing>
                    <wp:anchor distT="0" distB="0" distL="114300" distR="114300" simplePos="0" relativeHeight="251656192" behindDoc="0" locked="0" layoutInCell="1" allowOverlap="1" wp14:anchorId="5273EA67" wp14:editId="52942443">
                      <wp:simplePos x="0" y="0"/>
                      <wp:positionH relativeFrom="column">
                        <wp:posOffset>440159</wp:posOffset>
                      </wp:positionH>
                      <wp:positionV relativeFrom="paragraph">
                        <wp:posOffset>699947</wp:posOffset>
                      </wp:positionV>
                      <wp:extent cx="345958" cy="664284"/>
                      <wp:effectExtent l="133350" t="0" r="73660" b="2540"/>
                      <wp:wrapNone/>
                      <wp:docPr id="10" name="Up Arrow 10"/>
                      <wp:cNvGraphicFramePr/>
                      <a:graphic xmlns:a="http://schemas.openxmlformats.org/drawingml/2006/main">
                        <a:graphicData uri="http://schemas.microsoft.com/office/word/2010/wordprocessingShape">
                          <wps:wsp>
                            <wps:cNvSpPr/>
                            <wps:spPr>
                              <a:xfrm rot="2487481">
                                <a:off x="0" y="0"/>
                                <a:ext cx="345958" cy="66428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2701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 o:spid="_x0000_s1026" type="#_x0000_t68" style="position:absolute;margin-left:34.65pt;margin-top:55.1pt;width:27.25pt;height:52.3pt;rotation:2716993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" adj="5625" fillcolor="#5b9bd5 [3204]" strokecolor="#1f4d78 [1604]" strokeweight="1pt"/>
                  </w:pict>
                </mc:Fallback>
              </mc:AlternateContent>
            </w:r>
            <w:r w:rsidRPr="007C382C">
              <w:rPr>
                <w:rFonts w:ascii="Arial" w:hAnsi="Arial" w:cs="Arial"/>
                <w:noProof/>
                <w:color w:val="000000" w:themeColor="text1"/>
                <w:sz w:val="24"/>
                <w:szCs w:val="24"/>
              </w:rPr>
              <mc:AlternateContent>
                <mc:Choice Requires="wps">
                  <w:drawing>
                    <wp:anchor distT="0" distB="0" distL="114300" distR="114300" simplePos="0" relativeHeight="251657216" behindDoc="0" locked="0" layoutInCell="1" allowOverlap="1" wp14:anchorId="0E680F9C" wp14:editId="183FFD34">
                      <wp:simplePos x="0" y="0"/>
                      <wp:positionH relativeFrom="column">
                        <wp:posOffset>1109760</wp:posOffset>
                      </wp:positionH>
                      <wp:positionV relativeFrom="paragraph">
                        <wp:posOffset>196983</wp:posOffset>
                      </wp:positionV>
                      <wp:extent cx="302579" cy="595203"/>
                      <wp:effectExtent l="0" t="127318" r="0" b="84772"/>
                      <wp:wrapNone/>
                      <wp:docPr id="835805477" name="Arrow: Down 5"/>
                      <wp:cNvGraphicFramePr/>
                      <a:graphic xmlns:a="http://schemas.openxmlformats.org/drawingml/2006/main">
                        <a:graphicData uri="http://schemas.microsoft.com/office/word/2010/wordprocessingShape">
                          <wps:wsp>
                            <wps:cNvSpPr/>
                            <wps:spPr>
                              <a:xfrm rot="2803738">
                                <a:off x="0" y="0"/>
                                <a:ext cx="302579" cy="59520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09449" id="Arrow: Down 5" o:spid="_x0000_s1026" type="#_x0000_t67" style="position:absolute;margin-left:87.4pt;margin-top:15.5pt;width:23.85pt;height:46.85pt;rotation:306243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" adj="16110" fillcolor="#5b9bd5 [3204]" strokecolor="#091723 [484]" strokeweight="1pt"/>
                  </w:pict>
                </mc:Fallback>
              </mc:AlternateContent>
            </w:r>
            <w:r w:rsidRPr="007C382C">
              <w:rPr>
                <w:rFonts w:ascii="Arial" w:hAnsi="Arial" w:cs="Arial"/>
                <w:noProof/>
                <w:color w:val="000000" w:themeColor="text1"/>
                <w:sz w:val="24"/>
                <w:szCs w:val="24"/>
              </w:rPr>
              <mc:AlternateContent>
                <mc:Choice Requires="wps">
                  <w:drawing>
                    <wp:anchor distT="0" distB="0" distL="114300" distR="114300" simplePos="0" relativeHeight="251659264" behindDoc="0" locked="0" layoutInCell="1" allowOverlap="1" wp14:anchorId="24C47BCD" wp14:editId="69E165B7">
                      <wp:simplePos x="0" y="0"/>
                      <wp:positionH relativeFrom="column">
                        <wp:posOffset>558013</wp:posOffset>
                      </wp:positionH>
                      <wp:positionV relativeFrom="paragraph">
                        <wp:posOffset>93787</wp:posOffset>
                      </wp:positionV>
                      <wp:extent cx="809105" cy="1429789"/>
                      <wp:effectExtent l="0" t="0" r="29210" b="37465"/>
                      <wp:wrapNone/>
                      <wp:docPr id="627671572" name="Straight Connector 2"/>
                      <wp:cNvGraphicFramePr/>
                      <a:graphic xmlns:a="http://schemas.openxmlformats.org/drawingml/2006/main">
                        <a:graphicData uri="http://schemas.microsoft.com/office/word/2010/wordprocessingShape">
                          <wps:wsp>
                            <wps:cNvCnPr/>
                            <wps:spPr>
                              <a:xfrm>
                                <a:off x="0" y="0"/>
                                <a:ext cx="809105" cy="142978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1418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7.4pt" to="107.6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" strokecolor="black [3200]">
                      <v:stroke dashstyle="dash"/>
                    </v:line>
                  </w:pict>
                </mc:Fallback>
              </mc:AlternateContent>
            </w:r>
            <w:r w:rsidRPr="007C382C">
              <w:rPr>
                <w:rFonts w:ascii="Arial" w:hAnsi="Arial" w:cs="Arial"/>
                <w:noProof/>
                <w:color w:val="000000" w:themeColor="text1"/>
                <w:sz w:val="24"/>
                <w:szCs w:val="24"/>
              </w:rPr>
              <w:drawing>
                <wp:inline distT="0" distB="0" distL="0" distR="0" wp14:anchorId="1E3A4A76" wp14:editId="070815AB">
                  <wp:extent cx="2049780" cy="20024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2393" cy="2073355"/>
                          </a:xfrm>
                          <a:prstGeom prst="rect">
                            <a:avLst/>
                          </a:prstGeom>
                        </pic:spPr>
                      </pic:pic>
                    </a:graphicData>
                  </a:graphic>
                </wp:inline>
              </w:drawing>
            </w:r>
          </w:p>
          <w:p w14:paraId="653EE4D7" w14:textId="77777777" w:rsidR="003245A6" w:rsidRPr="007C382C" w:rsidRDefault="003245A6" w:rsidP="00076249">
            <w:pPr>
              <w:spacing w:line="360" w:lineRule="auto"/>
              <w:rPr>
                <w:rFonts w:ascii="Arial" w:hAnsi="Arial" w:cs="Arial"/>
                <w:color w:val="000000" w:themeColor="text1"/>
                <w:sz w:val="24"/>
                <w:szCs w:val="24"/>
              </w:rPr>
            </w:pPr>
            <w:r w:rsidRPr="007C382C">
              <w:rPr>
                <w:rFonts w:ascii="Arial" w:hAnsi="Arial" w:cs="Arial"/>
                <w:b/>
                <w:bCs/>
                <w:color w:val="000000" w:themeColor="text1"/>
                <w:sz w:val="24"/>
                <w:szCs w:val="24"/>
              </w:rPr>
              <w:t xml:space="preserve">Figure. 3: </w:t>
            </w:r>
            <w:r w:rsidRPr="007C382C">
              <w:rPr>
                <w:rFonts w:ascii="Arial" w:hAnsi="Arial" w:cs="Arial"/>
                <w:color w:val="000000" w:themeColor="text1"/>
                <w:sz w:val="24"/>
                <w:szCs w:val="24"/>
              </w:rPr>
              <w:t>Laparoscopic</w:t>
            </w:r>
            <w:r w:rsidRPr="007C382C">
              <w:rPr>
                <w:rFonts w:ascii="Arial" w:hAnsi="Arial" w:cs="Arial"/>
                <w:b/>
                <w:bCs/>
                <w:color w:val="000000" w:themeColor="text1"/>
                <w:sz w:val="24"/>
                <w:szCs w:val="24"/>
              </w:rPr>
              <w:t xml:space="preserve"> </w:t>
            </w:r>
            <w:r w:rsidRPr="007C382C">
              <w:rPr>
                <w:rFonts w:ascii="Arial" w:hAnsi="Arial" w:cs="Arial"/>
                <w:color w:val="000000" w:themeColor="text1"/>
                <w:sz w:val="24"/>
                <w:szCs w:val="24"/>
              </w:rPr>
              <w:t xml:space="preserve">Heller’s cardio myotomy  </w:t>
            </w:r>
          </w:p>
        </w:tc>
      </w:tr>
    </w:tbl>
    <w:p w14:paraId="7641E4F0" w14:textId="793F5621" w:rsidR="003245A6" w:rsidRPr="00044ACB" w:rsidRDefault="003F3B37" w:rsidP="00044ACB">
      <w:pPr>
        <w:rPr>
          <w:rFonts w:ascii="Arial" w:eastAsiaTheme="majorEastAsia" w:hAnsi="Arial" w:cs="Arial"/>
          <w:b/>
          <w:bCs/>
          <w:color w:val="000000" w:themeColor="text1"/>
          <w:sz w:val="24"/>
          <w:szCs w:val="24"/>
        </w:rPr>
      </w:pPr>
      <w:r w:rsidRPr="007C382C">
        <w:rPr>
          <w:rFonts w:ascii="Arial" w:hAnsi="Arial" w:cs="Arial"/>
          <w:color w:val="000000" w:themeColor="text1"/>
          <w:sz w:val="24"/>
          <w:szCs w:val="24"/>
        </w:rPr>
        <w:t>Case 2: Achalasia in a 7year old male with Addison’s disease</w:t>
      </w:r>
    </w:p>
    <w:p w14:paraId="58F8BDC0" w14:textId="77777777" w:rsidR="003F3B37" w:rsidRPr="007C382C" w:rsidRDefault="003F3B37" w:rsidP="003245A6">
      <w:pPr>
        <w:spacing w:after="0" w:line="360" w:lineRule="auto"/>
        <w:jc w:val="both"/>
        <w:rPr>
          <w:rFonts w:ascii="Arial" w:hAnsi="Arial" w:cs="Arial"/>
          <w:b/>
          <w:color w:val="000000" w:themeColor="text1"/>
          <w:sz w:val="24"/>
          <w:szCs w:val="24"/>
        </w:rPr>
      </w:pPr>
      <w:r w:rsidRPr="007C382C">
        <w:rPr>
          <w:rFonts w:ascii="Arial" w:hAnsi="Arial" w:cs="Arial"/>
          <w:b/>
          <w:color w:val="000000" w:themeColor="text1"/>
          <w:sz w:val="24"/>
          <w:szCs w:val="24"/>
        </w:rPr>
        <w:t>Presentation:</w:t>
      </w:r>
    </w:p>
    <w:p w14:paraId="7DFE2FC5" w14:textId="426020DB" w:rsidR="00413112" w:rsidRDefault="00413112" w:rsidP="003245A6">
      <w:pPr>
        <w:spacing w:after="0" w:line="360" w:lineRule="auto"/>
        <w:jc w:val="both"/>
        <w:rPr>
          <w:rFonts w:ascii="Arial" w:hAnsi="Arial" w:cs="Arial"/>
          <w:color w:val="000000" w:themeColor="text1"/>
          <w:sz w:val="24"/>
          <w:szCs w:val="24"/>
        </w:rPr>
      </w:pPr>
      <w:r w:rsidRPr="00920A01">
        <w:rPr>
          <w:rFonts w:ascii="Arial" w:hAnsi="Arial" w:cs="Arial"/>
          <w:color w:val="000000" w:themeColor="text1"/>
          <w:sz w:val="24"/>
          <w:szCs w:val="24"/>
        </w:rPr>
        <w:t>A 7-year-old male with Addison’s disease presented with a long history of dysphagia, especially to liquids.</w:t>
      </w:r>
      <w:r w:rsidRPr="00413112">
        <w:rPr>
          <w:rFonts w:ascii="Arial" w:hAnsi="Arial" w:cs="Arial"/>
          <w:color w:val="000000" w:themeColor="text1"/>
          <w:sz w:val="24"/>
          <w:szCs w:val="24"/>
        </w:rPr>
        <w:t xml:space="preserve"> </w:t>
      </w:r>
      <w:r w:rsidR="003F3B37" w:rsidRPr="007C382C">
        <w:rPr>
          <w:rFonts w:ascii="Arial" w:hAnsi="Arial" w:cs="Arial"/>
          <w:color w:val="000000" w:themeColor="text1"/>
          <w:sz w:val="24"/>
          <w:szCs w:val="24"/>
        </w:rPr>
        <w:t>There was no history of corrosive</w:t>
      </w:r>
      <w:r w:rsidR="00706AC7" w:rsidRPr="007C382C">
        <w:rPr>
          <w:rFonts w:ascii="Arial" w:hAnsi="Arial" w:cs="Arial"/>
          <w:color w:val="000000" w:themeColor="text1"/>
          <w:sz w:val="24"/>
          <w:szCs w:val="24"/>
        </w:rPr>
        <w:t xml:space="preserve"> substance ingestion</w:t>
      </w:r>
      <w:r w:rsidR="00920A01">
        <w:rPr>
          <w:rFonts w:ascii="Arial" w:hAnsi="Arial" w:cs="Arial"/>
          <w:color w:val="000000" w:themeColor="text1"/>
          <w:sz w:val="24"/>
          <w:szCs w:val="24"/>
        </w:rPr>
        <w:t xml:space="preserve"> or</w:t>
      </w:r>
      <w:r w:rsidR="00706AC7" w:rsidRPr="007C382C">
        <w:rPr>
          <w:rFonts w:ascii="Arial" w:hAnsi="Arial" w:cs="Arial"/>
          <w:color w:val="000000" w:themeColor="text1"/>
          <w:sz w:val="24"/>
          <w:szCs w:val="24"/>
        </w:rPr>
        <w:t xml:space="preserve"> neck surgery.</w:t>
      </w:r>
      <w:r>
        <w:rPr>
          <w:rFonts w:ascii="Arial" w:hAnsi="Arial" w:cs="Arial"/>
          <w:color w:val="000000" w:themeColor="text1"/>
          <w:sz w:val="24"/>
          <w:szCs w:val="24"/>
        </w:rPr>
        <w:t xml:space="preserve"> On examination he </w:t>
      </w:r>
      <w:r w:rsidR="007C5008" w:rsidRPr="007C382C">
        <w:rPr>
          <w:rFonts w:ascii="Arial" w:hAnsi="Arial" w:cs="Arial"/>
          <w:color w:val="000000" w:themeColor="text1"/>
          <w:sz w:val="24"/>
          <w:szCs w:val="24"/>
        </w:rPr>
        <w:t>was</w:t>
      </w:r>
      <w:r w:rsidR="00706AC7" w:rsidRPr="007C382C">
        <w:rPr>
          <w:rFonts w:ascii="Arial" w:hAnsi="Arial" w:cs="Arial"/>
          <w:color w:val="000000" w:themeColor="text1"/>
          <w:sz w:val="24"/>
          <w:szCs w:val="24"/>
        </w:rPr>
        <w:t xml:space="preserve"> irritable, wasted, </w:t>
      </w:r>
      <w:r w:rsidR="006F613E">
        <w:rPr>
          <w:rFonts w:ascii="Arial" w:hAnsi="Arial" w:cs="Arial"/>
          <w:color w:val="000000" w:themeColor="text1"/>
          <w:sz w:val="24"/>
          <w:szCs w:val="24"/>
        </w:rPr>
        <w:t>but</w:t>
      </w:r>
      <w:r w:rsidR="00706AC7" w:rsidRPr="007C382C">
        <w:rPr>
          <w:rFonts w:ascii="Arial" w:hAnsi="Arial" w:cs="Arial"/>
          <w:color w:val="000000" w:themeColor="text1"/>
          <w:sz w:val="24"/>
          <w:szCs w:val="24"/>
        </w:rPr>
        <w:t xml:space="preserve"> exhibited normal vital signs for his age. Abdominal examination revealed a scaphoid abdomen, moving with </w:t>
      </w:r>
      <w:r w:rsidR="007C5008" w:rsidRPr="007C382C">
        <w:rPr>
          <w:rFonts w:ascii="Arial" w:hAnsi="Arial" w:cs="Arial"/>
          <w:color w:val="000000" w:themeColor="text1"/>
          <w:sz w:val="24"/>
          <w:szCs w:val="24"/>
        </w:rPr>
        <w:t>respiration,</w:t>
      </w:r>
      <w:r w:rsidR="00706AC7" w:rsidRPr="007C382C">
        <w:rPr>
          <w:rFonts w:ascii="Arial" w:hAnsi="Arial" w:cs="Arial"/>
          <w:color w:val="000000" w:themeColor="text1"/>
          <w:sz w:val="24"/>
          <w:szCs w:val="24"/>
        </w:rPr>
        <w:t xml:space="preserve"> soft non tender, with normal bowel sounds.</w:t>
      </w:r>
      <w:r>
        <w:rPr>
          <w:rFonts w:ascii="Arial" w:hAnsi="Arial" w:cs="Arial"/>
          <w:color w:val="000000" w:themeColor="text1"/>
          <w:sz w:val="24"/>
          <w:szCs w:val="24"/>
        </w:rPr>
        <w:t xml:space="preserve"> </w:t>
      </w:r>
      <w:r w:rsidRPr="00413112">
        <w:rPr>
          <w:rFonts w:ascii="Arial" w:hAnsi="Arial" w:cs="Arial"/>
          <w:color w:val="000000" w:themeColor="text1"/>
          <w:sz w:val="24"/>
          <w:szCs w:val="24"/>
        </w:rPr>
        <w:t>A Barium swallow showed proximal esophageal dilatation with a bird-beak narrowing at the gastroesophageal junction, consistent with achalasia</w:t>
      </w:r>
      <w:r w:rsidR="008B1D8A">
        <w:rPr>
          <w:rFonts w:ascii="Arial" w:hAnsi="Arial" w:cs="Arial"/>
          <w:color w:val="000000" w:themeColor="text1"/>
          <w:sz w:val="24"/>
          <w:szCs w:val="24"/>
        </w:rPr>
        <w:t xml:space="preserve"> as seen in </w:t>
      </w:r>
      <w:r w:rsidR="008B1D8A" w:rsidRPr="008B1D8A">
        <w:rPr>
          <w:rFonts w:ascii="Arial" w:hAnsi="Arial" w:cs="Arial"/>
          <w:b/>
          <w:bCs/>
          <w:color w:val="000000" w:themeColor="text1"/>
          <w:sz w:val="24"/>
          <w:szCs w:val="24"/>
        </w:rPr>
        <w:t>Figure 4</w:t>
      </w:r>
      <w:r w:rsidRPr="00413112">
        <w:rPr>
          <w:rFonts w:ascii="Arial" w:hAnsi="Arial" w:cs="Arial"/>
          <w:color w:val="000000" w:themeColor="text1"/>
          <w:sz w:val="24"/>
          <w:szCs w:val="24"/>
        </w:rPr>
        <w:t>.</w:t>
      </w:r>
    </w:p>
    <w:p w14:paraId="23F9CBCF" w14:textId="58C4C65E" w:rsidR="00706AC7" w:rsidRPr="007C382C" w:rsidRDefault="001D4D8F" w:rsidP="003245A6">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Management</w:t>
      </w:r>
      <w:r w:rsidR="00706AC7" w:rsidRPr="007C382C">
        <w:rPr>
          <w:rFonts w:ascii="Arial" w:hAnsi="Arial" w:cs="Arial"/>
          <w:b/>
          <w:color w:val="000000" w:themeColor="text1"/>
          <w:sz w:val="24"/>
          <w:szCs w:val="24"/>
        </w:rPr>
        <w:t xml:space="preserve">: </w:t>
      </w:r>
    </w:p>
    <w:p w14:paraId="46441C50" w14:textId="67F72E54" w:rsidR="001D4D8F" w:rsidRDefault="001D4D8F" w:rsidP="007A4FD2">
      <w:pPr>
        <w:spacing w:line="360" w:lineRule="auto"/>
        <w:jc w:val="both"/>
        <w:rPr>
          <w:rFonts w:ascii="Arial" w:hAnsi="Arial" w:cs="Arial"/>
          <w:color w:val="000000" w:themeColor="text1"/>
          <w:sz w:val="24"/>
          <w:szCs w:val="24"/>
        </w:rPr>
      </w:pPr>
      <w:r w:rsidRPr="00E84990">
        <w:rPr>
          <w:rFonts w:ascii="Arial" w:hAnsi="Arial" w:cs="Arial"/>
          <w:b/>
          <w:color w:val="000000" w:themeColor="text1"/>
          <w:sz w:val="24"/>
          <w:szCs w:val="24"/>
        </w:rPr>
        <w:t xml:space="preserve">The patient underwent laparoscopic Heller’s oesophagocardiomyotomy. </w:t>
      </w:r>
      <w:r w:rsidR="00AC7601" w:rsidRPr="007C382C">
        <w:rPr>
          <w:rFonts w:ascii="Arial" w:hAnsi="Arial" w:cs="Arial"/>
          <w:color w:val="000000" w:themeColor="text1"/>
          <w:sz w:val="24"/>
          <w:szCs w:val="24"/>
        </w:rPr>
        <w:t>Intraoperatively, hepatomegaly was noted along with hypertrophic circular and longitudinal muscles in the distal esophagus extending to the cardia.</w:t>
      </w:r>
      <w:r w:rsidR="00AC7601">
        <w:rPr>
          <w:rFonts w:ascii="Arial" w:hAnsi="Arial" w:cs="Arial"/>
          <w:color w:val="000000" w:themeColor="text1"/>
          <w:sz w:val="24"/>
          <w:szCs w:val="24"/>
        </w:rPr>
        <w:t xml:space="preserve"> </w:t>
      </w:r>
      <w:r w:rsidR="007A4FD2" w:rsidRPr="007C382C">
        <w:rPr>
          <w:rFonts w:ascii="Arial" w:hAnsi="Arial" w:cs="Arial"/>
          <w:color w:val="000000" w:themeColor="text1"/>
          <w:sz w:val="24"/>
          <w:szCs w:val="24"/>
        </w:rPr>
        <w:t xml:space="preserve">A long oesophagocardiomyotomy of approximately 9cm was performed, followed by </w:t>
      </w:r>
      <w:r w:rsidR="003E57DE">
        <w:rPr>
          <w:rFonts w:ascii="Arial" w:hAnsi="Arial" w:cs="Arial"/>
          <w:color w:val="000000" w:themeColor="text1"/>
          <w:sz w:val="24"/>
          <w:szCs w:val="24"/>
        </w:rPr>
        <w:t>D</w:t>
      </w:r>
      <w:r w:rsidR="007A4FD2">
        <w:rPr>
          <w:rFonts w:ascii="Arial" w:hAnsi="Arial" w:cs="Arial"/>
          <w:color w:val="000000" w:themeColor="text1"/>
          <w:sz w:val="24"/>
          <w:szCs w:val="24"/>
        </w:rPr>
        <w:t xml:space="preserve">or </w:t>
      </w:r>
      <w:r w:rsidR="007A4FD2" w:rsidRPr="007C382C">
        <w:rPr>
          <w:rFonts w:ascii="Arial" w:hAnsi="Arial" w:cs="Arial"/>
          <w:color w:val="000000" w:themeColor="text1"/>
          <w:sz w:val="24"/>
          <w:szCs w:val="24"/>
        </w:rPr>
        <w:t>fundoplication</w:t>
      </w:r>
      <w:r w:rsidR="00557F2D">
        <w:rPr>
          <w:rFonts w:ascii="Arial" w:hAnsi="Arial" w:cs="Arial"/>
          <w:color w:val="000000" w:themeColor="text1"/>
          <w:sz w:val="24"/>
          <w:szCs w:val="24"/>
        </w:rPr>
        <w:t xml:space="preserve">. See </w:t>
      </w:r>
      <w:r w:rsidR="00557F2D" w:rsidRPr="00557F2D">
        <w:rPr>
          <w:rFonts w:ascii="Arial" w:hAnsi="Arial" w:cs="Arial"/>
          <w:b/>
          <w:bCs/>
          <w:color w:val="000000" w:themeColor="text1"/>
          <w:sz w:val="24"/>
          <w:szCs w:val="24"/>
        </w:rPr>
        <w:t>Figure 5</w:t>
      </w:r>
      <w:r w:rsidR="007A4FD2" w:rsidRPr="007C382C">
        <w:rPr>
          <w:rFonts w:ascii="Arial" w:hAnsi="Arial" w:cs="Arial"/>
          <w:color w:val="000000" w:themeColor="text1"/>
          <w:sz w:val="24"/>
          <w:szCs w:val="24"/>
        </w:rPr>
        <w:t>.</w:t>
      </w:r>
      <w:r w:rsidR="007A4FD2">
        <w:rPr>
          <w:rFonts w:ascii="Arial" w:hAnsi="Arial" w:cs="Arial"/>
          <w:color w:val="000000" w:themeColor="text1"/>
          <w:sz w:val="24"/>
          <w:szCs w:val="24"/>
        </w:rPr>
        <w:t xml:space="preserve"> </w:t>
      </w:r>
      <w:r w:rsidR="007A4FD2" w:rsidRPr="007A4FD2">
        <w:rPr>
          <w:rFonts w:ascii="Arial" w:hAnsi="Arial" w:cs="Arial"/>
          <w:color w:val="000000" w:themeColor="text1"/>
          <w:sz w:val="24"/>
          <w:szCs w:val="24"/>
        </w:rPr>
        <w:t>The procedure lasted 90 minutes, and the patient was discharged within 24 hours.</w:t>
      </w:r>
    </w:p>
    <w:p w14:paraId="7D7362D4" w14:textId="77777777" w:rsidR="006D5DA3" w:rsidRPr="007C382C" w:rsidRDefault="006D5DA3" w:rsidP="003245A6">
      <w:pPr>
        <w:spacing w:after="0" w:line="360" w:lineRule="auto"/>
        <w:jc w:val="both"/>
        <w:rPr>
          <w:rFonts w:ascii="Arial" w:hAnsi="Arial" w:cs="Arial"/>
          <w:b/>
          <w:color w:val="000000" w:themeColor="text1"/>
          <w:sz w:val="24"/>
          <w:szCs w:val="24"/>
        </w:rPr>
      </w:pPr>
      <w:r w:rsidRPr="007C382C">
        <w:rPr>
          <w:rFonts w:ascii="Arial" w:hAnsi="Arial" w:cs="Arial"/>
          <w:b/>
          <w:color w:val="000000" w:themeColor="text1"/>
          <w:sz w:val="24"/>
          <w:szCs w:val="24"/>
        </w:rPr>
        <w:t>Follow up plan:</w:t>
      </w:r>
    </w:p>
    <w:p w14:paraId="4EA36B5B" w14:textId="00CD53AF" w:rsidR="007C5008" w:rsidRPr="007C382C" w:rsidRDefault="00D36266" w:rsidP="003245A6">
      <w:pPr>
        <w:spacing w:after="0" w:line="360" w:lineRule="auto"/>
        <w:jc w:val="both"/>
        <w:rPr>
          <w:rFonts w:ascii="Arial" w:hAnsi="Arial" w:cs="Arial"/>
          <w:color w:val="000000" w:themeColor="text1"/>
          <w:sz w:val="24"/>
          <w:szCs w:val="24"/>
        </w:rPr>
      </w:pPr>
      <w:r w:rsidRPr="00E84990">
        <w:rPr>
          <w:rFonts w:ascii="Arial" w:hAnsi="Arial" w:cs="Arial"/>
          <w:b/>
          <w:color w:val="000000" w:themeColor="text1"/>
          <w:sz w:val="24"/>
          <w:szCs w:val="24"/>
        </w:rPr>
        <w:t xml:space="preserve">At two </w:t>
      </w:r>
      <w:r w:rsidR="00044ACB">
        <w:rPr>
          <w:rFonts w:ascii="Arial" w:hAnsi="Arial" w:cs="Arial"/>
          <w:b/>
          <w:color w:val="000000" w:themeColor="text1"/>
          <w:sz w:val="24"/>
          <w:szCs w:val="24"/>
        </w:rPr>
        <w:t>months’</w:t>
      </w:r>
      <w:r w:rsidRPr="00E84990">
        <w:rPr>
          <w:rFonts w:ascii="Arial" w:hAnsi="Arial" w:cs="Arial"/>
          <w:b/>
          <w:color w:val="000000" w:themeColor="text1"/>
          <w:sz w:val="24"/>
          <w:szCs w:val="24"/>
        </w:rPr>
        <w:t xml:space="preserve"> post-op,</w:t>
      </w:r>
      <w:r w:rsidRPr="00D36266">
        <w:rPr>
          <w:rFonts w:ascii="Arial" w:hAnsi="Arial" w:cs="Arial"/>
          <w:color w:val="000000" w:themeColor="text1"/>
          <w:sz w:val="24"/>
          <w:szCs w:val="24"/>
        </w:rPr>
        <w:t xml:space="preserve"> he remained asymptomatic, with no recurrence of dysphagia or significant complications.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6"/>
      </w:tblGrid>
      <w:tr w:rsidR="003245A6" w:rsidRPr="007C382C" w14:paraId="217B026F" w14:textId="77777777" w:rsidTr="00076249">
        <w:trPr>
          <w:trHeight w:val="2978"/>
        </w:trPr>
        <w:tc>
          <w:tcPr>
            <w:tcW w:w="8280" w:type="dxa"/>
          </w:tcPr>
          <w:p w14:paraId="6E5A6423" w14:textId="77777777" w:rsidR="003245A6" w:rsidRPr="007C382C" w:rsidRDefault="003245A6" w:rsidP="00076249">
            <w:pPr>
              <w:spacing w:after="0" w:line="360" w:lineRule="auto"/>
              <w:jc w:val="both"/>
              <w:rPr>
                <w:rFonts w:ascii="Arial" w:hAnsi="Arial" w:cs="Arial"/>
                <w:color w:val="000000" w:themeColor="text1"/>
                <w:sz w:val="24"/>
                <w:szCs w:val="24"/>
              </w:rPr>
            </w:pPr>
            <w:r w:rsidRPr="007C382C">
              <w:rPr>
                <w:rFonts w:ascii="Arial" w:hAnsi="Arial" w:cs="Arial"/>
                <w:noProof/>
                <w:color w:val="000000" w:themeColor="text1"/>
                <w:sz w:val="24"/>
                <w:szCs w:val="24"/>
              </w:rPr>
              <w:drawing>
                <wp:inline distT="0" distB="0" distL="0" distR="0" wp14:anchorId="72970FD1" wp14:editId="2846CB0D">
                  <wp:extent cx="5169050" cy="1956262"/>
                  <wp:effectExtent l="0" t="0" r="0" b="6350"/>
                  <wp:docPr id="214649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94221" name=""/>
                          <pic:cNvPicPr/>
                        </pic:nvPicPr>
                        <pic:blipFill>
                          <a:blip r:embed="rId9"/>
                          <a:stretch>
                            <a:fillRect/>
                          </a:stretch>
                        </pic:blipFill>
                        <pic:spPr>
                          <a:xfrm>
                            <a:off x="0" y="0"/>
                            <a:ext cx="5351492" cy="2025308"/>
                          </a:xfrm>
                          <a:prstGeom prst="rect">
                            <a:avLst/>
                          </a:prstGeom>
                        </pic:spPr>
                      </pic:pic>
                    </a:graphicData>
                  </a:graphic>
                </wp:inline>
              </w:drawing>
            </w:r>
          </w:p>
          <w:p w14:paraId="1CC08A01" w14:textId="77777777" w:rsidR="003245A6" w:rsidRPr="007C382C" w:rsidRDefault="003245A6" w:rsidP="00076249">
            <w:pPr>
              <w:spacing w:after="0" w:line="360" w:lineRule="auto"/>
              <w:jc w:val="both"/>
              <w:rPr>
                <w:rFonts w:ascii="Arial" w:hAnsi="Arial" w:cs="Arial"/>
                <w:color w:val="000000" w:themeColor="text1"/>
                <w:sz w:val="24"/>
                <w:szCs w:val="24"/>
              </w:rPr>
            </w:pPr>
            <w:r w:rsidRPr="00B20927">
              <w:rPr>
                <w:rFonts w:ascii="Arial" w:hAnsi="Arial" w:cs="Arial"/>
                <w:b/>
                <w:bCs/>
                <w:color w:val="000000" w:themeColor="text1"/>
                <w:sz w:val="24"/>
                <w:szCs w:val="24"/>
              </w:rPr>
              <w:t>Figure 4:</w:t>
            </w:r>
            <w:r w:rsidRPr="007C382C">
              <w:rPr>
                <w:rFonts w:ascii="Arial" w:hAnsi="Arial" w:cs="Arial"/>
                <w:color w:val="000000" w:themeColor="text1"/>
                <w:sz w:val="24"/>
                <w:szCs w:val="24"/>
              </w:rPr>
              <w:t xml:space="preserve"> Barium swallow showing esophageal dilatation with bird beak appearance</w:t>
            </w:r>
          </w:p>
        </w:tc>
      </w:tr>
    </w:tbl>
    <w:p w14:paraId="07192D67" w14:textId="77777777" w:rsidR="003245A6" w:rsidRPr="007C382C" w:rsidRDefault="003245A6" w:rsidP="003245A6">
      <w:pPr>
        <w:spacing w:after="0" w:line="360" w:lineRule="auto"/>
        <w:jc w:val="both"/>
        <w:rPr>
          <w:rFonts w:ascii="Arial" w:hAnsi="Arial" w:cs="Arial"/>
          <w:color w:val="000000" w:themeColor="text1"/>
          <w:sz w:val="24"/>
          <w:szCs w:val="24"/>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6"/>
      </w:tblGrid>
      <w:tr w:rsidR="003245A6" w:rsidRPr="007C382C" w14:paraId="46B972B2" w14:textId="77777777" w:rsidTr="00076249">
        <w:trPr>
          <w:trHeight w:val="2182"/>
        </w:trPr>
        <w:tc>
          <w:tcPr>
            <w:tcW w:w="8406" w:type="dxa"/>
          </w:tcPr>
          <w:p w14:paraId="6BEF6A0F" w14:textId="77777777" w:rsidR="003245A6" w:rsidRPr="007C382C" w:rsidRDefault="003245A6" w:rsidP="00076249">
            <w:pPr>
              <w:spacing w:after="0" w:line="360" w:lineRule="auto"/>
              <w:jc w:val="both"/>
              <w:rPr>
                <w:rFonts w:ascii="Arial" w:hAnsi="Arial" w:cs="Arial"/>
                <w:color w:val="000000" w:themeColor="text1"/>
                <w:sz w:val="24"/>
                <w:szCs w:val="24"/>
              </w:rPr>
            </w:pPr>
            <w:r w:rsidRPr="007C382C">
              <w:rPr>
                <w:rFonts w:ascii="Arial" w:hAnsi="Arial" w:cs="Arial"/>
                <w:noProof/>
                <w:color w:val="000000" w:themeColor="text1"/>
                <w:sz w:val="24"/>
                <w:szCs w:val="24"/>
              </w:rPr>
              <w:drawing>
                <wp:inline distT="0" distB="0" distL="0" distR="0" wp14:anchorId="3EE86A98" wp14:editId="754E1DE3">
                  <wp:extent cx="5198110" cy="1978429"/>
                  <wp:effectExtent l="0" t="0" r="2540" b="3175"/>
                  <wp:docPr id="105722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28908" name=""/>
                          <pic:cNvPicPr/>
                        </pic:nvPicPr>
                        <pic:blipFill>
                          <a:blip r:embed="rId10"/>
                          <a:stretch>
                            <a:fillRect/>
                          </a:stretch>
                        </pic:blipFill>
                        <pic:spPr>
                          <a:xfrm>
                            <a:off x="0" y="0"/>
                            <a:ext cx="5428558" cy="2066139"/>
                          </a:xfrm>
                          <a:prstGeom prst="rect">
                            <a:avLst/>
                          </a:prstGeom>
                        </pic:spPr>
                      </pic:pic>
                    </a:graphicData>
                  </a:graphic>
                </wp:inline>
              </w:drawing>
            </w:r>
          </w:p>
          <w:p w14:paraId="5AC4B0A4" w14:textId="02ED839B" w:rsidR="003245A6" w:rsidRPr="007C382C" w:rsidRDefault="003245A6" w:rsidP="00076249">
            <w:pPr>
              <w:spacing w:after="0" w:line="360" w:lineRule="auto"/>
              <w:jc w:val="both"/>
              <w:rPr>
                <w:rFonts w:ascii="Arial" w:hAnsi="Arial" w:cs="Arial"/>
                <w:color w:val="000000" w:themeColor="text1"/>
                <w:sz w:val="24"/>
                <w:szCs w:val="24"/>
              </w:rPr>
            </w:pPr>
            <w:r w:rsidRPr="007C382C">
              <w:rPr>
                <w:rFonts w:ascii="Arial" w:hAnsi="Arial" w:cs="Arial"/>
                <w:b/>
                <w:color w:val="000000" w:themeColor="text1"/>
                <w:sz w:val="24"/>
                <w:szCs w:val="24"/>
              </w:rPr>
              <w:t xml:space="preserve">Figure </w:t>
            </w:r>
            <w:r w:rsidR="00212C3F">
              <w:rPr>
                <w:rFonts w:ascii="Arial" w:hAnsi="Arial" w:cs="Arial"/>
                <w:b/>
                <w:color w:val="000000" w:themeColor="text1"/>
                <w:sz w:val="24"/>
                <w:szCs w:val="24"/>
              </w:rPr>
              <w:t>5</w:t>
            </w:r>
            <w:r w:rsidRPr="007C382C">
              <w:rPr>
                <w:rFonts w:ascii="Arial" w:hAnsi="Arial" w:cs="Arial"/>
                <w:color w:val="000000" w:themeColor="text1"/>
                <w:sz w:val="24"/>
                <w:szCs w:val="24"/>
              </w:rPr>
              <w:t>: Heller’s Myotomy and Dor fundoplication procedure</w:t>
            </w:r>
          </w:p>
        </w:tc>
      </w:tr>
    </w:tbl>
    <w:p w14:paraId="5371FED0" w14:textId="77777777" w:rsidR="003245A6" w:rsidRPr="007C382C" w:rsidRDefault="003245A6" w:rsidP="003245A6">
      <w:pPr>
        <w:spacing w:after="0" w:line="360" w:lineRule="auto"/>
        <w:jc w:val="both"/>
        <w:rPr>
          <w:rFonts w:ascii="Arial" w:hAnsi="Arial" w:cs="Arial"/>
          <w:b/>
          <w:bCs/>
          <w:color w:val="000000" w:themeColor="text1"/>
          <w:sz w:val="24"/>
          <w:szCs w:val="24"/>
        </w:rPr>
      </w:pPr>
    </w:p>
    <w:p w14:paraId="4FD992EA" w14:textId="5B145907" w:rsidR="003245A6" w:rsidRPr="007C382C" w:rsidRDefault="003245A6" w:rsidP="007C5008">
      <w:pPr>
        <w:rPr>
          <w:rFonts w:ascii="Arial" w:hAnsi="Arial" w:cs="Arial"/>
          <w:b/>
          <w:color w:val="000000" w:themeColor="text1"/>
          <w:sz w:val="24"/>
          <w:szCs w:val="24"/>
        </w:rPr>
      </w:pPr>
      <w:r w:rsidRPr="007C382C">
        <w:rPr>
          <w:rFonts w:ascii="Arial" w:hAnsi="Arial" w:cs="Arial"/>
          <w:b/>
          <w:color w:val="000000" w:themeColor="text1"/>
          <w:sz w:val="24"/>
          <w:szCs w:val="24"/>
        </w:rPr>
        <w:t xml:space="preserve">Discussion  </w:t>
      </w:r>
    </w:p>
    <w:p w14:paraId="429C1A19" w14:textId="0356F159" w:rsidR="002B0EAF" w:rsidRDefault="002B0EAF" w:rsidP="003245A6">
      <w:pPr>
        <w:spacing w:line="360" w:lineRule="auto"/>
        <w:jc w:val="both"/>
        <w:rPr>
          <w:rFonts w:ascii="Arial" w:hAnsi="Arial" w:cs="Arial"/>
          <w:sz w:val="24"/>
          <w:szCs w:val="24"/>
        </w:rPr>
      </w:pPr>
      <w:r>
        <w:rPr>
          <w:rFonts w:ascii="Arial" w:hAnsi="Arial" w:cs="Arial"/>
          <w:sz w:val="24"/>
          <w:szCs w:val="24"/>
        </w:rPr>
        <w:t>This</w:t>
      </w:r>
      <w:r w:rsidRPr="002B0EAF">
        <w:rPr>
          <w:rFonts w:ascii="Arial" w:hAnsi="Arial" w:cs="Arial"/>
          <w:sz w:val="24"/>
          <w:szCs w:val="24"/>
        </w:rPr>
        <w:t xml:space="preserve"> case series, contribute valuable insights into pediatric EA, emphasizing the unique clinical manifestations and management challenges in this demographic. EA often presents with a range of symptoms, including dysphagia, vomiting, and chest pain, which can lead to malnutrition and a prolonged time to diagnosis, averaging around two years.</w:t>
      </w:r>
    </w:p>
    <w:p w14:paraId="68E60627" w14:textId="4E069FB4" w:rsidR="003245A6" w:rsidRDefault="002B0EAF" w:rsidP="003245A6">
      <w:pPr>
        <w:spacing w:line="360" w:lineRule="auto"/>
        <w:jc w:val="both"/>
        <w:rPr>
          <w:rFonts w:ascii="Arial" w:hAnsi="Arial" w:cs="Arial"/>
          <w:sz w:val="24"/>
          <w:szCs w:val="24"/>
        </w:rPr>
      </w:pPr>
      <w:r w:rsidRPr="002B0EAF">
        <w:rPr>
          <w:rFonts w:ascii="Arial" w:hAnsi="Arial" w:cs="Arial"/>
          <w:sz w:val="24"/>
          <w:szCs w:val="24"/>
        </w:rPr>
        <w:t>Despite the well-documented effectiveness of HM in adults, our findings align with Jarzębicka et al. in highlighting the need for tailored approaches in pediatric patients</w:t>
      </w:r>
      <w:r>
        <w:rPr>
          <w:rFonts w:ascii="Arial" w:hAnsi="Arial" w:cs="Arial"/>
          <w:sz w:val="24"/>
          <w:szCs w:val="24"/>
        </w:rPr>
        <w:t xml:space="preserve"> </w:t>
      </w:r>
      <w:r>
        <w:rPr>
          <w:rFonts w:ascii="Arial" w:hAnsi="Arial" w:cs="Arial"/>
          <w:sz w:val="24"/>
          <w:szCs w:val="24"/>
        </w:rPr>
        <w:fldChar w:fldCharType="begin" w:fldLock="1"/>
      </w:r>
      <w:r w:rsidR="002724C3">
        <w:rPr>
          <w:rFonts w:ascii="Arial" w:hAnsi="Arial" w:cs="Arial"/>
          <w:sz w:val="24"/>
          <w:szCs w:val="24"/>
        </w:rPr>
        <w:instrText>ADDIN CSL_CITATION {"citationItems":[{"id":"ITEM-1","itemData":{"DOI":"10.3390/jcm10173917","ISSN":"2077-0383 (Print)","PMID":"34501361","abstract":"BACKGROUND: In spite of the introduction of peroral endoscopic myotomy (POEM),  Heller myotomy (HM) remains the mainstay of treatment and the role of pneumatic dilatation (PD) is being debated. The aim of this study was to present a single-center experience in the diagnostic approach and treatment of esophageal achalasia (EA), including the long-term assessment of the QoL. METHODS: Data collection was based on the retrospective analysis of clinical notes and prospective interviews with patients and their parents. RESULTS: The study group consisted of 60 patients with EA (F: 26, M: 34), with a median age of 12.0 (1-17) years at diagnosis. The time from the first symptoms until the diagnosis was 1.0 year (0.5-2.0) and the most common were: regurgitation (91.3%), dysphagia (84.8%), and chest pain (47.8%). The diagnostic approach showed a high sensitivity for barium X-ray follow through, esophageal manometry, and endoscopy. Overall, a long-term good outcome of HM was achieved in 27 out of 37 patients (73%) and it was negatively affected by the time between the first symptoms and the diagnosis. Out of the 16 patients who underwent PD before HM, a good outcome was achieved in 14 patients (87.5%), compared to 13 out of 21 patients (62%) who only underwent HM (p = 0.22). Concomitant fundoplication was routinely performed, and 18% required post-operative endoscopic dilatation. At the end of the 12.1 (0.7-26.6)-year follow up, most patients had a good QoL, which significantly corresponded with the treatment outcomes. CONCLUSIONS: Patients suspected of EA should undergo a thorough clinical evaluation including a manometry, a barium X-ray, and an endoscopy. HM is a safe and effective treatment for achalasia and the outcome is not worsened by a preceding endoscopic PD. In most patients, HM alleviates symptoms, although an impaired QoL is common in long-term follow ups.","author":[{"dropping-particle":"","family":"Jarzębicka","given":"Dorota","non-dropping-particle":"","parse-names":false,"suffix":""},{"dropping-particle":"","family":"Czubkowski","given":"Piotr","non-dropping-particle":"","parse-names":false,"suffix":""},{"dropping-particle":"","family":"Sieczkowska-Gołub","given":"Joanna","non-dropping-particle":"","parse-names":false,"suffix":""},{"dropping-particle":"","family":"Kierkuś","given":"Jarosław","non-dropping-particle":"","parse-names":false,"suffix":""},{"dropping-particle":"","family":"Kowalski","given":"Adam","non-dropping-particle":"","parse-names":false,"suffix":""},{"dropping-particle":"","family":"Stefanowicz","given":"Marek","non-dropping-particle":"","parse-names":false,"suffix":""},{"dropping-particle":"","family":"Oracz","given":"Grzegorz","non-dropping-particle":"","parse-names":false,"suffix":""}],"container-title":"Journal of clinical medicine","id":"ITEM-1","issue":"17","issued":{"date-parts":[["2021","8"]]},"language":"eng","publisher-place":"Switzerland","title":"Achalasia in Children-Clinical Presentation, Diagnosis, Long-Term Treatment  Outcomes, and Quality of Life.","type":"article-journal","volume":"10"},"uris":["http://www.mendeley.com/documents/?uuid=cc092646-5eb3-46f2-82bf-4c5aa524473f"]}],"mendeley":{"formattedCitation":"[5]","plainTextFormattedCitation":"[5]","previouslyFormattedCitation":"[5]"},"properties":{"noteIndex":0},"schema":"https://github.com/citation-style-language/schema/raw/master/csl-citation.json"}</w:instrText>
      </w:r>
      <w:r>
        <w:rPr>
          <w:rFonts w:ascii="Arial" w:hAnsi="Arial" w:cs="Arial"/>
          <w:sz w:val="24"/>
          <w:szCs w:val="24"/>
        </w:rPr>
        <w:fldChar w:fldCharType="separate"/>
      </w:r>
      <w:r w:rsidRPr="002B0EAF">
        <w:rPr>
          <w:rFonts w:ascii="Arial" w:hAnsi="Arial" w:cs="Arial"/>
          <w:noProof/>
          <w:sz w:val="24"/>
          <w:szCs w:val="24"/>
        </w:rPr>
        <w:t>[5]</w:t>
      </w:r>
      <w:r>
        <w:rPr>
          <w:rFonts w:ascii="Arial" w:hAnsi="Arial" w:cs="Arial"/>
          <w:sz w:val="24"/>
          <w:szCs w:val="24"/>
        </w:rPr>
        <w:fldChar w:fldCharType="end"/>
      </w:r>
      <w:r w:rsidRPr="002B0EAF">
        <w:rPr>
          <w:rFonts w:ascii="Arial" w:hAnsi="Arial" w:cs="Arial"/>
          <w:sz w:val="24"/>
          <w:szCs w:val="24"/>
        </w:rPr>
        <w:t>. Our patients exhibited significant improvement post-surgery, reflecting the safety and efficacy of HM as a definitive treatment option.</w:t>
      </w:r>
      <w:r>
        <w:rPr>
          <w:rFonts w:ascii="Arial" w:hAnsi="Arial" w:cs="Arial"/>
          <w:sz w:val="24"/>
          <w:szCs w:val="24"/>
        </w:rPr>
        <w:t xml:space="preserve"> </w:t>
      </w:r>
      <w:r w:rsidR="003245A6" w:rsidRPr="007C382C">
        <w:rPr>
          <w:rFonts w:ascii="Arial" w:hAnsi="Arial" w:cs="Arial"/>
          <w:sz w:val="24"/>
          <w:szCs w:val="24"/>
        </w:rPr>
        <w:t>These benefits are particularly significant in resource-limited setting like Tanzania, where minimizing healthcare costs and optimizing resource</w:t>
      </w:r>
      <w:r w:rsidR="00415DA5" w:rsidRPr="007C382C">
        <w:rPr>
          <w:rFonts w:ascii="Arial" w:hAnsi="Arial" w:cs="Arial"/>
          <w:sz w:val="24"/>
          <w:szCs w:val="24"/>
        </w:rPr>
        <w:t xml:space="preserve"> utilization are paramount</w:t>
      </w:r>
      <w:r w:rsidR="009A6EB1" w:rsidRPr="007C382C">
        <w:rPr>
          <w:rFonts w:ascii="Arial" w:hAnsi="Arial" w:cs="Arial"/>
          <w:sz w:val="24"/>
          <w:szCs w:val="24"/>
        </w:rPr>
        <w:t xml:space="preserve"> </w:t>
      </w:r>
      <w:r w:rsidR="00415DA5" w:rsidRPr="007C382C">
        <w:rPr>
          <w:rFonts w:ascii="Arial" w:hAnsi="Arial" w:cs="Arial"/>
          <w:sz w:val="24"/>
          <w:szCs w:val="24"/>
        </w:rPr>
        <w:fldChar w:fldCharType="begin" w:fldLock="1"/>
      </w:r>
      <w:r>
        <w:rPr>
          <w:rFonts w:ascii="Arial" w:hAnsi="Arial" w:cs="Arial"/>
          <w:sz w:val="24"/>
          <w:szCs w:val="24"/>
        </w:rPr>
        <w:instrText xml:space="preserve">ADDIN CSL_CITATION {"citationItems":[{"id":"ITEM-1","itemData":{"DOI":"10.1016/j.radcr.2023.09.081","ISSN":"1930-0433","author":[{"dropping-particle":"","family":"Santiana","given":"Leni","non-dropping-particle":"","parse-names":false,"suffix":""},{"dropping-particle":"","family":"Kusuma","given":"Filomena Fabiola","non-dropping-particle":"","parse-names":false,"suffix":""}],"container-title":"Radiology Case Reports","id":"ITEM-1","issue":"1","issued":{"date-parts":[["2024"]]},"page":"39-43","publisher":"Elsevier Inc.","title":"A rare case of mega-esophagus due to achalasia causing tracheal compression </w:instrText>
      </w:r>
      <w:r>
        <w:rPr>
          <w:rFonts w:ascii="Segoe UI Symbol" w:hAnsi="Segoe UI Symbol" w:cs="Segoe UI Symbol"/>
          <w:sz w:val="24"/>
          <w:szCs w:val="24"/>
        </w:rPr>
        <w:instrText>✩</w:instrText>
      </w:r>
      <w:r>
        <w:rPr>
          <w:rFonts w:ascii="Arial" w:hAnsi="Arial" w:cs="Arial"/>
          <w:sz w:val="24"/>
          <w:szCs w:val="24"/>
        </w:rPr>
        <w:instrText>","type":"article-journal","volume":"19"},"uris":["http://www.mendeley.com/documents/?uuid=34a0d2fc-4845-465e-9d02-4b56279ea00a","http://www.mendeley.com/documents/?uuid=a71e0259-a5d5-4df1-8541-a5bd7a313be8"]},{"id":"ITEM-2","itemData":{"DOI":"10.1007/s00268-022-06483-3","author":[{"dropping-particle":"","family":"Riccio","given":"Federica","non-dropping-particle":"","parse-names":false,"suffix":""},{"dropping-particle":"","family":"Costantini","given":"Mario","non-dropping-particle":"","parse-names":false,"suffix":""},{"dropping-particle":"","family":"Salvador","given":"Renato","non-dropping-particle":"","parse-names":false,"suffix":""},{"dropping-particle":"","family":"Salvador","given":"Renato","non-dropping-particle":"","parse-names":false,"suffix":""}],"id":"ITEM-2","issued":{"date-parts":[["2022"]]},"page":"1516-1521","title":"Esophageal Achalasia : Diagnostic Evaluation","type":"article-journal"},"uris":["http://www.mendeley.com/documents/?uuid=d03eceed-ca9d-4230-8e32-581e11906708","http://www.mendeley.com/documents/?uuid=f1932003-413c-45a8-8987-ff823246de4a","http://www.mendeley.com/documents/?uuid=b5901771-5722-44e7-9653-00214b2e9d40"]}],"mendeley":{"formattedCitation":"[6,12]","plainTextFormattedCitation":"[6,12]","previouslyFormattedCitation":"[6,12]"},"properties":{"noteIndex":0},"schema":"https://github.com/citation-style-language/schema/raw/master/csl-citation.json"}</w:instrText>
      </w:r>
      <w:r w:rsidR="00415DA5" w:rsidRPr="007C382C">
        <w:rPr>
          <w:rFonts w:ascii="Arial" w:hAnsi="Arial" w:cs="Arial"/>
          <w:sz w:val="24"/>
          <w:szCs w:val="24"/>
        </w:rPr>
        <w:fldChar w:fldCharType="separate"/>
      </w:r>
      <w:r w:rsidR="000C0E6C" w:rsidRPr="000C0E6C">
        <w:rPr>
          <w:rFonts w:ascii="Arial" w:hAnsi="Arial" w:cs="Arial"/>
          <w:noProof/>
          <w:sz w:val="24"/>
          <w:szCs w:val="24"/>
        </w:rPr>
        <w:t>[6,12]</w:t>
      </w:r>
      <w:r w:rsidR="00415DA5" w:rsidRPr="007C382C">
        <w:rPr>
          <w:rFonts w:ascii="Arial" w:hAnsi="Arial" w:cs="Arial"/>
          <w:sz w:val="24"/>
          <w:szCs w:val="24"/>
        </w:rPr>
        <w:fldChar w:fldCharType="end"/>
      </w:r>
      <w:r w:rsidR="009A6EB1" w:rsidRPr="007C382C">
        <w:rPr>
          <w:rFonts w:ascii="Arial" w:hAnsi="Arial" w:cs="Arial"/>
          <w:sz w:val="24"/>
          <w:szCs w:val="24"/>
        </w:rPr>
        <w:t>.</w:t>
      </w:r>
    </w:p>
    <w:p w14:paraId="4B88D3AC" w14:textId="720F029C" w:rsidR="009D78C4" w:rsidRPr="009D78C4" w:rsidRDefault="009D78C4" w:rsidP="009D78C4">
      <w:pPr>
        <w:spacing w:line="360" w:lineRule="auto"/>
        <w:jc w:val="both"/>
        <w:rPr>
          <w:rFonts w:ascii="Arial" w:hAnsi="Arial" w:cs="Arial"/>
          <w:sz w:val="24"/>
          <w:szCs w:val="24"/>
        </w:rPr>
      </w:pPr>
      <w:r w:rsidRPr="009D78C4">
        <w:rPr>
          <w:rFonts w:ascii="Arial" w:hAnsi="Arial" w:cs="Arial"/>
          <w:sz w:val="24"/>
          <w:szCs w:val="24"/>
        </w:rPr>
        <w:t xml:space="preserve">Importantly, our study did not report any complications such as esophageal perforations, </w:t>
      </w:r>
      <w:r w:rsidR="000365C8">
        <w:rPr>
          <w:rFonts w:ascii="Arial" w:hAnsi="Arial" w:cs="Arial"/>
          <w:sz w:val="24"/>
          <w:szCs w:val="24"/>
        </w:rPr>
        <w:t>demonstrating</w:t>
      </w:r>
      <w:r w:rsidRPr="009D78C4">
        <w:rPr>
          <w:rFonts w:ascii="Arial" w:hAnsi="Arial" w:cs="Arial"/>
          <w:sz w:val="24"/>
          <w:szCs w:val="24"/>
        </w:rPr>
        <w:t xml:space="preserve"> the effectiveness of our surgical techniques. Although complications like emphysema have been noted in the literature, our focus remains on the favorable outcomes associated with laparoscopic approaches</w:t>
      </w:r>
      <w:r w:rsidR="002724C3">
        <w:rPr>
          <w:rFonts w:ascii="Arial" w:hAnsi="Arial" w:cs="Arial"/>
          <w:sz w:val="24"/>
          <w:szCs w:val="24"/>
        </w:rPr>
        <w:t xml:space="preserve"> </w:t>
      </w:r>
      <w:r w:rsidR="002724C3">
        <w:rPr>
          <w:rFonts w:ascii="Arial" w:hAnsi="Arial" w:cs="Arial"/>
          <w:sz w:val="24"/>
          <w:szCs w:val="24"/>
        </w:rPr>
        <w:fldChar w:fldCharType="begin" w:fldLock="1"/>
      </w:r>
      <w:r w:rsidR="008A1117">
        <w:rPr>
          <w:rFonts w:ascii="Arial" w:hAnsi="Arial" w:cs="Arial"/>
          <w:sz w:val="24"/>
          <w:szCs w:val="24"/>
        </w:rPr>
        <w:instrText>ADDIN CSL_CITATION {"citationItems":[{"id":"ITEM-1","itemData":{"DOI":"10.1055/s-0039-1697958","ISSN":"1439-359X (Electronic)","PMID":"31600801","abstract":"INTRODUCTION:  There are no evidence-based guidelines on the surgical management  of esophageal achalasia (OA) in children. This can be a challenging condition with significant physical and psychological morbidity. Our aim was to identify the most common management modalities and their outcomes. MATERIALS AND METHODS: A systematic review was performed through a literature search of health care databases in accordance with the Preferred Reporting Items for Systematic Reviews and Meta-Analyses guidelines, aiming at identifying pediatric series discussing the diagnosis and management of OA. Duplicates, case series with &lt; 9 patients, and follow-up of &lt; 1 year were excluded. The included papers were analyzed for diagnostic methods, primary treatment method, complications, follow-up duration, outcome measures recorded, and outcome. RESULTS:  Data from 33 papers for 742 children treated for OA was analyzed. Eleven mentioned multiple management modalities. In summary, 25 described Heller's esophagomyotomy (HM), 13 esophageal dilatation (EOD), and 6 peroral esophageal myotomy (POEM). Mean follow-up was 43.7 months (12-180). Outcome measures were heterogeneous. However, analysis of reported success showed a mean success of 78% for HM (p = 1.79 × 10(-7)), 44.9% for EOD (p = 0.24), and 99.3% for POEM (p = 0.001). Reported complications were 12.8% for HM, 5% for EOD, and 24.4% for POEM. Further interventions were required for 10.9% of HM, 62.3% of EOD, and 0.01% of POEM patient groups. CONCLUSION: Methods of diagnosis and measures of successful outcomes were heterogeneous, limiting the strength of evidence. HM showed superior short-term success rates to EOD. POEM is a promising modality but requires investment in equipment and training. Information about sustainability of response and long-term outcomes is lacking.","author":[{"dropping-particle":"","family":"Goneidy","given":"Ayman","non-dropping-particle":"","parse-names":false,"suffix":""},{"dropping-particle":"","family":"Cory-Wright","given":"James","non-dropping-particle":"","parse-names":false,"suffix":""},{"dropping-particle":"","family":"Zhu","given":"Limeng","non-dropping-particle":"","parse-names":false,"suffix":""},{"dropping-particle":"","family":"Malakounides","given":"Georgina","non-dropping-particle":"","parse-names":false,"suffix":""}],"container-title":"European journal of pediatric surgery : official journal of Austrian Association  of Pediatric Surgery ... [et al] = Zeitschrift fur Kinderchirurgie","id":"ITEM-1","issue":"1","issued":{"date-parts":[["2020","2"]]},"language":"eng","page":"13-20","publisher-place":"United States","title":"Surgical Management of Esophageal Achalasia in Pediatrics: A Systematic Review.","type":"article-journal","volume":"30"},"uris":["http://www.mendeley.com/documents/?uuid=8b94e973-ad2f-4395-bdd1-e30d055fed3b"]}],"mendeley":{"formattedCitation":"[11]","plainTextFormattedCitation":"[11]","previouslyFormattedCitation":"[11]"},"properties":{"noteIndex":0},"schema":"https://github.com/citation-style-language/schema/raw/master/csl-citation.json"}</w:instrText>
      </w:r>
      <w:r w:rsidR="002724C3">
        <w:rPr>
          <w:rFonts w:ascii="Arial" w:hAnsi="Arial" w:cs="Arial"/>
          <w:sz w:val="24"/>
          <w:szCs w:val="24"/>
        </w:rPr>
        <w:fldChar w:fldCharType="separate"/>
      </w:r>
      <w:r w:rsidR="002724C3" w:rsidRPr="002724C3">
        <w:rPr>
          <w:rFonts w:ascii="Arial" w:hAnsi="Arial" w:cs="Arial"/>
          <w:noProof/>
          <w:sz w:val="24"/>
          <w:szCs w:val="24"/>
        </w:rPr>
        <w:t>[11]</w:t>
      </w:r>
      <w:r w:rsidR="002724C3">
        <w:rPr>
          <w:rFonts w:ascii="Arial" w:hAnsi="Arial" w:cs="Arial"/>
          <w:sz w:val="24"/>
          <w:szCs w:val="24"/>
        </w:rPr>
        <w:fldChar w:fldCharType="end"/>
      </w:r>
      <w:r w:rsidRPr="009D78C4">
        <w:rPr>
          <w:rFonts w:ascii="Arial" w:hAnsi="Arial" w:cs="Arial"/>
          <w:sz w:val="24"/>
          <w:szCs w:val="24"/>
        </w:rPr>
        <w:t>.</w:t>
      </w:r>
      <w:r w:rsidR="002724C3">
        <w:rPr>
          <w:rFonts w:ascii="Arial" w:hAnsi="Arial" w:cs="Arial"/>
          <w:sz w:val="24"/>
          <w:szCs w:val="24"/>
        </w:rPr>
        <w:t xml:space="preserve"> </w:t>
      </w:r>
      <w:r w:rsidRPr="009D78C4">
        <w:rPr>
          <w:rFonts w:ascii="Arial" w:hAnsi="Arial" w:cs="Arial"/>
          <w:sz w:val="24"/>
          <w:szCs w:val="24"/>
        </w:rPr>
        <w:t>Moreover, while the POEM technique shows promise, its limited availability in pediatric cases necessitates further investment in training and resources to expand treatment options</w:t>
      </w:r>
      <w:r w:rsidR="008A1117">
        <w:rPr>
          <w:rFonts w:ascii="Arial" w:hAnsi="Arial" w:cs="Arial"/>
          <w:sz w:val="24"/>
          <w:szCs w:val="24"/>
        </w:rPr>
        <w:t xml:space="preserve"> in Tanzania </w:t>
      </w:r>
      <w:r w:rsidR="008A1117">
        <w:rPr>
          <w:rFonts w:ascii="Arial" w:hAnsi="Arial" w:cs="Arial"/>
          <w:sz w:val="24"/>
          <w:szCs w:val="24"/>
        </w:rPr>
        <w:fldChar w:fldCharType="begin" w:fldLock="1"/>
      </w:r>
      <w:r w:rsidR="008A1117">
        <w:rPr>
          <w:rFonts w:ascii="Arial" w:hAnsi="Arial" w:cs="Arial"/>
          <w:sz w:val="24"/>
          <w:szCs w:val="24"/>
        </w:rPr>
        <w:instrText>ADDIN CSL_CITATION {"citationItems":[{"id":"ITEM-1","itemData":{"DOI":"10.1055/s-0029-1244080","ISSN":"1438-8812 (Electronic)","PMID":"20354937","abstract":"BACKGROUND: Peroral endoscopic myotomy (POEM) was developed by our group to  provide a less invasive permanent treatment for esophageal achalasia. PATIENTS AND METHODS: POEM was performed in 17 consecutive patients with achalasia (10 men, 7 women; mean age 41.4 years). A long submucosal tunnel was created (mean length 12.4 cm), followed by endoscopic myotomy of circular muscle bundles of a mean total length of 8.1 cm (6.1 cm in distal esophagus and 2.0 cm in cardia). Smooth passage of an endoscope through the gastroesophageal junction was confirmed at the end of the procedure. RESULTS: In all cases POEM significantly reduced the dysphagia symptom score (from mean 10 to 1.3; P = 0.0003) and the resting lower esophageal sphincter (LES) pressure (from mean 52.4 mmHg to 19.9 mmHg; P = 0.0001). No serious complications related to POEM were encountered. During follow-up (mean 5 months), additional treatment or medication was necessary in only one patient (case 17) who developed reflux esophagitis (Los Angeles classification B); this was well controlled with regular intake of protein pump inhibitors (PPIs). CONCLUSIONS: The short-term outcome of POEM for achalasia was excellent; further studies on long-term efficacy and on comparison of POEM with other interventional therapies are awaited.","author":[{"dropping-particle":"","family":"Inoue","given":"H","non-dropping-particle":"","parse-names":false,"suffix":""},{"dropping-particle":"","family":"Minami","given":"H","non-dropping-particle":"","parse-names":false,"suffix":""},{"dropping-particle":"","family":"Kobayashi","given":"Y","non-dropping-particle":"","parse-names":false,"suffix":""},{"dropping-particle":"","family":"Sato","given":"Y","non-dropping-particle":"","parse-names":false,"suffix":""},{"dropping-particle":"","family":"Kaga","given":"M","non-dropping-particle":"","parse-names":false,"suffix":""},{"dropping-particle":"","family":"Suzuki","given":"M","non-dropping-particle":"","parse-names":false,"suffix":""},{"dropping-particle":"","family":"Satodate","given":"H","non-dropping-particle":"","parse-names":false,"suffix":""},{"dropping-particle":"","family":"Odaka","given":"N","non-dropping-particle":"","parse-names":false,"suffix":""},{"dropping-particle":"","family":"Itoh","given":"H","non-dropping-particle":"","parse-names":false,"suffix":""},{"dropping-particle":"","family":"Kudo","given":"S","non-dropping-particle":"","parse-names":false,"suffix":""}],"container-title":"Endoscopy","id":"ITEM-1","issue":"4","issued":{"date-parts":[["2010","4"]]},"language":"eng","page":"265-271","publisher-place":"Germany","title":"Peroral endoscopic myotomy (POEM) for esophageal achalasia.","type":"article-journal","volume":"42"},"uris":["http://www.mendeley.com/documents/?uuid=be6b216a-9725-40fc-9de0-fd2231798a3d"]},{"id":"ITEM-2","itemData":{"DOI":"10.1016/j.jpedsurg.2015.02.047","ISSN":"1531-5037 (Electronic)","PMID":"25783358","abstract":"BACKGROUND: Esophageal achalasia (EA) is a rare esophageal motility disorder in  children. Laparoscopic Heller myotomy (LHM) represents the treatment of choice in young patients. Peroral endoscopic myotomy (POEM) is becoming an alternative to LHM. The aim of this study is to evaluate the effectiveness, safety, and outcomes of POEM vs LHM in treatment of children with EA. METHODS: Data of pediatric patients with EA, who underwent LHM and POEM from February 2009 to December 2013 in two centers, were collected. RESULTS: Eighteen patients (9 male, mean age: 11.6 years; range: 2-17 years) were included. Nine patients (6 male, mean age: 10.7 years; range: 2-16 years) underwent LHM, and the other 9 (3 males, mean age: 12.2 years; range: 6-17 years) underwent POEM procedure. Mean operation time was shorter in POEM group compared with LHM group (62/149 minutes). Myotomy was longer in POEM group than in LHM group (11/7 cm). One major complication occurred after LHM (esophageal perforation). No clinical and manometric differences were observed between LHM and POEM in follow-up. The incidence of iatrogenic gastroesophageal reflux disease was low (1 patient in both groups). CONCLUSIONS: Results of a midterm follow-up show that LHM and POEM are safe and effective treatments also in children. Besides, POEM is a mini-invasive technique with an inferior execution timing compared to LHM. A skilled endoscopic team is mandatory to perform this procedure.","author":[{"dropping-particle":"","family":"Caldaro","given":"Tamara","non-dropping-particle":"","parse-names":false,"suffix":""},{"dropping-particle":"","family":"Familiari","given":"Pietro","non-dropping-particle":"","parse-names":false,"suffix":""},{"dropping-particle":"","family":"Romeo","given":"Erminia Francesca","non-dropping-particle":"","parse-names":false,"suffix":""},{"dropping-particle":"","family":"Gigante","given":"Giovanni","non-dropping-particle":"","parse-names":false,"suffix":""},{"dropping-particle":"","family":"Marchese","given":"Michele","non-dropping-particle":"","parse-names":false,"suffix":""},{"dropping-particle":"","family":"Contini","given":"Anna Chiara Iolanda","non-dropping-particle":"","parse-names":false,"suffix":""},{"dropping-particle":"","family":"Federici di Abriola","given":"Giovanni","non-dropping-particle":"","parse-names":false,"suffix":""},{"dropping-particle":"","family":"Cucchiara","given":"Salvatore","non-dropping-particle":"","parse-names":false,"suffix":""},{"dropping-particle":"","family":"Angelis","given":"Paola","non-dropping-particle":"De","parse-names":false,"suffix":""},{"dropping-particle":"","family":"Torroni","given":"Filippo","non-dropping-particle":"","parse-names":false,"suffix":""},{"dropping-particle":"","family":"Dall'Oglio","given":"Luigi","non-dropping-particle":"","parse-names":false,"suffix":""},{"dropping-particle":"","family":"Costamagna","given":"Guido","non-dropping-particle":"","parse-names":false,"suffix":""}],"container-title":"Journal of pediatric surgery","id":"ITEM-2","issue":"5","issued":{"date-parts":[["2015","5"]]},"language":"eng","page":"726-730","publisher-place":"United States","title":"Treatment of esophageal achalasia in children: Today and tomorrow.","type":"article-journal","volume":"50"},"uris":["http://www.mendeley.com/documents/?uuid=f30f6067-1a60-408a-bb3d-aaf0584ba947"]}],"mendeley":{"formattedCitation":"[9,10]","plainTextFormattedCitation":"[9,10]"},"properties":{"noteIndex":0},"schema":"https://github.com/citation-style-language/schema/raw/master/csl-citation.json"}</w:instrText>
      </w:r>
      <w:r w:rsidR="008A1117">
        <w:rPr>
          <w:rFonts w:ascii="Arial" w:hAnsi="Arial" w:cs="Arial"/>
          <w:sz w:val="24"/>
          <w:szCs w:val="24"/>
        </w:rPr>
        <w:fldChar w:fldCharType="separate"/>
      </w:r>
      <w:r w:rsidR="008A1117" w:rsidRPr="008A1117">
        <w:rPr>
          <w:rFonts w:ascii="Arial" w:hAnsi="Arial" w:cs="Arial"/>
          <w:noProof/>
          <w:sz w:val="24"/>
          <w:szCs w:val="24"/>
        </w:rPr>
        <w:t>[9,10]</w:t>
      </w:r>
      <w:r w:rsidR="008A1117">
        <w:rPr>
          <w:rFonts w:ascii="Arial" w:hAnsi="Arial" w:cs="Arial"/>
          <w:sz w:val="24"/>
          <w:szCs w:val="24"/>
        </w:rPr>
        <w:fldChar w:fldCharType="end"/>
      </w:r>
      <w:r w:rsidRPr="009D78C4">
        <w:rPr>
          <w:rFonts w:ascii="Arial" w:hAnsi="Arial" w:cs="Arial"/>
          <w:sz w:val="24"/>
          <w:szCs w:val="24"/>
        </w:rPr>
        <w:t>. This study supports the notion that individualized care is critical for achieving optimal outcomes in pediatric EA management.</w:t>
      </w:r>
    </w:p>
    <w:p w14:paraId="7638439F" w14:textId="77777777" w:rsidR="009D78C4" w:rsidRPr="007C382C" w:rsidRDefault="009D78C4" w:rsidP="003245A6">
      <w:pPr>
        <w:spacing w:line="360" w:lineRule="auto"/>
        <w:jc w:val="both"/>
        <w:rPr>
          <w:rFonts w:ascii="Arial" w:hAnsi="Arial" w:cs="Arial"/>
          <w:sz w:val="24"/>
          <w:szCs w:val="24"/>
        </w:rPr>
      </w:pPr>
    </w:p>
    <w:p w14:paraId="2456D919" w14:textId="71DC49CF" w:rsidR="003245A6" w:rsidRPr="007C382C" w:rsidRDefault="003245A6" w:rsidP="003245A6">
      <w:pPr>
        <w:spacing w:line="360" w:lineRule="auto"/>
        <w:jc w:val="both"/>
        <w:rPr>
          <w:rFonts w:ascii="Arial" w:hAnsi="Arial" w:cs="Arial"/>
          <w:b/>
          <w:sz w:val="24"/>
          <w:szCs w:val="24"/>
        </w:rPr>
      </w:pPr>
      <w:r w:rsidRPr="007C382C">
        <w:rPr>
          <w:rFonts w:ascii="Arial" w:hAnsi="Arial" w:cs="Arial"/>
          <w:b/>
          <w:sz w:val="24"/>
          <w:szCs w:val="24"/>
        </w:rPr>
        <w:t>Limitation</w:t>
      </w:r>
    </w:p>
    <w:p w14:paraId="6F284048" w14:textId="4FE030AA" w:rsidR="002E7A30" w:rsidRDefault="002E7A30" w:rsidP="003245A6">
      <w:pPr>
        <w:spacing w:line="360" w:lineRule="auto"/>
        <w:jc w:val="both"/>
        <w:rPr>
          <w:rFonts w:ascii="Arial" w:hAnsi="Arial" w:cs="Arial"/>
          <w:sz w:val="24"/>
          <w:szCs w:val="24"/>
        </w:rPr>
      </w:pPr>
      <w:r w:rsidRPr="002E7A30">
        <w:rPr>
          <w:rFonts w:ascii="Arial" w:hAnsi="Arial" w:cs="Arial"/>
          <w:sz w:val="24"/>
          <w:szCs w:val="24"/>
        </w:rPr>
        <w:t>A significant limitation of this case series is the absence of esophageal manometry data, crucial for accurately diagnosing achalasia and classifying esophageal motility disorders per the Chicago Classification. Due to the lack of manometry studies at our center, we relied on barium swallow studies and clinical presentations, potentially affecting diagnostic precision.</w:t>
      </w:r>
      <w:r w:rsidRPr="002F07F4">
        <w:rPr>
          <w:rFonts w:ascii="Arial" w:hAnsi="Arial" w:cs="Arial"/>
          <w:b/>
          <w:sz w:val="24"/>
          <w:szCs w:val="24"/>
        </w:rPr>
        <w:t xml:space="preserve"> Additionally, this study did not include POEM, a minimally invasive alternative to laparoscopic Heller’s myotomy, due to unavailability of expertise and equipment</w:t>
      </w:r>
      <w:r w:rsidRPr="002E7A30">
        <w:rPr>
          <w:rFonts w:ascii="Arial" w:hAnsi="Arial" w:cs="Arial"/>
          <w:sz w:val="24"/>
          <w:szCs w:val="24"/>
        </w:rPr>
        <w:t>. This emphasizes the need for capacity building at our institution to incorporate advanced techniques like POEM for managing achalasia in resource-limited settings.</w:t>
      </w:r>
    </w:p>
    <w:p w14:paraId="71B464DB" w14:textId="040C83C8" w:rsidR="003245A6" w:rsidRPr="007C382C" w:rsidRDefault="003245A6" w:rsidP="003245A6">
      <w:pPr>
        <w:spacing w:line="360" w:lineRule="auto"/>
        <w:jc w:val="both"/>
        <w:rPr>
          <w:rFonts w:ascii="Arial" w:hAnsi="Arial" w:cs="Arial"/>
          <w:b/>
          <w:sz w:val="24"/>
          <w:szCs w:val="24"/>
        </w:rPr>
      </w:pPr>
      <w:r w:rsidRPr="007C382C">
        <w:rPr>
          <w:rFonts w:ascii="Arial" w:hAnsi="Arial" w:cs="Arial"/>
          <w:b/>
          <w:sz w:val="24"/>
          <w:szCs w:val="24"/>
        </w:rPr>
        <w:t xml:space="preserve">Recommendation: </w:t>
      </w:r>
    </w:p>
    <w:p w14:paraId="308E173A" w14:textId="292DFFDE" w:rsidR="0050238B" w:rsidRPr="007C382C" w:rsidRDefault="003245A6" w:rsidP="003245A6">
      <w:pPr>
        <w:spacing w:line="360" w:lineRule="auto"/>
        <w:jc w:val="both"/>
        <w:rPr>
          <w:rFonts w:ascii="Arial" w:hAnsi="Arial" w:cs="Arial"/>
          <w:sz w:val="24"/>
          <w:szCs w:val="24"/>
        </w:rPr>
      </w:pPr>
      <w:r w:rsidRPr="007C382C">
        <w:rPr>
          <w:rFonts w:ascii="Arial" w:hAnsi="Arial" w:cs="Arial"/>
          <w:sz w:val="24"/>
          <w:szCs w:val="24"/>
        </w:rPr>
        <w:t xml:space="preserve">As we move forward, it is essential to standardize perioperative protocol and outcomes measures to facilitate meaningful comparisons and enhance the quality of care. Moreover, ongoing training and capacity –building initiatives are needed to ensure that healthcare providers remain proficient in laparoscopic techniques and can deliver optimal care to patients with achalasia. By embracing a multidisciplinary approach and leveraging advancements in surgical technology, we can further enhance the quality of </w:t>
      </w:r>
      <w:r w:rsidR="002E7A30">
        <w:rPr>
          <w:rFonts w:ascii="Arial" w:hAnsi="Arial" w:cs="Arial"/>
          <w:sz w:val="24"/>
          <w:szCs w:val="24"/>
        </w:rPr>
        <w:t>EA</w:t>
      </w:r>
      <w:r w:rsidRPr="007C382C">
        <w:rPr>
          <w:rFonts w:ascii="Arial" w:hAnsi="Arial" w:cs="Arial"/>
          <w:sz w:val="24"/>
          <w:szCs w:val="24"/>
        </w:rPr>
        <w:t xml:space="preserve"> management and improve patients’ outcomes in Tanzania and beyond.</w:t>
      </w:r>
    </w:p>
    <w:p w14:paraId="561DD4AD" w14:textId="77777777" w:rsidR="003245A6" w:rsidRPr="007C382C" w:rsidRDefault="003245A6" w:rsidP="003245A6">
      <w:pPr>
        <w:spacing w:line="360" w:lineRule="auto"/>
        <w:jc w:val="both"/>
        <w:rPr>
          <w:rFonts w:ascii="Arial" w:hAnsi="Arial" w:cs="Arial"/>
          <w:b/>
          <w:sz w:val="24"/>
          <w:szCs w:val="24"/>
        </w:rPr>
      </w:pPr>
      <w:r w:rsidRPr="007C382C">
        <w:rPr>
          <w:rFonts w:ascii="Arial" w:hAnsi="Arial" w:cs="Arial"/>
          <w:b/>
          <w:sz w:val="24"/>
          <w:szCs w:val="24"/>
        </w:rPr>
        <w:t xml:space="preserve">Conclusion </w:t>
      </w:r>
    </w:p>
    <w:p w14:paraId="5174CB10" w14:textId="059B4653" w:rsidR="003245A6" w:rsidRPr="002E7A30" w:rsidRDefault="005F7DDF" w:rsidP="003245A6">
      <w:pPr>
        <w:spacing w:line="360" w:lineRule="auto"/>
        <w:jc w:val="both"/>
        <w:rPr>
          <w:rFonts w:ascii="Arial" w:hAnsi="Arial" w:cs="Arial"/>
          <w:sz w:val="24"/>
          <w:szCs w:val="24"/>
        </w:rPr>
      </w:pPr>
      <w:r w:rsidRPr="002E7A30">
        <w:rPr>
          <w:rFonts w:ascii="Arial" w:hAnsi="Arial" w:cs="Arial"/>
          <w:sz w:val="24"/>
          <w:szCs w:val="24"/>
        </w:rPr>
        <w:t xml:space="preserve">These cases highlight the rarity of </w:t>
      </w:r>
      <w:r w:rsidR="002E7A30">
        <w:rPr>
          <w:rFonts w:ascii="Arial" w:hAnsi="Arial" w:cs="Arial"/>
          <w:sz w:val="24"/>
          <w:szCs w:val="24"/>
        </w:rPr>
        <w:t>EA</w:t>
      </w:r>
      <w:r w:rsidRPr="002E7A30">
        <w:rPr>
          <w:rFonts w:ascii="Arial" w:hAnsi="Arial" w:cs="Arial"/>
          <w:sz w:val="24"/>
          <w:szCs w:val="24"/>
        </w:rPr>
        <w:t xml:space="preserve">, particularly in pediatric patients with complex comorbidities like </w:t>
      </w:r>
      <w:r w:rsidR="002E7A30">
        <w:rPr>
          <w:rFonts w:ascii="Arial" w:hAnsi="Arial" w:cs="Arial"/>
          <w:sz w:val="24"/>
          <w:szCs w:val="24"/>
        </w:rPr>
        <w:t>AA</w:t>
      </w:r>
      <w:r w:rsidRPr="002E7A30">
        <w:rPr>
          <w:rFonts w:ascii="Arial" w:hAnsi="Arial" w:cs="Arial"/>
          <w:sz w:val="24"/>
          <w:szCs w:val="24"/>
        </w:rPr>
        <w:t>A</w:t>
      </w:r>
      <w:r w:rsidR="002E7A30">
        <w:rPr>
          <w:rFonts w:ascii="Arial" w:hAnsi="Arial" w:cs="Arial"/>
          <w:sz w:val="24"/>
          <w:szCs w:val="24"/>
        </w:rPr>
        <w:t>-</w:t>
      </w:r>
      <w:r w:rsidRPr="002E7A30">
        <w:rPr>
          <w:rFonts w:ascii="Arial" w:hAnsi="Arial" w:cs="Arial"/>
          <w:sz w:val="24"/>
          <w:szCs w:val="24"/>
        </w:rPr>
        <w:t xml:space="preserve">syndrome and Addison’s disease. The successful outcomes achieved through laparoscopic </w:t>
      </w:r>
      <w:r w:rsidR="002E7A30">
        <w:rPr>
          <w:rFonts w:ascii="Arial" w:hAnsi="Arial" w:cs="Arial"/>
          <w:sz w:val="24"/>
          <w:szCs w:val="24"/>
        </w:rPr>
        <w:t>HM</w:t>
      </w:r>
      <w:r w:rsidRPr="002E7A30">
        <w:rPr>
          <w:rFonts w:ascii="Arial" w:hAnsi="Arial" w:cs="Arial"/>
          <w:sz w:val="24"/>
          <w:szCs w:val="24"/>
        </w:rPr>
        <w:t xml:space="preserve"> and Dor fundoplication in such rare and challenging cases emphasize the importance of skilled surgical intervention. Despite limited diagnostic resources, including the lack of esophageal manometry, careful clinical assessment and management led to favorable results.</w:t>
      </w:r>
    </w:p>
    <w:p w14:paraId="089EF2F7" w14:textId="77777777" w:rsidR="003245A6" w:rsidRPr="007C382C" w:rsidRDefault="003245A6" w:rsidP="003245A6">
      <w:pPr>
        <w:spacing w:line="360" w:lineRule="auto"/>
        <w:rPr>
          <w:rFonts w:ascii="Arial" w:hAnsi="Arial" w:cs="Arial"/>
          <w:b/>
          <w:bCs/>
          <w:sz w:val="24"/>
          <w:szCs w:val="24"/>
        </w:rPr>
      </w:pPr>
      <w:r w:rsidRPr="007C382C">
        <w:rPr>
          <w:rFonts w:ascii="Arial" w:hAnsi="Arial" w:cs="Arial"/>
          <w:b/>
          <w:bCs/>
          <w:sz w:val="24"/>
          <w:szCs w:val="24"/>
        </w:rPr>
        <w:t>Disclosure</w:t>
      </w:r>
    </w:p>
    <w:p w14:paraId="54DBB284" w14:textId="77777777" w:rsidR="003245A6" w:rsidRPr="007C382C" w:rsidRDefault="009A6EB1" w:rsidP="003245A6">
      <w:pPr>
        <w:spacing w:line="360" w:lineRule="auto"/>
        <w:rPr>
          <w:rFonts w:ascii="Arial" w:hAnsi="Arial" w:cs="Arial"/>
          <w:sz w:val="24"/>
          <w:szCs w:val="24"/>
        </w:rPr>
      </w:pPr>
      <w:r w:rsidRPr="007C382C">
        <w:rPr>
          <w:rFonts w:ascii="Arial" w:hAnsi="Arial" w:cs="Arial"/>
          <w:sz w:val="24"/>
          <w:szCs w:val="24"/>
        </w:rPr>
        <w:t>This</w:t>
      </w:r>
      <w:r w:rsidR="003245A6" w:rsidRPr="007C382C">
        <w:rPr>
          <w:rFonts w:ascii="Arial" w:hAnsi="Arial" w:cs="Arial"/>
          <w:sz w:val="24"/>
          <w:szCs w:val="24"/>
        </w:rPr>
        <w:t xml:space="preserve"> report </w:t>
      </w:r>
      <w:r w:rsidRPr="007C382C">
        <w:rPr>
          <w:rFonts w:ascii="Arial" w:hAnsi="Arial" w:cs="Arial"/>
          <w:sz w:val="24"/>
          <w:szCs w:val="24"/>
        </w:rPr>
        <w:t>adheres</w:t>
      </w:r>
      <w:r w:rsidR="003245A6" w:rsidRPr="007C382C">
        <w:rPr>
          <w:rFonts w:ascii="Arial" w:hAnsi="Arial" w:cs="Arial"/>
          <w:sz w:val="24"/>
          <w:szCs w:val="24"/>
        </w:rPr>
        <w:t xml:space="preserve"> to</w:t>
      </w:r>
      <w:r w:rsidRPr="007C382C">
        <w:rPr>
          <w:rFonts w:ascii="Arial" w:hAnsi="Arial" w:cs="Arial"/>
          <w:sz w:val="24"/>
          <w:szCs w:val="24"/>
        </w:rPr>
        <w:t xml:space="preserve"> the</w:t>
      </w:r>
      <w:r w:rsidR="003245A6" w:rsidRPr="007C382C">
        <w:rPr>
          <w:rFonts w:ascii="Arial" w:hAnsi="Arial" w:cs="Arial"/>
          <w:sz w:val="24"/>
          <w:szCs w:val="24"/>
        </w:rPr>
        <w:t xml:space="preserve"> SCARE criteria</w:t>
      </w:r>
      <w:r w:rsidRPr="007C382C">
        <w:rPr>
          <w:rFonts w:ascii="Arial" w:hAnsi="Arial" w:cs="Arial"/>
          <w:sz w:val="24"/>
          <w:szCs w:val="24"/>
        </w:rPr>
        <w:t xml:space="preserve"> for case reports.</w:t>
      </w:r>
    </w:p>
    <w:p w14:paraId="0B5C420E" w14:textId="77777777" w:rsidR="003245A6" w:rsidRPr="007C382C" w:rsidRDefault="003245A6" w:rsidP="00673841">
      <w:pPr>
        <w:spacing w:line="276" w:lineRule="auto"/>
        <w:rPr>
          <w:rFonts w:ascii="Arial" w:hAnsi="Arial" w:cs="Arial"/>
          <w:b/>
          <w:bCs/>
          <w:sz w:val="24"/>
          <w:szCs w:val="24"/>
        </w:rPr>
      </w:pPr>
      <w:r w:rsidRPr="007C382C">
        <w:rPr>
          <w:rFonts w:ascii="Arial" w:hAnsi="Arial" w:cs="Arial"/>
          <w:b/>
          <w:bCs/>
          <w:sz w:val="24"/>
          <w:szCs w:val="24"/>
        </w:rPr>
        <w:t>Acknowledgments</w:t>
      </w:r>
    </w:p>
    <w:p w14:paraId="6D5ECD3A" w14:textId="77777777" w:rsidR="00E06079" w:rsidRPr="007C382C" w:rsidRDefault="00E06079" w:rsidP="00673841">
      <w:pPr>
        <w:spacing w:line="276" w:lineRule="auto"/>
        <w:rPr>
          <w:rFonts w:ascii="Arial" w:hAnsi="Arial" w:cs="Arial"/>
          <w:sz w:val="24"/>
          <w:szCs w:val="24"/>
        </w:rPr>
      </w:pPr>
      <w:r w:rsidRPr="007C382C">
        <w:rPr>
          <w:rFonts w:ascii="Arial" w:hAnsi="Arial" w:cs="Arial"/>
          <w:sz w:val="24"/>
          <w:szCs w:val="24"/>
        </w:rPr>
        <w:t>We extend our gratitude to the administration and surgical team at Muhimbili National Hospital for their invaluable support in successful conducting these laparoscopic operations.</w:t>
      </w:r>
    </w:p>
    <w:p w14:paraId="68F42879" w14:textId="77777777" w:rsidR="003245A6" w:rsidRPr="007C382C" w:rsidRDefault="003245A6" w:rsidP="00673841">
      <w:pPr>
        <w:spacing w:line="276" w:lineRule="auto"/>
        <w:rPr>
          <w:rFonts w:ascii="Arial" w:hAnsi="Arial" w:cs="Arial"/>
          <w:b/>
          <w:bCs/>
          <w:sz w:val="24"/>
          <w:szCs w:val="24"/>
        </w:rPr>
      </w:pPr>
      <w:r w:rsidRPr="007C382C">
        <w:rPr>
          <w:rFonts w:ascii="Arial" w:hAnsi="Arial" w:cs="Arial"/>
          <w:b/>
          <w:bCs/>
          <w:sz w:val="24"/>
          <w:szCs w:val="24"/>
        </w:rPr>
        <w:t>Funding</w:t>
      </w:r>
    </w:p>
    <w:p w14:paraId="79C19447" w14:textId="77777777" w:rsidR="003245A6" w:rsidRPr="007C382C" w:rsidRDefault="00E06079" w:rsidP="00673841">
      <w:pPr>
        <w:spacing w:line="276" w:lineRule="auto"/>
        <w:rPr>
          <w:rFonts w:ascii="Arial" w:hAnsi="Arial" w:cs="Arial"/>
          <w:sz w:val="24"/>
          <w:szCs w:val="24"/>
        </w:rPr>
      </w:pPr>
      <w:r w:rsidRPr="007C382C">
        <w:rPr>
          <w:rFonts w:ascii="Arial" w:hAnsi="Arial" w:cs="Arial"/>
          <w:sz w:val="24"/>
          <w:szCs w:val="24"/>
        </w:rPr>
        <w:t>No external funding was received for this work.</w:t>
      </w:r>
    </w:p>
    <w:p w14:paraId="12625E55" w14:textId="77777777" w:rsidR="003245A6" w:rsidRPr="007C382C" w:rsidRDefault="003245A6" w:rsidP="00673841">
      <w:pPr>
        <w:spacing w:line="276" w:lineRule="auto"/>
        <w:rPr>
          <w:rFonts w:ascii="Arial" w:hAnsi="Arial" w:cs="Arial"/>
          <w:b/>
          <w:bCs/>
          <w:sz w:val="24"/>
          <w:szCs w:val="24"/>
        </w:rPr>
      </w:pPr>
      <w:r w:rsidRPr="007C382C">
        <w:rPr>
          <w:rFonts w:ascii="Arial" w:hAnsi="Arial" w:cs="Arial"/>
          <w:b/>
          <w:bCs/>
          <w:sz w:val="24"/>
          <w:szCs w:val="24"/>
        </w:rPr>
        <w:t>Ethical approval</w:t>
      </w:r>
    </w:p>
    <w:p w14:paraId="62C9A424" w14:textId="77777777" w:rsidR="003245A6" w:rsidRPr="007C382C" w:rsidRDefault="003245A6" w:rsidP="00673841">
      <w:pPr>
        <w:spacing w:line="276" w:lineRule="auto"/>
        <w:rPr>
          <w:rFonts w:ascii="Arial" w:hAnsi="Arial" w:cs="Arial"/>
          <w:sz w:val="24"/>
          <w:szCs w:val="24"/>
        </w:rPr>
      </w:pPr>
      <w:r w:rsidRPr="007C382C">
        <w:rPr>
          <w:rFonts w:ascii="Arial" w:hAnsi="Arial" w:cs="Arial"/>
          <w:sz w:val="24"/>
          <w:szCs w:val="24"/>
        </w:rPr>
        <w:t xml:space="preserve">This case report study was exempted from ethical approval at our institution </w:t>
      </w:r>
    </w:p>
    <w:p w14:paraId="6CAADAEF" w14:textId="77777777" w:rsidR="003245A6" w:rsidRPr="007C382C" w:rsidRDefault="003245A6" w:rsidP="00673841">
      <w:pPr>
        <w:spacing w:line="276" w:lineRule="auto"/>
        <w:rPr>
          <w:rFonts w:ascii="Arial" w:hAnsi="Arial" w:cs="Arial"/>
          <w:b/>
          <w:bCs/>
          <w:sz w:val="24"/>
          <w:szCs w:val="24"/>
        </w:rPr>
      </w:pPr>
      <w:r w:rsidRPr="007C382C">
        <w:rPr>
          <w:rFonts w:ascii="Arial" w:hAnsi="Arial" w:cs="Arial"/>
          <w:b/>
          <w:bCs/>
          <w:sz w:val="24"/>
          <w:szCs w:val="24"/>
        </w:rPr>
        <w:t>Informed consent for publication</w:t>
      </w:r>
    </w:p>
    <w:p w14:paraId="719DE534" w14:textId="77777777" w:rsidR="00E06079" w:rsidRPr="007C382C" w:rsidRDefault="00E06079" w:rsidP="003245A6">
      <w:pPr>
        <w:spacing w:line="360" w:lineRule="auto"/>
        <w:rPr>
          <w:rFonts w:ascii="Arial" w:hAnsi="Arial" w:cs="Arial"/>
          <w:sz w:val="24"/>
          <w:szCs w:val="24"/>
        </w:rPr>
      </w:pPr>
      <w:r w:rsidRPr="007C382C">
        <w:rPr>
          <w:rFonts w:ascii="Arial" w:hAnsi="Arial" w:cs="Arial"/>
          <w:sz w:val="24"/>
          <w:szCs w:val="24"/>
        </w:rPr>
        <w:t>Written consent was obtained from patients’ parents for the publication of their children’s cases.</w:t>
      </w:r>
    </w:p>
    <w:p w14:paraId="516EE8C3" w14:textId="77777777" w:rsidR="002C1829" w:rsidRPr="007C382C" w:rsidRDefault="00E06079" w:rsidP="00673841">
      <w:pPr>
        <w:jc w:val="center"/>
        <w:rPr>
          <w:rFonts w:ascii="Arial" w:hAnsi="Arial" w:cs="Arial"/>
          <w:b/>
          <w:sz w:val="24"/>
          <w:szCs w:val="24"/>
        </w:rPr>
      </w:pPr>
      <w:r w:rsidRPr="007C382C">
        <w:rPr>
          <w:rFonts w:ascii="Arial" w:hAnsi="Arial" w:cs="Arial"/>
          <w:sz w:val="24"/>
          <w:szCs w:val="24"/>
        </w:rPr>
        <w:br w:type="page"/>
      </w:r>
      <w:r w:rsidR="00673841" w:rsidRPr="007C382C">
        <w:rPr>
          <w:rFonts w:ascii="Arial" w:hAnsi="Arial" w:cs="Arial"/>
          <w:b/>
          <w:sz w:val="24"/>
          <w:szCs w:val="24"/>
        </w:rPr>
        <w:t>REFERENCES</w:t>
      </w:r>
    </w:p>
    <w:p w14:paraId="1A4182CD" w14:textId="0B5300A3" w:rsidR="008A1117" w:rsidRPr="008A1117" w:rsidRDefault="0050238B" w:rsidP="008A1117">
      <w:pPr>
        <w:widowControl w:val="0"/>
        <w:autoSpaceDE w:val="0"/>
        <w:autoSpaceDN w:val="0"/>
        <w:adjustRightInd w:val="0"/>
        <w:spacing w:line="240" w:lineRule="auto"/>
        <w:ind w:left="640" w:hanging="640"/>
        <w:rPr>
          <w:rFonts w:ascii="Arial" w:hAnsi="Arial" w:cs="Arial"/>
          <w:noProof/>
          <w:sz w:val="24"/>
          <w:szCs w:val="24"/>
        </w:rPr>
      </w:pPr>
      <w:r w:rsidRPr="007C382C">
        <w:rPr>
          <w:rFonts w:ascii="Arial" w:hAnsi="Arial" w:cs="Arial"/>
          <w:sz w:val="24"/>
          <w:szCs w:val="24"/>
        </w:rPr>
        <w:fldChar w:fldCharType="begin" w:fldLock="1"/>
      </w:r>
      <w:r w:rsidRPr="007C382C">
        <w:rPr>
          <w:rFonts w:ascii="Arial" w:hAnsi="Arial" w:cs="Arial"/>
          <w:sz w:val="24"/>
          <w:szCs w:val="24"/>
        </w:rPr>
        <w:instrText xml:space="preserve">ADDIN Mendeley Bibliography CSL_BIBLIOGRAPHY </w:instrText>
      </w:r>
      <w:r w:rsidRPr="007C382C">
        <w:rPr>
          <w:rFonts w:ascii="Arial" w:hAnsi="Arial" w:cs="Arial"/>
          <w:sz w:val="24"/>
          <w:szCs w:val="24"/>
        </w:rPr>
        <w:fldChar w:fldCharType="separate"/>
      </w:r>
      <w:r w:rsidR="008A1117" w:rsidRPr="008A1117">
        <w:rPr>
          <w:rFonts w:ascii="Arial" w:hAnsi="Arial" w:cs="Arial"/>
          <w:noProof/>
          <w:sz w:val="24"/>
          <w:szCs w:val="24"/>
        </w:rPr>
        <w:t>1.</w:t>
      </w:r>
      <w:r w:rsidR="008A1117" w:rsidRPr="008A1117">
        <w:rPr>
          <w:rFonts w:ascii="Arial" w:hAnsi="Arial" w:cs="Arial"/>
          <w:noProof/>
          <w:sz w:val="24"/>
          <w:szCs w:val="24"/>
        </w:rPr>
        <w:tab/>
        <w:t xml:space="preserve">Franklin AL, Petrosyan M, Kane TD. Childhood achalasia: A comprehensive review of disease, diagnosis and therapeutic  management. World J Gastrointest Endosc. 2014 Apr;6(4):105–11. </w:t>
      </w:r>
    </w:p>
    <w:p w14:paraId="5E43A7F8"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2.</w:t>
      </w:r>
      <w:r w:rsidRPr="008A1117">
        <w:rPr>
          <w:rFonts w:ascii="Arial" w:hAnsi="Arial" w:cs="Arial"/>
          <w:noProof/>
          <w:sz w:val="24"/>
          <w:szCs w:val="24"/>
        </w:rPr>
        <w:tab/>
        <w:t xml:space="preserve">Lee CW, Kays DW, Chen MK, Islam S. Outcomes of treatment of childhood achalasia. J Pediatr Surg. 2010 Jun;45(6):1173–7. </w:t>
      </w:r>
    </w:p>
    <w:p w14:paraId="648FC975"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3.</w:t>
      </w:r>
      <w:r w:rsidRPr="008A1117">
        <w:rPr>
          <w:rFonts w:ascii="Arial" w:hAnsi="Arial" w:cs="Arial"/>
          <w:noProof/>
          <w:sz w:val="24"/>
          <w:szCs w:val="24"/>
        </w:rPr>
        <w:tab/>
        <w:t xml:space="preserve">Walzer N, Hirano I. Achalasia. Gastroenterol Clin North Am. 2008 Dec;37(4):807–25, viii. </w:t>
      </w:r>
    </w:p>
    <w:p w14:paraId="7B306AB6"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4.</w:t>
      </w:r>
      <w:r w:rsidRPr="008A1117">
        <w:rPr>
          <w:rFonts w:ascii="Arial" w:hAnsi="Arial" w:cs="Arial"/>
          <w:noProof/>
          <w:sz w:val="24"/>
          <w:szCs w:val="24"/>
        </w:rPr>
        <w:tab/>
        <w:t xml:space="preserve">Hallal C, Kieling CO, Nunes DL, Ferreira CT, Peterson G, Barros SGS, et al. Diagnosis, misdiagnosis, and associated diseases of achalasia in children and  adolescents: a twelve-year single center experience. Pediatr Surg Int. 2012 Dec;28(12):1211–7. </w:t>
      </w:r>
    </w:p>
    <w:p w14:paraId="0B7AC6D3"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5.</w:t>
      </w:r>
      <w:r w:rsidRPr="008A1117">
        <w:rPr>
          <w:rFonts w:ascii="Arial" w:hAnsi="Arial" w:cs="Arial"/>
          <w:noProof/>
          <w:sz w:val="24"/>
          <w:szCs w:val="24"/>
        </w:rPr>
        <w:tab/>
        <w:t xml:space="preserve">Jarzębicka D, Czubkowski P, Sieczkowska-Gołub J, Kierkuś J, Kowalski A, Stefanowicz M, et al. Achalasia in Children-Clinical Presentation, Diagnosis, Long-Term Treatment  Outcomes, and Quality of Life. J Clin Med. 2021 Aug;10(17). </w:t>
      </w:r>
    </w:p>
    <w:p w14:paraId="002A4620"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6.</w:t>
      </w:r>
      <w:r w:rsidRPr="008A1117">
        <w:rPr>
          <w:rFonts w:ascii="Arial" w:hAnsi="Arial" w:cs="Arial"/>
          <w:noProof/>
          <w:sz w:val="24"/>
          <w:szCs w:val="24"/>
        </w:rPr>
        <w:tab/>
        <w:t xml:space="preserve">Santiana L, Kusuma FF. A rare case of mega-esophagus due to achalasia causing tracheal compression </w:t>
      </w:r>
      <w:r w:rsidRPr="008A1117">
        <w:rPr>
          <w:rFonts w:ascii="Segoe UI Symbol" w:hAnsi="Segoe UI Symbol" w:cs="Segoe UI Symbol"/>
          <w:noProof/>
          <w:sz w:val="24"/>
          <w:szCs w:val="24"/>
        </w:rPr>
        <w:t>✩</w:t>
      </w:r>
      <w:r w:rsidRPr="008A1117">
        <w:rPr>
          <w:rFonts w:ascii="Arial" w:hAnsi="Arial" w:cs="Arial"/>
          <w:noProof/>
          <w:sz w:val="24"/>
          <w:szCs w:val="24"/>
        </w:rPr>
        <w:t xml:space="preserve">. Radiol Case Reports. 2024;19(1):39–43. </w:t>
      </w:r>
    </w:p>
    <w:p w14:paraId="70D0F950"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7.</w:t>
      </w:r>
      <w:r w:rsidRPr="008A1117">
        <w:rPr>
          <w:rFonts w:ascii="Arial" w:hAnsi="Arial" w:cs="Arial"/>
          <w:noProof/>
          <w:sz w:val="24"/>
          <w:szCs w:val="24"/>
        </w:rPr>
        <w:tab/>
        <w:t xml:space="preserve">No Title. </w:t>
      </w:r>
    </w:p>
    <w:p w14:paraId="1BF95B0B"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8.</w:t>
      </w:r>
      <w:r w:rsidRPr="008A1117">
        <w:rPr>
          <w:rFonts w:ascii="Arial" w:hAnsi="Arial" w:cs="Arial"/>
          <w:noProof/>
          <w:sz w:val="24"/>
          <w:szCs w:val="24"/>
        </w:rPr>
        <w:tab/>
        <w:t xml:space="preserve">Boeckxstaens GE, Zaninotto G, Richter JE. Achalasia. 2013;6736(13):1–11. </w:t>
      </w:r>
    </w:p>
    <w:p w14:paraId="482662ED"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9.</w:t>
      </w:r>
      <w:r w:rsidRPr="008A1117">
        <w:rPr>
          <w:rFonts w:ascii="Arial" w:hAnsi="Arial" w:cs="Arial"/>
          <w:noProof/>
          <w:sz w:val="24"/>
          <w:szCs w:val="24"/>
        </w:rPr>
        <w:tab/>
        <w:t xml:space="preserve">Caldaro T, Familiari P, Romeo EF, Gigante G, Marchese M, Contini ACI, et al. Treatment of esophageal achalasia in children: Today and tomorrow. J Pediatr Surg. 2015 May;50(5):726–30. </w:t>
      </w:r>
    </w:p>
    <w:p w14:paraId="03AE0534"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10.</w:t>
      </w:r>
      <w:r w:rsidRPr="008A1117">
        <w:rPr>
          <w:rFonts w:ascii="Arial" w:hAnsi="Arial" w:cs="Arial"/>
          <w:noProof/>
          <w:sz w:val="24"/>
          <w:szCs w:val="24"/>
        </w:rPr>
        <w:tab/>
        <w:t xml:space="preserve">Inoue H, Minami H, Kobayashi Y, Sato Y, Kaga M, Suzuki M, et al. Peroral endoscopic myotomy (POEM) for esophageal achalasia. Endoscopy. 2010 Apr;42(4):265–71. </w:t>
      </w:r>
    </w:p>
    <w:p w14:paraId="460A4CF8"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11.</w:t>
      </w:r>
      <w:r w:rsidRPr="008A1117">
        <w:rPr>
          <w:rFonts w:ascii="Arial" w:hAnsi="Arial" w:cs="Arial"/>
          <w:noProof/>
          <w:sz w:val="24"/>
          <w:szCs w:val="24"/>
        </w:rPr>
        <w:tab/>
        <w:t xml:space="preserve">Goneidy A, Cory-Wright J, Zhu L, Malakounides G. Surgical Management of Esophageal Achalasia in Pediatrics: A Systematic Review. Eur J Pediatr Surg  Off J Austrian Assoc  Pediatr Surg . [et al] = Zeitschrift fur Kinderchirurgie. 2020 Feb;30(1):13–20. </w:t>
      </w:r>
    </w:p>
    <w:p w14:paraId="14379EF6"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rPr>
      </w:pPr>
      <w:r w:rsidRPr="008A1117">
        <w:rPr>
          <w:rFonts w:ascii="Arial" w:hAnsi="Arial" w:cs="Arial"/>
          <w:noProof/>
          <w:sz w:val="24"/>
          <w:szCs w:val="24"/>
        </w:rPr>
        <w:t>12.</w:t>
      </w:r>
      <w:r w:rsidRPr="008A1117">
        <w:rPr>
          <w:rFonts w:ascii="Arial" w:hAnsi="Arial" w:cs="Arial"/>
          <w:noProof/>
          <w:sz w:val="24"/>
          <w:szCs w:val="24"/>
        </w:rPr>
        <w:tab/>
        <w:t xml:space="preserve">Riccio F, Costantini M, Salvador R, Salvador R. Esophageal Achalasia : Diagnostic Evaluation. 2022;1516–21. </w:t>
      </w:r>
    </w:p>
    <w:p w14:paraId="1353A49B" w14:textId="3E4E7A48" w:rsidR="0050238B" w:rsidRPr="007C382C" w:rsidRDefault="0050238B" w:rsidP="008516FB">
      <w:pPr>
        <w:widowControl w:val="0"/>
        <w:autoSpaceDE w:val="0"/>
        <w:autoSpaceDN w:val="0"/>
        <w:adjustRightInd w:val="0"/>
        <w:spacing w:line="240" w:lineRule="auto"/>
        <w:ind w:left="640" w:hanging="640"/>
        <w:rPr>
          <w:rFonts w:ascii="Arial" w:hAnsi="Arial" w:cs="Arial"/>
        </w:rPr>
      </w:pPr>
      <w:r w:rsidRPr="007C382C">
        <w:rPr>
          <w:rFonts w:ascii="Arial" w:hAnsi="Arial" w:cs="Arial"/>
          <w:sz w:val="24"/>
          <w:szCs w:val="24"/>
        </w:rPr>
        <w:fldChar w:fldCharType="end"/>
      </w:r>
    </w:p>
    <w:sectPr w:rsidR="0050238B" w:rsidRPr="007C382C" w:rsidSect="00E04E94">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0158C2"/>
    <w:multiLevelType w:val="hybridMultilevel"/>
    <w:tmpl w:val="906AA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305475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878"/>
    <w:rsid w:val="000365C8"/>
    <w:rsid w:val="00044ACB"/>
    <w:rsid w:val="00065D9B"/>
    <w:rsid w:val="000740F8"/>
    <w:rsid w:val="000743CD"/>
    <w:rsid w:val="000B6C49"/>
    <w:rsid w:val="000C0E6C"/>
    <w:rsid w:val="000D2585"/>
    <w:rsid w:val="00123F77"/>
    <w:rsid w:val="001613F9"/>
    <w:rsid w:val="001A78F1"/>
    <w:rsid w:val="001D4D8F"/>
    <w:rsid w:val="001F07B2"/>
    <w:rsid w:val="002032D0"/>
    <w:rsid w:val="00212C3F"/>
    <w:rsid w:val="00253367"/>
    <w:rsid w:val="002724C3"/>
    <w:rsid w:val="0029741A"/>
    <w:rsid w:val="002A6D88"/>
    <w:rsid w:val="002B0EAF"/>
    <w:rsid w:val="002C1829"/>
    <w:rsid w:val="002D5ABF"/>
    <w:rsid w:val="002E7A30"/>
    <w:rsid w:val="002F07F4"/>
    <w:rsid w:val="003245A6"/>
    <w:rsid w:val="00340D12"/>
    <w:rsid w:val="00373BD1"/>
    <w:rsid w:val="003E57DE"/>
    <w:rsid w:val="003E72D7"/>
    <w:rsid w:val="003F3B37"/>
    <w:rsid w:val="00413112"/>
    <w:rsid w:val="00415DA5"/>
    <w:rsid w:val="00433878"/>
    <w:rsid w:val="004500B4"/>
    <w:rsid w:val="0049599E"/>
    <w:rsid w:val="004C552A"/>
    <w:rsid w:val="004D233A"/>
    <w:rsid w:val="0050238B"/>
    <w:rsid w:val="00521233"/>
    <w:rsid w:val="00557F2D"/>
    <w:rsid w:val="0058126A"/>
    <w:rsid w:val="005F7DDF"/>
    <w:rsid w:val="00613906"/>
    <w:rsid w:val="00640511"/>
    <w:rsid w:val="00641CD8"/>
    <w:rsid w:val="00673841"/>
    <w:rsid w:val="006B7A44"/>
    <w:rsid w:val="006D5DA3"/>
    <w:rsid w:val="006F613E"/>
    <w:rsid w:val="00706AC7"/>
    <w:rsid w:val="00731DCD"/>
    <w:rsid w:val="00760A97"/>
    <w:rsid w:val="007A4FD2"/>
    <w:rsid w:val="007C0508"/>
    <w:rsid w:val="007C382C"/>
    <w:rsid w:val="007C5008"/>
    <w:rsid w:val="007E4905"/>
    <w:rsid w:val="00840C2F"/>
    <w:rsid w:val="00841C44"/>
    <w:rsid w:val="00844FC4"/>
    <w:rsid w:val="008516FB"/>
    <w:rsid w:val="00854569"/>
    <w:rsid w:val="008859DE"/>
    <w:rsid w:val="008A1117"/>
    <w:rsid w:val="008B1D8A"/>
    <w:rsid w:val="008B33CD"/>
    <w:rsid w:val="008D6F16"/>
    <w:rsid w:val="00920A01"/>
    <w:rsid w:val="00922EB2"/>
    <w:rsid w:val="009A6EB1"/>
    <w:rsid w:val="009B1B3B"/>
    <w:rsid w:val="009D0D5A"/>
    <w:rsid w:val="009D78C4"/>
    <w:rsid w:val="009E0C09"/>
    <w:rsid w:val="00A55CCD"/>
    <w:rsid w:val="00A62857"/>
    <w:rsid w:val="00A67C95"/>
    <w:rsid w:val="00A9286E"/>
    <w:rsid w:val="00AC7601"/>
    <w:rsid w:val="00AE1145"/>
    <w:rsid w:val="00B0727A"/>
    <w:rsid w:val="00B20927"/>
    <w:rsid w:val="00B70357"/>
    <w:rsid w:val="00B91C9A"/>
    <w:rsid w:val="00BE1672"/>
    <w:rsid w:val="00C171A3"/>
    <w:rsid w:val="00C70F22"/>
    <w:rsid w:val="00CF6D4B"/>
    <w:rsid w:val="00D36266"/>
    <w:rsid w:val="00D51D65"/>
    <w:rsid w:val="00D71299"/>
    <w:rsid w:val="00D86505"/>
    <w:rsid w:val="00DD31E8"/>
    <w:rsid w:val="00E04E94"/>
    <w:rsid w:val="00E06079"/>
    <w:rsid w:val="00E43C90"/>
    <w:rsid w:val="00E64418"/>
    <w:rsid w:val="00E84990"/>
    <w:rsid w:val="00E94A8E"/>
    <w:rsid w:val="00EA1F60"/>
    <w:rsid w:val="00EA5911"/>
    <w:rsid w:val="00F44485"/>
    <w:rsid w:val="00F454F4"/>
    <w:rsid w:val="00F84CDB"/>
    <w:rsid w:val="00F94A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5E4C5"/>
  <w15:docId w15:val="{C769A0CC-2ED0-43FF-856C-BFCEB3591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5A6"/>
  </w:style>
  <w:style w:type="paragraph" w:styleId="Heading1">
    <w:name w:val="heading 1"/>
    <w:basedOn w:val="Normal"/>
    <w:next w:val="Normal"/>
    <w:link w:val="Heading1Char"/>
    <w:uiPriority w:val="9"/>
    <w:qFormat/>
    <w:rsid w:val="003245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45A6"/>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3245A6"/>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5A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245A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3245A6"/>
    <w:rPr>
      <w:rFonts w:asciiTheme="majorHAnsi" w:eastAsiaTheme="majorEastAsia" w:hAnsiTheme="majorHAnsi" w:cstheme="majorBidi"/>
      <w:b/>
      <w:bCs/>
      <w:color w:val="5B9BD5" w:themeColor="accent1"/>
    </w:rPr>
  </w:style>
  <w:style w:type="paragraph" w:styleId="ListParagraph">
    <w:name w:val="List Paragraph"/>
    <w:basedOn w:val="Normal"/>
    <w:uiPriority w:val="34"/>
    <w:qFormat/>
    <w:rsid w:val="003245A6"/>
    <w:pPr>
      <w:ind w:left="720"/>
      <w:contextualSpacing/>
    </w:pPr>
  </w:style>
  <w:style w:type="table" w:styleId="TableGrid">
    <w:name w:val="Table Grid"/>
    <w:basedOn w:val="TableNormal"/>
    <w:uiPriority w:val="39"/>
    <w:rsid w:val="00324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0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C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413820">
      <w:bodyDiv w:val="1"/>
      <w:marLeft w:val="0"/>
      <w:marRight w:val="0"/>
      <w:marTop w:val="0"/>
      <w:marBottom w:val="0"/>
      <w:divBdr>
        <w:top w:val="none" w:sz="0" w:space="0" w:color="auto"/>
        <w:left w:val="none" w:sz="0" w:space="0" w:color="auto"/>
        <w:bottom w:val="none" w:sz="0" w:space="0" w:color="auto"/>
        <w:right w:val="none" w:sz="0" w:space="0" w:color="auto"/>
      </w:divBdr>
    </w:div>
    <w:div w:id="837889645">
      <w:bodyDiv w:val="1"/>
      <w:marLeft w:val="0"/>
      <w:marRight w:val="0"/>
      <w:marTop w:val="0"/>
      <w:marBottom w:val="0"/>
      <w:divBdr>
        <w:top w:val="none" w:sz="0" w:space="0" w:color="auto"/>
        <w:left w:val="none" w:sz="0" w:space="0" w:color="auto"/>
        <w:bottom w:val="none" w:sz="0" w:space="0" w:color="auto"/>
        <w:right w:val="none" w:sz="0" w:space="0" w:color="auto"/>
      </w:divBdr>
    </w:div>
    <w:div w:id="1084574393">
      <w:bodyDiv w:val="1"/>
      <w:marLeft w:val="0"/>
      <w:marRight w:val="0"/>
      <w:marTop w:val="0"/>
      <w:marBottom w:val="0"/>
      <w:divBdr>
        <w:top w:val="none" w:sz="0" w:space="0" w:color="auto"/>
        <w:left w:val="none" w:sz="0" w:space="0" w:color="auto"/>
        <w:bottom w:val="none" w:sz="0" w:space="0" w:color="auto"/>
        <w:right w:val="none" w:sz="0" w:space="0" w:color="auto"/>
      </w:divBdr>
    </w:div>
    <w:div w:id="1101293012">
      <w:bodyDiv w:val="1"/>
      <w:marLeft w:val="0"/>
      <w:marRight w:val="0"/>
      <w:marTop w:val="0"/>
      <w:marBottom w:val="0"/>
      <w:divBdr>
        <w:top w:val="none" w:sz="0" w:space="0" w:color="auto"/>
        <w:left w:val="none" w:sz="0" w:space="0" w:color="auto"/>
        <w:bottom w:val="none" w:sz="0" w:space="0" w:color="auto"/>
        <w:right w:val="none" w:sz="0" w:space="0" w:color="auto"/>
      </w:divBdr>
    </w:div>
    <w:div w:id="1810054157">
      <w:bodyDiv w:val="1"/>
      <w:marLeft w:val="0"/>
      <w:marRight w:val="0"/>
      <w:marTop w:val="0"/>
      <w:marBottom w:val="0"/>
      <w:divBdr>
        <w:top w:val="none" w:sz="0" w:space="0" w:color="auto"/>
        <w:left w:val="none" w:sz="0" w:space="0" w:color="auto"/>
        <w:bottom w:val="none" w:sz="0" w:space="0" w:color="auto"/>
        <w:right w:val="none" w:sz="0" w:space="0" w:color="auto"/>
      </w:divBdr>
    </w:div>
    <w:div w:id="189072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4696D-1CA4-4B7A-AD82-677395C01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8542</Words>
  <Characters>48691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Jenikalo</dc:creator>
  <cp:lastModifiedBy>SYSalem</cp:lastModifiedBy>
  <cp:revision>2</cp:revision>
  <dcterms:created xsi:type="dcterms:W3CDTF">2024-10-19T11:13:00Z</dcterms:created>
  <dcterms:modified xsi:type="dcterms:W3CDTF">2024-10-19T11:13:00Z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c5f4534e-91fe-30dd-9dc1-976c6dd8367e</vt:lpwstr>
  </property>
  <property fmtid="{D5CDD505-2E9C-101B-9397-08002B2CF9AE}" pid="4" name="Mendeley Citation Style_1">
    <vt:lpwstr>http://csl.mendeley.com/styles/690807091/vancouver-2</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4th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9th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http://csl.mendeley.com/styles/690807091/vancouver-2</vt:lpwstr>
  </property>
  <property fmtid="{D5CDD505-2E9C-101B-9397-08002B2CF9AE}" pid="24" name="Mendeley Recent Style Name 9_1">
    <vt:lpwstr>Vancouver - Meshack Brighton</vt:lpwstr>
  </property>
</Properties>
</file>