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3F6EF" w14:textId="77777777" w:rsidR="00AA557A" w:rsidRDefault="00AA557A" w:rsidP="000412F6">
      <w:pPr>
        <w:pStyle w:val="Title"/>
        <w:jc w:val="center"/>
        <w:rPr>
          <w:rFonts w:ascii="Cambria Math" w:hAnsi="Cambria Math" w:hint="cs"/>
          <w:b/>
          <w:bCs/>
          <w:sz w:val="28"/>
          <w:szCs w:val="28"/>
          <w:rtl/>
          <w:lang w:bidi="ar-EG"/>
        </w:rPr>
      </w:pPr>
      <w:bookmarkStart w:id="0" w:name="_Hlk174877754"/>
      <w:bookmarkStart w:id="1" w:name="_Hlk154088025"/>
    </w:p>
    <w:p w14:paraId="75ABD58F" w14:textId="4C0A16A8" w:rsidR="0015007E" w:rsidRPr="00907A76" w:rsidRDefault="00A86C5F" w:rsidP="000412F6">
      <w:pPr>
        <w:pStyle w:val="Title"/>
        <w:jc w:val="center"/>
        <w:rPr>
          <w:rFonts w:ascii="Cambria Math" w:hAnsi="Cambria Math"/>
          <w:b/>
          <w:bCs/>
          <w:sz w:val="28"/>
          <w:szCs w:val="28"/>
        </w:rPr>
      </w:pPr>
      <w:r w:rsidRPr="00907A76">
        <w:rPr>
          <w:rFonts w:ascii="Cambria Math" w:hAnsi="Cambria Math"/>
          <w:b/>
          <w:bCs/>
          <w:sz w:val="28"/>
          <w:szCs w:val="28"/>
        </w:rPr>
        <w:t xml:space="preserve">Significance of the influence of </w:t>
      </w:r>
      <w:proofErr w:type="spellStart"/>
      <w:r w:rsidRPr="00907A76">
        <w:rPr>
          <w:rFonts w:ascii="Cambria Math" w:hAnsi="Cambria Math"/>
          <w:b/>
          <w:bCs/>
          <w:sz w:val="28"/>
          <w:szCs w:val="28"/>
        </w:rPr>
        <w:t>patatin</w:t>
      </w:r>
      <w:proofErr w:type="spellEnd"/>
      <w:r w:rsidRPr="00907A76">
        <w:rPr>
          <w:rFonts w:ascii="Cambria Math" w:hAnsi="Cambria Math"/>
          <w:b/>
          <w:bCs/>
          <w:sz w:val="28"/>
          <w:szCs w:val="28"/>
        </w:rPr>
        <w:t xml:space="preserve">-like phospholipase domain-containing 3 (PNPLA3) rs738409 polymorphism on </w:t>
      </w:r>
      <w:r w:rsidR="000833EE" w:rsidRPr="00907A76">
        <w:rPr>
          <w:rFonts w:ascii="Cambria Math" w:hAnsi="Cambria Math"/>
          <w:b/>
          <w:bCs/>
          <w:sz w:val="28"/>
          <w:szCs w:val="28"/>
        </w:rPr>
        <w:t>non-alcoholic</w:t>
      </w:r>
      <w:r w:rsidRPr="00907A76">
        <w:rPr>
          <w:rFonts w:ascii="Cambria Math" w:hAnsi="Cambria Math"/>
          <w:b/>
          <w:bCs/>
          <w:sz w:val="28"/>
          <w:szCs w:val="28"/>
        </w:rPr>
        <w:t xml:space="preserve"> fatty liver disease</w:t>
      </w:r>
    </w:p>
    <w:p w14:paraId="5C2CB8D2" w14:textId="06AE8BC1" w:rsidR="0015007E" w:rsidRPr="006D5575" w:rsidRDefault="00000000" w:rsidP="009E313D">
      <w:pPr>
        <w:spacing w:before="240" w:after="0" w:line="240" w:lineRule="auto"/>
        <w:jc w:val="center"/>
        <w:rPr>
          <w:rFonts w:asciiTheme="majorBidi" w:eastAsia="Times New Roman" w:hAnsiTheme="majorBidi" w:cstheme="majorBidi"/>
          <w:color w:val="000000"/>
          <w:spacing w:val="2"/>
          <w:kern w:val="36"/>
          <w:sz w:val="24"/>
          <w:szCs w:val="24"/>
          <w:vertAlign w:val="superscript"/>
          <w14:ligatures w14:val="none"/>
        </w:rPr>
      </w:pPr>
      <w:bookmarkStart w:id="2" w:name="_Hlk180578675"/>
      <w:proofErr w:type="spellStart"/>
      <w:r w:rsidRPr="006D5575">
        <w:rPr>
          <w:rFonts w:asciiTheme="majorBidi" w:eastAsia="Times New Roman" w:hAnsiTheme="majorBidi" w:cstheme="majorBidi"/>
          <w:color w:val="000000"/>
          <w:spacing w:val="2"/>
          <w:kern w:val="36"/>
          <w:sz w:val="24"/>
          <w:szCs w:val="24"/>
          <w:lang w:val="en-US"/>
          <w14:ligatures w14:val="none"/>
        </w:rPr>
        <w:t>Enas</w:t>
      </w:r>
      <w:proofErr w:type="spellEnd"/>
      <w:r w:rsidRPr="006D5575">
        <w:rPr>
          <w:rFonts w:asciiTheme="majorBidi" w:eastAsia="Times New Roman" w:hAnsiTheme="majorBidi" w:cstheme="majorBidi"/>
          <w:color w:val="000000"/>
          <w:spacing w:val="2"/>
          <w:kern w:val="36"/>
          <w:sz w:val="24"/>
          <w:szCs w:val="24"/>
          <w:lang w:val="en-US"/>
          <w14:ligatures w14:val="none"/>
        </w:rPr>
        <w:t xml:space="preserve"> Mahmoud Foda</w:t>
      </w:r>
      <w:r w:rsidR="006D5575">
        <w:rPr>
          <w:rFonts w:asciiTheme="majorBidi" w:eastAsia="Times New Roman" w:hAnsiTheme="majorBidi" w:cstheme="majorBidi"/>
          <w:color w:val="000000"/>
          <w:spacing w:val="2"/>
          <w:kern w:val="36"/>
          <w:sz w:val="24"/>
          <w:szCs w:val="24"/>
          <w:vertAlign w:val="superscript"/>
          <w:lang w:val="en-US"/>
          <w14:ligatures w14:val="none"/>
        </w:rPr>
        <w:t>1</w:t>
      </w:r>
      <w:r w:rsidRPr="006D5575">
        <w:rPr>
          <w:rFonts w:asciiTheme="majorBidi" w:eastAsia="Times New Roman" w:hAnsiTheme="majorBidi" w:cstheme="majorBidi"/>
          <w:color w:val="000000"/>
          <w:spacing w:val="2"/>
          <w:kern w:val="36"/>
          <w:sz w:val="24"/>
          <w:szCs w:val="24"/>
          <w:lang w:val="en-US"/>
          <w14:ligatures w14:val="none"/>
        </w:rPr>
        <w:t>, Shereen Abu Bakr Saleh</w:t>
      </w:r>
      <w:r w:rsidR="006D5575">
        <w:rPr>
          <w:rFonts w:asciiTheme="majorBidi" w:eastAsia="Times New Roman" w:hAnsiTheme="majorBidi" w:cstheme="majorBidi"/>
          <w:color w:val="000000"/>
          <w:spacing w:val="2"/>
          <w:kern w:val="36"/>
          <w:sz w:val="24"/>
          <w:szCs w:val="24"/>
          <w:vertAlign w:val="superscript"/>
          <w:lang w:val="en-US"/>
          <w14:ligatures w14:val="none"/>
        </w:rPr>
        <w:t>1</w:t>
      </w:r>
      <w:r w:rsidRPr="006D5575">
        <w:rPr>
          <w:rFonts w:asciiTheme="majorBidi" w:eastAsia="Times New Roman" w:hAnsiTheme="majorBidi" w:cstheme="majorBidi"/>
          <w:color w:val="000000"/>
          <w:spacing w:val="2"/>
          <w:kern w:val="36"/>
          <w:sz w:val="24"/>
          <w:szCs w:val="24"/>
          <w:lang w:val="en-US"/>
          <w14:ligatures w14:val="none"/>
        </w:rPr>
        <w:t xml:space="preserve">, Moheb </w:t>
      </w:r>
      <w:proofErr w:type="spellStart"/>
      <w:r w:rsidRPr="006D5575">
        <w:rPr>
          <w:rFonts w:asciiTheme="majorBidi" w:eastAsia="Times New Roman" w:hAnsiTheme="majorBidi" w:cstheme="majorBidi"/>
          <w:color w:val="000000"/>
          <w:spacing w:val="2"/>
          <w:kern w:val="36"/>
          <w:sz w:val="24"/>
          <w:szCs w:val="24"/>
          <w:lang w:val="en-US"/>
          <w14:ligatures w14:val="none"/>
        </w:rPr>
        <w:t>Shoraby</w:t>
      </w:r>
      <w:proofErr w:type="spellEnd"/>
      <w:r w:rsidRPr="006D5575">
        <w:rPr>
          <w:rFonts w:asciiTheme="majorBidi" w:eastAsia="Times New Roman" w:hAnsiTheme="majorBidi" w:cstheme="majorBidi"/>
          <w:color w:val="000000"/>
          <w:spacing w:val="2"/>
          <w:kern w:val="36"/>
          <w:sz w:val="24"/>
          <w:szCs w:val="24"/>
          <w:lang w:val="en-US"/>
          <w14:ligatures w14:val="none"/>
        </w:rPr>
        <w:t xml:space="preserve"> Eskandaros</w:t>
      </w:r>
      <w:r w:rsidR="006D5575">
        <w:rPr>
          <w:rFonts w:asciiTheme="majorBidi" w:eastAsia="Times New Roman" w:hAnsiTheme="majorBidi" w:cstheme="majorBidi"/>
          <w:color w:val="000000"/>
          <w:spacing w:val="2"/>
          <w:kern w:val="36"/>
          <w:sz w:val="24"/>
          <w:szCs w:val="24"/>
          <w:vertAlign w:val="superscript"/>
          <w:lang w:val="en-US"/>
          <w14:ligatures w14:val="none"/>
        </w:rPr>
        <w:t>2</w:t>
      </w:r>
      <w:r w:rsidRPr="006D5575">
        <w:rPr>
          <w:rFonts w:asciiTheme="majorBidi" w:eastAsia="Times New Roman" w:hAnsiTheme="majorBidi" w:cstheme="majorBidi"/>
          <w:color w:val="000000"/>
          <w:spacing w:val="2"/>
          <w:kern w:val="36"/>
          <w:sz w:val="24"/>
          <w:szCs w:val="24"/>
          <w:lang w:val="en-US"/>
          <w14:ligatures w14:val="none"/>
        </w:rPr>
        <w:t>, Nashwa Nagy El-Khazragy</w:t>
      </w:r>
      <w:r w:rsidR="006D5575">
        <w:rPr>
          <w:rFonts w:asciiTheme="majorBidi" w:eastAsia="Times New Roman" w:hAnsiTheme="majorBidi" w:cstheme="majorBidi"/>
          <w:color w:val="000000"/>
          <w:spacing w:val="2"/>
          <w:kern w:val="36"/>
          <w:sz w:val="24"/>
          <w:szCs w:val="24"/>
          <w:vertAlign w:val="superscript"/>
          <w:lang w:val="en-US"/>
          <w14:ligatures w14:val="none"/>
        </w:rPr>
        <w:t>3</w:t>
      </w:r>
      <w:r w:rsidRPr="006D5575">
        <w:rPr>
          <w:rFonts w:asciiTheme="majorBidi" w:eastAsia="Times New Roman" w:hAnsiTheme="majorBidi" w:cstheme="majorBidi"/>
          <w:color w:val="000000"/>
          <w:spacing w:val="2"/>
          <w:kern w:val="36"/>
          <w:sz w:val="24"/>
          <w:szCs w:val="24"/>
          <w:lang w:val="en-US"/>
          <w14:ligatures w14:val="none"/>
        </w:rPr>
        <w:t>, Heba Mohamed Abu Bakr</w:t>
      </w:r>
      <w:r w:rsidR="006D5575">
        <w:rPr>
          <w:rFonts w:asciiTheme="majorBidi" w:eastAsia="Times New Roman" w:hAnsiTheme="majorBidi" w:cstheme="majorBidi"/>
          <w:color w:val="000000"/>
          <w:spacing w:val="2"/>
          <w:kern w:val="36"/>
          <w:sz w:val="24"/>
          <w:szCs w:val="24"/>
          <w:vertAlign w:val="superscript"/>
          <w:lang w:val="en-US"/>
          <w14:ligatures w14:val="none"/>
        </w:rPr>
        <w:t>4</w:t>
      </w:r>
      <w:r w:rsidRPr="006D5575">
        <w:rPr>
          <w:rFonts w:asciiTheme="majorBidi" w:eastAsia="Times New Roman" w:hAnsiTheme="majorBidi" w:cstheme="majorBidi"/>
          <w:color w:val="000000"/>
          <w:spacing w:val="2"/>
          <w:kern w:val="36"/>
          <w:sz w:val="24"/>
          <w:szCs w:val="24"/>
          <w:lang w:val="en-US"/>
          <w14:ligatures w14:val="none"/>
        </w:rPr>
        <w:t>, Yasmin Mohamed Massoud</w:t>
      </w:r>
      <w:r w:rsidR="006D5575">
        <w:rPr>
          <w:rFonts w:asciiTheme="majorBidi" w:eastAsia="Times New Roman" w:hAnsiTheme="majorBidi" w:cstheme="majorBidi"/>
          <w:color w:val="000000"/>
          <w:spacing w:val="2"/>
          <w:kern w:val="36"/>
          <w:sz w:val="24"/>
          <w:szCs w:val="24"/>
          <w:vertAlign w:val="superscript"/>
          <w:lang w:val="en-US"/>
          <w14:ligatures w14:val="none"/>
        </w:rPr>
        <w:t>5</w:t>
      </w:r>
      <w:r w:rsidRPr="006D5575">
        <w:rPr>
          <w:rFonts w:asciiTheme="majorBidi" w:eastAsia="Times New Roman" w:hAnsiTheme="majorBidi" w:cstheme="majorBidi"/>
          <w:color w:val="000000"/>
          <w:spacing w:val="2"/>
          <w:kern w:val="36"/>
          <w:sz w:val="24"/>
          <w:szCs w:val="24"/>
          <w:lang w:val="en-US"/>
          <w14:ligatures w14:val="none"/>
        </w:rPr>
        <w:t>,</w:t>
      </w:r>
      <w:r w:rsidRPr="006D5575">
        <w:rPr>
          <w:rFonts w:asciiTheme="majorBidi" w:eastAsia="Times New Roman" w:hAnsiTheme="majorBidi" w:cstheme="majorBidi"/>
          <w:color w:val="000000"/>
          <w:spacing w:val="2"/>
          <w:kern w:val="36"/>
          <w:sz w:val="24"/>
          <w:szCs w:val="24"/>
          <w14:ligatures w14:val="none"/>
        </w:rPr>
        <w:t xml:space="preserve"> Ghada Abdelrahman Mohamed</w:t>
      </w:r>
      <w:r w:rsidR="006D5575">
        <w:rPr>
          <w:rFonts w:asciiTheme="majorBidi" w:eastAsia="Times New Roman" w:hAnsiTheme="majorBidi" w:cstheme="majorBidi"/>
          <w:color w:val="000000"/>
          <w:spacing w:val="2"/>
          <w:kern w:val="36"/>
          <w:sz w:val="24"/>
          <w:szCs w:val="24"/>
          <w:vertAlign w:val="superscript"/>
          <w14:ligatures w14:val="none"/>
        </w:rPr>
        <w:t>1</w:t>
      </w:r>
    </w:p>
    <w:bookmarkEnd w:id="2"/>
    <w:p w14:paraId="3ABB4374" w14:textId="58FC8A12" w:rsidR="0015007E" w:rsidRPr="006D5575" w:rsidRDefault="006D5575" w:rsidP="009E313D">
      <w:pPr>
        <w:spacing w:before="240" w:after="0" w:line="240" w:lineRule="auto"/>
        <w:rPr>
          <w:rFonts w:asciiTheme="majorBidi" w:eastAsia="Times New Roman" w:hAnsiTheme="majorBidi" w:cstheme="majorBidi"/>
          <w:color w:val="000000"/>
          <w:spacing w:val="2"/>
          <w:kern w:val="36"/>
          <w:sz w:val="24"/>
          <w:szCs w:val="24"/>
          <w14:ligatures w14:val="none"/>
        </w:rPr>
      </w:pPr>
      <w:r>
        <w:rPr>
          <w:rFonts w:asciiTheme="majorBidi" w:eastAsia="Times New Roman" w:hAnsiTheme="majorBidi" w:cstheme="majorBidi"/>
          <w:color w:val="000000"/>
          <w:spacing w:val="2"/>
          <w:kern w:val="36"/>
          <w:sz w:val="24"/>
          <w:szCs w:val="24"/>
          <w:vertAlign w:val="superscript"/>
          <w14:ligatures w14:val="none"/>
        </w:rPr>
        <w:t>1</w:t>
      </w:r>
      <w:r w:rsidRPr="006D5575">
        <w:rPr>
          <w:rFonts w:asciiTheme="majorBidi" w:eastAsia="Times New Roman" w:hAnsiTheme="majorBidi" w:cstheme="majorBidi"/>
          <w:color w:val="000000"/>
          <w:spacing w:val="2"/>
          <w:kern w:val="36"/>
          <w:sz w:val="24"/>
          <w:szCs w:val="24"/>
          <w14:ligatures w14:val="none"/>
        </w:rPr>
        <w:t>Gastroenterology and Hepatology Unit, Department of Internal Medicine, Faculty of Medicine, Ain Shams University, Cairo 11591, Egypt</w:t>
      </w:r>
      <w:r w:rsidR="00BC36FF">
        <w:rPr>
          <w:rFonts w:asciiTheme="majorBidi" w:eastAsia="Times New Roman" w:hAnsiTheme="majorBidi" w:cstheme="majorBidi"/>
          <w:color w:val="000000"/>
          <w:spacing w:val="2"/>
          <w:kern w:val="36"/>
          <w:sz w:val="24"/>
          <w:szCs w:val="24"/>
          <w14:ligatures w14:val="none"/>
        </w:rPr>
        <w:t>.</w:t>
      </w:r>
      <w:r w:rsidRPr="006D5575">
        <w:rPr>
          <w:rFonts w:asciiTheme="majorBidi" w:eastAsia="Times New Roman" w:hAnsiTheme="majorBidi" w:cstheme="majorBidi"/>
          <w:color w:val="000000"/>
          <w:spacing w:val="2"/>
          <w:kern w:val="36"/>
          <w:sz w:val="24"/>
          <w:szCs w:val="24"/>
          <w14:ligatures w14:val="none"/>
        </w:rPr>
        <w:t xml:space="preserve"> </w:t>
      </w:r>
    </w:p>
    <w:p w14:paraId="27BCEFBD" w14:textId="1CA8AFE4" w:rsidR="00053B39" w:rsidRDefault="006D5575" w:rsidP="009E313D">
      <w:pPr>
        <w:spacing w:before="240" w:after="0" w:line="240" w:lineRule="auto"/>
        <w:rPr>
          <w:rFonts w:asciiTheme="majorBidi" w:eastAsia="Times New Roman" w:hAnsiTheme="majorBidi" w:cstheme="majorBidi"/>
          <w:color w:val="000000"/>
          <w:spacing w:val="2"/>
          <w:kern w:val="36"/>
          <w:sz w:val="24"/>
          <w:szCs w:val="24"/>
          <w:lang w:val="en-US"/>
          <w14:ligatures w14:val="none"/>
        </w:rPr>
      </w:pPr>
      <w:r>
        <w:rPr>
          <w:rFonts w:asciiTheme="majorBidi" w:eastAsia="Times New Roman" w:hAnsiTheme="majorBidi" w:cstheme="majorBidi"/>
          <w:color w:val="000000"/>
          <w:spacing w:val="2"/>
          <w:kern w:val="36"/>
          <w:sz w:val="24"/>
          <w:szCs w:val="24"/>
          <w:vertAlign w:val="superscript"/>
          <w14:ligatures w14:val="none"/>
        </w:rPr>
        <w:t>2</w:t>
      </w:r>
      <w:r w:rsidRPr="006D5575">
        <w:rPr>
          <w:rFonts w:asciiTheme="majorBidi" w:eastAsia="Times New Roman" w:hAnsiTheme="majorBidi" w:cstheme="majorBidi"/>
          <w:color w:val="000000"/>
          <w:spacing w:val="2"/>
          <w:kern w:val="36"/>
          <w:sz w:val="24"/>
          <w:szCs w:val="24"/>
          <w14:ligatures w14:val="none"/>
        </w:rPr>
        <w:t xml:space="preserve"> </w:t>
      </w:r>
      <w:r w:rsidRPr="006D5575">
        <w:rPr>
          <w:rFonts w:asciiTheme="majorBidi" w:eastAsia="Times New Roman" w:hAnsiTheme="majorBidi" w:cstheme="majorBidi"/>
          <w:color w:val="000000"/>
          <w:spacing w:val="2"/>
          <w:kern w:val="36"/>
          <w:sz w:val="24"/>
          <w:szCs w:val="24"/>
          <w:lang w:val="en-US"/>
          <w14:ligatures w14:val="none"/>
        </w:rPr>
        <w:t>Department</w:t>
      </w:r>
      <w:r w:rsidRPr="006D5575">
        <w:rPr>
          <w:rFonts w:asciiTheme="majorBidi" w:eastAsia="Times New Roman" w:hAnsiTheme="majorBidi" w:cstheme="majorBidi"/>
          <w:color w:val="000000"/>
          <w:spacing w:val="2"/>
          <w:kern w:val="36"/>
          <w:sz w:val="24"/>
          <w:szCs w:val="24"/>
          <w:vertAlign w:val="superscript"/>
          <w:lang w:val="en-US"/>
          <w14:ligatures w14:val="none"/>
        </w:rPr>
        <w:t xml:space="preserve"> </w:t>
      </w:r>
      <w:r w:rsidRPr="006D5575">
        <w:rPr>
          <w:rFonts w:asciiTheme="majorBidi" w:eastAsia="Times New Roman" w:hAnsiTheme="majorBidi" w:cstheme="majorBidi"/>
          <w:color w:val="000000"/>
          <w:spacing w:val="2"/>
          <w:kern w:val="36"/>
          <w:sz w:val="24"/>
          <w:szCs w:val="24"/>
          <w:lang w:val="en-US"/>
          <w14:ligatures w14:val="none"/>
        </w:rPr>
        <w:t xml:space="preserve">of General Surgery, Faculty of Medicine, Ain Shams University, </w:t>
      </w:r>
      <w:r w:rsidRPr="006D5575">
        <w:rPr>
          <w:rFonts w:asciiTheme="majorBidi" w:eastAsia="Times New Roman" w:hAnsiTheme="majorBidi" w:cstheme="majorBidi"/>
          <w:color w:val="000000"/>
          <w:spacing w:val="2"/>
          <w:kern w:val="36"/>
          <w:sz w:val="24"/>
          <w:szCs w:val="24"/>
          <w14:ligatures w14:val="none"/>
        </w:rPr>
        <w:t>Cairo 11591, Egypt</w:t>
      </w:r>
      <w:r w:rsidR="00BC36FF">
        <w:rPr>
          <w:rFonts w:asciiTheme="majorBidi" w:eastAsia="Times New Roman" w:hAnsiTheme="majorBidi" w:cstheme="majorBidi"/>
          <w:color w:val="000000"/>
          <w:spacing w:val="2"/>
          <w:kern w:val="36"/>
          <w:sz w:val="24"/>
          <w:szCs w:val="24"/>
          <w:lang w:val="en-US"/>
          <w14:ligatures w14:val="none"/>
        </w:rPr>
        <w:t>.</w:t>
      </w:r>
    </w:p>
    <w:p w14:paraId="54B3BAC7" w14:textId="1900774D" w:rsidR="0015007E" w:rsidRPr="006D5575" w:rsidRDefault="006D5575" w:rsidP="009E313D">
      <w:pPr>
        <w:spacing w:before="240" w:after="0" w:line="240" w:lineRule="auto"/>
        <w:rPr>
          <w:rFonts w:asciiTheme="majorBidi" w:eastAsia="Times New Roman" w:hAnsiTheme="majorBidi" w:cstheme="majorBidi"/>
          <w:color w:val="000000"/>
          <w:spacing w:val="2"/>
          <w:kern w:val="36"/>
          <w:sz w:val="24"/>
          <w:szCs w:val="24"/>
          <w14:ligatures w14:val="none"/>
        </w:rPr>
      </w:pPr>
      <w:r>
        <w:rPr>
          <w:rFonts w:asciiTheme="majorBidi" w:eastAsia="Times New Roman" w:hAnsiTheme="majorBidi" w:cstheme="majorBidi"/>
          <w:color w:val="000000"/>
          <w:spacing w:val="2"/>
          <w:kern w:val="36"/>
          <w:sz w:val="24"/>
          <w:szCs w:val="24"/>
          <w:vertAlign w:val="superscript"/>
          <w:lang w:val="en-US"/>
          <w14:ligatures w14:val="none"/>
        </w:rPr>
        <w:t>3</w:t>
      </w:r>
      <w:r w:rsidRPr="006D5575">
        <w:rPr>
          <w:rFonts w:asciiTheme="majorBidi" w:eastAsia="Times New Roman" w:hAnsiTheme="majorBidi" w:cstheme="majorBidi"/>
          <w:color w:val="000000"/>
          <w:spacing w:val="2"/>
          <w:kern w:val="36"/>
          <w:sz w:val="24"/>
          <w:szCs w:val="24"/>
          <w14:ligatures w14:val="none"/>
        </w:rPr>
        <w:t xml:space="preserve"> </w:t>
      </w:r>
      <w:r w:rsidRPr="00907A76">
        <w:rPr>
          <w:rFonts w:asciiTheme="majorBidi" w:eastAsia="Times New Roman" w:hAnsiTheme="majorBidi" w:cstheme="majorBidi"/>
          <w:color w:val="000000"/>
          <w:spacing w:val="2"/>
          <w:kern w:val="36"/>
          <w14:ligatures w14:val="none"/>
        </w:rPr>
        <w:t>Departments of Clinical Pathology-Hematology and Genetics and Molecular Biology, Faculty of Medicine, Ain Shams University</w:t>
      </w:r>
      <w:r w:rsidRPr="00907A76">
        <w:rPr>
          <w:rFonts w:asciiTheme="majorBidi" w:eastAsia="Times New Roman" w:hAnsiTheme="majorBidi" w:cstheme="majorBidi"/>
          <w:color w:val="000000"/>
          <w:spacing w:val="2"/>
          <w:kern w:val="36"/>
          <w:lang w:val="en-US"/>
          <w14:ligatures w14:val="none"/>
        </w:rPr>
        <w:t xml:space="preserve">, </w:t>
      </w:r>
      <w:r w:rsidRPr="00907A76">
        <w:rPr>
          <w:rFonts w:asciiTheme="majorBidi" w:eastAsia="Times New Roman" w:hAnsiTheme="majorBidi" w:cstheme="majorBidi"/>
          <w:color w:val="000000"/>
          <w:spacing w:val="2"/>
          <w:kern w:val="36"/>
          <w14:ligatures w14:val="none"/>
        </w:rPr>
        <w:t>Cairo 11566, Egypt</w:t>
      </w:r>
      <w:r w:rsidR="00BC36FF" w:rsidRPr="00907A76">
        <w:rPr>
          <w:rFonts w:asciiTheme="majorBidi" w:eastAsia="Times New Roman" w:hAnsiTheme="majorBidi" w:cstheme="majorBidi"/>
          <w:color w:val="000000"/>
          <w:spacing w:val="2"/>
          <w:kern w:val="36"/>
          <w14:ligatures w14:val="none"/>
        </w:rPr>
        <w:t>.</w:t>
      </w:r>
    </w:p>
    <w:p w14:paraId="285EDB02" w14:textId="6BEC2FFD" w:rsidR="000412F6" w:rsidRDefault="006D5575" w:rsidP="009E313D">
      <w:pPr>
        <w:spacing w:before="240" w:after="0" w:line="240" w:lineRule="auto"/>
        <w:rPr>
          <w:rFonts w:asciiTheme="majorBidi" w:eastAsia="Times New Roman" w:hAnsiTheme="majorBidi" w:cstheme="majorBidi"/>
          <w:color w:val="000000"/>
          <w:spacing w:val="2"/>
          <w:kern w:val="36"/>
          <w:sz w:val="24"/>
          <w:szCs w:val="24"/>
          <w:lang w:val="en-US"/>
          <w14:ligatures w14:val="none"/>
        </w:rPr>
      </w:pPr>
      <w:r>
        <w:rPr>
          <w:rFonts w:asciiTheme="majorBidi" w:eastAsia="Times New Roman" w:hAnsiTheme="majorBidi" w:cstheme="majorBidi"/>
          <w:color w:val="000000"/>
          <w:spacing w:val="2"/>
          <w:kern w:val="36"/>
          <w:sz w:val="24"/>
          <w:szCs w:val="24"/>
          <w:vertAlign w:val="superscript"/>
          <w14:ligatures w14:val="none"/>
        </w:rPr>
        <w:t>4</w:t>
      </w:r>
      <w:r w:rsidRPr="006D5575">
        <w:rPr>
          <w:rFonts w:asciiTheme="majorBidi" w:eastAsia="Times New Roman" w:hAnsiTheme="majorBidi" w:cstheme="majorBidi"/>
          <w:color w:val="000000"/>
          <w:spacing w:val="2"/>
          <w:kern w:val="36"/>
          <w:sz w:val="24"/>
          <w:szCs w:val="24"/>
          <w:lang w:val="en-US"/>
          <w14:ligatures w14:val="none"/>
        </w:rPr>
        <w:t>Department of Internal Medicine, El Sahel Teaching Hospital, Cairo 11697, Egypt</w:t>
      </w:r>
      <w:r w:rsidR="00BC36FF">
        <w:rPr>
          <w:rFonts w:asciiTheme="majorBidi" w:eastAsia="Times New Roman" w:hAnsiTheme="majorBidi" w:cstheme="majorBidi"/>
          <w:color w:val="000000"/>
          <w:spacing w:val="2"/>
          <w:kern w:val="36"/>
          <w:sz w:val="24"/>
          <w:szCs w:val="24"/>
          <w:lang w:val="en-US"/>
          <w14:ligatures w14:val="none"/>
        </w:rPr>
        <w:t>.</w:t>
      </w:r>
    </w:p>
    <w:p w14:paraId="15DC785C" w14:textId="6A130DA5" w:rsidR="00053B39" w:rsidRDefault="006D5575" w:rsidP="009E313D">
      <w:pPr>
        <w:spacing w:before="240" w:after="0" w:line="240" w:lineRule="auto"/>
        <w:rPr>
          <w:rFonts w:asciiTheme="majorBidi" w:eastAsia="Times New Roman" w:hAnsiTheme="majorBidi" w:cstheme="majorBidi"/>
          <w:color w:val="000000"/>
          <w:spacing w:val="2"/>
          <w:kern w:val="36"/>
          <w:sz w:val="24"/>
          <w:szCs w:val="24"/>
          <w:lang w:val="en-US"/>
          <w14:ligatures w14:val="none"/>
        </w:rPr>
      </w:pPr>
      <w:r>
        <w:rPr>
          <w:rFonts w:asciiTheme="majorBidi" w:eastAsia="Times New Roman" w:hAnsiTheme="majorBidi" w:cstheme="majorBidi"/>
          <w:color w:val="000000"/>
          <w:spacing w:val="2"/>
          <w:kern w:val="36"/>
          <w:sz w:val="24"/>
          <w:szCs w:val="24"/>
          <w:vertAlign w:val="superscript"/>
          <w14:ligatures w14:val="none"/>
        </w:rPr>
        <w:t>5</w:t>
      </w:r>
      <w:r w:rsidRPr="006D5575">
        <w:rPr>
          <w:rFonts w:asciiTheme="majorBidi" w:eastAsia="Times New Roman" w:hAnsiTheme="majorBidi" w:cstheme="majorBidi"/>
          <w:color w:val="000000"/>
          <w:spacing w:val="2"/>
          <w:kern w:val="36"/>
          <w:sz w:val="24"/>
          <w:szCs w:val="24"/>
          <w14:ligatures w14:val="none"/>
        </w:rPr>
        <w:t xml:space="preserve">Department of Tropical Medicine, </w:t>
      </w:r>
      <w:r w:rsidRPr="006D5575">
        <w:rPr>
          <w:rFonts w:asciiTheme="majorBidi" w:eastAsia="Times New Roman" w:hAnsiTheme="majorBidi" w:cstheme="majorBidi"/>
          <w:color w:val="000000"/>
          <w:spacing w:val="2"/>
          <w:kern w:val="36"/>
          <w:sz w:val="24"/>
          <w:szCs w:val="24"/>
          <w:lang w:val="en-US"/>
          <w14:ligatures w14:val="none"/>
        </w:rPr>
        <w:t xml:space="preserve">Faculty of Medicine, Ain Shams University, </w:t>
      </w:r>
      <w:r w:rsidRPr="006D5575">
        <w:rPr>
          <w:rFonts w:asciiTheme="majorBidi" w:eastAsia="Times New Roman" w:hAnsiTheme="majorBidi" w:cstheme="majorBidi"/>
          <w:color w:val="000000"/>
          <w:spacing w:val="2"/>
          <w:kern w:val="36"/>
          <w:sz w:val="24"/>
          <w:szCs w:val="24"/>
          <w14:ligatures w14:val="none"/>
        </w:rPr>
        <w:t>Cairo 11591, Egypt</w:t>
      </w:r>
      <w:r w:rsidR="00BC36FF">
        <w:rPr>
          <w:rFonts w:asciiTheme="majorBidi" w:eastAsia="Times New Roman" w:hAnsiTheme="majorBidi" w:cstheme="majorBidi"/>
          <w:color w:val="000000"/>
          <w:spacing w:val="2"/>
          <w:kern w:val="36"/>
          <w:sz w:val="24"/>
          <w:szCs w:val="24"/>
          <w:lang w:val="en-US"/>
          <w14:ligatures w14:val="none"/>
        </w:rPr>
        <w:t>.</w:t>
      </w:r>
    </w:p>
    <w:p w14:paraId="186C82D9" w14:textId="02C5784A" w:rsidR="0015007E" w:rsidRPr="006D5575" w:rsidRDefault="00000000" w:rsidP="009E313D">
      <w:pPr>
        <w:spacing w:before="240" w:after="0" w:line="240" w:lineRule="auto"/>
        <w:jc w:val="both"/>
        <w:rPr>
          <w:rFonts w:asciiTheme="majorBidi" w:eastAsia="Times New Roman" w:hAnsiTheme="majorBidi" w:cstheme="majorBidi"/>
          <w:color w:val="000000"/>
          <w:spacing w:val="2"/>
          <w:kern w:val="36"/>
          <w:sz w:val="24"/>
          <w:szCs w:val="24"/>
          <w14:ligatures w14:val="none"/>
        </w:rPr>
      </w:pPr>
      <w:r w:rsidRPr="00630982">
        <w:rPr>
          <w:rFonts w:asciiTheme="majorBidi" w:eastAsia="Times New Roman" w:hAnsiTheme="majorBidi" w:cstheme="majorBidi"/>
          <w:b/>
          <w:bCs/>
          <w:color w:val="000000"/>
          <w:spacing w:val="2"/>
          <w:kern w:val="36"/>
          <w:sz w:val="24"/>
          <w:szCs w:val="24"/>
          <w:lang w:val="en-US"/>
          <w14:ligatures w14:val="none"/>
        </w:rPr>
        <w:t>Corresponding author:</w:t>
      </w:r>
      <w:r w:rsidRPr="006D5575">
        <w:rPr>
          <w:rFonts w:asciiTheme="majorBidi" w:eastAsia="Times New Roman" w:hAnsiTheme="majorBidi" w:cstheme="majorBidi"/>
          <w:color w:val="000000"/>
          <w:spacing w:val="2"/>
          <w:kern w:val="36"/>
          <w:sz w:val="24"/>
          <w:szCs w:val="24"/>
          <w:lang w:val="en-US"/>
          <w14:ligatures w14:val="none"/>
        </w:rPr>
        <w:t xml:space="preserve"> Ghada Abdelrahman Mohamed, MD, Assist. Prof of Internal Medicine, Gastroenterology and Hepatology Unit, Department of Internal Medicine, Faculty of Medicine, Ain Shams University, Cairo </w:t>
      </w:r>
      <w:bookmarkStart w:id="3" w:name="_Hlk27862793"/>
      <w:r w:rsidRPr="006D5575">
        <w:rPr>
          <w:rFonts w:asciiTheme="majorBidi" w:eastAsia="Times New Roman" w:hAnsiTheme="majorBidi" w:cstheme="majorBidi"/>
          <w:color w:val="000000"/>
          <w:spacing w:val="2"/>
          <w:kern w:val="36"/>
          <w:sz w:val="24"/>
          <w:szCs w:val="24"/>
          <w:lang w:val="en-US"/>
          <w14:ligatures w14:val="none"/>
        </w:rPr>
        <w:t>11</w:t>
      </w:r>
      <w:bookmarkEnd w:id="3"/>
      <w:r w:rsidRPr="006D5575">
        <w:rPr>
          <w:rFonts w:asciiTheme="majorBidi" w:eastAsia="Times New Roman" w:hAnsiTheme="majorBidi" w:cstheme="majorBidi"/>
          <w:color w:val="000000"/>
          <w:spacing w:val="2"/>
          <w:kern w:val="36"/>
          <w:sz w:val="24"/>
          <w:szCs w:val="24"/>
          <w:lang w:val="en-US"/>
          <w14:ligatures w14:val="none"/>
        </w:rPr>
        <w:t xml:space="preserve">591, Egypt. ORCID: </w:t>
      </w:r>
      <w:hyperlink r:id="rId7" w:history="1">
        <w:r w:rsidR="0015007E" w:rsidRPr="00630982">
          <w:rPr>
            <w:rStyle w:val="Hyperlink"/>
            <w:rFonts w:asciiTheme="majorBidi" w:eastAsia="Times New Roman" w:hAnsiTheme="majorBidi" w:cstheme="majorBidi"/>
            <w:spacing w:val="2"/>
            <w:kern w:val="36"/>
            <w:sz w:val="24"/>
            <w:szCs w:val="24"/>
            <w14:ligatures w14:val="none"/>
          </w:rPr>
          <w:t>0000-0003-0320-1011</w:t>
        </w:r>
      </w:hyperlink>
      <w:r w:rsidRPr="006D5575">
        <w:rPr>
          <w:rFonts w:asciiTheme="majorBidi" w:eastAsia="Times New Roman" w:hAnsiTheme="majorBidi" w:cstheme="majorBidi"/>
          <w:color w:val="000000"/>
          <w:spacing w:val="2"/>
          <w:kern w:val="36"/>
          <w:sz w:val="24"/>
          <w:szCs w:val="24"/>
          <w14:ligatures w14:val="none"/>
        </w:rPr>
        <w:t xml:space="preserve">. Email: </w:t>
      </w:r>
      <w:hyperlink r:id="rId8" w:history="1">
        <w:r w:rsidR="0015007E" w:rsidRPr="00630982">
          <w:rPr>
            <w:rStyle w:val="Hyperlink"/>
            <w:rFonts w:asciiTheme="majorBidi" w:eastAsia="Times New Roman" w:hAnsiTheme="majorBidi" w:cstheme="majorBidi"/>
            <w:spacing w:val="2"/>
            <w:kern w:val="36"/>
            <w:sz w:val="24"/>
            <w:szCs w:val="24"/>
            <w:lang w:val="en-US"/>
            <w14:ligatures w14:val="none"/>
          </w:rPr>
          <w:t>ghadaabdelrahman@med.asu.edu.eg</w:t>
        </w:r>
      </w:hyperlink>
      <w:r w:rsidR="00E97D89">
        <w:rPr>
          <w:rStyle w:val="Hyperlink"/>
          <w:rFonts w:asciiTheme="majorBidi" w:eastAsia="Times New Roman" w:hAnsiTheme="majorBidi" w:cstheme="majorBidi"/>
          <w:spacing w:val="2"/>
          <w:kern w:val="36"/>
          <w:sz w:val="24"/>
          <w:szCs w:val="24"/>
          <w:lang w:val="en-US"/>
          <w14:ligatures w14:val="none"/>
        </w:rPr>
        <w:t>.</w:t>
      </w:r>
    </w:p>
    <w:p w14:paraId="0F67C7B6" w14:textId="3D7FE35F" w:rsidR="00907A76" w:rsidRPr="00907A76" w:rsidRDefault="00907A76" w:rsidP="00FA6EE1">
      <w:pPr>
        <w:spacing w:before="240" w:after="0" w:line="240" w:lineRule="auto"/>
        <w:rPr>
          <w:rFonts w:asciiTheme="majorBidi" w:eastAsia="Times New Roman" w:hAnsiTheme="majorBidi" w:cstheme="majorBidi"/>
          <w:b/>
          <w:bCs/>
          <w:color w:val="000000"/>
          <w:spacing w:val="2"/>
          <w:kern w:val="36"/>
          <w:sz w:val="24"/>
          <w:szCs w:val="24"/>
          <w:lang w:val="en-US"/>
          <w14:ligatures w14:val="none"/>
        </w:rPr>
      </w:pPr>
      <w:r w:rsidRPr="00907A76">
        <w:rPr>
          <w:rFonts w:asciiTheme="majorBidi" w:eastAsia="Times New Roman" w:hAnsiTheme="majorBidi" w:cstheme="majorBidi"/>
          <w:b/>
          <w:bCs/>
          <w:color w:val="000000"/>
          <w:spacing w:val="2"/>
          <w:kern w:val="36"/>
          <w:sz w:val="24"/>
          <w:szCs w:val="24"/>
          <w:lang w:val="en-US"/>
          <w14:ligatures w14:val="none"/>
        </w:rPr>
        <w:t>DOI:</w:t>
      </w:r>
      <w:hyperlink r:id="rId9" w:history="1">
        <w:r w:rsidR="00FA6EE1" w:rsidRPr="00FA6EE1">
          <w:rPr>
            <w:rStyle w:val="Hyperlink"/>
            <w:rFonts w:asciiTheme="majorBidi" w:eastAsia="Times New Roman" w:hAnsiTheme="majorBidi" w:cstheme="majorBidi"/>
            <w:b/>
            <w:bCs/>
            <w:spacing w:val="2"/>
            <w:kern w:val="36"/>
            <w:sz w:val="24"/>
            <w:szCs w:val="24"/>
            <w14:ligatures w14:val="none"/>
          </w:rPr>
          <w:t>10.21608/ajgh.2024.313440.1061</w:t>
        </w:r>
      </w:hyperlink>
      <w:r w:rsidRPr="00907A76">
        <w:rPr>
          <w:rFonts w:asciiTheme="majorBidi" w:eastAsia="Times New Roman" w:hAnsiTheme="majorBidi" w:cstheme="majorBidi"/>
          <w:b/>
          <w:bCs/>
          <w:color w:val="000000"/>
          <w:spacing w:val="2"/>
          <w:kern w:val="36"/>
          <w:sz w:val="24"/>
          <w:szCs w:val="24"/>
          <w:lang w:val="en-US"/>
          <w14:ligatures w14:val="none"/>
        </w:rPr>
        <w:t>.</w:t>
      </w:r>
    </w:p>
    <w:p w14:paraId="1B655933" w14:textId="7BCE4220" w:rsidR="00907A76" w:rsidRPr="00907A76" w:rsidRDefault="00907A76" w:rsidP="00FA6EE1">
      <w:pPr>
        <w:spacing w:before="240" w:after="0" w:line="240" w:lineRule="auto"/>
        <w:rPr>
          <w:rFonts w:asciiTheme="majorBidi" w:eastAsia="Times New Roman" w:hAnsiTheme="majorBidi" w:cstheme="majorBidi"/>
          <w:b/>
          <w:bCs/>
          <w:color w:val="000000"/>
          <w:spacing w:val="2"/>
          <w:kern w:val="36"/>
          <w:sz w:val="24"/>
          <w:szCs w:val="24"/>
          <w:lang w:val="en-US"/>
          <w14:ligatures w14:val="none"/>
        </w:rPr>
      </w:pPr>
      <w:r w:rsidRPr="00907A76">
        <w:rPr>
          <w:rFonts w:asciiTheme="majorBidi" w:eastAsia="Times New Roman" w:hAnsiTheme="majorBidi" w:cstheme="majorBidi"/>
          <w:b/>
          <w:bCs/>
          <w:color w:val="000000"/>
          <w:spacing w:val="2"/>
          <w:kern w:val="36"/>
          <w:sz w:val="24"/>
          <w:szCs w:val="24"/>
          <w:lang w:val="en-US"/>
          <w14:ligatures w14:val="none"/>
        </w:rPr>
        <w:t>Submission date:</w:t>
      </w:r>
      <w:bookmarkStart w:id="4" w:name="_Hlk125994740"/>
      <w:r w:rsidR="00FA6EE1" w:rsidRPr="009E313D">
        <w:rPr>
          <w:rFonts w:asciiTheme="majorBidi" w:eastAsia="Times New Roman" w:hAnsiTheme="majorBidi" w:cstheme="majorBidi"/>
          <w:color w:val="000000"/>
          <w:spacing w:val="2"/>
          <w:kern w:val="36"/>
          <w:sz w:val="24"/>
          <w:szCs w:val="24"/>
          <w:lang w:val="en-US"/>
          <w14:ligatures w14:val="none"/>
        </w:rPr>
        <w:t>18</w:t>
      </w:r>
      <w:r w:rsidRPr="009E313D">
        <w:rPr>
          <w:rFonts w:asciiTheme="majorBidi" w:eastAsia="Times New Roman" w:hAnsiTheme="majorBidi" w:cstheme="majorBidi"/>
          <w:color w:val="000000"/>
          <w:spacing w:val="2"/>
          <w:kern w:val="36"/>
          <w:sz w:val="24"/>
          <w:szCs w:val="24"/>
          <w:lang w:val="en-US"/>
          <w14:ligatures w14:val="none"/>
        </w:rPr>
        <w:t xml:space="preserve"> </w:t>
      </w:r>
      <w:r w:rsidR="00FA6EE1" w:rsidRPr="009E313D">
        <w:rPr>
          <w:rFonts w:asciiTheme="majorBidi" w:eastAsia="Times New Roman" w:hAnsiTheme="majorBidi" w:cstheme="majorBidi"/>
          <w:color w:val="000000"/>
          <w:spacing w:val="2"/>
          <w:kern w:val="36"/>
          <w:sz w:val="24"/>
          <w:szCs w:val="24"/>
          <w:lang w:val="en-US"/>
          <w14:ligatures w14:val="none"/>
        </w:rPr>
        <w:t>August</w:t>
      </w:r>
      <w:r w:rsidRPr="009E313D">
        <w:rPr>
          <w:rFonts w:asciiTheme="majorBidi" w:eastAsia="Times New Roman" w:hAnsiTheme="majorBidi" w:cstheme="majorBidi"/>
          <w:color w:val="000000"/>
          <w:spacing w:val="2"/>
          <w:kern w:val="36"/>
          <w:sz w:val="24"/>
          <w:szCs w:val="24"/>
          <w:lang w:val="en-US"/>
          <w14:ligatures w14:val="none"/>
        </w:rPr>
        <w:t xml:space="preserve"> 2024.</w:t>
      </w:r>
    </w:p>
    <w:bookmarkEnd w:id="4"/>
    <w:p w14:paraId="1A1BC954" w14:textId="523250CC" w:rsidR="00907A76" w:rsidRPr="00907A76" w:rsidRDefault="00907A76" w:rsidP="00907A76">
      <w:pPr>
        <w:spacing w:before="240" w:after="0" w:line="240" w:lineRule="auto"/>
        <w:rPr>
          <w:rFonts w:asciiTheme="majorBidi" w:eastAsia="Times New Roman" w:hAnsiTheme="majorBidi" w:cstheme="majorBidi"/>
          <w:b/>
          <w:bCs/>
          <w:color w:val="000000"/>
          <w:spacing w:val="2"/>
          <w:kern w:val="36"/>
          <w:sz w:val="24"/>
          <w:szCs w:val="24"/>
          <w:lang w:val="en-US"/>
          <w14:ligatures w14:val="none"/>
        </w:rPr>
      </w:pPr>
      <w:r w:rsidRPr="00907A76">
        <w:rPr>
          <w:rFonts w:asciiTheme="majorBidi" w:eastAsia="Times New Roman" w:hAnsiTheme="majorBidi" w:cstheme="majorBidi"/>
          <w:b/>
          <w:bCs/>
          <w:color w:val="000000"/>
          <w:spacing w:val="2"/>
          <w:kern w:val="36"/>
          <w:sz w:val="24"/>
          <w:szCs w:val="24"/>
          <w:lang w:val="en-US"/>
          <w14:ligatures w14:val="none"/>
        </w:rPr>
        <w:t xml:space="preserve">Revision date: </w:t>
      </w:r>
      <w:r w:rsidR="00FA6EE1" w:rsidRPr="009E313D">
        <w:rPr>
          <w:rFonts w:asciiTheme="majorBidi" w:eastAsia="Times New Roman" w:hAnsiTheme="majorBidi" w:cstheme="majorBidi"/>
          <w:color w:val="000000"/>
          <w:spacing w:val="2"/>
          <w:kern w:val="36"/>
          <w:sz w:val="24"/>
          <w:szCs w:val="24"/>
          <w:lang w:val="en-US"/>
          <w14:ligatures w14:val="none"/>
        </w:rPr>
        <w:t>26</w:t>
      </w:r>
      <w:r w:rsidRPr="009E313D">
        <w:rPr>
          <w:rFonts w:asciiTheme="majorBidi" w:eastAsia="Times New Roman" w:hAnsiTheme="majorBidi" w:cstheme="majorBidi"/>
          <w:color w:val="000000"/>
          <w:spacing w:val="2"/>
          <w:kern w:val="36"/>
          <w:sz w:val="24"/>
          <w:szCs w:val="24"/>
          <w:lang w:val="en-US"/>
          <w14:ligatures w14:val="none"/>
        </w:rPr>
        <w:t xml:space="preserve"> </w:t>
      </w:r>
      <w:r w:rsidR="00FA6EE1" w:rsidRPr="009E313D">
        <w:rPr>
          <w:rFonts w:asciiTheme="majorBidi" w:eastAsia="Times New Roman" w:hAnsiTheme="majorBidi" w:cstheme="majorBidi"/>
          <w:color w:val="000000"/>
          <w:spacing w:val="2"/>
          <w:kern w:val="36"/>
          <w:sz w:val="24"/>
          <w:szCs w:val="24"/>
          <w:lang w:val="en-US"/>
          <w14:ligatures w14:val="none"/>
        </w:rPr>
        <w:t>September</w:t>
      </w:r>
      <w:r w:rsidRPr="009E313D">
        <w:rPr>
          <w:rFonts w:asciiTheme="majorBidi" w:eastAsia="Times New Roman" w:hAnsiTheme="majorBidi" w:cstheme="majorBidi"/>
          <w:color w:val="000000"/>
          <w:spacing w:val="2"/>
          <w:kern w:val="36"/>
          <w:sz w:val="24"/>
          <w:szCs w:val="24"/>
          <w:lang w:val="en-US"/>
          <w14:ligatures w14:val="none"/>
        </w:rPr>
        <w:t xml:space="preserve"> 2024.</w:t>
      </w:r>
    </w:p>
    <w:p w14:paraId="37076027" w14:textId="4BFC58D8" w:rsidR="00907A76" w:rsidRPr="00907A76" w:rsidRDefault="00907A76" w:rsidP="00907A76">
      <w:pPr>
        <w:spacing w:before="240" w:after="0" w:line="240" w:lineRule="auto"/>
        <w:rPr>
          <w:rFonts w:asciiTheme="majorBidi" w:eastAsia="Times New Roman" w:hAnsiTheme="majorBidi" w:cstheme="majorBidi"/>
          <w:b/>
          <w:bCs/>
          <w:color w:val="000000"/>
          <w:spacing w:val="2"/>
          <w:kern w:val="36"/>
          <w:sz w:val="24"/>
          <w:szCs w:val="24"/>
          <w:lang w:val="en-US"/>
          <w14:ligatures w14:val="none"/>
        </w:rPr>
      </w:pPr>
      <w:r w:rsidRPr="00907A76">
        <w:rPr>
          <w:rFonts w:asciiTheme="majorBidi" w:eastAsia="Times New Roman" w:hAnsiTheme="majorBidi" w:cstheme="majorBidi"/>
          <w:b/>
          <w:bCs/>
          <w:color w:val="000000"/>
          <w:spacing w:val="2"/>
          <w:kern w:val="36"/>
          <w:sz w:val="24"/>
          <w:szCs w:val="24"/>
          <w:lang w:val="en-US"/>
          <w14:ligatures w14:val="none"/>
        </w:rPr>
        <w:t xml:space="preserve">Acceptance date: </w:t>
      </w:r>
      <w:r w:rsidR="00FA6EE1" w:rsidRPr="009E313D">
        <w:rPr>
          <w:rFonts w:asciiTheme="majorBidi" w:eastAsia="Times New Roman" w:hAnsiTheme="majorBidi" w:cstheme="majorBidi"/>
          <w:color w:val="000000"/>
          <w:spacing w:val="2"/>
          <w:kern w:val="36"/>
          <w:sz w:val="24"/>
          <w:szCs w:val="24"/>
          <w:lang w:val="en-US"/>
          <w14:ligatures w14:val="none"/>
        </w:rPr>
        <w:t>20</w:t>
      </w:r>
      <w:r w:rsidRPr="009E313D">
        <w:rPr>
          <w:rFonts w:asciiTheme="majorBidi" w:eastAsia="Times New Roman" w:hAnsiTheme="majorBidi" w:cstheme="majorBidi"/>
          <w:color w:val="000000"/>
          <w:spacing w:val="2"/>
          <w:kern w:val="36"/>
          <w:sz w:val="24"/>
          <w:szCs w:val="24"/>
          <w:lang w:val="en-US"/>
          <w14:ligatures w14:val="none"/>
        </w:rPr>
        <w:t xml:space="preserve"> </w:t>
      </w:r>
      <w:r w:rsidR="00FA6EE1" w:rsidRPr="009E313D">
        <w:rPr>
          <w:rFonts w:asciiTheme="majorBidi" w:eastAsia="Times New Roman" w:hAnsiTheme="majorBidi" w:cstheme="majorBidi"/>
          <w:color w:val="000000"/>
          <w:spacing w:val="2"/>
          <w:kern w:val="36"/>
          <w:sz w:val="24"/>
          <w:szCs w:val="24"/>
          <w:lang w:val="en-US"/>
          <w14:ligatures w14:val="none"/>
        </w:rPr>
        <w:t>October</w:t>
      </w:r>
      <w:r w:rsidRPr="009E313D">
        <w:rPr>
          <w:rFonts w:asciiTheme="majorBidi" w:eastAsia="Times New Roman" w:hAnsiTheme="majorBidi" w:cstheme="majorBidi"/>
          <w:color w:val="000000"/>
          <w:spacing w:val="2"/>
          <w:kern w:val="36"/>
          <w:sz w:val="24"/>
          <w:szCs w:val="24"/>
          <w:lang w:val="en-US"/>
          <w14:ligatures w14:val="none"/>
        </w:rPr>
        <w:t xml:space="preserve"> 2024.</w:t>
      </w:r>
    </w:p>
    <w:p w14:paraId="31007A55" w14:textId="5A0DD10A" w:rsidR="00907A76" w:rsidRPr="009E313D" w:rsidRDefault="00907A76" w:rsidP="00E97D89">
      <w:pPr>
        <w:spacing w:before="240" w:after="0" w:line="240" w:lineRule="auto"/>
        <w:rPr>
          <w:rFonts w:asciiTheme="majorBidi" w:eastAsia="Times New Roman" w:hAnsiTheme="majorBidi" w:cstheme="majorBidi"/>
          <w:color w:val="000000"/>
          <w:spacing w:val="2"/>
          <w:kern w:val="36"/>
          <w:sz w:val="24"/>
          <w:szCs w:val="24"/>
          <w:lang w:val="en-US"/>
          <w14:ligatures w14:val="none"/>
        </w:rPr>
      </w:pPr>
      <w:r w:rsidRPr="00907A76">
        <w:rPr>
          <w:rFonts w:asciiTheme="majorBidi" w:eastAsia="Times New Roman" w:hAnsiTheme="majorBidi" w:cstheme="majorBidi"/>
          <w:b/>
          <w:bCs/>
          <w:color w:val="000000"/>
          <w:spacing w:val="2"/>
          <w:kern w:val="36"/>
          <w:sz w:val="24"/>
          <w:szCs w:val="24"/>
          <w:lang w:val="en-US"/>
          <w14:ligatures w14:val="none"/>
        </w:rPr>
        <w:t xml:space="preserve">First online: </w:t>
      </w:r>
      <w:r w:rsidRPr="009E313D">
        <w:rPr>
          <w:rFonts w:asciiTheme="majorBidi" w:eastAsia="Times New Roman" w:hAnsiTheme="majorBidi" w:cstheme="majorBidi"/>
          <w:color w:val="000000"/>
          <w:spacing w:val="2"/>
          <w:kern w:val="36"/>
          <w:sz w:val="24"/>
          <w:szCs w:val="24"/>
          <w:lang w:val="en-US"/>
          <w14:ligatures w14:val="none"/>
        </w:rPr>
        <w:t xml:space="preserve">26 </w:t>
      </w:r>
      <w:r w:rsidR="00E97D89" w:rsidRPr="009E313D">
        <w:rPr>
          <w:rFonts w:asciiTheme="majorBidi" w:eastAsia="Times New Roman" w:hAnsiTheme="majorBidi" w:cstheme="majorBidi"/>
          <w:color w:val="000000"/>
          <w:spacing w:val="2"/>
          <w:kern w:val="36"/>
          <w:sz w:val="24"/>
          <w:szCs w:val="24"/>
          <w:lang w:val="en-US"/>
          <w14:ligatures w14:val="none"/>
        </w:rPr>
        <w:t xml:space="preserve">October </w:t>
      </w:r>
      <w:r w:rsidRPr="009E313D">
        <w:rPr>
          <w:rFonts w:asciiTheme="majorBidi" w:eastAsia="Times New Roman" w:hAnsiTheme="majorBidi" w:cstheme="majorBidi"/>
          <w:color w:val="000000"/>
          <w:spacing w:val="2"/>
          <w:kern w:val="36"/>
          <w:sz w:val="24"/>
          <w:szCs w:val="24"/>
          <w:lang w:val="en-US"/>
          <w14:ligatures w14:val="none"/>
        </w:rPr>
        <w:t>2024.</w:t>
      </w:r>
    </w:p>
    <w:p w14:paraId="586E7E06" w14:textId="77777777" w:rsidR="0015007E" w:rsidRPr="00D323AE" w:rsidRDefault="0015007E" w:rsidP="00907A76">
      <w:pPr>
        <w:spacing w:before="240" w:after="0" w:line="240" w:lineRule="auto"/>
        <w:rPr>
          <w:rFonts w:asciiTheme="majorBidi" w:eastAsia="Times New Roman" w:hAnsiTheme="majorBidi" w:cstheme="majorBidi"/>
          <w:b/>
          <w:bCs/>
          <w:color w:val="000000"/>
          <w:spacing w:val="2"/>
          <w:kern w:val="36"/>
          <w:sz w:val="24"/>
          <w:szCs w:val="24"/>
          <w14:ligatures w14:val="none"/>
        </w:rPr>
      </w:pPr>
    </w:p>
    <w:bookmarkEnd w:id="0"/>
    <w:bookmarkEnd w:id="1"/>
    <w:p w14:paraId="58B56E16" w14:textId="77777777" w:rsidR="0015007E" w:rsidRPr="00D323AE" w:rsidRDefault="00000000">
      <w:pPr>
        <w:autoSpaceDE w:val="0"/>
        <w:autoSpaceDN w:val="0"/>
        <w:adjustRightInd w:val="0"/>
        <w:spacing w:after="0" w:line="240" w:lineRule="auto"/>
        <w:jc w:val="both"/>
        <w:rPr>
          <w:rFonts w:asciiTheme="majorBidi" w:eastAsia="Times New Roman" w:hAnsiTheme="majorBidi" w:cstheme="majorBidi"/>
          <w:b/>
          <w:bCs/>
          <w:color w:val="000000"/>
          <w:kern w:val="0"/>
          <w:sz w:val="24"/>
          <w:szCs w:val="24"/>
          <w:lang w:eastAsia="en-GB"/>
          <w14:ligatures w14:val="none"/>
        </w:rPr>
      </w:pPr>
      <w:r w:rsidRPr="00D323AE">
        <w:rPr>
          <w:rFonts w:asciiTheme="majorBidi" w:eastAsia="Times New Roman" w:hAnsiTheme="majorBidi" w:cstheme="majorBidi"/>
          <w:b/>
          <w:bCs/>
          <w:color w:val="000000"/>
          <w:kern w:val="0"/>
          <w:sz w:val="24"/>
          <w:szCs w:val="24"/>
          <w:lang w:eastAsia="en-GB"/>
          <w14:ligatures w14:val="none"/>
        </w:rPr>
        <w:t>Abstract</w:t>
      </w:r>
    </w:p>
    <w:p w14:paraId="7212BBD6" w14:textId="0F5F9438" w:rsidR="00EC3846" w:rsidRPr="00D323AE" w:rsidRDefault="00000000" w:rsidP="000926B0">
      <w:pPr>
        <w:autoSpaceDE w:val="0"/>
        <w:autoSpaceDN w:val="0"/>
        <w:adjustRightInd w:val="0"/>
        <w:spacing w:after="0" w:line="240" w:lineRule="auto"/>
        <w:ind w:firstLine="567"/>
        <w:jc w:val="both"/>
        <w:rPr>
          <w:rFonts w:asciiTheme="majorBidi" w:hAnsiTheme="majorBidi" w:cstheme="majorBidi"/>
          <w:color w:val="000000"/>
          <w:sz w:val="24"/>
          <w:szCs w:val="24"/>
          <w:shd w:val="clear" w:color="auto" w:fill="FFFFFF"/>
          <w:lang w:val="en-US"/>
        </w:rPr>
      </w:pPr>
      <w:r w:rsidRPr="00D323AE">
        <w:rPr>
          <w:rFonts w:asciiTheme="majorBidi" w:eastAsia="Times New Roman" w:hAnsiTheme="majorBidi" w:cstheme="majorBidi"/>
          <w:b/>
          <w:bCs/>
          <w:color w:val="000000"/>
          <w:kern w:val="0"/>
          <w:sz w:val="24"/>
          <w:szCs w:val="24"/>
          <w:lang w:eastAsia="en-GB"/>
          <w14:ligatures w14:val="none"/>
        </w:rPr>
        <w:t xml:space="preserve">Background: </w:t>
      </w:r>
      <w:r w:rsidR="0053200C" w:rsidRPr="00D323AE">
        <w:rPr>
          <w:rFonts w:asciiTheme="majorBidi" w:hAnsiTheme="majorBidi" w:cstheme="majorBidi"/>
          <w:color w:val="000000"/>
          <w:kern w:val="0"/>
          <w:sz w:val="24"/>
          <w:szCs w:val="24"/>
        </w:rPr>
        <w:t>Non-alcoholic</w:t>
      </w:r>
      <w:r w:rsidRPr="00D323AE">
        <w:rPr>
          <w:rFonts w:asciiTheme="majorBidi" w:hAnsiTheme="majorBidi" w:cstheme="majorBidi"/>
          <w:color w:val="000000"/>
          <w:kern w:val="0"/>
          <w:sz w:val="24"/>
          <w:szCs w:val="24"/>
        </w:rPr>
        <w:t xml:space="preserve"> fatty liver disease (NAFLD) is characteri</w:t>
      </w:r>
      <w:r w:rsidR="0053200C">
        <w:rPr>
          <w:rFonts w:asciiTheme="majorBidi" w:hAnsiTheme="majorBidi" w:cstheme="majorBidi"/>
          <w:color w:val="000000"/>
          <w:kern w:val="0"/>
          <w:sz w:val="24"/>
          <w:szCs w:val="24"/>
        </w:rPr>
        <w:t>z</w:t>
      </w:r>
      <w:r w:rsidRPr="00D323AE">
        <w:rPr>
          <w:rFonts w:asciiTheme="majorBidi" w:hAnsiTheme="majorBidi" w:cstheme="majorBidi"/>
          <w:color w:val="000000"/>
          <w:kern w:val="0"/>
          <w:sz w:val="24"/>
          <w:szCs w:val="24"/>
        </w:rPr>
        <w:t>ed by diffuse hepatocyte steatosis. The pathogenesis of NAFLD is not recogni</w:t>
      </w:r>
      <w:r w:rsidR="0053200C">
        <w:rPr>
          <w:rFonts w:asciiTheme="majorBidi" w:hAnsiTheme="majorBidi" w:cstheme="majorBidi"/>
          <w:color w:val="000000"/>
          <w:kern w:val="0"/>
          <w:sz w:val="24"/>
          <w:szCs w:val="24"/>
        </w:rPr>
        <w:t>z</w:t>
      </w:r>
      <w:r w:rsidRPr="00D323AE">
        <w:rPr>
          <w:rFonts w:asciiTheme="majorBidi" w:hAnsiTheme="majorBidi" w:cstheme="majorBidi"/>
          <w:color w:val="000000"/>
          <w:kern w:val="0"/>
          <w:sz w:val="24"/>
          <w:szCs w:val="24"/>
        </w:rPr>
        <w:t>ed.</w:t>
      </w:r>
      <w:r w:rsidRPr="00D323AE">
        <w:rPr>
          <w:rFonts w:asciiTheme="majorBidi" w:hAnsiTheme="majorBidi" w:cstheme="majorBidi"/>
          <w:color w:val="000000"/>
          <w:sz w:val="24"/>
          <w:szCs w:val="24"/>
        </w:rPr>
        <w:t xml:space="preserve"> It has become </w:t>
      </w:r>
      <w:r w:rsidR="0053200C">
        <w:rPr>
          <w:rFonts w:asciiTheme="majorBidi" w:hAnsiTheme="majorBidi" w:cstheme="majorBidi"/>
          <w:color w:val="000000"/>
          <w:sz w:val="24"/>
          <w:szCs w:val="24"/>
        </w:rPr>
        <w:t>apparent</w:t>
      </w:r>
      <w:r w:rsidRPr="00D323AE">
        <w:rPr>
          <w:rFonts w:asciiTheme="majorBidi" w:hAnsiTheme="majorBidi" w:cstheme="majorBidi"/>
          <w:color w:val="000000"/>
          <w:sz w:val="24"/>
          <w:szCs w:val="24"/>
        </w:rPr>
        <w:t xml:space="preserve"> that </w:t>
      </w:r>
      <w:r w:rsidRPr="00D323AE">
        <w:rPr>
          <w:rFonts w:asciiTheme="majorBidi" w:hAnsiTheme="majorBidi" w:cstheme="majorBidi"/>
          <w:color w:val="000000"/>
          <w:kern w:val="0"/>
          <w:sz w:val="24"/>
          <w:szCs w:val="24"/>
        </w:rPr>
        <w:t>genetic, environmental, and metabolic factors</w:t>
      </w:r>
      <w:r w:rsidR="0053200C">
        <w:rPr>
          <w:rFonts w:asciiTheme="majorBidi" w:hAnsiTheme="majorBidi" w:cstheme="majorBidi"/>
          <w:color w:val="000000"/>
          <w:kern w:val="0"/>
          <w:sz w:val="24"/>
          <w:szCs w:val="24"/>
        </w:rPr>
        <w:t xml:space="preserve"> drive NAFLD</w:t>
      </w:r>
      <w:r w:rsidRPr="00D323AE">
        <w:rPr>
          <w:rFonts w:asciiTheme="majorBidi" w:hAnsiTheme="majorBidi" w:cstheme="majorBidi"/>
          <w:color w:val="000000"/>
          <w:kern w:val="0"/>
          <w:sz w:val="24"/>
          <w:szCs w:val="24"/>
        </w:rPr>
        <w:t xml:space="preserve">. Moreover, earlier studies have observed that some polymorphisms raise the likelihood of NAFLD. Among these, </w:t>
      </w:r>
      <w:r w:rsidR="0053200C">
        <w:rPr>
          <w:rFonts w:asciiTheme="majorBidi" w:hAnsiTheme="majorBidi" w:cstheme="majorBidi"/>
          <w:color w:val="000000"/>
          <w:kern w:val="0"/>
          <w:sz w:val="24"/>
          <w:szCs w:val="24"/>
        </w:rPr>
        <w:t xml:space="preserve">the most robustly observed was </w:t>
      </w:r>
      <w:r w:rsidRPr="00D323AE">
        <w:rPr>
          <w:rFonts w:asciiTheme="majorBidi" w:hAnsiTheme="majorBidi" w:cstheme="majorBidi"/>
          <w:color w:val="000000"/>
          <w:kern w:val="0"/>
          <w:sz w:val="24"/>
          <w:szCs w:val="24"/>
        </w:rPr>
        <w:t xml:space="preserve">the relationship between NAFLD risk and </w:t>
      </w:r>
      <w:proofErr w:type="spellStart"/>
      <w:r w:rsidRPr="00D323AE">
        <w:rPr>
          <w:rFonts w:asciiTheme="majorBidi" w:hAnsiTheme="majorBidi" w:cstheme="majorBidi"/>
          <w:color w:val="000000"/>
          <w:kern w:val="0"/>
          <w:sz w:val="24"/>
          <w:szCs w:val="24"/>
        </w:rPr>
        <w:t>patatin</w:t>
      </w:r>
      <w:proofErr w:type="spellEnd"/>
      <w:r w:rsidRPr="00D323AE">
        <w:rPr>
          <w:rFonts w:asciiTheme="majorBidi" w:hAnsiTheme="majorBidi" w:cstheme="majorBidi"/>
          <w:color w:val="000000"/>
          <w:kern w:val="0"/>
          <w:sz w:val="24"/>
          <w:szCs w:val="24"/>
        </w:rPr>
        <w:t xml:space="preserve">-like phospholipase domain-containing 3 (PNPLA3). </w:t>
      </w:r>
      <w:r w:rsidRPr="00D323AE">
        <w:rPr>
          <w:rFonts w:asciiTheme="majorBidi" w:hAnsiTheme="majorBidi" w:cstheme="majorBidi"/>
          <w:b/>
          <w:bCs/>
          <w:color w:val="000000"/>
          <w:kern w:val="0"/>
          <w:sz w:val="24"/>
          <w:szCs w:val="24"/>
        </w:rPr>
        <w:t xml:space="preserve">Aim: </w:t>
      </w:r>
      <w:r w:rsidRPr="00D323AE">
        <w:rPr>
          <w:rFonts w:asciiTheme="majorBidi" w:hAnsiTheme="majorBidi" w:cstheme="majorBidi"/>
          <w:color w:val="000000"/>
          <w:kern w:val="0"/>
          <w:sz w:val="24"/>
          <w:szCs w:val="24"/>
        </w:rPr>
        <w:t xml:space="preserve">We aimed </w:t>
      </w:r>
      <w:r w:rsidRPr="00D323AE">
        <w:rPr>
          <w:rFonts w:asciiTheme="majorBidi" w:eastAsia="Times New Roman" w:hAnsiTheme="majorBidi" w:cstheme="majorBidi"/>
          <w:color w:val="000000"/>
          <w:kern w:val="0"/>
          <w:sz w:val="24"/>
          <w:szCs w:val="24"/>
          <w:lang w:val="en-US"/>
          <w14:ligatures w14:val="none"/>
        </w:rPr>
        <w:t>to assess</w:t>
      </w:r>
      <w:r w:rsidRPr="00D323AE">
        <w:rPr>
          <w:rFonts w:asciiTheme="majorBidi" w:hAnsiTheme="majorBidi" w:cstheme="majorBidi"/>
          <w:color w:val="000000"/>
          <w:kern w:val="0"/>
          <w:sz w:val="24"/>
          <w:szCs w:val="24"/>
        </w:rPr>
        <w:t xml:space="preserve"> the effect of the rs738409 polymorphism of the PNPLA3 gene (encoding I148m) on NAFLD. </w:t>
      </w:r>
      <w:r w:rsidRPr="00D323AE">
        <w:rPr>
          <w:rFonts w:asciiTheme="majorBidi" w:eastAsia="Times New Roman" w:hAnsiTheme="majorBidi" w:cstheme="majorBidi"/>
          <w:b/>
          <w:bCs/>
          <w:color w:val="000000"/>
          <w:kern w:val="0"/>
          <w:sz w:val="24"/>
          <w:szCs w:val="24"/>
          <w:lang w:val="en-US" w:bidi="ar-EG"/>
          <w14:ligatures w14:val="none"/>
        </w:rPr>
        <w:t xml:space="preserve">Patients and Methods: </w:t>
      </w:r>
      <w:r w:rsidRPr="00D323AE">
        <w:rPr>
          <w:rFonts w:asciiTheme="majorBidi" w:eastAsia="Times New Roman" w:hAnsiTheme="majorBidi" w:cstheme="majorBidi"/>
          <w:color w:val="000000"/>
          <w:kern w:val="0"/>
          <w:sz w:val="24"/>
          <w:szCs w:val="24"/>
          <w:lang w:val="en-US" w:bidi="ar-EG"/>
          <w14:ligatures w14:val="none"/>
        </w:rPr>
        <w:t>This study</w:t>
      </w:r>
      <w:r w:rsidR="00A86C5F">
        <w:rPr>
          <w:rFonts w:asciiTheme="majorBidi" w:eastAsia="Times New Roman" w:hAnsiTheme="majorBidi" w:cstheme="majorBidi"/>
          <w:color w:val="000000"/>
          <w:kern w:val="0"/>
          <w:sz w:val="24"/>
          <w:szCs w:val="24"/>
          <w:lang w:val="en-US" w:bidi="ar-EG"/>
          <w14:ligatures w14:val="none"/>
        </w:rPr>
        <w:t>, which</w:t>
      </w:r>
      <w:r w:rsidRPr="00D323AE">
        <w:rPr>
          <w:rFonts w:asciiTheme="majorBidi" w:eastAsia="Times New Roman" w:hAnsiTheme="majorBidi" w:cstheme="majorBidi"/>
          <w:color w:val="000000"/>
          <w:kern w:val="0"/>
          <w:sz w:val="24"/>
          <w:szCs w:val="24"/>
          <w:lang w:val="en-US" w:bidi="ar-EG"/>
          <w14:ligatures w14:val="none"/>
        </w:rPr>
        <w:t xml:space="preserve"> included 30 participants</w:t>
      </w:r>
      <w:r w:rsidR="00A86C5F">
        <w:rPr>
          <w:rFonts w:asciiTheme="majorBidi" w:eastAsia="Times New Roman" w:hAnsiTheme="majorBidi" w:cstheme="majorBidi"/>
          <w:color w:val="000000"/>
          <w:kern w:val="0"/>
          <w:sz w:val="24"/>
          <w:szCs w:val="24"/>
          <w:lang w:val="en-US" w:bidi="ar-EG"/>
          <w14:ligatures w14:val="none"/>
        </w:rPr>
        <w:t>, was conducted with meticulous attention to detail and thoroughness</w:t>
      </w:r>
      <w:r w:rsidRPr="00D323AE">
        <w:rPr>
          <w:rFonts w:asciiTheme="majorBidi" w:eastAsia="Times New Roman" w:hAnsiTheme="majorBidi" w:cstheme="majorBidi"/>
          <w:color w:val="000000"/>
          <w:kern w:val="0"/>
          <w:sz w:val="24"/>
          <w:szCs w:val="24"/>
          <w:lang w:val="en-US" w:bidi="ar-EG"/>
          <w14:ligatures w14:val="none"/>
        </w:rPr>
        <w:t xml:space="preserve">: 20 patients with NAFLD and </w:t>
      </w:r>
      <w:r w:rsidR="006D325E">
        <w:rPr>
          <w:rFonts w:asciiTheme="majorBidi" w:eastAsia="Times New Roman" w:hAnsiTheme="majorBidi" w:cstheme="majorBidi"/>
          <w:color w:val="000000"/>
          <w:kern w:val="0"/>
          <w:sz w:val="24"/>
          <w:szCs w:val="24"/>
          <w:lang w:val="en-US" w:bidi="ar-EG"/>
          <w14:ligatures w14:val="none"/>
        </w:rPr>
        <w:t>10</w:t>
      </w:r>
      <w:r w:rsidRPr="00D323AE">
        <w:rPr>
          <w:rFonts w:asciiTheme="majorBidi" w:eastAsia="Times New Roman" w:hAnsiTheme="majorBidi" w:cstheme="majorBidi"/>
          <w:color w:val="000000"/>
          <w:kern w:val="0"/>
          <w:sz w:val="24"/>
          <w:szCs w:val="24"/>
          <w:lang w:val="en-US" w:bidi="ar-EG"/>
          <w14:ligatures w14:val="none"/>
        </w:rPr>
        <w:t xml:space="preserve"> healthy participants as a control group. Participants were diagnosed according to a liver biopsy taken during surgery from patients who were candidates for bariatric surgery and as part of a </w:t>
      </w:r>
      <w:proofErr w:type="spellStart"/>
      <w:r w:rsidRPr="00D323AE">
        <w:rPr>
          <w:rFonts w:asciiTheme="majorBidi" w:eastAsia="Times New Roman" w:hAnsiTheme="majorBidi" w:cstheme="majorBidi"/>
          <w:color w:val="000000"/>
          <w:kern w:val="0"/>
          <w:sz w:val="24"/>
          <w:szCs w:val="24"/>
          <w:lang w:val="en-US" w:bidi="ar-EG"/>
          <w14:ligatures w14:val="none"/>
        </w:rPr>
        <w:t>predonation</w:t>
      </w:r>
      <w:proofErr w:type="spellEnd"/>
      <w:r w:rsidRPr="00D323AE">
        <w:rPr>
          <w:rFonts w:asciiTheme="majorBidi" w:eastAsia="Times New Roman" w:hAnsiTheme="majorBidi" w:cstheme="majorBidi"/>
          <w:color w:val="000000"/>
          <w:kern w:val="0"/>
          <w:sz w:val="24"/>
          <w:szCs w:val="24"/>
          <w:lang w:val="en-US" w:bidi="ar-EG"/>
          <w14:ligatures w14:val="none"/>
        </w:rPr>
        <w:t xml:space="preserve"> assessment for candidates for donation in liver transplantation. </w:t>
      </w:r>
      <w:r w:rsidRPr="00D323AE">
        <w:rPr>
          <w:rFonts w:asciiTheme="majorBidi" w:eastAsia="Times New Roman" w:hAnsiTheme="majorBidi" w:cstheme="majorBidi"/>
          <w:color w:val="000000"/>
          <w:spacing w:val="-4"/>
          <w:kern w:val="0"/>
          <w:sz w:val="24"/>
          <w:szCs w:val="24"/>
          <w:lang w:bidi="ar-EG"/>
          <w14:ligatures w14:val="none"/>
        </w:rPr>
        <w:t>Genotyping of the PNPLA3 gene variant (rs738409 C/G) was assessed using the TaqMan assay quantitative polymerase chain reaction in blood cells.</w:t>
      </w:r>
      <w:r w:rsidRPr="00D323AE">
        <w:rPr>
          <w:rFonts w:asciiTheme="majorBidi" w:hAnsiTheme="majorBidi" w:cstheme="majorBidi"/>
          <w:color w:val="000000"/>
          <w:kern w:val="0"/>
          <w:sz w:val="24"/>
          <w:szCs w:val="24"/>
        </w:rPr>
        <w:t xml:space="preserve"> </w:t>
      </w:r>
      <w:r w:rsidRPr="00D323AE">
        <w:rPr>
          <w:rFonts w:asciiTheme="majorBidi" w:eastAsia="Times New Roman" w:hAnsiTheme="majorBidi" w:cstheme="majorBidi"/>
          <w:b/>
          <w:bCs/>
          <w:color w:val="000000"/>
          <w:kern w:val="0"/>
          <w:sz w:val="24"/>
          <w:szCs w:val="24"/>
          <w:lang w:eastAsia="en-GB"/>
          <w14:ligatures w14:val="none"/>
        </w:rPr>
        <w:t>Results</w:t>
      </w:r>
      <w:r w:rsidRPr="00D323AE">
        <w:rPr>
          <w:rFonts w:asciiTheme="majorBidi" w:hAnsiTheme="majorBidi" w:cstheme="majorBidi"/>
          <w:color w:val="000000"/>
          <w:kern w:val="0"/>
          <w:sz w:val="24"/>
          <w:szCs w:val="24"/>
        </w:rPr>
        <w:t xml:space="preserve">: </w:t>
      </w:r>
      <w:r w:rsidRPr="00D323AE">
        <w:rPr>
          <w:rFonts w:asciiTheme="majorBidi" w:hAnsiTheme="majorBidi" w:cstheme="majorBidi"/>
          <w:color w:val="000000"/>
          <w:kern w:val="0"/>
          <w:sz w:val="24"/>
          <w:szCs w:val="24"/>
          <w:lang w:val="en-US"/>
          <w14:ligatures w14:val="none"/>
        </w:rPr>
        <w:t>Considering the distribution of the PNPLA3 gene variant (rs738409 C/G), a greater prevalence of heterozygous rs738409 CG and homozygous rs738409 GG variants occurred in the NAFLD patients in contrast to the control group (</w:t>
      </w:r>
      <w:r w:rsidRPr="00D323AE">
        <w:rPr>
          <w:rFonts w:asciiTheme="majorBidi" w:hAnsiTheme="majorBidi" w:cstheme="majorBidi"/>
          <w:i/>
          <w:iCs/>
          <w:color w:val="000000"/>
          <w:kern w:val="0"/>
          <w:sz w:val="24"/>
          <w:szCs w:val="24"/>
          <w:lang w:val="en-US"/>
          <w14:ligatures w14:val="none"/>
        </w:rPr>
        <w:t xml:space="preserve">p </w:t>
      </w:r>
      <w:r w:rsidRPr="00D323AE">
        <w:rPr>
          <w:rFonts w:asciiTheme="majorBidi" w:hAnsiTheme="majorBidi" w:cstheme="majorBidi"/>
          <w:color w:val="000000"/>
          <w:kern w:val="0"/>
          <w:sz w:val="24"/>
          <w:szCs w:val="24"/>
          <w:lang w:val="en-US"/>
          <w14:ligatures w14:val="none"/>
        </w:rPr>
        <w:t>= 0.0</w:t>
      </w:r>
      <w:r w:rsidR="00152216" w:rsidRPr="00D323AE">
        <w:rPr>
          <w:rFonts w:asciiTheme="majorBidi" w:hAnsiTheme="majorBidi" w:cstheme="majorBidi"/>
          <w:color w:val="000000"/>
          <w:kern w:val="0"/>
          <w:sz w:val="24"/>
          <w:szCs w:val="24"/>
          <w:lang w:val="en-US"/>
          <w14:ligatures w14:val="none"/>
        </w:rPr>
        <w:t>48</w:t>
      </w:r>
      <w:r w:rsidRPr="00D323AE">
        <w:rPr>
          <w:rFonts w:asciiTheme="majorBidi" w:hAnsiTheme="majorBidi" w:cstheme="majorBidi"/>
          <w:color w:val="000000"/>
          <w:kern w:val="0"/>
          <w:sz w:val="24"/>
          <w:szCs w:val="24"/>
          <w:lang w:val="en-US"/>
          <w14:ligatures w14:val="none"/>
        </w:rPr>
        <w:t>)</w:t>
      </w:r>
      <w:r w:rsidRPr="00D323AE">
        <w:rPr>
          <w:rFonts w:asciiTheme="majorBidi" w:hAnsiTheme="majorBidi" w:cstheme="majorBidi"/>
          <w:color w:val="000000"/>
          <w:kern w:val="0"/>
          <w:sz w:val="24"/>
          <w:szCs w:val="24"/>
          <w14:ligatures w14:val="none"/>
        </w:rPr>
        <w:t>. In addition, NAFLD patients with the</w:t>
      </w:r>
      <w:r w:rsidRPr="00D323AE">
        <w:rPr>
          <w:rFonts w:asciiTheme="majorBidi" w:hAnsiTheme="majorBidi" w:cstheme="majorBidi"/>
          <w:color w:val="000000"/>
          <w:kern w:val="0"/>
          <w:sz w:val="24"/>
          <w:szCs w:val="24"/>
          <w:lang w:val="en-US"/>
          <w14:ligatures w14:val="none"/>
        </w:rPr>
        <w:t xml:space="preserve"> homozygous GG variant had a higher incidence of hepatic fibrosis (</w:t>
      </w:r>
      <w:r w:rsidRPr="00D323AE">
        <w:rPr>
          <w:rFonts w:asciiTheme="majorBidi" w:hAnsiTheme="majorBidi" w:cstheme="majorBidi"/>
          <w:i/>
          <w:iCs/>
          <w:color w:val="000000"/>
          <w:kern w:val="0"/>
          <w:sz w:val="24"/>
          <w:szCs w:val="24"/>
          <w:lang w:val="en-US"/>
          <w14:ligatures w14:val="none"/>
        </w:rPr>
        <w:t>p</w:t>
      </w:r>
      <w:r w:rsidRPr="00D323AE">
        <w:rPr>
          <w:rFonts w:asciiTheme="majorBidi" w:hAnsiTheme="majorBidi" w:cstheme="majorBidi"/>
          <w:color w:val="000000"/>
          <w:kern w:val="0"/>
          <w:sz w:val="24"/>
          <w:szCs w:val="24"/>
          <w:lang w:val="en-US"/>
          <w14:ligatures w14:val="none"/>
        </w:rPr>
        <w:t xml:space="preserve"> = 0.0</w:t>
      </w:r>
      <w:r w:rsidR="00731DF0" w:rsidRPr="00D323AE">
        <w:rPr>
          <w:rFonts w:asciiTheme="majorBidi" w:hAnsiTheme="majorBidi" w:cstheme="majorBidi"/>
          <w:color w:val="000000"/>
          <w:kern w:val="0"/>
          <w:sz w:val="24"/>
          <w:szCs w:val="24"/>
          <w:lang w:val="en-US"/>
          <w14:ligatures w14:val="none"/>
        </w:rPr>
        <w:t>18</w:t>
      </w:r>
      <w:r w:rsidRPr="00D323AE">
        <w:rPr>
          <w:rFonts w:asciiTheme="majorBidi" w:hAnsiTheme="majorBidi" w:cstheme="majorBidi"/>
          <w:color w:val="000000"/>
          <w:kern w:val="0"/>
          <w:sz w:val="24"/>
          <w:szCs w:val="24"/>
          <w:lang w:val="en-US"/>
          <w14:ligatures w14:val="none"/>
        </w:rPr>
        <w:t xml:space="preserve">). </w:t>
      </w:r>
      <w:r w:rsidR="00047588" w:rsidRPr="00D323AE">
        <w:rPr>
          <w:rFonts w:asciiTheme="majorBidi" w:hAnsiTheme="majorBidi" w:cstheme="majorBidi"/>
          <w:color w:val="000000"/>
          <w:kern w:val="0"/>
          <w:sz w:val="24"/>
          <w:szCs w:val="24"/>
          <w:lang w:val="en-US"/>
          <w14:ligatures w14:val="none"/>
        </w:rPr>
        <w:t>Furthermore</w:t>
      </w:r>
      <w:r w:rsidRPr="00D323AE">
        <w:rPr>
          <w:rFonts w:asciiTheme="majorBidi" w:hAnsiTheme="majorBidi" w:cstheme="majorBidi"/>
          <w:color w:val="000000"/>
          <w:kern w:val="0"/>
          <w:sz w:val="24"/>
          <w:szCs w:val="24"/>
          <w:lang w:val="en-US"/>
          <w14:ligatures w14:val="none"/>
        </w:rPr>
        <w:t>,</w:t>
      </w:r>
      <w:r w:rsidR="009722D0" w:rsidRPr="00D323AE">
        <w:rPr>
          <w:rFonts w:asciiTheme="majorBidi" w:hAnsiTheme="majorBidi" w:cstheme="majorBidi"/>
          <w:color w:val="000000"/>
          <w:kern w:val="0"/>
          <w:sz w:val="24"/>
          <w:szCs w:val="24"/>
          <w:lang w:val="en-US"/>
          <w14:ligatures w14:val="none"/>
        </w:rPr>
        <w:t xml:space="preserve"> PNPLA3 gene polymorphism significant</w:t>
      </w:r>
      <w:r w:rsidR="005F69A2">
        <w:rPr>
          <w:rFonts w:asciiTheme="majorBidi" w:hAnsiTheme="majorBidi" w:cstheme="majorBidi"/>
          <w:color w:val="000000"/>
          <w:kern w:val="0"/>
          <w:sz w:val="24"/>
          <w:szCs w:val="24"/>
          <w:lang w:val="en-US"/>
          <w14:ligatures w14:val="none"/>
        </w:rPr>
        <w:t>ly</w:t>
      </w:r>
      <w:r w:rsidR="009722D0" w:rsidRPr="00D323AE">
        <w:rPr>
          <w:rFonts w:asciiTheme="majorBidi" w:hAnsiTheme="majorBidi" w:cstheme="majorBidi"/>
          <w:color w:val="000000"/>
          <w:kern w:val="0"/>
          <w:sz w:val="24"/>
          <w:szCs w:val="24"/>
          <w:lang w:val="en-US"/>
          <w14:ligatures w14:val="none"/>
        </w:rPr>
        <w:t xml:space="preserve"> </w:t>
      </w:r>
      <w:r w:rsidR="00DD68AC" w:rsidRPr="00D323AE">
        <w:rPr>
          <w:rFonts w:asciiTheme="majorBidi" w:hAnsiTheme="majorBidi" w:cstheme="majorBidi"/>
          <w:color w:val="000000"/>
          <w:kern w:val="0"/>
          <w:sz w:val="24"/>
          <w:szCs w:val="24"/>
          <w:lang w:val="en-US"/>
          <w14:ligatures w14:val="none"/>
        </w:rPr>
        <w:t>predict</w:t>
      </w:r>
      <w:r w:rsidR="005F69A2">
        <w:rPr>
          <w:rFonts w:asciiTheme="majorBidi" w:hAnsiTheme="majorBidi" w:cstheme="majorBidi"/>
          <w:color w:val="000000"/>
          <w:kern w:val="0"/>
          <w:sz w:val="24"/>
          <w:szCs w:val="24"/>
          <w:lang w:val="en-US"/>
          <w14:ligatures w14:val="none"/>
        </w:rPr>
        <w:t>ed</w:t>
      </w:r>
      <w:r w:rsidR="009722D0" w:rsidRPr="00D323AE">
        <w:rPr>
          <w:rFonts w:asciiTheme="majorBidi" w:hAnsiTheme="majorBidi" w:cstheme="majorBidi"/>
          <w:color w:val="000000"/>
          <w:kern w:val="0"/>
          <w:sz w:val="24"/>
          <w:szCs w:val="24"/>
          <w:lang w:val="en-US"/>
          <w14:ligatures w14:val="none"/>
        </w:rPr>
        <w:t xml:space="preserve"> hepatic steatosis and </w:t>
      </w:r>
      <w:r w:rsidR="00DD68AC" w:rsidRPr="00D323AE">
        <w:rPr>
          <w:rFonts w:asciiTheme="majorBidi" w:hAnsiTheme="majorBidi" w:cstheme="majorBidi"/>
          <w:color w:val="000000"/>
          <w:kern w:val="0"/>
          <w:sz w:val="24"/>
          <w:szCs w:val="24"/>
          <w:lang w:val="en-US"/>
          <w14:ligatures w14:val="none"/>
        </w:rPr>
        <w:t>fibrosis</w:t>
      </w:r>
      <w:r w:rsidR="009722D0" w:rsidRPr="00D323AE">
        <w:rPr>
          <w:rFonts w:asciiTheme="majorBidi" w:hAnsiTheme="majorBidi" w:cstheme="majorBidi"/>
          <w:color w:val="000000"/>
          <w:kern w:val="0"/>
          <w:sz w:val="24"/>
          <w:szCs w:val="24"/>
          <w:lang w:val="en-US"/>
          <w14:ligatures w14:val="none"/>
        </w:rPr>
        <w:t xml:space="preserve"> in NAFLD </w:t>
      </w:r>
      <w:r w:rsidR="00DD68AC" w:rsidRPr="00D323AE">
        <w:rPr>
          <w:rFonts w:asciiTheme="majorBidi" w:hAnsiTheme="majorBidi" w:cstheme="majorBidi"/>
          <w:color w:val="000000"/>
          <w:kern w:val="0"/>
          <w:sz w:val="24"/>
          <w:szCs w:val="24"/>
          <w:lang w:val="en-US"/>
          <w14:ligatures w14:val="none"/>
        </w:rPr>
        <w:t xml:space="preserve">patients </w:t>
      </w:r>
      <w:r w:rsidR="009722D0" w:rsidRPr="00D323AE">
        <w:rPr>
          <w:rFonts w:asciiTheme="majorBidi" w:hAnsiTheme="majorBidi" w:cstheme="majorBidi"/>
          <w:color w:val="000000"/>
          <w:kern w:val="0"/>
          <w:sz w:val="24"/>
          <w:szCs w:val="24"/>
          <w:lang w:val="en-US"/>
          <w14:ligatures w14:val="none"/>
        </w:rPr>
        <w:t>(</w:t>
      </w:r>
      <w:r w:rsidR="00DD68AC" w:rsidRPr="00D323AE">
        <w:rPr>
          <w:rFonts w:asciiTheme="majorBidi" w:hAnsiTheme="majorBidi" w:cstheme="majorBidi"/>
          <w:i/>
          <w:iCs/>
          <w:color w:val="000000"/>
          <w:kern w:val="0"/>
          <w:sz w:val="24"/>
          <w:szCs w:val="24"/>
          <w:lang w:val="en-US"/>
          <w14:ligatures w14:val="none"/>
        </w:rPr>
        <w:t>p</w:t>
      </w:r>
      <w:r w:rsidR="00DD68AC" w:rsidRPr="00D323AE">
        <w:rPr>
          <w:rFonts w:asciiTheme="majorBidi" w:hAnsiTheme="majorBidi" w:cstheme="majorBidi"/>
          <w:color w:val="000000"/>
          <w:kern w:val="0"/>
          <w:sz w:val="24"/>
          <w:szCs w:val="24"/>
          <w14:ligatures w14:val="none"/>
        </w:rPr>
        <w:t xml:space="preserve"> = 0.033 and </w:t>
      </w:r>
      <w:r w:rsidR="00DD68AC" w:rsidRPr="00D323AE">
        <w:rPr>
          <w:rFonts w:asciiTheme="majorBidi" w:hAnsiTheme="majorBidi" w:cstheme="majorBidi"/>
          <w:i/>
          <w:iCs/>
          <w:color w:val="000000"/>
          <w:kern w:val="0"/>
          <w:sz w:val="24"/>
          <w:szCs w:val="24"/>
          <w:lang w:val="en-US"/>
          <w14:ligatures w14:val="none"/>
        </w:rPr>
        <w:t>p</w:t>
      </w:r>
      <w:r w:rsidR="00DD68AC" w:rsidRPr="00D323AE">
        <w:rPr>
          <w:rFonts w:asciiTheme="majorBidi" w:hAnsiTheme="majorBidi" w:cstheme="majorBidi"/>
          <w:color w:val="000000"/>
          <w:kern w:val="0"/>
          <w:sz w:val="24"/>
          <w:szCs w:val="24"/>
          <w:lang w:val="en-US"/>
          <w14:ligatures w14:val="none"/>
        </w:rPr>
        <w:t xml:space="preserve"> &lt; 0.001, respectively</w:t>
      </w:r>
      <w:r w:rsidR="009722D0" w:rsidRPr="00D323AE">
        <w:rPr>
          <w:rFonts w:asciiTheme="majorBidi" w:hAnsiTheme="majorBidi" w:cstheme="majorBidi"/>
          <w:color w:val="000000"/>
          <w:kern w:val="0"/>
          <w:sz w:val="24"/>
          <w:szCs w:val="24"/>
          <w:lang w:val="en-US"/>
          <w14:ligatures w14:val="none"/>
        </w:rPr>
        <w:t>)</w:t>
      </w:r>
      <w:r w:rsidRPr="00D323AE">
        <w:rPr>
          <w:rFonts w:asciiTheme="majorBidi" w:hAnsiTheme="majorBidi" w:cstheme="majorBidi"/>
          <w:color w:val="000000"/>
          <w:kern w:val="0"/>
          <w:sz w:val="24"/>
          <w:szCs w:val="24"/>
          <w:lang w:val="en-US"/>
          <w14:ligatures w14:val="none"/>
        </w:rPr>
        <w:t>.</w:t>
      </w:r>
      <w:r w:rsidRPr="00D323AE">
        <w:rPr>
          <w:rFonts w:asciiTheme="majorBidi" w:eastAsia="Times New Roman" w:hAnsiTheme="majorBidi" w:cstheme="majorBidi"/>
          <w:b/>
          <w:bCs/>
          <w:color w:val="000000"/>
          <w:kern w:val="0"/>
          <w:sz w:val="24"/>
          <w:szCs w:val="24"/>
          <w:lang w:eastAsia="en-GB"/>
          <w14:ligatures w14:val="none"/>
        </w:rPr>
        <w:t xml:space="preserve"> Conclusion: </w:t>
      </w:r>
      <w:r w:rsidR="001D0DFC" w:rsidRPr="00D323AE">
        <w:rPr>
          <w:rFonts w:asciiTheme="majorBidi" w:hAnsiTheme="majorBidi" w:cstheme="majorBidi"/>
          <w:color w:val="000000"/>
          <w:sz w:val="24"/>
          <w:szCs w:val="24"/>
          <w:shd w:val="clear" w:color="auto" w:fill="FFFFFF"/>
        </w:rPr>
        <w:t xml:space="preserve">The PNPLA3 rs738409 polymorphism is significantly associated with the susceptibility and severity of </w:t>
      </w:r>
      <w:r w:rsidR="005F69A2" w:rsidRPr="00D323AE">
        <w:rPr>
          <w:rFonts w:asciiTheme="majorBidi" w:hAnsiTheme="majorBidi" w:cstheme="majorBidi"/>
          <w:color w:val="000000"/>
          <w:sz w:val="24"/>
          <w:szCs w:val="24"/>
          <w:shd w:val="clear" w:color="auto" w:fill="FFFFFF"/>
        </w:rPr>
        <w:t>non-alcoholic</w:t>
      </w:r>
      <w:r w:rsidR="001D0DFC" w:rsidRPr="00D323AE">
        <w:rPr>
          <w:rFonts w:asciiTheme="majorBidi" w:hAnsiTheme="majorBidi" w:cstheme="majorBidi"/>
          <w:color w:val="000000"/>
          <w:sz w:val="24"/>
          <w:szCs w:val="24"/>
          <w:shd w:val="clear" w:color="auto" w:fill="FFFFFF"/>
        </w:rPr>
        <w:t xml:space="preserve"> fatty liver disease.</w:t>
      </w:r>
    </w:p>
    <w:p w14:paraId="1D6D5FFC" w14:textId="5C99669A" w:rsidR="000926B0" w:rsidRPr="00D323AE" w:rsidRDefault="000926B0" w:rsidP="000926B0">
      <w:pPr>
        <w:autoSpaceDE w:val="0"/>
        <w:autoSpaceDN w:val="0"/>
        <w:adjustRightInd w:val="0"/>
        <w:spacing w:after="0" w:line="240" w:lineRule="auto"/>
        <w:ind w:firstLine="567"/>
        <w:jc w:val="both"/>
        <w:rPr>
          <w:rFonts w:asciiTheme="majorBidi" w:hAnsiTheme="majorBidi" w:cstheme="majorBidi"/>
          <w:color w:val="000000"/>
          <w:sz w:val="24"/>
          <w:szCs w:val="24"/>
          <w:shd w:val="clear" w:color="auto" w:fill="FFFFFF"/>
        </w:rPr>
      </w:pPr>
    </w:p>
    <w:p w14:paraId="5E74420D" w14:textId="5CEBA4B6" w:rsidR="0015007E" w:rsidRPr="005F69A2" w:rsidRDefault="00000000" w:rsidP="005F69A2">
      <w:pPr>
        <w:autoSpaceDE w:val="0"/>
        <w:autoSpaceDN w:val="0"/>
        <w:adjustRightInd w:val="0"/>
        <w:spacing w:after="0" w:line="240" w:lineRule="auto"/>
        <w:jc w:val="both"/>
        <w:rPr>
          <w:rFonts w:asciiTheme="majorBidi" w:hAnsiTheme="majorBidi" w:cstheme="majorBidi"/>
          <w:i/>
          <w:iCs/>
          <w:color w:val="000000"/>
          <w:kern w:val="0"/>
          <w:sz w:val="24"/>
          <w:szCs w:val="24"/>
          <w:lang w:val="en-US"/>
        </w:rPr>
      </w:pPr>
      <w:r w:rsidRPr="005F69A2">
        <w:rPr>
          <w:rFonts w:asciiTheme="majorBidi" w:eastAsia="Times New Roman" w:hAnsiTheme="majorBidi" w:cstheme="majorBidi"/>
          <w:b/>
          <w:bCs/>
          <w:i/>
          <w:iCs/>
          <w:color w:val="000000"/>
          <w:kern w:val="0"/>
          <w:sz w:val="24"/>
          <w:szCs w:val="24"/>
          <w:lang w:eastAsia="en-GB"/>
          <w14:ligatures w14:val="none"/>
        </w:rPr>
        <w:t>Keywords</w:t>
      </w:r>
      <w:r w:rsidR="005F69A2" w:rsidRPr="005F69A2">
        <w:rPr>
          <w:rFonts w:asciiTheme="majorBidi" w:eastAsia="Times New Roman" w:hAnsiTheme="majorBidi" w:cstheme="majorBidi"/>
          <w:i/>
          <w:iCs/>
          <w:color w:val="000000"/>
          <w:kern w:val="0"/>
          <w:sz w:val="24"/>
          <w:szCs w:val="24"/>
          <w:lang w:eastAsia="en-GB"/>
          <w14:ligatures w14:val="none"/>
        </w:rPr>
        <w:t xml:space="preserve">: </w:t>
      </w:r>
      <w:r w:rsidR="00A86C5F" w:rsidRPr="005F69A2">
        <w:rPr>
          <w:rFonts w:asciiTheme="majorBidi" w:hAnsiTheme="majorBidi" w:cstheme="majorBidi"/>
          <w:i/>
          <w:iCs/>
          <w:color w:val="000000"/>
          <w:kern w:val="0"/>
          <w:sz w:val="24"/>
          <w:szCs w:val="24"/>
        </w:rPr>
        <w:t>Non-alcoholic</w:t>
      </w:r>
      <w:r w:rsidRPr="005F69A2">
        <w:rPr>
          <w:rFonts w:asciiTheme="majorBidi" w:hAnsiTheme="majorBidi" w:cstheme="majorBidi"/>
          <w:i/>
          <w:iCs/>
          <w:color w:val="000000"/>
          <w:kern w:val="0"/>
          <w:sz w:val="24"/>
          <w:szCs w:val="24"/>
        </w:rPr>
        <w:t xml:space="preserve"> Fatty Liver Disease</w:t>
      </w:r>
      <w:bookmarkStart w:id="5" w:name="_Hlk154089261"/>
      <w:r w:rsidRPr="005F69A2">
        <w:rPr>
          <w:rFonts w:asciiTheme="majorBidi" w:hAnsiTheme="majorBidi" w:cstheme="majorBidi"/>
          <w:i/>
          <w:iCs/>
          <w:color w:val="000000"/>
          <w:kern w:val="0"/>
          <w:sz w:val="24"/>
          <w:szCs w:val="24"/>
        </w:rPr>
        <w:t>;</w:t>
      </w:r>
      <w:bookmarkEnd w:id="5"/>
      <w:r w:rsidRPr="005F69A2">
        <w:rPr>
          <w:rFonts w:asciiTheme="majorBidi" w:hAnsiTheme="majorBidi" w:cstheme="majorBidi"/>
          <w:i/>
          <w:iCs/>
          <w:color w:val="000000"/>
          <w:kern w:val="0"/>
          <w:sz w:val="24"/>
          <w:szCs w:val="24"/>
        </w:rPr>
        <w:t xml:space="preserve"> </w:t>
      </w:r>
      <w:proofErr w:type="spellStart"/>
      <w:r w:rsidRPr="005F69A2">
        <w:rPr>
          <w:rFonts w:asciiTheme="majorBidi" w:hAnsiTheme="majorBidi" w:cstheme="majorBidi"/>
          <w:i/>
          <w:iCs/>
          <w:color w:val="000000"/>
          <w:kern w:val="0"/>
          <w:sz w:val="24"/>
          <w:szCs w:val="24"/>
        </w:rPr>
        <w:t>Patatin</w:t>
      </w:r>
      <w:proofErr w:type="spellEnd"/>
      <w:r w:rsidRPr="005F69A2">
        <w:rPr>
          <w:rFonts w:asciiTheme="majorBidi" w:hAnsiTheme="majorBidi" w:cstheme="majorBidi"/>
          <w:i/>
          <w:iCs/>
          <w:color w:val="000000"/>
          <w:kern w:val="0"/>
          <w:sz w:val="24"/>
          <w:szCs w:val="24"/>
        </w:rPr>
        <w:t xml:space="preserve">-Like Phospholipase Domain-Containing Protein 3; rs738409; </w:t>
      </w:r>
      <w:r w:rsidRPr="005F69A2">
        <w:rPr>
          <w:rFonts w:asciiTheme="majorBidi" w:hAnsiTheme="majorBidi" w:cstheme="majorBidi"/>
          <w:i/>
          <w:iCs/>
          <w:color w:val="000000"/>
          <w:sz w:val="24"/>
          <w:szCs w:val="24"/>
        </w:rPr>
        <w:t>Mean Platelet Volume</w:t>
      </w:r>
      <w:r w:rsidRPr="005F69A2">
        <w:rPr>
          <w:rFonts w:asciiTheme="majorBidi" w:hAnsiTheme="majorBidi" w:cstheme="majorBidi"/>
          <w:i/>
          <w:iCs/>
          <w:color w:val="000000"/>
          <w:kern w:val="0"/>
          <w:sz w:val="24"/>
          <w:szCs w:val="24"/>
          <w:lang w:val="en-US"/>
        </w:rPr>
        <w:t xml:space="preserve">; </w:t>
      </w:r>
      <w:r w:rsidRPr="005F69A2">
        <w:rPr>
          <w:rFonts w:asciiTheme="majorBidi" w:eastAsia="AlergiaNormal-Lightitalic" w:hAnsiTheme="majorBidi" w:cstheme="majorBidi"/>
          <w:i/>
          <w:iCs/>
          <w:color w:val="000000"/>
          <w:kern w:val="0"/>
          <w:sz w:val="24"/>
          <w:szCs w:val="24"/>
        </w:rPr>
        <w:t>Neutrophil to Lymphocyte Ratio</w:t>
      </w:r>
      <w:r w:rsidR="005F69A2">
        <w:rPr>
          <w:rFonts w:asciiTheme="majorBidi" w:eastAsia="AlergiaNormal-Lightitalic" w:hAnsiTheme="majorBidi" w:cstheme="majorBidi"/>
          <w:i/>
          <w:iCs/>
          <w:color w:val="000000"/>
          <w:kern w:val="0"/>
          <w:sz w:val="24"/>
          <w:szCs w:val="24"/>
        </w:rPr>
        <w:t>.</w:t>
      </w:r>
    </w:p>
    <w:p w14:paraId="2D16E176" w14:textId="77777777" w:rsidR="0015007E" w:rsidRPr="005F69A2" w:rsidRDefault="0015007E">
      <w:pPr>
        <w:autoSpaceDE w:val="0"/>
        <w:autoSpaceDN w:val="0"/>
        <w:adjustRightInd w:val="0"/>
        <w:spacing w:after="0" w:line="240" w:lineRule="auto"/>
        <w:jc w:val="both"/>
        <w:rPr>
          <w:rFonts w:asciiTheme="majorBidi" w:hAnsiTheme="majorBidi" w:cstheme="majorBidi"/>
          <w:i/>
          <w:iCs/>
          <w:color w:val="000000"/>
          <w:kern w:val="0"/>
          <w:sz w:val="24"/>
          <w:szCs w:val="24"/>
          <w:lang w:val="en-US"/>
        </w:rPr>
      </w:pPr>
    </w:p>
    <w:p w14:paraId="61C49EB8" w14:textId="77777777" w:rsidR="0015007E" w:rsidRPr="00D323AE" w:rsidRDefault="0015007E">
      <w:pPr>
        <w:autoSpaceDE w:val="0"/>
        <w:autoSpaceDN w:val="0"/>
        <w:adjustRightInd w:val="0"/>
        <w:spacing w:after="0" w:line="240" w:lineRule="auto"/>
        <w:jc w:val="both"/>
        <w:rPr>
          <w:rFonts w:asciiTheme="majorBidi" w:hAnsiTheme="majorBidi" w:cstheme="majorBidi"/>
          <w:color w:val="000000"/>
          <w:kern w:val="0"/>
          <w:sz w:val="24"/>
          <w:szCs w:val="24"/>
          <w:lang w:val="en-US"/>
        </w:rPr>
      </w:pPr>
    </w:p>
    <w:p w14:paraId="75BBA2A5" w14:textId="77777777" w:rsidR="0015007E" w:rsidRPr="00D323AE" w:rsidRDefault="00000000">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b/>
          <w:bCs/>
          <w:color w:val="000000"/>
          <w:kern w:val="0"/>
          <w:sz w:val="24"/>
          <w:szCs w:val="24"/>
          <w14:ligatures w14:val="none"/>
        </w:rPr>
        <w:t xml:space="preserve">Introduction </w:t>
      </w:r>
    </w:p>
    <w:p w14:paraId="3A5B91AC" w14:textId="4E38DD50" w:rsidR="0015007E" w:rsidRPr="00D323AE" w:rsidRDefault="00A86C5F">
      <w:pPr>
        <w:autoSpaceDE w:val="0"/>
        <w:autoSpaceDN w:val="0"/>
        <w:adjustRightInd w:val="0"/>
        <w:spacing w:after="0" w:line="240" w:lineRule="auto"/>
        <w:jc w:val="both"/>
        <w:rPr>
          <w:rFonts w:asciiTheme="majorBidi" w:hAnsiTheme="majorBidi" w:cstheme="majorBidi"/>
          <w:color w:val="000000"/>
          <w:kern w:val="0"/>
          <w:sz w:val="24"/>
          <w:szCs w:val="24"/>
        </w:rPr>
      </w:pPr>
      <w:r w:rsidRPr="00D323AE">
        <w:rPr>
          <w:rFonts w:asciiTheme="majorBidi" w:hAnsiTheme="majorBidi" w:cstheme="majorBidi"/>
          <w:color w:val="000000"/>
          <w:kern w:val="0"/>
          <w:sz w:val="24"/>
          <w:szCs w:val="24"/>
        </w:rPr>
        <w:t>Non-alcoholic fatty liver disease (NAFLD) is characteri</w:t>
      </w:r>
      <w:r w:rsidR="005F69A2">
        <w:rPr>
          <w:rFonts w:asciiTheme="majorBidi" w:hAnsiTheme="majorBidi" w:cstheme="majorBidi"/>
          <w:color w:val="000000"/>
          <w:kern w:val="0"/>
          <w:sz w:val="24"/>
          <w:szCs w:val="24"/>
        </w:rPr>
        <w:t>z</w:t>
      </w:r>
      <w:r w:rsidRPr="00D323AE">
        <w:rPr>
          <w:rFonts w:asciiTheme="majorBidi" w:hAnsiTheme="majorBidi" w:cstheme="majorBidi"/>
          <w:color w:val="000000"/>
          <w:kern w:val="0"/>
          <w:sz w:val="24"/>
          <w:szCs w:val="24"/>
        </w:rPr>
        <w:t xml:space="preserve">ed by disseminated hepatocyte steatosis, excluding extreme alcohol consumption and other hepatic diseases [1]. It </w:t>
      </w:r>
      <w:r w:rsidR="005F69A2">
        <w:rPr>
          <w:rFonts w:asciiTheme="majorBidi" w:hAnsiTheme="majorBidi" w:cstheme="majorBidi"/>
          <w:color w:val="000000"/>
          <w:kern w:val="0"/>
          <w:sz w:val="24"/>
          <w:szCs w:val="24"/>
        </w:rPr>
        <w:t xml:space="preserve">affects </w:t>
      </w:r>
      <w:r w:rsidRPr="00D323AE">
        <w:rPr>
          <w:rFonts w:asciiTheme="majorBidi" w:hAnsiTheme="majorBidi" w:cstheme="majorBidi"/>
          <w:color w:val="000000"/>
          <w:kern w:val="0"/>
          <w:sz w:val="24"/>
          <w:szCs w:val="24"/>
        </w:rPr>
        <w:t>approximately 32.4% of the general population [2,3]. NAFLD</w:t>
      </w:r>
      <w:r w:rsidRPr="00D323AE">
        <w:rPr>
          <w:rFonts w:asciiTheme="majorBidi" w:hAnsiTheme="majorBidi" w:cstheme="majorBidi"/>
          <w:color w:val="000000"/>
          <w:sz w:val="24"/>
          <w:szCs w:val="24"/>
        </w:rPr>
        <w:t xml:space="preserve"> has a </w:t>
      </w:r>
      <w:r w:rsidR="005F69A2">
        <w:rPr>
          <w:rFonts w:asciiTheme="majorBidi" w:hAnsiTheme="majorBidi" w:cstheme="majorBidi"/>
          <w:color w:val="000000"/>
          <w:sz w:val="24"/>
          <w:szCs w:val="24"/>
        </w:rPr>
        <w:t>broa</w:t>
      </w:r>
      <w:r w:rsidRPr="00D323AE">
        <w:rPr>
          <w:rFonts w:asciiTheme="majorBidi" w:hAnsiTheme="majorBidi" w:cstheme="majorBidi"/>
          <w:color w:val="000000"/>
          <w:sz w:val="24"/>
          <w:szCs w:val="24"/>
        </w:rPr>
        <w:t xml:space="preserve">d spectrum extending from </w:t>
      </w:r>
      <w:r w:rsidR="000833EE" w:rsidRPr="00D323AE">
        <w:rPr>
          <w:rFonts w:asciiTheme="majorBidi" w:hAnsiTheme="majorBidi" w:cstheme="majorBidi"/>
          <w:color w:val="000000"/>
          <w:sz w:val="24"/>
          <w:szCs w:val="24"/>
        </w:rPr>
        <w:t>non-alcoholic</w:t>
      </w:r>
      <w:r w:rsidRPr="00D323AE">
        <w:rPr>
          <w:rFonts w:asciiTheme="majorBidi" w:hAnsiTheme="majorBidi" w:cstheme="majorBidi"/>
          <w:color w:val="000000"/>
          <w:sz w:val="24"/>
          <w:szCs w:val="24"/>
        </w:rPr>
        <w:t xml:space="preserve"> fatty liver,</w:t>
      </w:r>
      <w:r w:rsidRPr="00D323AE">
        <w:rPr>
          <w:rFonts w:asciiTheme="majorBidi" w:hAnsiTheme="majorBidi" w:cstheme="majorBidi"/>
          <w:color w:val="000000"/>
          <w:kern w:val="0"/>
          <w:sz w:val="24"/>
          <w:szCs w:val="24"/>
        </w:rPr>
        <w:t xml:space="preserve"> which does not cause significant health risks,</w:t>
      </w:r>
      <w:r w:rsidRPr="00D323AE">
        <w:rPr>
          <w:rFonts w:asciiTheme="majorBidi" w:hAnsiTheme="majorBidi" w:cstheme="majorBidi"/>
          <w:color w:val="000000"/>
          <w:sz w:val="24"/>
          <w:szCs w:val="24"/>
        </w:rPr>
        <w:t xml:space="preserve"> to </w:t>
      </w:r>
      <w:r w:rsidR="00540625" w:rsidRPr="00D323AE">
        <w:rPr>
          <w:rFonts w:asciiTheme="majorBidi" w:hAnsiTheme="majorBidi" w:cstheme="majorBidi"/>
          <w:color w:val="000000"/>
          <w:sz w:val="24"/>
          <w:szCs w:val="24"/>
        </w:rPr>
        <w:t>non-alcoholic</w:t>
      </w:r>
      <w:r w:rsidRPr="00D323AE">
        <w:rPr>
          <w:rFonts w:asciiTheme="majorBidi" w:hAnsiTheme="majorBidi" w:cstheme="majorBidi"/>
          <w:color w:val="000000"/>
          <w:sz w:val="24"/>
          <w:szCs w:val="24"/>
        </w:rPr>
        <w:t xml:space="preserve"> steatohepatitis (NASH)</w:t>
      </w:r>
      <w:r w:rsidRPr="00D323AE">
        <w:rPr>
          <w:rFonts w:asciiTheme="majorBidi" w:hAnsiTheme="majorBidi" w:cstheme="majorBidi"/>
          <w:color w:val="000000"/>
          <w:kern w:val="0"/>
          <w:sz w:val="24"/>
          <w:szCs w:val="24"/>
        </w:rPr>
        <w:t xml:space="preserve">, hepatic cirrhosis, and finally hepatocellular carcinoma (HCC) [4,5]. Further, NAFLD is implicated in 36% of liver-related mortality, especially with progressive clinical forms of the disease [6]. </w:t>
      </w:r>
    </w:p>
    <w:p w14:paraId="65F04587" w14:textId="2203825D" w:rsidR="0015007E" w:rsidRPr="00D323AE" w:rsidRDefault="00000000">
      <w:pPr>
        <w:autoSpaceDE w:val="0"/>
        <w:autoSpaceDN w:val="0"/>
        <w:adjustRightInd w:val="0"/>
        <w:spacing w:before="240" w:after="0" w:line="240" w:lineRule="auto"/>
        <w:jc w:val="both"/>
        <w:rPr>
          <w:rFonts w:asciiTheme="majorBidi" w:hAnsiTheme="majorBidi" w:cstheme="majorBidi"/>
          <w:color w:val="000000"/>
          <w:sz w:val="24"/>
          <w:szCs w:val="24"/>
        </w:rPr>
      </w:pPr>
      <w:r w:rsidRPr="00D323AE">
        <w:rPr>
          <w:rFonts w:asciiTheme="majorBidi" w:hAnsiTheme="majorBidi" w:cstheme="majorBidi"/>
          <w:color w:val="000000"/>
          <w:kern w:val="0"/>
          <w:sz w:val="24"/>
          <w:szCs w:val="24"/>
        </w:rPr>
        <w:t>The pathogenesis of NAFLD is not fully recognized [7].</w:t>
      </w:r>
      <w:r w:rsidRPr="00D323AE">
        <w:rPr>
          <w:rFonts w:asciiTheme="majorBidi" w:hAnsiTheme="majorBidi" w:cstheme="majorBidi"/>
          <w:color w:val="000000"/>
          <w:sz w:val="24"/>
          <w:szCs w:val="24"/>
        </w:rPr>
        <w:t xml:space="preserve"> Recently, NAFLD </w:t>
      </w:r>
      <w:r w:rsidR="005F69A2">
        <w:rPr>
          <w:rFonts w:asciiTheme="majorBidi" w:hAnsiTheme="majorBidi" w:cstheme="majorBidi"/>
          <w:color w:val="000000"/>
          <w:sz w:val="24"/>
          <w:szCs w:val="24"/>
        </w:rPr>
        <w:t>has been considered </w:t>
      </w:r>
      <w:r w:rsidRPr="00D323AE">
        <w:rPr>
          <w:rFonts w:asciiTheme="majorBidi" w:hAnsiTheme="majorBidi" w:cstheme="majorBidi"/>
          <w:color w:val="000000"/>
          <w:sz w:val="24"/>
          <w:szCs w:val="24"/>
        </w:rPr>
        <w:t>a multifactorial disease driven by genetic, environmental, and metabolic factors [8]. Substantial inter-individual variations exist in the progression and disease severity in NAFLD cases</w:t>
      </w:r>
      <w:r w:rsidR="000833EE">
        <w:rPr>
          <w:rFonts w:asciiTheme="majorBidi" w:hAnsiTheme="majorBidi" w:cstheme="majorBidi"/>
          <w:color w:val="000000"/>
          <w:sz w:val="24"/>
          <w:szCs w:val="24"/>
        </w:rPr>
        <w:t>, and they</w:t>
      </w:r>
      <w:r w:rsidRPr="00D323AE">
        <w:rPr>
          <w:rFonts w:asciiTheme="majorBidi" w:hAnsiTheme="majorBidi" w:cstheme="majorBidi"/>
          <w:color w:val="000000"/>
          <w:sz w:val="24"/>
          <w:szCs w:val="24"/>
        </w:rPr>
        <w:t xml:space="preserve"> shar</w:t>
      </w:r>
      <w:r w:rsidR="000833EE">
        <w:rPr>
          <w:rFonts w:asciiTheme="majorBidi" w:hAnsiTheme="majorBidi" w:cstheme="majorBidi"/>
          <w:color w:val="000000"/>
          <w:sz w:val="24"/>
          <w:szCs w:val="24"/>
        </w:rPr>
        <w:t>e</w:t>
      </w:r>
      <w:r w:rsidRPr="00D323AE">
        <w:rPr>
          <w:rFonts w:asciiTheme="majorBidi" w:hAnsiTheme="majorBidi" w:cstheme="majorBidi"/>
          <w:color w:val="000000"/>
          <w:sz w:val="24"/>
          <w:szCs w:val="24"/>
        </w:rPr>
        <w:t xml:space="preserve"> the same environmental and metabolic risk factors [9]. In addition, inter-ethnic variations and familial clustering point to the substantial impact of genetic factors in the pathophysiology of NAFLD [10]. Moreover, </w:t>
      </w:r>
      <w:r w:rsidRPr="00D323AE">
        <w:rPr>
          <w:rFonts w:asciiTheme="majorBidi" w:hAnsiTheme="majorBidi" w:cstheme="majorBidi"/>
          <w:color w:val="000000"/>
          <w:kern w:val="0"/>
          <w:sz w:val="24"/>
          <w:szCs w:val="24"/>
        </w:rPr>
        <w:t xml:space="preserve">earlier studies have detected that some polymorphisms raise the risk of NAFLD [11-13]. Among these, </w:t>
      </w:r>
      <w:r w:rsidR="000833EE" w:rsidRPr="000833EE">
        <w:rPr>
          <w:rFonts w:asciiTheme="majorBidi" w:hAnsiTheme="majorBidi" w:cstheme="majorBidi"/>
          <w:color w:val="000000"/>
          <w:kern w:val="0"/>
          <w:sz w:val="24"/>
          <w:szCs w:val="24"/>
        </w:rPr>
        <w:t xml:space="preserve">the most robustly observed is the relationship between NAFLD risk and the </w:t>
      </w:r>
      <w:proofErr w:type="spellStart"/>
      <w:r w:rsidR="000833EE" w:rsidRPr="000833EE">
        <w:rPr>
          <w:rFonts w:asciiTheme="majorBidi" w:hAnsiTheme="majorBidi" w:cstheme="majorBidi"/>
          <w:color w:val="000000"/>
          <w:kern w:val="0"/>
          <w:sz w:val="24"/>
          <w:szCs w:val="24"/>
        </w:rPr>
        <w:t>patatin</w:t>
      </w:r>
      <w:proofErr w:type="spellEnd"/>
      <w:r w:rsidR="000833EE" w:rsidRPr="000833EE">
        <w:rPr>
          <w:rFonts w:asciiTheme="majorBidi" w:hAnsiTheme="majorBidi" w:cstheme="majorBidi"/>
          <w:color w:val="000000"/>
          <w:kern w:val="0"/>
          <w:sz w:val="24"/>
          <w:szCs w:val="24"/>
        </w:rPr>
        <w:t>-like phospholipase domain-containing 3 (PNPLA3) gene </w:t>
      </w:r>
      <w:r w:rsidRPr="00D323AE">
        <w:rPr>
          <w:rFonts w:asciiTheme="majorBidi" w:hAnsiTheme="majorBidi" w:cstheme="majorBidi"/>
          <w:color w:val="000000"/>
          <w:kern w:val="0"/>
          <w:sz w:val="24"/>
          <w:szCs w:val="24"/>
        </w:rPr>
        <w:t xml:space="preserve">[11]. </w:t>
      </w:r>
      <w:bookmarkStart w:id="6" w:name="_Hlk172662783"/>
      <w:r w:rsidRPr="00D323AE">
        <w:rPr>
          <w:rFonts w:asciiTheme="majorBidi" w:hAnsiTheme="majorBidi" w:cstheme="majorBidi"/>
          <w:color w:val="000000"/>
          <w:kern w:val="0"/>
          <w:sz w:val="24"/>
          <w:szCs w:val="24"/>
        </w:rPr>
        <w:t>The PNPLA3 is a transmembrane protein of 481 amino acids, primarily expressed in hepatocytes</w:t>
      </w:r>
      <w:r w:rsidR="00A86C5F">
        <w:rPr>
          <w:rFonts w:asciiTheme="majorBidi" w:hAnsiTheme="majorBidi" w:cstheme="majorBidi"/>
          <w:color w:val="000000"/>
          <w:kern w:val="0"/>
          <w:sz w:val="24"/>
          <w:szCs w:val="24"/>
        </w:rPr>
        <w:t>,</w:t>
      </w:r>
      <w:r w:rsidRPr="00D323AE">
        <w:rPr>
          <w:rFonts w:asciiTheme="majorBidi" w:hAnsiTheme="majorBidi" w:cstheme="majorBidi"/>
          <w:color w:val="000000"/>
          <w:kern w:val="0"/>
          <w:sz w:val="24"/>
          <w:szCs w:val="24"/>
        </w:rPr>
        <w:t xml:space="preserve"> skin</w:t>
      </w:r>
      <w:r w:rsidR="00A86C5F">
        <w:rPr>
          <w:rFonts w:asciiTheme="majorBidi" w:hAnsiTheme="majorBidi" w:cstheme="majorBidi"/>
          <w:color w:val="000000"/>
          <w:kern w:val="0"/>
          <w:sz w:val="24"/>
          <w:szCs w:val="24"/>
        </w:rPr>
        <w:t>,</w:t>
      </w:r>
      <w:r w:rsidRPr="00D323AE">
        <w:rPr>
          <w:rFonts w:asciiTheme="majorBidi" w:hAnsiTheme="majorBidi" w:cstheme="majorBidi"/>
          <w:color w:val="000000"/>
          <w:kern w:val="0"/>
          <w:sz w:val="24"/>
          <w:szCs w:val="24"/>
        </w:rPr>
        <w:t xml:space="preserve"> and adipocytes [14,15]. In addition, it is a lipoatrophic protein that influences hepatic fat metabolism through triacylglycerol lipase and acylglycerol O-acyltransferase activities</w:t>
      </w:r>
      <w:bookmarkEnd w:id="6"/>
      <w:r w:rsidRPr="00D323AE">
        <w:rPr>
          <w:rFonts w:asciiTheme="majorBidi" w:hAnsiTheme="majorBidi" w:cstheme="majorBidi"/>
          <w:color w:val="000000"/>
          <w:kern w:val="0"/>
          <w:sz w:val="24"/>
          <w:szCs w:val="24"/>
        </w:rPr>
        <w:t>. The nonsynonymous gene variant (C &gt; G, rs738409), where isoleucine is replaced at position 148 with methionine (PNPLA3-I148M), was regarded as a significant genetic predisposing factor for NAFLD and NASH [16].</w:t>
      </w:r>
      <w:r w:rsidRPr="00D323AE">
        <w:rPr>
          <w:rFonts w:asciiTheme="majorBidi" w:hAnsiTheme="majorBidi" w:cstheme="majorBidi"/>
          <w:color w:val="000000"/>
          <w:sz w:val="24"/>
          <w:szCs w:val="24"/>
        </w:rPr>
        <w:t xml:space="preserve"> </w:t>
      </w:r>
    </w:p>
    <w:p w14:paraId="4DA84846" w14:textId="77777777" w:rsidR="0015007E" w:rsidRPr="00D323AE" w:rsidRDefault="0015007E">
      <w:pPr>
        <w:autoSpaceDE w:val="0"/>
        <w:autoSpaceDN w:val="0"/>
        <w:adjustRightInd w:val="0"/>
        <w:spacing w:after="0" w:line="240" w:lineRule="auto"/>
        <w:jc w:val="both"/>
        <w:rPr>
          <w:rFonts w:asciiTheme="majorBidi" w:hAnsiTheme="majorBidi" w:cstheme="majorBidi"/>
          <w:color w:val="000000"/>
          <w:kern w:val="0"/>
          <w:sz w:val="24"/>
          <w:szCs w:val="24"/>
        </w:rPr>
      </w:pPr>
    </w:p>
    <w:p w14:paraId="4BE9856A" w14:textId="7C081100"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rPr>
      </w:pPr>
      <w:r w:rsidRPr="00D323AE">
        <w:rPr>
          <w:rFonts w:asciiTheme="majorBidi" w:hAnsiTheme="majorBidi" w:cstheme="majorBidi"/>
          <w:color w:val="000000"/>
          <w:kern w:val="0"/>
          <w:sz w:val="24"/>
          <w:szCs w:val="24"/>
        </w:rPr>
        <w:t xml:space="preserve">The exact mechanism and outcomes of PNPLA3-I148M are not yet comprehensively known. </w:t>
      </w:r>
      <w:r w:rsidRPr="00D323AE">
        <w:rPr>
          <w:rFonts w:asciiTheme="majorBidi" w:hAnsiTheme="majorBidi" w:cstheme="majorBidi"/>
          <w:color w:val="000000"/>
          <w:sz w:val="24"/>
          <w:szCs w:val="24"/>
        </w:rPr>
        <w:t>Nevertheless, this</w:t>
      </w:r>
      <w:r w:rsidRPr="00D323AE">
        <w:rPr>
          <w:rFonts w:asciiTheme="majorBidi" w:hAnsiTheme="majorBidi" w:cstheme="majorBidi"/>
          <w:color w:val="000000"/>
          <w:kern w:val="0"/>
          <w:sz w:val="24"/>
          <w:szCs w:val="24"/>
        </w:rPr>
        <w:t xml:space="preserve"> variant</w:t>
      </w:r>
      <w:r w:rsidRPr="00D323AE">
        <w:rPr>
          <w:rFonts w:asciiTheme="majorBidi" w:hAnsiTheme="majorBidi" w:cstheme="majorBidi"/>
          <w:color w:val="000000"/>
          <w:sz w:val="24"/>
          <w:szCs w:val="24"/>
        </w:rPr>
        <w:t xml:space="preserve"> can produce both a loss and gain of function. The loss of function occurs by impairing lipolytic activity</w:t>
      </w:r>
      <w:r w:rsidR="000833EE">
        <w:rPr>
          <w:rFonts w:asciiTheme="majorBidi" w:hAnsiTheme="majorBidi" w:cstheme="majorBidi"/>
          <w:color w:val="000000"/>
          <w:sz w:val="24"/>
          <w:szCs w:val="24"/>
        </w:rPr>
        <w:t>, which enhances </w:t>
      </w:r>
      <w:r w:rsidRPr="00D323AE">
        <w:rPr>
          <w:rFonts w:asciiTheme="majorBidi" w:hAnsiTheme="majorBidi" w:cstheme="majorBidi"/>
          <w:color w:val="000000"/>
          <w:sz w:val="24"/>
          <w:szCs w:val="24"/>
        </w:rPr>
        <w:t>triglyceride deposition [17]. Additionally, it was suggested that this variant promotes intracellular lipid accumulation through</w:t>
      </w:r>
      <w:r w:rsidRPr="00D323AE">
        <w:rPr>
          <w:rFonts w:asciiTheme="majorBidi" w:hAnsiTheme="majorBidi" w:cstheme="majorBidi"/>
          <w:color w:val="000000"/>
          <w:kern w:val="0"/>
          <w:sz w:val="24"/>
          <w:szCs w:val="24"/>
        </w:rPr>
        <w:t xml:space="preserve"> its effects on the </w:t>
      </w:r>
      <w:r w:rsidRPr="00D323AE">
        <w:rPr>
          <w:rFonts w:asciiTheme="majorBidi" w:hAnsiTheme="majorBidi" w:cstheme="majorBidi"/>
          <w:color w:val="000000"/>
          <w:sz w:val="24"/>
          <w:szCs w:val="24"/>
        </w:rPr>
        <w:t xml:space="preserve">excretion of </w:t>
      </w:r>
      <w:r w:rsidR="002E16FF">
        <w:rPr>
          <w:rFonts w:asciiTheme="majorBidi" w:hAnsiTheme="majorBidi" w:cstheme="majorBidi"/>
          <w:color w:val="000000"/>
          <w:sz w:val="24"/>
          <w:szCs w:val="24"/>
        </w:rPr>
        <w:t>A</w:t>
      </w:r>
      <w:r w:rsidRPr="00D323AE">
        <w:rPr>
          <w:rFonts w:asciiTheme="majorBidi" w:hAnsiTheme="majorBidi" w:cstheme="majorBidi"/>
          <w:color w:val="000000"/>
          <w:sz w:val="24"/>
          <w:szCs w:val="24"/>
        </w:rPr>
        <w:t xml:space="preserve">poB-containing lipoproteins </w:t>
      </w:r>
      <w:r w:rsidRPr="00D323AE">
        <w:rPr>
          <w:rFonts w:asciiTheme="majorBidi" w:hAnsiTheme="majorBidi" w:cstheme="majorBidi"/>
          <w:color w:val="000000"/>
          <w:kern w:val="0"/>
          <w:sz w:val="24"/>
          <w:szCs w:val="24"/>
        </w:rPr>
        <w:t>and esterification of very low-density lipoproteins [18]</w:t>
      </w:r>
      <w:r w:rsidRPr="00D323AE">
        <w:rPr>
          <w:rFonts w:asciiTheme="majorBidi" w:hAnsiTheme="majorBidi" w:cstheme="majorBidi"/>
          <w:color w:val="000000"/>
          <w:sz w:val="24"/>
          <w:szCs w:val="24"/>
        </w:rPr>
        <w:t xml:space="preserve">. </w:t>
      </w:r>
      <w:r w:rsidRPr="00D323AE">
        <w:rPr>
          <w:rFonts w:asciiTheme="majorBidi" w:hAnsiTheme="majorBidi" w:cstheme="majorBidi"/>
          <w:color w:val="000000"/>
          <w:kern w:val="0"/>
          <w:sz w:val="24"/>
          <w:szCs w:val="24"/>
        </w:rPr>
        <w:t>Moreover, this variant impaired triglyceride hydrolysis in hepatocytes [19]. In addition, PNPLA3 encodes adi</w:t>
      </w:r>
      <w:r w:rsidR="00550F7A">
        <w:rPr>
          <w:rFonts w:asciiTheme="majorBidi" w:hAnsiTheme="majorBidi" w:cstheme="majorBidi"/>
          <w:color w:val="000000"/>
          <w:kern w:val="0"/>
          <w:sz w:val="24"/>
          <w:szCs w:val="24"/>
        </w:rPr>
        <w:t>p</w:t>
      </w:r>
      <w:r w:rsidRPr="00D323AE">
        <w:rPr>
          <w:rFonts w:asciiTheme="majorBidi" w:hAnsiTheme="majorBidi" w:cstheme="majorBidi"/>
          <w:color w:val="000000"/>
          <w:kern w:val="0"/>
          <w:sz w:val="24"/>
          <w:szCs w:val="24"/>
        </w:rPr>
        <w:t xml:space="preserve">o-nutrients found on the lipid droplets and endoplasmic reticulum in hepatocytes, which may be </w:t>
      </w:r>
      <w:r w:rsidR="000833EE">
        <w:rPr>
          <w:rFonts w:asciiTheme="majorBidi" w:hAnsiTheme="majorBidi" w:cstheme="majorBidi"/>
          <w:color w:val="000000"/>
          <w:kern w:val="0"/>
          <w:sz w:val="24"/>
          <w:szCs w:val="24"/>
        </w:rPr>
        <w:t>an</w:t>
      </w:r>
      <w:r w:rsidRPr="00D323AE">
        <w:rPr>
          <w:rFonts w:asciiTheme="majorBidi" w:hAnsiTheme="majorBidi" w:cstheme="majorBidi"/>
          <w:color w:val="000000"/>
          <w:kern w:val="0"/>
          <w:sz w:val="24"/>
          <w:szCs w:val="24"/>
        </w:rPr>
        <w:t xml:space="preserve">other process by which the PNPLA3-I148M mutation results in increased hepatic triglyceride content [20]. </w:t>
      </w:r>
      <w:r w:rsidRPr="00D323AE">
        <w:rPr>
          <w:rFonts w:asciiTheme="majorBidi" w:hAnsiTheme="majorBidi" w:cstheme="majorBidi"/>
          <w:color w:val="000000"/>
          <w:sz w:val="24"/>
          <w:szCs w:val="24"/>
        </w:rPr>
        <w:t xml:space="preserve">Evidence also indicates increased hepatic triglyceride synthesis by promoting the function of lysophosphatidic acid acyltransferase through the gain of function caused by this variant [21]. </w:t>
      </w:r>
      <w:r w:rsidRPr="00D323AE">
        <w:rPr>
          <w:rFonts w:asciiTheme="majorBidi" w:hAnsiTheme="majorBidi" w:cstheme="majorBidi"/>
          <w:color w:val="000000"/>
          <w:kern w:val="0"/>
          <w:sz w:val="24"/>
          <w:szCs w:val="24"/>
        </w:rPr>
        <w:t>Moreover, this mutation enhances the development of hepatic fibrosis through impaired retinyl-palmitate lipase activity, upregulating proinflammatory cytokines, c-Jun N-terminal kinase (JNK)</w:t>
      </w:r>
      <w:r w:rsidR="000833EE">
        <w:rPr>
          <w:rFonts w:asciiTheme="majorBidi" w:hAnsiTheme="majorBidi" w:cstheme="majorBidi"/>
          <w:color w:val="000000"/>
          <w:kern w:val="0"/>
          <w:sz w:val="24"/>
          <w:szCs w:val="24"/>
        </w:rPr>
        <w:t>,</w:t>
      </w:r>
      <w:r w:rsidRPr="00D323AE">
        <w:rPr>
          <w:rFonts w:asciiTheme="majorBidi" w:hAnsiTheme="majorBidi" w:cstheme="majorBidi"/>
          <w:color w:val="000000"/>
          <w:kern w:val="0"/>
          <w:sz w:val="24"/>
          <w:szCs w:val="24"/>
        </w:rPr>
        <w:t xml:space="preserve"> and activator protein-1 (AP-1</w:t>
      </w:r>
      <w:r w:rsidR="000833EE" w:rsidRPr="00D323AE">
        <w:rPr>
          <w:rFonts w:asciiTheme="majorBidi" w:hAnsiTheme="majorBidi" w:cstheme="majorBidi"/>
          <w:color w:val="000000"/>
          <w:kern w:val="0"/>
          <w:sz w:val="24"/>
          <w:szCs w:val="24"/>
        </w:rPr>
        <w:t>) and</w:t>
      </w:r>
      <w:r w:rsidRPr="00D323AE">
        <w:rPr>
          <w:rFonts w:asciiTheme="majorBidi" w:hAnsiTheme="majorBidi" w:cstheme="majorBidi"/>
          <w:color w:val="000000"/>
          <w:kern w:val="0"/>
          <w:sz w:val="24"/>
          <w:szCs w:val="24"/>
        </w:rPr>
        <w:t xml:space="preserve"> enhancing matrix metalloproteinase expression [22]. Other authors have further replicated these findings, as the </w:t>
      </w:r>
      <w:bookmarkStart w:id="7" w:name="_Hlk148888748"/>
      <w:r w:rsidRPr="00D323AE">
        <w:rPr>
          <w:rFonts w:asciiTheme="majorBidi" w:hAnsiTheme="majorBidi" w:cstheme="majorBidi"/>
          <w:color w:val="000000"/>
          <w:kern w:val="0"/>
          <w:sz w:val="24"/>
          <w:szCs w:val="24"/>
        </w:rPr>
        <w:t xml:space="preserve">PNPLA3-I148M variant </w:t>
      </w:r>
      <w:bookmarkEnd w:id="7"/>
      <w:r w:rsidRPr="00D323AE">
        <w:rPr>
          <w:rFonts w:asciiTheme="majorBidi" w:hAnsiTheme="majorBidi" w:cstheme="majorBidi"/>
          <w:color w:val="000000"/>
          <w:kern w:val="0"/>
          <w:sz w:val="24"/>
          <w:szCs w:val="24"/>
        </w:rPr>
        <w:t xml:space="preserve">caused mitochondrial failure </w:t>
      </w:r>
      <w:r w:rsidRPr="00D323AE">
        <w:rPr>
          <w:rFonts w:asciiTheme="majorBidi" w:hAnsiTheme="majorBidi" w:cstheme="majorBidi"/>
          <w:i/>
          <w:iCs/>
          <w:color w:val="000000"/>
          <w:kern w:val="0"/>
          <w:sz w:val="24"/>
          <w:szCs w:val="24"/>
        </w:rPr>
        <w:t>via</w:t>
      </w:r>
      <w:r w:rsidRPr="00D323AE">
        <w:rPr>
          <w:rFonts w:asciiTheme="majorBidi" w:hAnsiTheme="majorBidi" w:cstheme="majorBidi"/>
          <w:color w:val="000000"/>
          <w:kern w:val="0"/>
          <w:sz w:val="24"/>
          <w:szCs w:val="24"/>
        </w:rPr>
        <w:t xml:space="preserve"> the deposition of cholesterol by decreasing the ABCG1 protein expression and preventing cholesterol efflux, causing the progression of hepatic fibrosis [23]. Hence, we aim </w:t>
      </w:r>
      <w:r w:rsidRPr="00D323AE">
        <w:rPr>
          <w:rFonts w:asciiTheme="majorBidi" w:eastAsia="Times New Roman" w:hAnsiTheme="majorBidi" w:cstheme="majorBidi"/>
          <w:color w:val="000000"/>
          <w:kern w:val="0"/>
          <w:sz w:val="24"/>
          <w:szCs w:val="24"/>
          <w:lang w:val="en-US"/>
          <w14:ligatures w14:val="none"/>
        </w:rPr>
        <w:t>to assess t</w:t>
      </w:r>
      <w:r w:rsidRPr="00D323AE">
        <w:rPr>
          <w:rFonts w:asciiTheme="majorBidi" w:hAnsiTheme="majorBidi" w:cstheme="majorBidi"/>
          <w:color w:val="000000"/>
          <w:kern w:val="0"/>
          <w:sz w:val="24"/>
          <w:szCs w:val="24"/>
        </w:rPr>
        <w:t>he effect of</w:t>
      </w:r>
      <w:r w:rsidRPr="00D323AE">
        <w:rPr>
          <w:rFonts w:asciiTheme="majorBidi" w:hAnsiTheme="majorBidi" w:cstheme="majorBidi"/>
          <w:color w:val="000000"/>
          <w:kern w:val="0"/>
          <w:sz w:val="24"/>
          <w:szCs w:val="24"/>
          <w:lang w:val="en-US"/>
          <w14:ligatures w14:val="none"/>
        </w:rPr>
        <w:t xml:space="preserve"> the PNPLA3</w:t>
      </w:r>
      <w:r w:rsidRPr="00D323AE">
        <w:rPr>
          <w:rFonts w:asciiTheme="majorBidi" w:hAnsiTheme="majorBidi" w:cstheme="majorBidi"/>
          <w:color w:val="000000"/>
          <w:kern w:val="0"/>
          <w:sz w:val="24"/>
          <w:szCs w:val="24"/>
        </w:rPr>
        <w:t> </w:t>
      </w:r>
      <w:r w:rsidRPr="00D323AE">
        <w:rPr>
          <w:rFonts w:asciiTheme="majorBidi" w:hAnsiTheme="majorBidi" w:cstheme="majorBidi"/>
          <w:color w:val="000000"/>
          <w:kern w:val="0"/>
          <w:sz w:val="24"/>
          <w:szCs w:val="24"/>
          <w:lang w:val="en-US"/>
          <w14:ligatures w14:val="none"/>
        </w:rPr>
        <w:t>(rs738409)</w:t>
      </w:r>
      <w:r w:rsidRPr="00D323AE">
        <w:rPr>
          <w:rFonts w:asciiTheme="majorBidi" w:hAnsiTheme="majorBidi" w:cstheme="majorBidi"/>
          <w:color w:val="000000"/>
          <w:kern w:val="0"/>
          <w:sz w:val="24"/>
          <w:szCs w:val="24"/>
        </w:rPr>
        <w:t xml:space="preserve"> gene</w:t>
      </w:r>
      <w:r w:rsidRPr="00D323AE">
        <w:rPr>
          <w:rFonts w:asciiTheme="majorBidi" w:hAnsiTheme="majorBidi" w:cstheme="majorBidi"/>
          <w:color w:val="000000"/>
          <w:kern w:val="0"/>
          <w:sz w:val="24"/>
          <w:szCs w:val="24"/>
          <w:lang w:val="en-US"/>
          <w14:ligatures w14:val="none"/>
        </w:rPr>
        <w:t xml:space="preserve"> </w:t>
      </w:r>
      <w:r w:rsidRPr="00D323AE">
        <w:rPr>
          <w:rFonts w:asciiTheme="majorBidi" w:hAnsiTheme="majorBidi" w:cstheme="majorBidi"/>
          <w:color w:val="000000"/>
          <w:kern w:val="0"/>
          <w:sz w:val="24"/>
          <w:szCs w:val="24"/>
        </w:rPr>
        <w:t xml:space="preserve">polymorphism on NAFLD. </w:t>
      </w:r>
    </w:p>
    <w:p w14:paraId="14F1C076" w14:textId="77777777" w:rsidR="0015007E" w:rsidRPr="00D323AE" w:rsidRDefault="0015007E">
      <w:pPr>
        <w:spacing w:line="240" w:lineRule="auto"/>
        <w:jc w:val="both"/>
        <w:rPr>
          <w:rFonts w:asciiTheme="majorBidi" w:hAnsiTheme="majorBidi" w:cstheme="majorBidi"/>
          <w:b/>
          <w:bCs/>
          <w:color w:val="000000"/>
          <w:kern w:val="0"/>
          <w:sz w:val="24"/>
          <w:szCs w:val="24"/>
          <w14:ligatures w14:val="none"/>
        </w:rPr>
      </w:pPr>
    </w:p>
    <w:p w14:paraId="73285615" w14:textId="77777777" w:rsidR="0015007E" w:rsidRPr="00D323AE" w:rsidRDefault="00000000">
      <w:pPr>
        <w:spacing w:line="240" w:lineRule="auto"/>
        <w:jc w:val="both"/>
        <w:rPr>
          <w:rFonts w:asciiTheme="majorBidi" w:hAnsiTheme="majorBidi" w:cstheme="majorBidi"/>
          <w:b/>
          <w:bCs/>
          <w:color w:val="000000"/>
          <w:kern w:val="0"/>
          <w:sz w:val="24"/>
          <w:szCs w:val="24"/>
          <w:u w:val="single"/>
          <w14:ligatures w14:val="none"/>
        </w:rPr>
      </w:pPr>
      <w:r w:rsidRPr="00D323AE">
        <w:rPr>
          <w:rFonts w:asciiTheme="majorBidi" w:hAnsiTheme="majorBidi" w:cstheme="majorBidi"/>
          <w:b/>
          <w:bCs/>
          <w:color w:val="000000"/>
          <w:kern w:val="0"/>
          <w:sz w:val="24"/>
          <w:szCs w:val="24"/>
          <w14:ligatures w14:val="none"/>
        </w:rPr>
        <w:t xml:space="preserve">Patients and Methods </w:t>
      </w:r>
    </w:p>
    <w:p w14:paraId="6D7B5092" w14:textId="08F0E5DE" w:rsidR="0015007E" w:rsidRPr="00D323AE" w:rsidRDefault="00000000">
      <w:pPr>
        <w:spacing w:after="0" w:line="240" w:lineRule="auto"/>
        <w:jc w:val="both"/>
        <w:rPr>
          <w:rFonts w:asciiTheme="majorBidi" w:eastAsia="Times New Roman" w:hAnsiTheme="majorBidi" w:cstheme="majorBidi"/>
          <w:color w:val="000000"/>
          <w:kern w:val="0"/>
          <w:sz w:val="24"/>
          <w:szCs w:val="24"/>
          <w:lang w:val="en-US" w:bidi="ar-EG"/>
          <w14:ligatures w14:val="none"/>
        </w:rPr>
      </w:pPr>
      <w:r w:rsidRPr="00D323AE">
        <w:rPr>
          <w:rFonts w:asciiTheme="majorBidi" w:eastAsia="Times New Roman" w:hAnsiTheme="majorBidi" w:cstheme="majorBidi"/>
          <w:color w:val="000000"/>
          <w:kern w:val="0"/>
          <w:sz w:val="24"/>
          <w:szCs w:val="24"/>
          <w:lang w:val="en-US" w:bidi="ar-EG"/>
          <w14:ligatures w14:val="none"/>
        </w:rPr>
        <w:t>This study involved 30 participants, 20 NAFLD cases</w:t>
      </w:r>
      <w:r w:rsidR="000833EE">
        <w:rPr>
          <w:rFonts w:asciiTheme="majorBidi" w:eastAsia="Times New Roman" w:hAnsiTheme="majorBidi" w:cstheme="majorBidi"/>
          <w:color w:val="000000"/>
          <w:kern w:val="0"/>
          <w:sz w:val="24"/>
          <w:szCs w:val="24"/>
          <w:lang w:val="en-US" w:bidi="ar-EG"/>
          <w14:ligatures w14:val="none"/>
        </w:rPr>
        <w:t>,</w:t>
      </w:r>
      <w:r w:rsidRPr="00D323AE">
        <w:rPr>
          <w:rFonts w:asciiTheme="majorBidi" w:eastAsia="Times New Roman" w:hAnsiTheme="majorBidi" w:cstheme="majorBidi"/>
          <w:color w:val="000000"/>
          <w:kern w:val="0"/>
          <w:sz w:val="24"/>
          <w:szCs w:val="24"/>
          <w:lang w:val="en-US" w:bidi="ar-EG"/>
          <w14:ligatures w14:val="none"/>
        </w:rPr>
        <w:t xml:space="preserve"> and </w:t>
      </w:r>
      <w:r w:rsidR="00BE7315">
        <w:rPr>
          <w:rFonts w:asciiTheme="majorBidi" w:eastAsia="Times New Roman" w:hAnsiTheme="majorBidi" w:cstheme="majorBidi"/>
          <w:color w:val="000000"/>
          <w:kern w:val="0"/>
          <w:sz w:val="24"/>
          <w:szCs w:val="24"/>
          <w:lang w:val="en-US" w:bidi="ar-EG"/>
          <w14:ligatures w14:val="none"/>
        </w:rPr>
        <w:t>10</w:t>
      </w:r>
      <w:r w:rsidRPr="00D323AE">
        <w:rPr>
          <w:rFonts w:asciiTheme="majorBidi" w:eastAsia="Times New Roman" w:hAnsiTheme="majorBidi" w:cstheme="majorBidi"/>
          <w:color w:val="000000"/>
          <w:kern w:val="0"/>
          <w:sz w:val="24"/>
          <w:szCs w:val="24"/>
          <w:lang w:val="en-US" w:bidi="ar-EG"/>
          <w14:ligatures w14:val="none"/>
        </w:rPr>
        <w:t xml:space="preserve"> normal individuals as a control group enrolled from the Internal Medicine and Surgical departments at Ain Shams University Hospitals from December 2021 to February 2023. Participants were diagnosed according to a liver biopsy taken during surgery from candidates for bariatric surgery (NAFLD cases) and as part of a </w:t>
      </w:r>
      <w:proofErr w:type="spellStart"/>
      <w:r w:rsidRPr="00D323AE">
        <w:rPr>
          <w:rFonts w:asciiTheme="majorBidi" w:eastAsia="Times New Roman" w:hAnsiTheme="majorBidi" w:cstheme="majorBidi"/>
          <w:color w:val="000000"/>
          <w:kern w:val="0"/>
          <w:sz w:val="24"/>
          <w:szCs w:val="24"/>
          <w:lang w:val="en-US" w:bidi="ar-EG"/>
          <w14:ligatures w14:val="none"/>
        </w:rPr>
        <w:t>predonation</w:t>
      </w:r>
      <w:proofErr w:type="spellEnd"/>
      <w:r w:rsidRPr="00D323AE">
        <w:rPr>
          <w:rFonts w:asciiTheme="majorBidi" w:eastAsia="Times New Roman" w:hAnsiTheme="majorBidi" w:cstheme="majorBidi"/>
          <w:color w:val="000000"/>
          <w:kern w:val="0"/>
          <w:sz w:val="24"/>
          <w:szCs w:val="24"/>
          <w:lang w:val="en-US" w:bidi="ar-EG"/>
          <w14:ligatures w14:val="none"/>
        </w:rPr>
        <w:t xml:space="preserve"> assessment for candidates for donation for liver transplantation as a control.</w:t>
      </w:r>
    </w:p>
    <w:p w14:paraId="54AAA207" w14:textId="620A8049" w:rsidR="0015007E" w:rsidRPr="00D323AE" w:rsidRDefault="00000000">
      <w:pPr>
        <w:autoSpaceDE w:val="0"/>
        <w:autoSpaceDN w:val="0"/>
        <w:adjustRightInd w:val="0"/>
        <w:spacing w:after="0" w:line="240" w:lineRule="auto"/>
        <w:jc w:val="both"/>
        <w:rPr>
          <w:rFonts w:asciiTheme="majorBidi" w:eastAsia="AlergiaNormal-Light" w:hAnsiTheme="majorBidi" w:cstheme="majorBidi"/>
          <w:color w:val="000000"/>
          <w:kern w:val="0"/>
          <w:sz w:val="24"/>
          <w:szCs w:val="24"/>
        </w:rPr>
      </w:pPr>
      <w:r w:rsidRPr="00D323AE">
        <w:rPr>
          <w:rFonts w:asciiTheme="majorBidi" w:eastAsia="AlergiaNormal-Light" w:hAnsiTheme="majorBidi" w:cstheme="majorBidi"/>
          <w:color w:val="000000"/>
          <w:kern w:val="0"/>
          <w:sz w:val="24"/>
          <w:szCs w:val="24"/>
        </w:rPr>
        <w:t>Patients 18 years and older were involved in the research, excluding those with hepatic diseases of other known aetiologies, such as autoimmune hepatitis, viral hepatitis, and Wilson’s disease. In addition, those with alcoholic liver disease, medication use known to induce hepatic steatosis or immunosuppression, and a history of malignancy or hematological diseases or current infection were also excluded.</w:t>
      </w:r>
      <w:r w:rsidRPr="00D323AE">
        <w:rPr>
          <w:rFonts w:asciiTheme="majorBidi" w:hAnsiTheme="majorBidi" w:cstheme="majorBidi"/>
          <w:color w:val="000000"/>
          <w:kern w:val="0"/>
          <w:sz w:val="24"/>
          <w:szCs w:val="24"/>
        </w:rPr>
        <w:t xml:space="preserve"> </w:t>
      </w:r>
      <w:r w:rsidRPr="00D323AE">
        <w:rPr>
          <w:rFonts w:asciiTheme="majorBidi" w:eastAsia="AlergiaNormal-Light" w:hAnsiTheme="majorBidi" w:cstheme="majorBidi"/>
          <w:color w:val="000000"/>
          <w:kern w:val="0"/>
          <w:sz w:val="24"/>
          <w:szCs w:val="24"/>
        </w:rPr>
        <w:t xml:space="preserve">All participants underwent the following: </w:t>
      </w:r>
    </w:p>
    <w:p w14:paraId="3116C64D" w14:textId="77777777" w:rsidR="0015007E" w:rsidRPr="00D323AE" w:rsidRDefault="00000000">
      <w:pPr>
        <w:numPr>
          <w:ilvl w:val="0"/>
          <w:numId w:val="1"/>
        </w:numPr>
        <w:spacing w:before="120" w:after="0" w:line="240" w:lineRule="auto"/>
        <w:ind w:left="714"/>
        <w:jc w:val="both"/>
        <w:rPr>
          <w:rFonts w:asciiTheme="majorBidi" w:eastAsia="Times New Roman" w:hAnsiTheme="majorBidi" w:cstheme="majorBidi"/>
          <w:color w:val="000000"/>
          <w:kern w:val="0"/>
          <w:sz w:val="24"/>
          <w:szCs w:val="24"/>
          <w:lang w:val="en-US" w:bidi="ar-EG"/>
          <w14:ligatures w14:val="none"/>
        </w:rPr>
      </w:pPr>
      <w:r w:rsidRPr="00D323AE">
        <w:rPr>
          <w:rFonts w:asciiTheme="majorBidi" w:eastAsia="Times New Roman" w:hAnsiTheme="majorBidi" w:cstheme="majorBidi"/>
          <w:color w:val="000000"/>
          <w:kern w:val="0"/>
          <w:sz w:val="24"/>
          <w:szCs w:val="24"/>
          <w:lang w:val="en-US" w:bidi="ar-EG"/>
          <w14:ligatures w14:val="none"/>
        </w:rPr>
        <w:t>A complete blood count and calculation of the neutrophil to lymphocyte ratio (NLR) and mean platelet volume (MPV) [24],</w:t>
      </w:r>
    </w:p>
    <w:p w14:paraId="51C2570E" w14:textId="006DFBF1" w:rsidR="0015007E" w:rsidRPr="00D323AE" w:rsidRDefault="00000000">
      <w:pPr>
        <w:numPr>
          <w:ilvl w:val="0"/>
          <w:numId w:val="1"/>
        </w:numPr>
        <w:spacing w:before="120" w:after="0" w:line="240" w:lineRule="auto"/>
        <w:ind w:left="714"/>
        <w:jc w:val="both"/>
        <w:rPr>
          <w:rFonts w:asciiTheme="majorBidi" w:eastAsia="Times New Roman" w:hAnsiTheme="majorBidi" w:cstheme="majorBidi"/>
          <w:color w:val="000000"/>
          <w:spacing w:val="-4"/>
          <w:kern w:val="0"/>
          <w:sz w:val="24"/>
          <w:szCs w:val="24"/>
          <w:lang w:bidi="ar-EG"/>
          <w14:ligatures w14:val="none"/>
        </w:rPr>
      </w:pPr>
      <w:r w:rsidRPr="00D323AE">
        <w:rPr>
          <w:rFonts w:asciiTheme="majorBidi" w:eastAsia="Times New Roman" w:hAnsiTheme="majorBidi" w:cstheme="majorBidi"/>
          <w:color w:val="000000"/>
          <w:spacing w:val="-4"/>
          <w:kern w:val="0"/>
          <w:sz w:val="24"/>
          <w:szCs w:val="24"/>
          <w:lang w:bidi="ar-EG"/>
          <w14:ligatures w14:val="none"/>
        </w:rPr>
        <w:t xml:space="preserve">Genotyping of the PNPLA3 gene variant (rs738409 C/G) using the TaqMan assay qPCR in blood cells. </w:t>
      </w:r>
      <w:r w:rsidR="000833EE">
        <w:rPr>
          <w:rFonts w:asciiTheme="majorBidi" w:eastAsia="Times New Roman" w:hAnsiTheme="majorBidi" w:cstheme="majorBidi"/>
          <w:color w:val="000000"/>
          <w:spacing w:val="-4"/>
          <w:kern w:val="0"/>
          <w:sz w:val="24"/>
          <w:szCs w:val="24"/>
          <w:lang w:bidi="ar-EG"/>
          <w14:ligatures w14:val="none"/>
        </w:rPr>
        <w:t xml:space="preserve">Per the manufacturer's instructions, </w:t>
      </w:r>
      <w:r w:rsidRPr="00D323AE">
        <w:rPr>
          <w:rFonts w:asciiTheme="majorBidi" w:eastAsia="Times New Roman" w:hAnsiTheme="majorBidi" w:cstheme="majorBidi"/>
          <w:color w:val="000000"/>
          <w:spacing w:val="-4"/>
          <w:kern w:val="0"/>
          <w:sz w:val="24"/>
          <w:szCs w:val="24"/>
          <w:lang w:bidi="ar-EG"/>
          <w14:ligatures w14:val="none"/>
        </w:rPr>
        <w:t xml:space="preserve">DNA was extracted from all participants using </w:t>
      </w:r>
      <w:r w:rsidR="000833EE">
        <w:rPr>
          <w:rFonts w:asciiTheme="majorBidi" w:eastAsia="Times New Roman" w:hAnsiTheme="majorBidi" w:cstheme="majorBidi"/>
          <w:color w:val="000000"/>
          <w:spacing w:val="-4"/>
          <w:kern w:val="0"/>
          <w:sz w:val="24"/>
          <w:szCs w:val="24"/>
          <w:lang w:bidi="ar-EG"/>
          <w14:ligatures w14:val="none"/>
        </w:rPr>
        <w:t>a </w:t>
      </w:r>
      <w:r w:rsidRPr="00D323AE">
        <w:rPr>
          <w:rFonts w:asciiTheme="majorBidi" w:eastAsia="Times New Roman" w:hAnsiTheme="majorBidi" w:cstheme="majorBidi"/>
          <w:color w:val="000000"/>
          <w:spacing w:val="-4"/>
          <w:kern w:val="0"/>
          <w:sz w:val="24"/>
          <w:szCs w:val="24"/>
          <w:lang w:bidi="ar-EG"/>
          <w14:ligatures w14:val="none"/>
        </w:rPr>
        <w:t>Genomic whole</w:t>
      </w:r>
      <w:r w:rsidR="000833EE">
        <w:rPr>
          <w:rFonts w:asciiTheme="majorBidi" w:eastAsia="Times New Roman" w:hAnsiTheme="majorBidi" w:cstheme="majorBidi"/>
          <w:color w:val="000000"/>
          <w:spacing w:val="-4"/>
          <w:kern w:val="0"/>
          <w:sz w:val="24"/>
          <w:szCs w:val="24"/>
          <w:lang w:bidi="ar-EG"/>
          <w14:ligatures w14:val="none"/>
        </w:rPr>
        <w:t>-</w:t>
      </w:r>
      <w:r w:rsidRPr="00D323AE">
        <w:rPr>
          <w:rFonts w:asciiTheme="majorBidi" w:eastAsia="Times New Roman" w:hAnsiTheme="majorBidi" w:cstheme="majorBidi"/>
          <w:color w:val="000000"/>
          <w:spacing w:val="-4"/>
          <w:kern w:val="0"/>
          <w:sz w:val="24"/>
          <w:szCs w:val="24"/>
          <w:lang w:bidi="ar-EG"/>
          <w14:ligatures w14:val="none"/>
        </w:rPr>
        <w:t>blood extraction kit (</w:t>
      </w:r>
      <w:proofErr w:type="spellStart"/>
      <w:r w:rsidRPr="00D323AE">
        <w:rPr>
          <w:rFonts w:asciiTheme="majorBidi" w:eastAsia="Times New Roman" w:hAnsiTheme="majorBidi" w:cstheme="majorBidi"/>
          <w:color w:val="000000"/>
          <w:spacing w:val="-4"/>
          <w:kern w:val="0"/>
          <w:sz w:val="24"/>
          <w:szCs w:val="24"/>
          <w:lang w:bidi="ar-EG"/>
          <w14:ligatures w14:val="none"/>
        </w:rPr>
        <w:t>Puregene</w:t>
      </w:r>
      <w:proofErr w:type="spellEnd"/>
      <w:r w:rsidRPr="00D323AE">
        <w:rPr>
          <w:rFonts w:asciiTheme="majorBidi" w:eastAsia="Times New Roman" w:hAnsiTheme="majorBidi" w:cstheme="majorBidi"/>
          <w:color w:val="000000"/>
          <w:spacing w:val="-4"/>
          <w:kern w:val="0"/>
          <w:sz w:val="24"/>
          <w:szCs w:val="24"/>
          <w:lang w:bidi="ar-EG"/>
          <w14:ligatures w14:val="none"/>
        </w:rPr>
        <w:t xml:space="preserve">, USA). The DNA was dissolved in </w:t>
      </w:r>
      <w:r w:rsidR="000833EE">
        <w:rPr>
          <w:rFonts w:asciiTheme="majorBidi" w:eastAsia="Times New Roman" w:hAnsiTheme="majorBidi" w:cstheme="majorBidi"/>
          <w:color w:val="000000"/>
          <w:spacing w:val="-4"/>
          <w:kern w:val="0"/>
          <w:sz w:val="24"/>
          <w:szCs w:val="24"/>
          <w:lang w:bidi="ar-EG"/>
          <w14:ligatures w14:val="none"/>
        </w:rPr>
        <w:t xml:space="preserve">a </w:t>
      </w:r>
      <w:r w:rsidRPr="00D323AE">
        <w:rPr>
          <w:rFonts w:asciiTheme="majorBidi" w:eastAsia="Times New Roman" w:hAnsiTheme="majorBidi" w:cstheme="majorBidi"/>
          <w:color w:val="000000"/>
          <w:spacing w:val="-4"/>
          <w:kern w:val="0"/>
          <w:sz w:val="24"/>
          <w:szCs w:val="24"/>
          <w:lang w:bidi="ar-EG"/>
          <w14:ligatures w14:val="none"/>
        </w:rPr>
        <w:t>TE buffer</w:t>
      </w:r>
      <w:r w:rsidR="000833EE">
        <w:rPr>
          <w:rFonts w:asciiTheme="majorBidi" w:eastAsia="Times New Roman" w:hAnsiTheme="majorBidi" w:cstheme="majorBidi"/>
          <w:color w:val="000000"/>
          <w:spacing w:val="-4"/>
          <w:kern w:val="0"/>
          <w:sz w:val="24"/>
          <w:szCs w:val="24"/>
          <w:lang w:bidi="ar-EG"/>
          <w14:ligatures w14:val="none"/>
        </w:rPr>
        <w:t>,</w:t>
      </w:r>
      <w:r w:rsidRPr="00D323AE">
        <w:rPr>
          <w:rFonts w:asciiTheme="majorBidi" w:eastAsia="Times New Roman" w:hAnsiTheme="majorBidi" w:cstheme="majorBidi"/>
          <w:color w:val="000000"/>
          <w:spacing w:val="-4"/>
          <w:kern w:val="0"/>
          <w:sz w:val="24"/>
          <w:szCs w:val="24"/>
          <w:lang w:bidi="ar-EG"/>
          <w14:ligatures w14:val="none"/>
        </w:rPr>
        <w:t xml:space="preserve"> and the DNA purity and concentration were d</w:t>
      </w:r>
      <w:r w:rsidR="000833EE">
        <w:rPr>
          <w:rFonts w:asciiTheme="majorBidi" w:eastAsia="Times New Roman" w:hAnsiTheme="majorBidi" w:cstheme="majorBidi"/>
          <w:color w:val="000000"/>
          <w:spacing w:val="-4"/>
          <w:kern w:val="0"/>
          <w:sz w:val="24"/>
          <w:szCs w:val="24"/>
          <w:lang w:bidi="ar-EG"/>
          <w14:ligatures w14:val="none"/>
        </w:rPr>
        <w:t>etermi</w:t>
      </w:r>
      <w:r w:rsidRPr="00D323AE">
        <w:rPr>
          <w:rFonts w:asciiTheme="majorBidi" w:eastAsia="Times New Roman" w:hAnsiTheme="majorBidi" w:cstheme="majorBidi"/>
          <w:color w:val="000000"/>
          <w:spacing w:val="-4"/>
          <w:kern w:val="0"/>
          <w:sz w:val="24"/>
          <w:szCs w:val="24"/>
          <w:lang w:bidi="ar-EG"/>
          <w14:ligatures w14:val="none"/>
        </w:rPr>
        <w:t>ne</w:t>
      </w:r>
      <w:r w:rsidR="000833EE">
        <w:rPr>
          <w:rFonts w:asciiTheme="majorBidi" w:eastAsia="Times New Roman" w:hAnsiTheme="majorBidi" w:cstheme="majorBidi"/>
          <w:color w:val="000000"/>
          <w:spacing w:val="-4"/>
          <w:kern w:val="0"/>
          <w:sz w:val="24"/>
          <w:szCs w:val="24"/>
          <w:lang w:bidi="ar-EG"/>
          <w14:ligatures w14:val="none"/>
        </w:rPr>
        <w:t>d</w:t>
      </w:r>
      <w:r w:rsidRPr="00D323AE">
        <w:rPr>
          <w:rFonts w:asciiTheme="majorBidi" w:eastAsia="Times New Roman" w:hAnsiTheme="majorBidi" w:cstheme="majorBidi"/>
          <w:color w:val="000000"/>
          <w:spacing w:val="-4"/>
          <w:kern w:val="0"/>
          <w:sz w:val="24"/>
          <w:szCs w:val="24"/>
          <w:lang w:bidi="ar-EG"/>
          <w14:ligatures w14:val="none"/>
        </w:rPr>
        <w:t xml:space="preserve"> using spectrophotometry. Real</w:t>
      </w:r>
      <w:r w:rsidR="000833EE">
        <w:rPr>
          <w:rFonts w:asciiTheme="majorBidi" w:eastAsia="Times New Roman" w:hAnsiTheme="majorBidi" w:cstheme="majorBidi"/>
          <w:color w:val="000000"/>
          <w:spacing w:val="-4"/>
          <w:kern w:val="0"/>
          <w:sz w:val="24"/>
          <w:szCs w:val="24"/>
          <w:lang w:bidi="ar-EG"/>
          <w14:ligatures w14:val="none"/>
        </w:rPr>
        <w:t>-</w:t>
      </w:r>
      <w:r w:rsidRPr="00D323AE">
        <w:rPr>
          <w:rFonts w:asciiTheme="majorBidi" w:eastAsia="Times New Roman" w:hAnsiTheme="majorBidi" w:cstheme="majorBidi"/>
          <w:color w:val="000000"/>
          <w:spacing w:val="-4"/>
          <w:kern w:val="0"/>
          <w:sz w:val="24"/>
          <w:szCs w:val="24"/>
          <w:lang w:bidi="ar-EG"/>
          <w14:ligatures w14:val="none"/>
        </w:rPr>
        <w:t xml:space="preserve">time PCR was applied to detect single nucleotide polymorphisms in </w:t>
      </w:r>
      <w:r w:rsidR="000833EE">
        <w:rPr>
          <w:rFonts w:asciiTheme="majorBidi" w:eastAsia="Times New Roman" w:hAnsiTheme="majorBidi" w:cstheme="majorBidi"/>
          <w:color w:val="000000"/>
          <w:spacing w:val="-4"/>
          <w:kern w:val="0"/>
          <w:sz w:val="24"/>
          <w:szCs w:val="24"/>
          <w:lang w:bidi="ar-EG"/>
          <w14:ligatures w14:val="none"/>
        </w:rPr>
        <w:t>the </w:t>
      </w:r>
      <w:r w:rsidRPr="00D323AE">
        <w:rPr>
          <w:rFonts w:asciiTheme="majorBidi" w:eastAsia="Times New Roman" w:hAnsiTheme="majorBidi" w:cstheme="majorBidi"/>
          <w:color w:val="000000"/>
          <w:spacing w:val="-4"/>
          <w:kern w:val="0"/>
          <w:sz w:val="24"/>
          <w:szCs w:val="24"/>
          <w:lang w:bidi="ar-EG"/>
          <w14:ligatures w14:val="none"/>
        </w:rPr>
        <w:t>PNPLA3 gene (rs738409)</w:t>
      </w:r>
      <w:r w:rsidR="000833EE">
        <w:rPr>
          <w:rFonts w:asciiTheme="majorBidi" w:eastAsia="Times New Roman" w:hAnsiTheme="majorBidi" w:cstheme="majorBidi"/>
          <w:color w:val="000000"/>
          <w:spacing w:val="-4"/>
          <w:kern w:val="0"/>
          <w:sz w:val="24"/>
          <w:szCs w:val="24"/>
          <w:lang w:bidi="ar-EG"/>
          <w14:ligatures w14:val="none"/>
        </w:rPr>
        <w:t>,</w:t>
      </w:r>
      <w:r w:rsidRPr="00D323AE">
        <w:rPr>
          <w:rFonts w:asciiTheme="majorBidi" w:eastAsia="Times New Roman" w:hAnsiTheme="majorBidi" w:cstheme="majorBidi"/>
          <w:color w:val="000000"/>
          <w:spacing w:val="-4"/>
          <w:kern w:val="0"/>
          <w:sz w:val="24"/>
          <w:szCs w:val="24"/>
          <w:lang w:bidi="ar-EG"/>
          <w14:ligatures w14:val="none"/>
        </w:rPr>
        <w:t xml:space="preserve"> and the allelic discrimination of the PNPLA3 polymorphisms w</w:t>
      </w:r>
      <w:r w:rsidR="000833EE">
        <w:rPr>
          <w:rFonts w:asciiTheme="majorBidi" w:eastAsia="Times New Roman" w:hAnsiTheme="majorBidi" w:cstheme="majorBidi"/>
          <w:color w:val="000000"/>
          <w:spacing w:val="-4"/>
          <w:kern w:val="0"/>
          <w:sz w:val="24"/>
          <w:szCs w:val="24"/>
          <w:lang w:bidi="ar-EG"/>
          <w14:ligatures w14:val="none"/>
        </w:rPr>
        <w:t>as</w:t>
      </w:r>
      <w:r w:rsidRPr="00D323AE">
        <w:rPr>
          <w:rFonts w:asciiTheme="majorBidi" w:eastAsia="Times New Roman" w:hAnsiTheme="majorBidi" w:cstheme="majorBidi"/>
          <w:color w:val="000000"/>
          <w:spacing w:val="-4"/>
          <w:kern w:val="0"/>
          <w:sz w:val="24"/>
          <w:szCs w:val="24"/>
          <w:lang w:bidi="ar-EG"/>
          <w14:ligatures w14:val="none"/>
        </w:rPr>
        <w:t xml:space="preserve"> investigated using the TaqMan assay,</w:t>
      </w:r>
    </w:p>
    <w:p w14:paraId="2792A12F" w14:textId="77777777" w:rsidR="0015007E" w:rsidRPr="00D323AE" w:rsidRDefault="00000000">
      <w:pPr>
        <w:numPr>
          <w:ilvl w:val="0"/>
          <w:numId w:val="1"/>
        </w:numPr>
        <w:spacing w:before="120" w:after="0" w:line="240" w:lineRule="auto"/>
        <w:ind w:left="714"/>
        <w:jc w:val="both"/>
        <w:rPr>
          <w:rFonts w:asciiTheme="majorBidi" w:eastAsia="Times New Roman" w:hAnsiTheme="majorBidi" w:cstheme="majorBidi"/>
          <w:color w:val="000000"/>
          <w:spacing w:val="-4"/>
          <w:kern w:val="0"/>
          <w:sz w:val="24"/>
          <w:szCs w:val="24"/>
          <w:lang w:bidi="ar-EG"/>
          <w14:ligatures w14:val="none"/>
        </w:rPr>
      </w:pPr>
      <w:r w:rsidRPr="00D323AE">
        <w:rPr>
          <w:rFonts w:asciiTheme="majorBidi" w:eastAsia="Times New Roman" w:hAnsiTheme="majorBidi" w:cstheme="majorBidi"/>
          <w:color w:val="000000"/>
          <w:kern w:val="0"/>
          <w:sz w:val="24"/>
          <w:szCs w:val="24"/>
          <w:lang w:val="en-US" w:bidi="ar-EG"/>
          <w14:ligatures w14:val="none"/>
        </w:rPr>
        <w:t>Abdominal ultrasonography</w:t>
      </w:r>
      <w:r w:rsidRPr="00D323AE">
        <w:rPr>
          <w:rFonts w:asciiTheme="majorBidi" w:eastAsia="Times New Roman" w:hAnsiTheme="majorBidi" w:cstheme="majorBidi"/>
          <w:color w:val="000000"/>
          <w:spacing w:val="-4"/>
          <w:kern w:val="0"/>
          <w:sz w:val="24"/>
          <w:szCs w:val="24"/>
          <w:lang w:bidi="ar-EG"/>
          <w14:ligatures w14:val="none"/>
        </w:rPr>
        <w:t>,</w:t>
      </w:r>
    </w:p>
    <w:p w14:paraId="3F3E4D88" w14:textId="4DCFEAC3" w:rsidR="0015007E" w:rsidRPr="00D323AE" w:rsidRDefault="00000000">
      <w:pPr>
        <w:numPr>
          <w:ilvl w:val="0"/>
          <w:numId w:val="1"/>
        </w:numPr>
        <w:spacing w:before="120" w:after="0" w:line="240" w:lineRule="auto"/>
        <w:ind w:left="714"/>
        <w:jc w:val="both"/>
        <w:rPr>
          <w:rFonts w:asciiTheme="majorBidi" w:eastAsia="Times New Roman" w:hAnsiTheme="majorBidi" w:cstheme="majorBidi"/>
          <w:color w:val="000000"/>
          <w:spacing w:val="-4"/>
          <w:kern w:val="0"/>
          <w:sz w:val="24"/>
          <w:szCs w:val="24"/>
          <w:lang w:bidi="ar-EG"/>
          <w14:ligatures w14:val="none"/>
        </w:rPr>
      </w:pPr>
      <w:r w:rsidRPr="00D323AE">
        <w:rPr>
          <w:rFonts w:asciiTheme="majorBidi" w:hAnsiTheme="majorBidi" w:cstheme="majorBidi"/>
          <w:color w:val="000000"/>
          <w:sz w:val="24"/>
          <w:szCs w:val="24"/>
          <w:lang w:bidi="ar-EG"/>
        </w:rPr>
        <w:t>Liver biopsy</w:t>
      </w:r>
      <w:r w:rsidRPr="00D323AE">
        <w:rPr>
          <w:rFonts w:asciiTheme="majorBidi" w:eastAsia="AlergiaNormal-Light" w:hAnsiTheme="majorBidi" w:cstheme="majorBidi"/>
          <w:color w:val="000000"/>
          <w:kern w:val="0"/>
          <w:sz w:val="24"/>
          <w:szCs w:val="24"/>
        </w:rPr>
        <w:t xml:space="preserve"> specimens </w:t>
      </w:r>
      <w:r w:rsidR="000833EE">
        <w:rPr>
          <w:rFonts w:asciiTheme="majorBidi" w:eastAsia="AlergiaNormal-Light" w:hAnsiTheme="majorBidi" w:cstheme="majorBidi"/>
          <w:color w:val="000000"/>
          <w:kern w:val="0"/>
          <w:sz w:val="24"/>
          <w:szCs w:val="24"/>
        </w:rPr>
        <w:t xml:space="preserve">were </w:t>
      </w:r>
      <w:proofErr w:type="spellStart"/>
      <w:r w:rsidRPr="00D323AE">
        <w:rPr>
          <w:rFonts w:asciiTheme="majorBidi" w:eastAsia="AlergiaNormal-Light" w:hAnsiTheme="majorBidi" w:cstheme="majorBidi"/>
          <w:color w:val="000000"/>
          <w:kern w:val="0"/>
          <w:sz w:val="24"/>
          <w:szCs w:val="24"/>
        </w:rPr>
        <w:t>analy</w:t>
      </w:r>
      <w:r w:rsidR="000833EE">
        <w:rPr>
          <w:rFonts w:asciiTheme="majorBidi" w:eastAsia="AlergiaNormal-Light" w:hAnsiTheme="majorBidi" w:cstheme="majorBidi"/>
          <w:color w:val="000000"/>
          <w:kern w:val="0"/>
          <w:sz w:val="24"/>
          <w:szCs w:val="24"/>
        </w:rPr>
        <w:t>z</w:t>
      </w:r>
      <w:r w:rsidRPr="00D323AE">
        <w:rPr>
          <w:rFonts w:asciiTheme="majorBidi" w:eastAsia="AlergiaNormal-Light" w:hAnsiTheme="majorBidi" w:cstheme="majorBidi"/>
          <w:color w:val="000000"/>
          <w:kern w:val="0"/>
          <w:sz w:val="24"/>
          <w:szCs w:val="24"/>
        </w:rPr>
        <w:t>ed</w:t>
      </w:r>
      <w:proofErr w:type="spellEnd"/>
      <w:r w:rsidRPr="00D323AE">
        <w:rPr>
          <w:rFonts w:asciiTheme="majorBidi" w:eastAsia="AlergiaNormal-Light" w:hAnsiTheme="majorBidi" w:cstheme="majorBidi"/>
          <w:color w:val="000000"/>
          <w:kern w:val="0"/>
          <w:sz w:val="24"/>
          <w:szCs w:val="24"/>
        </w:rPr>
        <w:t xml:space="preserve"> </w:t>
      </w:r>
      <w:r w:rsidRPr="00D323AE">
        <w:rPr>
          <w:rFonts w:asciiTheme="majorBidi" w:eastAsia="Times New Roman" w:hAnsiTheme="majorBidi" w:cstheme="majorBidi"/>
          <w:color w:val="000000"/>
          <w:kern w:val="0"/>
          <w:sz w:val="24"/>
          <w:szCs w:val="24"/>
          <w:lang w:val="en-US" w:bidi="ar-EG"/>
          <w14:ligatures w14:val="none"/>
        </w:rPr>
        <w:t>using the scoring system in Table 1.</w:t>
      </w:r>
    </w:p>
    <w:p w14:paraId="210AEAA6" w14:textId="77777777" w:rsidR="0015007E" w:rsidRPr="00D323AE" w:rsidRDefault="0015007E">
      <w:pPr>
        <w:spacing w:before="120" w:after="0" w:line="240" w:lineRule="auto"/>
        <w:ind w:left="714"/>
        <w:jc w:val="both"/>
        <w:rPr>
          <w:rFonts w:asciiTheme="majorBidi" w:eastAsia="Times New Roman" w:hAnsiTheme="majorBidi" w:cstheme="majorBidi"/>
          <w:color w:val="000000"/>
          <w:spacing w:val="-4"/>
          <w:kern w:val="0"/>
          <w:sz w:val="24"/>
          <w:szCs w:val="24"/>
          <w:lang w:bidi="ar-EG"/>
          <w14:ligatures w14:val="none"/>
        </w:rPr>
      </w:pPr>
    </w:p>
    <w:p w14:paraId="3C054EBA" w14:textId="6D00B2A4" w:rsidR="00CA4457" w:rsidRPr="00CA4457" w:rsidRDefault="00CA4457" w:rsidP="00CA4457">
      <w:pPr>
        <w:pStyle w:val="Caption"/>
        <w:keepNext/>
        <w:bidi w:val="0"/>
        <w:jc w:val="both"/>
      </w:pPr>
      <w:r>
        <w:t xml:space="preserve">Tab </w:t>
      </w:r>
      <w:r>
        <w:fldChar w:fldCharType="begin"/>
      </w:r>
      <w:r>
        <w:instrText xml:space="preserve"> SEQ Table \* ARABIC </w:instrText>
      </w:r>
      <w:r>
        <w:fldChar w:fldCharType="separate"/>
      </w:r>
      <w:r w:rsidR="00504F32">
        <w:rPr>
          <w:noProof/>
        </w:rPr>
        <w:t>1</w:t>
      </w:r>
      <w:r>
        <w:fldChar w:fldCharType="end"/>
      </w:r>
      <w:r>
        <w:t xml:space="preserve">. </w:t>
      </w:r>
      <w:r w:rsidRPr="00CA4457">
        <w:t>The clinical research network system for scoring activity and fibrosis in NAFLD [25]</w:t>
      </w:r>
    </w:p>
    <w:p w14:paraId="3A644F81" w14:textId="32AA11BC" w:rsidR="00CA4457" w:rsidRDefault="00CA4457" w:rsidP="00CA4457">
      <w:pPr>
        <w:pStyle w:val="Caption"/>
        <w:keepNext/>
        <w:bidi w:val="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The clinical research network system for scoring activity and fibrosis in NAFLD [25]"/>
      </w:tblPr>
      <w:tblGrid>
        <w:gridCol w:w="4653"/>
        <w:gridCol w:w="4654"/>
        <w:gridCol w:w="4651"/>
      </w:tblGrid>
      <w:tr w:rsidR="0015007E" w:rsidRPr="00D323AE" w14:paraId="1AA001F0" w14:textId="77777777" w:rsidTr="00CA4457">
        <w:tc>
          <w:tcPr>
            <w:tcW w:w="1667" w:type="pct"/>
            <w:tcBorders>
              <w:top w:val="single" w:sz="4" w:space="0" w:color="auto"/>
              <w:bottom w:val="single" w:sz="4" w:space="0" w:color="auto"/>
            </w:tcBorders>
            <w:vAlign w:val="center"/>
          </w:tcPr>
          <w:p w14:paraId="3DAE59C2" w14:textId="11AF9132" w:rsidR="0015007E" w:rsidRPr="00D323AE" w:rsidRDefault="00000000">
            <w:pPr>
              <w:spacing w:after="0" w:line="240" w:lineRule="auto"/>
              <w:jc w:val="center"/>
              <w:rPr>
                <w:rFonts w:asciiTheme="majorBidi" w:hAnsiTheme="majorBidi" w:cstheme="majorBidi"/>
                <w:b/>
                <w:bCs/>
                <w:color w:val="000000"/>
                <w:kern w:val="0"/>
                <w:sz w:val="24"/>
                <w:szCs w:val="24"/>
                <w:lang w:bidi="ar-EG"/>
                <w14:ligatures w14:val="none"/>
              </w:rPr>
            </w:pPr>
            <w:r w:rsidRPr="00D323AE">
              <w:rPr>
                <w:rFonts w:asciiTheme="majorBidi" w:hAnsiTheme="majorBidi" w:cstheme="majorBidi"/>
                <w:b/>
                <w:bCs/>
                <w:color w:val="000000"/>
                <w:kern w:val="0"/>
                <w:sz w:val="24"/>
                <w:szCs w:val="24"/>
                <w14:ligatures w14:val="none"/>
              </w:rPr>
              <w:t xml:space="preserve">The grade of steatosis </w:t>
            </w:r>
          </w:p>
        </w:tc>
        <w:tc>
          <w:tcPr>
            <w:tcW w:w="1667" w:type="pct"/>
            <w:tcBorders>
              <w:top w:val="single" w:sz="4" w:space="0" w:color="auto"/>
              <w:bottom w:val="single" w:sz="4" w:space="0" w:color="auto"/>
            </w:tcBorders>
            <w:vAlign w:val="center"/>
          </w:tcPr>
          <w:p w14:paraId="64B633FA" w14:textId="3B4F6AF5" w:rsidR="0015007E" w:rsidRPr="00D323AE" w:rsidRDefault="00000000">
            <w:pPr>
              <w:spacing w:after="0" w:line="240" w:lineRule="auto"/>
              <w:jc w:val="center"/>
              <w:rPr>
                <w:rFonts w:asciiTheme="majorBidi" w:hAnsiTheme="majorBidi" w:cstheme="majorBidi"/>
                <w:b/>
                <w:bCs/>
                <w:color w:val="000000"/>
                <w:kern w:val="0"/>
                <w:sz w:val="24"/>
                <w:szCs w:val="24"/>
                <w:lang w:bidi="ar-EG"/>
                <w14:ligatures w14:val="none"/>
              </w:rPr>
            </w:pPr>
            <w:r w:rsidRPr="00D323AE">
              <w:rPr>
                <w:rFonts w:asciiTheme="majorBidi" w:hAnsiTheme="majorBidi" w:cstheme="majorBidi"/>
                <w:b/>
                <w:bCs/>
                <w:color w:val="000000"/>
                <w:kern w:val="0"/>
                <w:sz w:val="24"/>
                <w:szCs w:val="24"/>
                <w14:ligatures w14:val="none"/>
              </w:rPr>
              <w:t xml:space="preserve">Hepatic lobular inflammation </w:t>
            </w:r>
          </w:p>
        </w:tc>
        <w:tc>
          <w:tcPr>
            <w:tcW w:w="1666" w:type="pct"/>
            <w:tcBorders>
              <w:top w:val="single" w:sz="4" w:space="0" w:color="auto"/>
              <w:bottom w:val="single" w:sz="4" w:space="0" w:color="auto"/>
            </w:tcBorders>
            <w:vAlign w:val="center"/>
          </w:tcPr>
          <w:p w14:paraId="3CF4E91E" w14:textId="2845D40E" w:rsidR="0015007E" w:rsidRPr="00D323AE" w:rsidRDefault="00000000">
            <w:pPr>
              <w:spacing w:after="0" w:line="240" w:lineRule="auto"/>
              <w:jc w:val="center"/>
              <w:rPr>
                <w:rFonts w:asciiTheme="majorBidi" w:hAnsiTheme="majorBidi" w:cstheme="majorBidi"/>
                <w:b/>
                <w:bCs/>
                <w:color w:val="000000"/>
                <w:kern w:val="0"/>
                <w:sz w:val="24"/>
                <w:szCs w:val="24"/>
                <w:lang w:bidi="ar-EG"/>
                <w14:ligatures w14:val="none"/>
              </w:rPr>
            </w:pPr>
            <w:r w:rsidRPr="00D323AE">
              <w:rPr>
                <w:rFonts w:asciiTheme="majorBidi" w:hAnsiTheme="majorBidi" w:cstheme="majorBidi"/>
                <w:b/>
                <w:bCs/>
                <w:color w:val="000000"/>
                <w:kern w:val="0"/>
                <w:sz w:val="24"/>
                <w:szCs w:val="24"/>
                <w14:ligatures w14:val="none"/>
              </w:rPr>
              <w:t xml:space="preserve">Hepatocellular ballooning </w:t>
            </w:r>
          </w:p>
        </w:tc>
      </w:tr>
      <w:tr w:rsidR="0015007E" w:rsidRPr="00D323AE" w14:paraId="7D589DA9" w14:textId="77777777" w:rsidTr="00CA4457">
        <w:tc>
          <w:tcPr>
            <w:tcW w:w="1667" w:type="pct"/>
            <w:tcBorders>
              <w:top w:val="single" w:sz="4" w:space="0" w:color="auto"/>
            </w:tcBorders>
            <w:vAlign w:val="center"/>
          </w:tcPr>
          <w:p w14:paraId="07770618" w14:textId="77777777" w:rsidR="0015007E" w:rsidRPr="00D323AE" w:rsidRDefault="00000000">
            <w:pPr>
              <w:spacing w:after="0" w:line="240" w:lineRule="auto"/>
              <w:jc w:val="center"/>
              <w:rPr>
                <w:rFonts w:asciiTheme="majorBidi" w:hAnsiTheme="majorBidi" w:cstheme="majorBidi"/>
                <w:color w:val="000000"/>
                <w:kern w:val="0"/>
                <w:sz w:val="24"/>
                <w:szCs w:val="24"/>
                <w:lang w:bidi="ar-EG"/>
                <w14:ligatures w14:val="none"/>
              </w:rPr>
            </w:pPr>
            <w:r w:rsidRPr="00D323AE">
              <w:rPr>
                <w:rFonts w:asciiTheme="majorBidi" w:hAnsiTheme="majorBidi" w:cstheme="majorBidi"/>
                <w:color w:val="000000"/>
                <w:kern w:val="0"/>
                <w:sz w:val="24"/>
                <w:szCs w:val="24"/>
                <w14:ligatures w14:val="none"/>
              </w:rPr>
              <w:t>0 = &lt; 5%</w:t>
            </w:r>
          </w:p>
        </w:tc>
        <w:tc>
          <w:tcPr>
            <w:tcW w:w="1667" w:type="pct"/>
            <w:tcBorders>
              <w:top w:val="single" w:sz="4" w:space="0" w:color="auto"/>
            </w:tcBorders>
            <w:vAlign w:val="center"/>
          </w:tcPr>
          <w:p w14:paraId="7C317924" w14:textId="77777777" w:rsidR="0015007E" w:rsidRPr="00D323AE" w:rsidRDefault="00000000">
            <w:pPr>
              <w:spacing w:after="0" w:line="240" w:lineRule="auto"/>
              <w:jc w:val="center"/>
              <w:rPr>
                <w:rFonts w:asciiTheme="majorBidi" w:hAnsiTheme="majorBidi" w:cstheme="majorBidi"/>
                <w:color w:val="000000"/>
                <w:kern w:val="0"/>
                <w:sz w:val="24"/>
                <w:szCs w:val="24"/>
                <w:lang w:bidi="ar-EG"/>
                <w14:ligatures w14:val="none"/>
              </w:rPr>
            </w:pPr>
            <w:r w:rsidRPr="00D323AE">
              <w:rPr>
                <w:rFonts w:asciiTheme="majorBidi" w:hAnsiTheme="majorBidi" w:cstheme="majorBidi"/>
                <w:color w:val="000000"/>
                <w:kern w:val="0"/>
                <w:sz w:val="24"/>
                <w:szCs w:val="24"/>
                <w14:ligatures w14:val="none"/>
              </w:rPr>
              <w:t>0 = None</w:t>
            </w:r>
          </w:p>
        </w:tc>
        <w:tc>
          <w:tcPr>
            <w:tcW w:w="1666" w:type="pct"/>
            <w:tcBorders>
              <w:top w:val="single" w:sz="4" w:space="0" w:color="auto"/>
            </w:tcBorders>
            <w:vAlign w:val="center"/>
          </w:tcPr>
          <w:p w14:paraId="110163A6" w14:textId="77777777" w:rsidR="0015007E" w:rsidRPr="00D323AE" w:rsidRDefault="00000000">
            <w:pPr>
              <w:spacing w:after="0" w:line="240" w:lineRule="auto"/>
              <w:jc w:val="center"/>
              <w:rPr>
                <w:rFonts w:asciiTheme="majorBidi" w:hAnsiTheme="majorBidi" w:cstheme="majorBidi"/>
                <w:color w:val="000000"/>
                <w:kern w:val="0"/>
                <w:sz w:val="24"/>
                <w:szCs w:val="24"/>
                <w:lang w:bidi="ar-EG"/>
                <w14:ligatures w14:val="none"/>
              </w:rPr>
            </w:pPr>
            <w:r w:rsidRPr="00D323AE">
              <w:rPr>
                <w:rFonts w:asciiTheme="majorBidi" w:hAnsiTheme="majorBidi" w:cstheme="majorBidi"/>
                <w:color w:val="000000"/>
                <w:kern w:val="0"/>
                <w:sz w:val="24"/>
                <w:szCs w:val="24"/>
                <w14:ligatures w14:val="none"/>
              </w:rPr>
              <w:t>0 = None</w:t>
            </w:r>
          </w:p>
        </w:tc>
      </w:tr>
      <w:tr w:rsidR="0015007E" w:rsidRPr="00D323AE" w14:paraId="7554E8BF" w14:textId="77777777" w:rsidTr="00CA4457">
        <w:tc>
          <w:tcPr>
            <w:tcW w:w="1667" w:type="pct"/>
            <w:vAlign w:val="center"/>
          </w:tcPr>
          <w:p w14:paraId="4BA54BBD" w14:textId="77777777" w:rsidR="0015007E" w:rsidRPr="00D323AE" w:rsidRDefault="00000000">
            <w:pPr>
              <w:spacing w:after="0" w:line="240" w:lineRule="auto"/>
              <w:jc w:val="center"/>
              <w:rPr>
                <w:rFonts w:asciiTheme="majorBidi" w:hAnsiTheme="majorBidi" w:cstheme="majorBidi"/>
                <w:color w:val="000000"/>
                <w:kern w:val="0"/>
                <w:sz w:val="24"/>
                <w:szCs w:val="24"/>
                <w:lang w:bidi="ar-EG"/>
                <w14:ligatures w14:val="none"/>
              </w:rPr>
            </w:pPr>
            <w:r w:rsidRPr="00D323AE">
              <w:rPr>
                <w:rFonts w:asciiTheme="majorBidi" w:hAnsiTheme="majorBidi" w:cstheme="majorBidi"/>
                <w:color w:val="000000"/>
                <w:kern w:val="0"/>
                <w:sz w:val="24"/>
                <w:szCs w:val="24"/>
                <w14:ligatures w14:val="none"/>
              </w:rPr>
              <w:t>1 = 5-33%</w:t>
            </w:r>
          </w:p>
        </w:tc>
        <w:tc>
          <w:tcPr>
            <w:tcW w:w="1667" w:type="pct"/>
            <w:vAlign w:val="center"/>
          </w:tcPr>
          <w:p w14:paraId="1F576881" w14:textId="77777777" w:rsidR="0015007E" w:rsidRPr="00D323AE" w:rsidRDefault="00000000">
            <w:pPr>
              <w:spacing w:after="0" w:line="240" w:lineRule="auto"/>
              <w:jc w:val="center"/>
              <w:rPr>
                <w:rFonts w:asciiTheme="majorBidi" w:hAnsiTheme="majorBidi" w:cstheme="majorBidi"/>
                <w:color w:val="000000"/>
                <w:kern w:val="0"/>
                <w:sz w:val="24"/>
                <w:szCs w:val="24"/>
                <w:lang w:bidi="ar-EG"/>
                <w14:ligatures w14:val="none"/>
              </w:rPr>
            </w:pPr>
            <w:r w:rsidRPr="00D323AE">
              <w:rPr>
                <w:rFonts w:asciiTheme="majorBidi" w:hAnsiTheme="majorBidi" w:cstheme="majorBidi"/>
                <w:color w:val="000000"/>
                <w:kern w:val="0"/>
                <w:sz w:val="24"/>
                <w:szCs w:val="24"/>
                <w14:ligatures w14:val="none"/>
              </w:rPr>
              <w:t>1 = &lt; 2</w:t>
            </w:r>
          </w:p>
        </w:tc>
        <w:tc>
          <w:tcPr>
            <w:tcW w:w="1666" w:type="pct"/>
            <w:vAlign w:val="center"/>
          </w:tcPr>
          <w:p w14:paraId="7750E458" w14:textId="77777777" w:rsidR="0015007E" w:rsidRPr="00D323AE" w:rsidRDefault="00000000">
            <w:pPr>
              <w:spacing w:after="0" w:line="240" w:lineRule="auto"/>
              <w:jc w:val="center"/>
              <w:rPr>
                <w:rFonts w:asciiTheme="majorBidi" w:hAnsiTheme="majorBidi" w:cstheme="majorBidi"/>
                <w:color w:val="000000"/>
                <w:kern w:val="0"/>
                <w:sz w:val="24"/>
                <w:szCs w:val="24"/>
                <w:lang w:bidi="ar-EG"/>
                <w14:ligatures w14:val="none"/>
              </w:rPr>
            </w:pPr>
            <w:r w:rsidRPr="00D323AE">
              <w:rPr>
                <w:rFonts w:asciiTheme="majorBidi" w:hAnsiTheme="majorBidi" w:cstheme="majorBidi"/>
                <w:color w:val="000000"/>
                <w:kern w:val="0"/>
                <w:sz w:val="24"/>
                <w:szCs w:val="24"/>
                <w14:ligatures w14:val="none"/>
              </w:rPr>
              <w:t>1 = Few ballooned cells</w:t>
            </w:r>
          </w:p>
        </w:tc>
      </w:tr>
      <w:tr w:rsidR="0015007E" w:rsidRPr="00D323AE" w14:paraId="52893BA9" w14:textId="77777777" w:rsidTr="00CA4457">
        <w:tc>
          <w:tcPr>
            <w:tcW w:w="1667" w:type="pct"/>
            <w:vAlign w:val="center"/>
          </w:tcPr>
          <w:p w14:paraId="5571CD10" w14:textId="77777777" w:rsidR="0015007E" w:rsidRPr="00D323AE" w:rsidRDefault="00000000">
            <w:pPr>
              <w:spacing w:after="0" w:line="240" w:lineRule="auto"/>
              <w:jc w:val="center"/>
              <w:rPr>
                <w:rFonts w:asciiTheme="majorBidi" w:hAnsiTheme="majorBidi" w:cstheme="majorBidi"/>
                <w:color w:val="000000"/>
                <w:kern w:val="0"/>
                <w:sz w:val="24"/>
                <w:szCs w:val="24"/>
                <w:lang w:bidi="ar-EG"/>
                <w14:ligatures w14:val="none"/>
              </w:rPr>
            </w:pPr>
            <w:r w:rsidRPr="00D323AE">
              <w:rPr>
                <w:rFonts w:asciiTheme="majorBidi" w:hAnsiTheme="majorBidi" w:cstheme="majorBidi"/>
                <w:color w:val="000000"/>
                <w:kern w:val="0"/>
                <w:sz w:val="24"/>
                <w:szCs w:val="24"/>
                <w14:ligatures w14:val="none"/>
              </w:rPr>
              <w:t>2 = 34-66%</w:t>
            </w:r>
          </w:p>
        </w:tc>
        <w:tc>
          <w:tcPr>
            <w:tcW w:w="1667" w:type="pct"/>
            <w:vAlign w:val="center"/>
          </w:tcPr>
          <w:p w14:paraId="09D4CB63" w14:textId="77777777" w:rsidR="0015007E" w:rsidRPr="00D323AE" w:rsidRDefault="00000000">
            <w:pPr>
              <w:spacing w:after="0" w:line="240" w:lineRule="auto"/>
              <w:jc w:val="center"/>
              <w:rPr>
                <w:rFonts w:asciiTheme="majorBidi" w:hAnsiTheme="majorBidi" w:cstheme="majorBidi"/>
                <w:color w:val="000000"/>
                <w:kern w:val="0"/>
                <w:sz w:val="24"/>
                <w:szCs w:val="24"/>
                <w:lang w:bidi="ar-EG"/>
                <w14:ligatures w14:val="none"/>
              </w:rPr>
            </w:pPr>
            <w:r w:rsidRPr="00D323AE">
              <w:rPr>
                <w:rFonts w:asciiTheme="majorBidi" w:hAnsiTheme="majorBidi" w:cstheme="majorBidi"/>
                <w:color w:val="000000"/>
                <w:kern w:val="0"/>
                <w:sz w:val="24"/>
                <w:szCs w:val="24"/>
                <w14:ligatures w14:val="none"/>
              </w:rPr>
              <w:t>2 = 2-4</w:t>
            </w:r>
          </w:p>
        </w:tc>
        <w:tc>
          <w:tcPr>
            <w:tcW w:w="1666" w:type="pct"/>
            <w:vAlign w:val="center"/>
          </w:tcPr>
          <w:p w14:paraId="438B5002" w14:textId="77777777" w:rsidR="0015007E" w:rsidRPr="00D323AE" w:rsidRDefault="00000000">
            <w:pPr>
              <w:spacing w:after="0" w:line="240" w:lineRule="auto"/>
              <w:jc w:val="center"/>
              <w:rPr>
                <w:rFonts w:asciiTheme="majorBidi" w:hAnsiTheme="majorBidi" w:cstheme="majorBidi"/>
                <w:color w:val="000000"/>
                <w:kern w:val="0"/>
                <w:sz w:val="24"/>
                <w:szCs w:val="24"/>
                <w:lang w:bidi="ar-EG"/>
                <w14:ligatures w14:val="none"/>
              </w:rPr>
            </w:pPr>
            <w:r w:rsidRPr="00D323AE">
              <w:rPr>
                <w:rFonts w:asciiTheme="majorBidi" w:hAnsiTheme="majorBidi" w:cstheme="majorBidi"/>
                <w:color w:val="000000"/>
                <w:kern w:val="0"/>
                <w:sz w:val="24"/>
                <w:szCs w:val="24"/>
                <w14:ligatures w14:val="none"/>
              </w:rPr>
              <w:t>2 = Many ballooned cells</w:t>
            </w:r>
          </w:p>
        </w:tc>
      </w:tr>
      <w:tr w:rsidR="0015007E" w:rsidRPr="00D323AE" w14:paraId="2CAA470A" w14:textId="77777777" w:rsidTr="00CA4457">
        <w:tc>
          <w:tcPr>
            <w:tcW w:w="1667" w:type="pct"/>
            <w:tcBorders>
              <w:bottom w:val="single" w:sz="4" w:space="0" w:color="auto"/>
            </w:tcBorders>
            <w:vAlign w:val="center"/>
          </w:tcPr>
          <w:p w14:paraId="75C2A18D" w14:textId="77777777" w:rsidR="0015007E" w:rsidRPr="00D323AE" w:rsidRDefault="00000000">
            <w:pPr>
              <w:spacing w:after="0" w:line="240" w:lineRule="auto"/>
              <w:jc w:val="center"/>
              <w:rPr>
                <w:rFonts w:asciiTheme="majorBidi" w:hAnsiTheme="majorBidi" w:cstheme="majorBidi"/>
                <w:color w:val="000000"/>
                <w:kern w:val="0"/>
                <w:sz w:val="24"/>
                <w:szCs w:val="24"/>
                <w:lang w:bidi="ar-EG"/>
                <w14:ligatures w14:val="none"/>
              </w:rPr>
            </w:pPr>
            <w:r w:rsidRPr="00D323AE">
              <w:rPr>
                <w:rFonts w:asciiTheme="majorBidi" w:hAnsiTheme="majorBidi" w:cstheme="majorBidi"/>
                <w:color w:val="000000"/>
                <w:kern w:val="0"/>
                <w:sz w:val="24"/>
                <w:szCs w:val="24"/>
                <w14:ligatures w14:val="none"/>
              </w:rPr>
              <w:t>3 = &gt; 66%</w:t>
            </w:r>
          </w:p>
        </w:tc>
        <w:tc>
          <w:tcPr>
            <w:tcW w:w="1667" w:type="pct"/>
            <w:tcBorders>
              <w:bottom w:val="single" w:sz="4" w:space="0" w:color="auto"/>
            </w:tcBorders>
            <w:vAlign w:val="center"/>
          </w:tcPr>
          <w:p w14:paraId="46BC9249" w14:textId="77777777" w:rsidR="0015007E" w:rsidRPr="00D323AE" w:rsidRDefault="00000000">
            <w:pPr>
              <w:spacing w:after="0" w:line="240" w:lineRule="auto"/>
              <w:jc w:val="center"/>
              <w:rPr>
                <w:rFonts w:asciiTheme="majorBidi" w:hAnsiTheme="majorBidi" w:cstheme="majorBidi"/>
                <w:color w:val="000000"/>
                <w:kern w:val="0"/>
                <w:sz w:val="24"/>
                <w:szCs w:val="24"/>
                <w:lang w:bidi="ar-EG"/>
                <w14:ligatures w14:val="none"/>
              </w:rPr>
            </w:pPr>
            <w:r w:rsidRPr="00D323AE">
              <w:rPr>
                <w:rFonts w:asciiTheme="majorBidi" w:hAnsiTheme="majorBidi" w:cstheme="majorBidi"/>
                <w:color w:val="000000"/>
                <w:kern w:val="0"/>
                <w:sz w:val="24"/>
                <w:szCs w:val="24"/>
                <w14:ligatures w14:val="none"/>
              </w:rPr>
              <w:t>3 = &gt; 4</w:t>
            </w:r>
          </w:p>
        </w:tc>
        <w:tc>
          <w:tcPr>
            <w:tcW w:w="1666" w:type="pct"/>
            <w:tcBorders>
              <w:bottom w:val="single" w:sz="4" w:space="0" w:color="auto"/>
            </w:tcBorders>
            <w:vAlign w:val="center"/>
          </w:tcPr>
          <w:p w14:paraId="4B44E24B" w14:textId="77777777" w:rsidR="0015007E" w:rsidRPr="00D323AE" w:rsidRDefault="0015007E">
            <w:pPr>
              <w:spacing w:after="0" w:line="240" w:lineRule="auto"/>
              <w:jc w:val="center"/>
              <w:rPr>
                <w:rFonts w:asciiTheme="majorBidi" w:hAnsiTheme="majorBidi" w:cstheme="majorBidi"/>
                <w:color w:val="000000"/>
                <w:kern w:val="0"/>
                <w:sz w:val="24"/>
                <w:szCs w:val="24"/>
                <w:lang w:bidi="ar-EG"/>
                <w14:ligatures w14:val="none"/>
              </w:rPr>
            </w:pPr>
          </w:p>
        </w:tc>
      </w:tr>
    </w:tbl>
    <w:p w14:paraId="543142DB" w14:textId="77777777" w:rsidR="0015007E" w:rsidRPr="00D323AE" w:rsidRDefault="0015007E">
      <w:pPr>
        <w:spacing w:after="0" w:line="240" w:lineRule="auto"/>
        <w:jc w:val="both"/>
        <w:rPr>
          <w:rFonts w:asciiTheme="majorBidi" w:eastAsia="Times New Roman" w:hAnsiTheme="majorBidi" w:cstheme="majorBidi"/>
          <w:color w:val="000000"/>
          <w:kern w:val="0"/>
          <w:sz w:val="24"/>
          <w:szCs w:val="24"/>
          <w:lang w:val="en-US" w:bidi="ar-EG"/>
          <w14:ligatures w14:val="none"/>
        </w:rPr>
      </w:pPr>
    </w:p>
    <w:p w14:paraId="7302905E" w14:textId="77777777" w:rsidR="0015007E" w:rsidRPr="00A86C5F" w:rsidRDefault="00000000">
      <w:pPr>
        <w:spacing w:before="240" w:line="240" w:lineRule="auto"/>
        <w:jc w:val="both"/>
        <w:rPr>
          <w:rFonts w:asciiTheme="majorBidi" w:hAnsiTheme="majorBidi" w:cstheme="majorBidi"/>
          <w:b/>
          <w:bCs/>
          <w:color w:val="000000"/>
          <w:kern w:val="0"/>
          <w:sz w:val="24"/>
          <w:szCs w:val="24"/>
          <w14:ligatures w14:val="none"/>
        </w:rPr>
      </w:pPr>
      <w:r w:rsidRPr="00A86C5F">
        <w:rPr>
          <w:rFonts w:asciiTheme="majorBidi" w:hAnsiTheme="majorBidi" w:cstheme="majorBidi"/>
          <w:b/>
          <w:bCs/>
          <w:color w:val="000000"/>
          <w:kern w:val="0"/>
          <w:sz w:val="24"/>
          <w:szCs w:val="24"/>
          <w14:ligatures w14:val="none"/>
        </w:rPr>
        <w:t>Statistical analysis</w:t>
      </w:r>
    </w:p>
    <w:p w14:paraId="0E5D1D30" w14:textId="1F379435"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lang w:val="en-US" w:eastAsia="en-GB"/>
          <w14:ligatures w14:val="none"/>
        </w:rPr>
      </w:pPr>
      <w:r w:rsidRPr="00D323AE">
        <w:rPr>
          <w:rFonts w:asciiTheme="majorBidi" w:hAnsiTheme="majorBidi" w:cstheme="majorBidi"/>
          <w:color w:val="000000"/>
          <w:kern w:val="0"/>
          <w:sz w:val="24"/>
          <w:szCs w:val="24"/>
          <w:lang w:val="en-US" w:eastAsia="en-GB"/>
          <w14:ligatures w14:val="none"/>
        </w:rPr>
        <w:t>Statistical analysis was conducted</w:t>
      </w:r>
      <w:r w:rsidR="000833EE">
        <w:rPr>
          <w:rFonts w:asciiTheme="majorBidi" w:hAnsiTheme="majorBidi" w:cstheme="majorBidi"/>
          <w:color w:val="000000"/>
          <w:kern w:val="0"/>
          <w:sz w:val="24"/>
          <w:szCs w:val="24"/>
          <w:lang w:val="en-US" w:eastAsia="en-GB"/>
          <w14:ligatures w14:val="none"/>
        </w:rPr>
        <w:t> using the student t-test</w:t>
      </w:r>
      <w:r w:rsidRPr="00D323AE">
        <w:rPr>
          <w:rFonts w:asciiTheme="majorBidi" w:hAnsiTheme="majorBidi" w:cstheme="majorBidi"/>
          <w:color w:val="000000"/>
          <w:kern w:val="0"/>
          <w:sz w:val="24"/>
          <w:szCs w:val="24"/>
          <w:lang w:val="en-US" w:eastAsia="en-GB"/>
          <w14:ligatures w14:val="none"/>
        </w:rPr>
        <w:t>, Chi-square test, Person's correlation coefficient, regression coefficient, and Analysis of variance [ANOVA] test by SPSS V25. Data were presented as mean</w:t>
      </w:r>
      <w:r w:rsidRPr="00D323AE">
        <w:rPr>
          <w:rFonts w:asciiTheme="majorBidi" w:hAnsiTheme="majorBidi" w:cstheme="majorBidi"/>
          <w:color w:val="000000"/>
          <w:sz w:val="24"/>
          <w:szCs w:val="24"/>
        </w:rPr>
        <w:t xml:space="preserve"> ±</w:t>
      </w:r>
      <w:r w:rsidRPr="00D323AE">
        <w:rPr>
          <w:rFonts w:asciiTheme="majorBidi" w:hAnsiTheme="majorBidi" w:cstheme="majorBidi"/>
          <w:color w:val="000000"/>
          <w:kern w:val="0"/>
          <w:sz w:val="24"/>
          <w:szCs w:val="24"/>
          <w:lang w:val="en-US" w:eastAsia="en-GB"/>
          <w14:ligatures w14:val="none"/>
        </w:rPr>
        <w:t xml:space="preserve"> standard deviation, median and range, or number and percentage. P-value </w:t>
      </w:r>
      <w:bookmarkStart w:id="8" w:name="_Hlk179557032"/>
      <w:r w:rsidRPr="00D323AE">
        <w:rPr>
          <w:rFonts w:asciiTheme="majorBidi" w:hAnsiTheme="majorBidi" w:cstheme="majorBidi"/>
          <w:color w:val="000000"/>
          <w:kern w:val="0"/>
          <w:sz w:val="24"/>
          <w:szCs w:val="24"/>
          <w:lang w:val="en-US" w:eastAsia="en-GB"/>
          <w14:ligatures w14:val="none"/>
        </w:rPr>
        <w:t xml:space="preserve">≤ 0.05 </w:t>
      </w:r>
      <w:bookmarkEnd w:id="8"/>
      <w:r w:rsidRPr="00D323AE">
        <w:rPr>
          <w:rFonts w:asciiTheme="majorBidi" w:hAnsiTheme="majorBidi" w:cstheme="majorBidi"/>
          <w:color w:val="000000"/>
          <w:kern w:val="0"/>
          <w:sz w:val="24"/>
          <w:szCs w:val="24"/>
          <w:lang w:val="en-US" w:eastAsia="en-GB"/>
          <w14:ligatures w14:val="none"/>
        </w:rPr>
        <w:t>was considered significant.</w:t>
      </w:r>
    </w:p>
    <w:p w14:paraId="5E89043F" w14:textId="77777777" w:rsidR="002E16FF" w:rsidRDefault="002E16FF" w:rsidP="002E16FF">
      <w:pPr>
        <w:spacing w:before="240" w:line="240" w:lineRule="auto"/>
        <w:jc w:val="both"/>
        <w:rPr>
          <w:rFonts w:asciiTheme="majorBidi" w:hAnsiTheme="majorBidi" w:cstheme="majorBidi"/>
          <w:b/>
          <w:bCs/>
          <w:color w:val="000000"/>
          <w:kern w:val="0"/>
          <w:sz w:val="24"/>
          <w:szCs w:val="24"/>
          <w:lang w:val="en-US"/>
          <w14:ligatures w14:val="none"/>
        </w:rPr>
      </w:pPr>
    </w:p>
    <w:p w14:paraId="1EE835B1" w14:textId="77777777" w:rsidR="002E16FF" w:rsidRDefault="002E16FF" w:rsidP="002E16FF">
      <w:pPr>
        <w:spacing w:before="240" w:line="240" w:lineRule="auto"/>
        <w:jc w:val="both"/>
        <w:rPr>
          <w:rFonts w:asciiTheme="majorBidi" w:hAnsiTheme="majorBidi" w:cstheme="majorBidi"/>
          <w:b/>
          <w:bCs/>
          <w:color w:val="000000"/>
          <w:kern w:val="0"/>
          <w:sz w:val="24"/>
          <w:szCs w:val="24"/>
          <w:lang w:val="en-US"/>
          <w14:ligatures w14:val="none"/>
        </w:rPr>
      </w:pPr>
    </w:p>
    <w:p w14:paraId="5CEF4808" w14:textId="4974BFA0" w:rsidR="002E16FF" w:rsidRDefault="00000000" w:rsidP="002E16FF">
      <w:pPr>
        <w:spacing w:before="240" w:line="240" w:lineRule="auto"/>
        <w:jc w:val="both"/>
        <w:rPr>
          <w:rFonts w:asciiTheme="majorBidi" w:hAnsiTheme="majorBidi" w:cstheme="majorBidi"/>
          <w:b/>
          <w:bCs/>
          <w:color w:val="000000"/>
          <w:kern w:val="0"/>
          <w:sz w:val="24"/>
          <w:szCs w:val="24"/>
          <w14:ligatures w14:val="none"/>
        </w:rPr>
      </w:pPr>
      <w:r w:rsidRPr="00D323AE">
        <w:rPr>
          <w:rFonts w:asciiTheme="majorBidi" w:hAnsiTheme="majorBidi" w:cstheme="majorBidi"/>
          <w:b/>
          <w:bCs/>
          <w:color w:val="000000"/>
          <w:kern w:val="0"/>
          <w:sz w:val="24"/>
          <w:szCs w:val="24"/>
          <w14:ligatures w14:val="none"/>
        </w:rPr>
        <w:t>Results</w:t>
      </w:r>
    </w:p>
    <w:p w14:paraId="3B7F271A" w14:textId="73E2C011" w:rsidR="0015007E" w:rsidRPr="00D323AE" w:rsidRDefault="00000000" w:rsidP="002E16FF">
      <w:pPr>
        <w:spacing w:before="240" w:line="240" w:lineRule="auto"/>
        <w:jc w:val="both"/>
        <w:rPr>
          <w:rFonts w:asciiTheme="majorBidi" w:hAnsiTheme="majorBidi" w:cstheme="majorBidi"/>
          <w:color w:val="000000"/>
          <w:kern w:val="0"/>
          <w:sz w:val="24"/>
          <w:szCs w:val="24"/>
          <w:lang w:val="en-US"/>
          <w14:ligatures w14:val="none"/>
        </w:rPr>
      </w:pPr>
      <w:r w:rsidRPr="00D323AE">
        <w:rPr>
          <w:rFonts w:asciiTheme="majorBidi" w:hAnsiTheme="majorBidi" w:cstheme="majorBidi"/>
          <w:color w:val="000000"/>
          <w:kern w:val="0"/>
          <w:sz w:val="24"/>
          <w:szCs w:val="24"/>
          <w:lang w:val="en-US"/>
          <w14:ligatures w14:val="none"/>
        </w:rPr>
        <w:t xml:space="preserve">The present research was performed on 30 participants. They were categorized into two groups following histopathology. The NAFLD group comprised </w:t>
      </w:r>
      <w:r w:rsidR="000833EE" w:rsidRPr="000833EE">
        <w:rPr>
          <w:rFonts w:asciiTheme="majorBidi" w:hAnsiTheme="majorBidi" w:cstheme="majorBidi"/>
          <w:color w:val="000000"/>
          <w:kern w:val="0"/>
          <w:sz w:val="24"/>
          <w:szCs w:val="24"/>
          <w:lang w:val="en-US"/>
          <w14:ligatures w14:val="none"/>
        </w:rPr>
        <w:t>20 patients, and the control group comprised </w:t>
      </w:r>
      <w:r w:rsidR="00BE7315">
        <w:rPr>
          <w:rFonts w:asciiTheme="majorBidi" w:hAnsiTheme="majorBidi" w:cstheme="majorBidi"/>
          <w:color w:val="000000"/>
          <w:kern w:val="0"/>
          <w:sz w:val="24"/>
          <w:szCs w:val="24"/>
          <w:lang w:val="en-US"/>
          <w14:ligatures w14:val="none"/>
        </w:rPr>
        <w:t>10</w:t>
      </w:r>
      <w:r w:rsidRPr="00D323AE">
        <w:rPr>
          <w:rFonts w:asciiTheme="majorBidi" w:hAnsiTheme="majorBidi" w:cstheme="majorBidi"/>
          <w:color w:val="000000"/>
          <w:kern w:val="0"/>
          <w:sz w:val="24"/>
          <w:szCs w:val="24"/>
          <w:lang w:val="en-US"/>
          <w14:ligatures w14:val="none"/>
        </w:rPr>
        <w:t xml:space="preserve"> healthy participants. Table 2 lists the clinical data of the study participants. NAFLD patients had higher BMI and MPV </w:t>
      </w:r>
      <w:r w:rsidR="000833EE">
        <w:rPr>
          <w:rFonts w:asciiTheme="majorBidi" w:hAnsiTheme="majorBidi" w:cstheme="majorBidi"/>
          <w:color w:val="000000"/>
          <w:kern w:val="0"/>
          <w:sz w:val="24"/>
          <w:szCs w:val="24"/>
          <w:lang w:val="en-US"/>
          <w14:ligatures w14:val="none"/>
        </w:rPr>
        <w:t>th</w:t>
      </w:r>
      <w:r w:rsidRPr="00D323AE">
        <w:rPr>
          <w:rFonts w:asciiTheme="majorBidi" w:hAnsiTheme="majorBidi" w:cstheme="majorBidi"/>
          <w:color w:val="000000"/>
          <w:kern w:val="0"/>
          <w:sz w:val="24"/>
          <w:szCs w:val="24"/>
          <w:lang w:val="en-US"/>
          <w14:ligatures w14:val="none"/>
        </w:rPr>
        <w:t>a</w:t>
      </w:r>
      <w:r w:rsidR="000833EE">
        <w:rPr>
          <w:rFonts w:asciiTheme="majorBidi" w:hAnsiTheme="majorBidi" w:cstheme="majorBidi"/>
          <w:color w:val="000000"/>
          <w:kern w:val="0"/>
          <w:sz w:val="24"/>
          <w:szCs w:val="24"/>
          <w:lang w:val="en-US"/>
          <w14:ligatures w14:val="none"/>
        </w:rPr>
        <w:t>n</w:t>
      </w:r>
      <w:r w:rsidRPr="00D323AE">
        <w:rPr>
          <w:rFonts w:asciiTheme="majorBidi" w:hAnsiTheme="majorBidi" w:cstheme="majorBidi"/>
          <w:color w:val="000000"/>
          <w:kern w:val="0"/>
          <w:sz w:val="24"/>
          <w:szCs w:val="24"/>
          <w:lang w:val="en-US"/>
          <w14:ligatures w14:val="none"/>
        </w:rPr>
        <w:t xml:space="preserve"> the control group</w:t>
      </w:r>
      <w:r w:rsidRPr="00D323AE">
        <w:rPr>
          <w:rFonts w:asciiTheme="majorBidi" w:eastAsia="Times New Roman" w:hAnsiTheme="majorBidi" w:cstheme="majorBidi"/>
          <w:color w:val="000000"/>
          <w:kern w:val="0"/>
          <w:sz w:val="24"/>
          <w:szCs w:val="24"/>
          <w:lang w:val="en-US"/>
          <w14:ligatures w14:val="none"/>
        </w:rPr>
        <w:t xml:space="preserve"> (</w:t>
      </w:r>
      <w:r w:rsidRPr="00D323AE">
        <w:rPr>
          <w:rFonts w:asciiTheme="majorBidi" w:eastAsia="Times New Roman" w:hAnsiTheme="majorBidi" w:cstheme="majorBidi"/>
          <w:i/>
          <w:iCs/>
          <w:color w:val="000000"/>
          <w:kern w:val="0"/>
          <w:sz w:val="24"/>
          <w:szCs w:val="24"/>
          <w:lang w:val="en-US"/>
          <w14:ligatures w14:val="none"/>
        </w:rPr>
        <w:t xml:space="preserve">p </w:t>
      </w:r>
      <w:r w:rsidRPr="00D323AE">
        <w:rPr>
          <w:rFonts w:asciiTheme="majorBidi" w:eastAsia="Times New Roman" w:hAnsiTheme="majorBidi" w:cstheme="majorBidi"/>
          <w:color w:val="000000"/>
          <w:kern w:val="0"/>
          <w:sz w:val="24"/>
          <w:szCs w:val="24"/>
          <w:lang w:val="en-US"/>
          <w14:ligatures w14:val="none"/>
        </w:rPr>
        <w:t xml:space="preserve">&lt; 0.001 and </w:t>
      </w:r>
      <w:r w:rsidRPr="00D323AE">
        <w:rPr>
          <w:rFonts w:asciiTheme="majorBidi" w:hAnsiTheme="majorBidi" w:cstheme="majorBidi"/>
          <w:i/>
          <w:iCs/>
          <w:color w:val="000000"/>
          <w:kern w:val="0"/>
          <w:sz w:val="24"/>
          <w:szCs w:val="24"/>
          <w:lang w:val="en-US"/>
          <w14:ligatures w14:val="none"/>
        </w:rPr>
        <w:t xml:space="preserve">p </w:t>
      </w:r>
      <w:r w:rsidRPr="00D323AE">
        <w:rPr>
          <w:rFonts w:asciiTheme="majorBidi" w:hAnsiTheme="majorBidi" w:cstheme="majorBidi"/>
          <w:color w:val="000000"/>
          <w:kern w:val="0"/>
          <w:sz w:val="24"/>
          <w:szCs w:val="24"/>
          <w:lang w:val="en-US"/>
          <w14:ligatures w14:val="none"/>
        </w:rPr>
        <w:t xml:space="preserve">= </w:t>
      </w:r>
      <w:r w:rsidRPr="00D323AE">
        <w:rPr>
          <w:rFonts w:asciiTheme="majorBidi" w:hAnsiTheme="majorBidi" w:cstheme="majorBidi"/>
          <w:color w:val="000000"/>
          <w:sz w:val="24"/>
          <w:szCs w:val="24"/>
        </w:rPr>
        <w:t>0.012</w:t>
      </w:r>
      <w:r w:rsidRPr="00D323AE">
        <w:rPr>
          <w:rFonts w:asciiTheme="majorBidi" w:eastAsia="Times New Roman" w:hAnsiTheme="majorBidi" w:cstheme="majorBidi"/>
          <w:color w:val="000000"/>
          <w:kern w:val="0"/>
          <w:sz w:val="24"/>
          <w:szCs w:val="24"/>
          <w:lang w:val="en-US"/>
          <w14:ligatures w14:val="none"/>
        </w:rPr>
        <w:t>, Table 2)</w:t>
      </w:r>
      <w:r w:rsidRPr="00D323AE">
        <w:rPr>
          <w:rFonts w:asciiTheme="majorBidi" w:hAnsiTheme="majorBidi" w:cstheme="majorBidi"/>
          <w:color w:val="000000"/>
          <w:kern w:val="0"/>
          <w:sz w:val="24"/>
          <w:szCs w:val="24"/>
          <w:lang w:val="en-US"/>
          <w14:ligatures w14:val="none"/>
        </w:rPr>
        <w:t>. In addition, t</w:t>
      </w:r>
      <w:r w:rsidRPr="00D323AE">
        <w:rPr>
          <w:rFonts w:asciiTheme="majorBidi" w:hAnsiTheme="majorBidi" w:cstheme="majorBidi"/>
          <w:color w:val="000000"/>
          <w:kern w:val="0"/>
          <w:sz w:val="24"/>
          <w:szCs w:val="24"/>
          <w14:ligatures w14:val="none"/>
        </w:rPr>
        <w:t>able 2 demonstrates the differences in ultrasound and liver biopsy findings between the study groups (</w:t>
      </w:r>
      <w:r w:rsidRPr="00D323AE">
        <w:rPr>
          <w:rFonts w:asciiTheme="majorBidi" w:hAnsiTheme="majorBidi" w:cstheme="majorBidi"/>
          <w:i/>
          <w:iCs/>
          <w:color w:val="000000"/>
          <w:kern w:val="0"/>
          <w:sz w:val="24"/>
          <w:szCs w:val="24"/>
          <w14:ligatures w14:val="none"/>
        </w:rPr>
        <w:t xml:space="preserve">p </w:t>
      </w:r>
      <w:r w:rsidR="006C7BDF" w:rsidRPr="00D323AE">
        <w:rPr>
          <w:rFonts w:asciiTheme="majorBidi" w:hAnsiTheme="majorBidi" w:cstheme="majorBidi"/>
          <w:color w:val="000000"/>
          <w:kern w:val="0"/>
          <w:sz w:val="24"/>
          <w:szCs w:val="24"/>
          <w:lang w:val="en-US" w:eastAsia="en-GB"/>
          <w14:ligatures w14:val="none"/>
        </w:rPr>
        <w:t>≤ 0.05</w:t>
      </w:r>
      <w:r w:rsidRPr="00D323AE">
        <w:rPr>
          <w:rFonts w:asciiTheme="majorBidi" w:hAnsiTheme="majorBidi" w:cstheme="majorBidi"/>
          <w:color w:val="000000"/>
          <w:kern w:val="0"/>
          <w:sz w:val="24"/>
          <w:szCs w:val="24"/>
          <w14:ligatures w14:val="none"/>
        </w:rPr>
        <w:t xml:space="preserve">, </w:t>
      </w:r>
      <w:r w:rsidRPr="00D323AE">
        <w:rPr>
          <w:rFonts w:asciiTheme="majorBidi" w:eastAsia="Times New Roman" w:hAnsiTheme="majorBidi" w:cstheme="majorBidi"/>
          <w:color w:val="000000"/>
          <w:kern w:val="0"/>
          <w:sz w:val="24"/>
          <w:szCs w:val="24"/>
          <w:lang w:val="en-US"/>
          <w14:ligatures w14:val="none"/>
        </w:rPr>
        <w:t>Table 2</w:t>
      </w:r>
      <w:r w:rsidRPr="00D323AE">
        <w:rPr>
          <w:rFonts w:asciiTheme="majorBidi" w:hAnsiTheme="majorBidi" w:cstheme="majorBidi"/>
          <w:color w:val="000000"/>
          <w:kern w:val="0"/>
          <w:sz w:val="24"/>
          <w:szCs w:val="24"/>
          <w14:ligatures w14:val="none"/>
        </w:rPr>
        <w:t xml:space="preserve">). No statistically significant correlation was noted between the NLR and MPV, liver enzymes, lipid panel, body mass index (BMI), </w:t>
      </w:r>
      <w:r w:rsidR="000833EE">
        <w:rPr>
          <w:rFonts w:asciiTheme="majorBidi" w:hAnsiTheme="majorBidi" w:cstheme="majorBidi"/>
          <w:color w:val="000000"/>
          <w:kern w:val="0"/>
          <w:sz w:val="24"/>
          <w:szCs w:val="24"/>
          <w14:ligatures w14:val="none"/>
        </w:rPr>
        <w:t>the </w:t>
      </w:r>
      <w:r w:rsidRPr="00D323AE">
        <w:rPr>
          <w:rFonts w:asciiTheme="majorBidi" w:hAnsiTheme="majorBidi" w:cstheme="majorBidi"/>
          <w:color w:val="000000"/>
          <w:kern w:val="0"/>
          <w:sz w:val="24"/>
          <w:szCs w:val="24"/>
          <w14:ligatures w14:val="none"/>
        </w:rPr>
        <w:t xml:space="preserve">existence of </w:t>
      </w:r>
      <w:r w:rsidR="006C7BDF" w:rsidRPr="00D323AE">
        <w:rPr>
          <w:rFonts w:asciiTheme="majorBidi" w:hAnsiTheme="majorBidi" w:cstheme="majorBidi"/>
          <w:color w:val="000000"/>
          <w:kern w:val="0"/>
          <w:sz w:val="24"/>
          <w:szCs w:val="24"/>
          <w14:ligatures w14:val="none"/>
        </w:rPr>
        <w:t>f</w:t>
      </w:r>
      <w:r w:rsidRPr="00D323AE">
        <w:rPr>
          <w:rFonts w:asciiTheme="majorBidi" w:hAnsiTheme="majorBidi" w:cstheme="majorBidi"/>
          <w:color w:val="000000"/>
          <w:kern w:val="0"/>
          <w:sz w:val="24"/>
          <w:szCs w:val="24"/>
          <w14:ligatures w14:val="none"/>
        </w:rPr>
        <w:t>atty liver on ultrasound,</w:t>
      </w:r>
      <w:r w:rsidR="006C7BDF" w:rsidRPr="00D323AE">
        <w:rPr>
          <w:rFonts w:asciiTheme="majorBidi" w:hAnsiTheme="majorBidi" w:cstheme="majorBidi"/>
          <w:color w:val="000000"/>
          <w:kern w:val="0"/>
          <w:sz w:val="24"/>
          <w:szCs w:val="24"/>
          <w14:ligatures w14:val="none"/>
        </w:rPr>
        <w:t xml:space="preserve"> </w:t>
      </w:r>
      <w:r w:rsidR="00B574F1" w:rsidRPr="00D323AE">
        <w:rPr>
          <w:rFonts w:asciiTheme="majorBidi" w:hAnsiTheme="majorBidi" w:cstheme="majorBidi"/>
          <w:color w:val="000000"/>
          <w:kern w:val="0"/>
          <w:sz w:val="24"/>
          <w:szCs w:val="24"/>
          <w14:ligatures w14:val="none"/>
        </w:rPr>
        <w:t xml:space="preserve">and </w:t>
      </w:r>
      <w:r w:rsidR="00ED17AA" w:rsidRPr="00D323AE">
        <w:rPr>
          <w:rFonts w:asciiTheme="majorBidi" w:hAnsiTheme="majorBidi" w:cstheme="majorBidi"/>
          <w:color w:val="000000"/>
          <w:kern w:val="0"/>
          <w:sz w:val="24"/>
          <w:szCs w:val="24"/>
          <w14:ligatures w14:val="none"/>
        </w:rPr>
        <w:t>hepatic</w:t>
      </w:r>
      <w:r w:rsidRPr="00D323AE">
        <w:rPr>
          <w:rFonts w:asciiTheme="majorBidi" w:hAnsiTheme="majorBidi" w:cstheme="majorBidi"/>
          <w:color w:val="000000"/>
          <w:kern w:val="0"/>
          <w:sz w:val="24"/>
          <w:szCs w:val="24"/>
          <w14:ligatures w14:val="none"/>
        </w:rPr>
        <w:t xml:space="preserve"> steatosis and fibrosis in liver biopsy (</w:t>
      </w:r>
      <w:r w:rsidRPr="00D323AE">
        <w:rPr>
          <w:rFonts w:asciiTheme="majorBidi" w:hAnsiTheme="majorBidi" w:cstheme="majorBidi"/>
          <w:i/>
          <w:iCs/>
          <w:color w:val="000000"/>
          <w:kern w:val="0"/>
          <w:sz w:val="24"/>
          <w:szCs w:val="24"/>
          <w14:ligatures w14:val="none"/>
        </w:rPr>
        <w:t>p</w:t>
      </w:r>
      <w:r w:rsidRPr="00D323AE">
        <w:rPr>
          <w:rFonts w:asciiTheme="majorBidi" w:hAnsiTheme="majorBidi" w:cstheme="majorBidi"/>
          <w:color w:val="000000"/>
          <w:kern w:val="0"/>
          <w:sz w:val="24"/>
          <w:szCs w:val="24"/>
          <w14:ligatures w14:val="none"/>
        </w:rPr>
        <w:t xml:space="preserve"> ≥ 0.05, Supp</w:t>
      </w:r>
      <w:r w:rsidR="00BC58A8" w:rsidRPr="00D323AE">
        <w:rPr>
          <w:rFonts w:asciiTheme="majorBidi" w:hAnsiTheme="majorBidi" w:cstheme="majorBidi"/>
          <w:color w:val="000000"/>
          <w:kern w:val="0"/>
          <w:sz w:val="24"/>
          <w:szCs w:val="24"/>
          <w14:ligatures w14:val="none"/>
        </w:rPr>
        <w:t>.</w:t>
      </w:r>
      <w:r w:rsidRPr="00D323AE">
        <w:rPr>
          <w:rFonts w:asciiTheme="majorBidi" w:hAnsiTheme="majorBidi" w:cstheme="majorBidi"/>
          <w:color w:val="000000"/>
          <w:kern w:val="0"/>
          <w:sz w:val="24"/>
          <w:szCs w:val="24"/>
          <w14:ligatures w14:val="none"/>
        </w:rPr>
        <w:t xml:space="preserve"> table 1). </w:t>
      </w:r>
      <w:r w:rsidRPr="00D323AE">
        <w:rPr>
          <w:rFonts w:asciiTheme="majorBidi" w:hAnsiTheme="majorBidi" w:cstheme="majorBidi"/>
          <w:color w:val="000000"/>
          <w:kern w:val="0"/>
          <w:sz w:val="24"/>
          <w:szCs w:val="24"/>
          <w:lang w:val="en-US"/>
          <w14:ligatures w14:val="none"/>
        </w:rPr>
        <w:t>A</w:t>
      </w:r>
      <w:r w:rsidRPr="00D323AE">
        <w:rPr>
          <w:rFonts w:asciiTheme="majorBidi" w:hAnsiTheme="majorBidi" w:cstheme="majorBidi"/>
          <w:color w:val="000000"/>
          <w:kern w:val="0"/>
          <w:sz w:val="24"/>
          <w:szCs w:val="24"/>
          <w14:ligatures w14:val="none"/>
        </w:rPr>
        <w:t xml:space="preserve"> significant correlation existed between the BMI and the existence of fatty liver on ultrasound and</w:t>
      </w:r>
      <w:r w:rsidR="00DC56FC" w:rsidRPr="00D323AE">
        <w:rPr>
          <w:rFonts w:asciiTheme="majorBidi" w:hAnsiTheme="majorBidi" w:cstheme="majorBidi"/>
          <w:color w:val="000000"/>
          <w:kern w:val="0"/>
          <w:sz w:val="24"/>
          <w:szCs w:val="24"/>
          <w14:ligatures w14:val="none"/>
        </w:rPr>
        <w:t xml:space="preserve"> </w:t>
      </w:r>
      <w:r w:rsidRPr="00D323AE">
        <w:rPr>
          <w:rFonts w:asciiTheme="majorBidi" w:hAnsiTheme="majorBidi" w:cstheme="majorBidi"/>
          <w:color w:val="000000"/>
          <w:kern w:val="0"/>
          <w:sz w:val="24"/>
          <w:szCs w:val="24"/>
          <w14:ligatures w14:val="none"/>
        </w:rPr>
        <w:t>steatosis and fibrosis in liver biopsy (</w:t>
      </w:r>
      <w:r w:rsidRPr="00D323AE">
        <w:rPr>
          <w:rFonts w:asciiTheme="majorBidi" w:hAnsiTheme="majorBidi" w:cstheme="majorBidi"/>
          <w:i/>
          <w:iCs/>
          <w:color w:val="000000"/>
          <w:kern w:val="0"/>
          <w:sz w:val="24"/>
          <w:szCs w:val="24"/>
          <w14:ligatures w14:val="none"/>
        </w:rPr>
        <w:t>p</w:t>
      </w:r>
      <w:r w:rsidRPr="00D323AE">
        <w:rPr>
          <w:rFonts w:asciiTheme="majorBidi" w:hAnsiTheme="majorBidi" w:cstheme="majorBidi"/>
          <w:color w:val="000000"/>
          <w:kern w:val="0"/>
          <w:sz w:val="24"/>
          <w:szCs w:val="24"/>
          <w14:ligatures w14:val="none"/>
        </w:rPr>
        <w:t xml:space="preserve"> = 0.04, 0.022, and 0.035, respectively, Supp</w:t>
      </w:r>
      <w:r w:rsidR="00BC58A8" w:rsidRPr="00D323AE">
        <w:rPr>
          <w:rFonts w:asciiTheme="majorBidi" w:hAnsiTheme="majorBidi" w:cstheme="majorBidi"/>
          <w:color w:val="000000"/>
          <w:kern w:val="0"/>
          <w:sz w:val="24"/>
          <w:szCs w:val="24"/>
          <w14:ligatures w14:val="none"/>
        </w:rPr>
        <w:t>.</w:t>
      </w:r>
      <w:r w:rsidRPr="00D323AE">
        <w:rPr>
          <w:rFonts w:asciiTheme="majorBidi" w:hAnsiTheme="majorBidi" w:cstheme="majorBidi"/>
          <w:color w:val="000000"/>
          <w:kern w:val="0"/>
          <w:sz w:val="24"/>
          <w:szCs w:val="24"/>
          <w14:ligatures w14:val="none"/>
        </w:rPr>
        <w:t xml:space="preserve"> table 2). </w:t>
      </w:r>
    </w:p>
    <w:p w14:paraId="3F7AA452" w14:textId="77777777" w:rsidR="0015007E" w:rsidRPr="00D323AE" w:rsidRDefault="0015007E">
      <w:pPr>
        <w:autoSpaceDE w:val="0"/>
        <w:autoSpaceDN w:val="0"/>
        <w:adjustRightInd w:val="0"/>
        <w:spacing w:after="0" w:line="240" w:lineRule="auto"/>
        <w:jc w:val="both"/>
        <w:rPr>
          <w:rFonts w:asciiTheme="majorBidi" w:hAnsiTheme="majorBidi" w:cstheme="majorBidi"/>
          <w:color w:val="000000"/>
          <w:kern w:val="0"/>
          <w:sz w:val="24"/>
          <w:szCs w:val="24"/>
          <w:lang w:val="en-US"/>
          <w14:ligatures w14:val="none"/>
        </w:rPr>
      </w:pPr>
    </w:p>
    <w:p w14:paraId="7153217B" w14:textId="1CCC971E" w:rsidR="00CA4457" w:rsidRPr="00CA4457" w:rsidRDefault="00CA4457" w:rsidP="00CA4457">
      <w:pPr>
        <w:pStyle w:val="Caption"/>
        <w:keepNext/>
        <w:bidi w:val="0"/>
        <w:jc w:val="both"/>
      </w:pPr>
      <w:r>
        <w:t xml:space="preserve">Tab </w:t>
      </w:r>
      <w:r>
        <w:fldChar w:fldCharType="begin"/>
      </w:r>
      <w:r>
        <w:instrText xml:space="preserve"> SEQ Table \* ARABIC </w:instrText>
      </w:r>
      <w:r>
        <w:fldChar w:fldCharType="separate"/>
      </w:r>
      <w:r w:rsidR="00504F32">
        <w:rPr>
          <w:noProof/>
        </w:rPr>
        <w:t>2</w:t>
      </w:r>
      <w:r>
        <w:fldChar w:fldCharType="end"/>
      </w:r>
      <w:r>
        <w:t>.</w:t>
      </w:r>
      <w:r w:rsidRPr="00CA4457">
        <w:t xml:space="preserve"> Study participant characteristics </w:t>
      </w:r>
    </w:p>
    <w:p w14:paraId="6564393F" w14:textId="1D3866A5" w:rsidR="00CA4457" w:rsidRDefault="00CA4457" w:rsidP="00CA4457">
      <w:pPr>
        <w:pStyle w:val="Caption"/>
        <w:keepNext/>
        <w:bidi w:val="0"/>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 Study participant characteristics "/>
      </w:tblPr>
      <w:tblGrid>
        <w:gridCol w:w="4255"/>
        <w:gridCol w:w="1951"/>
        <w:gridCol w:w="3004"/>
        <w:gridCol w:w="3076"/>
        <w:gridCol w:w="1672"/>
      </w:tblGrid>
      <w:tr w:rsidR="0015007E" w:rsidRPr="00D323AE" w14:paraId="47157859" w14:textId="77777777" w:rsidTr="00CA4457">
        <w:trPr>
          <w:trHeight w:val="460"/>
        </w:trPr>
        <w:tc>
          <w:tcPr>
            <w:tcW w:w="2223" w:type="pct"/>
            <w:gridSpan w:val="2"/>
            <w:tcBorders>
              <w:top w:val="single" w:sz="2" w:space="0" w:color="auto"/>
              <w:bottom w:val="single" w:sz="2" w:space="0" w:color="auto"/>
            </w:tcBorders>
            <w:vAlign w:val="center"/>
          </w:tcPr>
          <w:p w14:paraId="085545CE" w14:textId="77777777" w:rsidR="0015007E" w:rsidRPr="00D323AE" w:rsidRDefault="00000000">
            <w:pPr>
              <w:autoSpaceDE w:val="0"/>
              <w:autoSpaceDN w:val="0"/>
              <w:adjustRightInd w:val="0"/>
              <w:spacing w:after="0" w:line="240" w:lineRule="auto"/>
              <w:jc w:val="both"/>
              <w:rPr>
                <w:rFonts w:asciiTheme="majorBidi" w:hAnsiTheme="majorBidi" w:cstheme="majorBidi"/>
                <w:b/>
                <w:bCs/>
                <w:color w:val="000000"/>
                <w:kern w:val="0"/>
                <w:sz w:val="24"/>
                <w:szCs w:val="24"/>
                <w14:ligatures w14:val="none"/>
              </w:rPr>
            </w:pPr>
            <w:r w:rsidRPr="00D323AE">
              <w:rPr>
                <w:rFonts w:asciiTheme="majorBidi" w:hAnsiTheme="majorBidi" w:cstheme="majorBidi"/>
                <w:b/>
                <w:bCs/>
                <w:color w:val="000000"/>
                <w:kern w:val="0"/>
                <w:sz w:val="24"/>
                <w:szCs w:val="24"/>
                <w14:ligatures w14:val="none"/>
              </w:rPr>
              <w:t>Variable</w:t>
            </w:r>
          </w:p>
        </w:tc>
        <w:tc>
          <w:tcPr>
            <w:tcW w:w="1076" w:type="pct"/>
            <w:tcBorders>
              <w:top w:val="single" w:sz="2" w:space="0" w:color="auto"/>
              <w:bottom w:val="single" w:sz="2" w:space="0" w:color="auto"/>
            </w:tcBorders>
            <w:vAlign w:val="center"/>
          </w:tcPr>
          <w:p w14:paraId="4A63ADBA" w14:textId="77777777" w:rsidR="0015007E" w:rsidRPr="00D323AE" w:rsidRDefault="00000000">
            <w:pPr>
              <w:autoSpaceDE w:val="0"/>
              <w:autoSpaceDN w:val="0"/>
              <w:adjustRightInd w:val="0"/>
              <w:spacing w:after="0" w:line="240" w:lineRule="auto"/>
              <w:jc w:val="both"/>
              <w:rPr>
                <w:rFonts w:asciiTheme="majorBidi" w:hAnsiTheme="majorBidi" w:cstheme="majorBidi"/>
                <w:b/>
                <w:bCs/>
                <w:color w:val="000000"/>
                <w:kern w:val="0"/>
                <w:sz w:val="24"/>
                <w:szCs w:val="24"/>
                <w14:ligatures w14:val="none"/>
              </w:rPr>
            </w:pPr>
            <w:r w:rsidRPr="00D323AE">
              <w:rPr>
                <w:rFonts w:asciiTheme="majorBidi" w:hAnsiTheme="majorBidi" w:cstheme="majorBidi"/>
                <w:b/>
                <w:bCs/>
                <w:color w:val="000000"/>
                <w:kern w:val="0"/>
                <w:sz w:val="24"/>
                <w:szCs w:val="24"/>
                <w14:ligatures w14:val="none"/>
              </w:rPr>
              <w:t>NAFLD (</w:t>
            </w:r>
            <w:r w:rsidRPr="00D323AE">
              <w:rPr>
                <w:rFonts w:asciiTheme="majorBidi" w:hAnsiTheme="majorBidi" w:cstheme="majorBidi"/>
                <w:b/>
                <w:bCs/>
                <w:i/>
                <w:iCs/>
                <w:color w:val="000000"/>
                <w:kern w:val="0"/>
                <w:sz w:val="24"/>
                <w:szCs w:val="24"/>
                <w14:ligatures w14:val="none"/>
              </w:rPr>
              <w:t>n</w:t>
            </w:r>
            <w:r w:rsidRPr="00D323AE">
              <w:rPr>
                <w:rFonts w:asciiTheme="majorBidi" w:hAnsiTheme="majorBidi" w:cstheme="majorBidi"/>
                <w:b/>
                <w:bCs/>
                <w:color w:val="000000"/>
                <w:kern w:val="0"/>
                <w:sz w:val="24"/>
                <w:szCs w:val="24"/>
                <w14:ligatures w14:val="none"/>
              </w:rPr>
              <w:t>=20)</w:t>
            </w:r>
          </w:p>
        </w:tc>
        <w:tc>
          <w:tcPr>
            <w:tcW w:w="1102" w:type="pct"/>
            <w:tcBorders>
              <w:top w:val="single" w:sz="2" w:space="0" w:color="auto"/>
              <w:bottom w:val="single" w:sz="2" w:space="0" w:color="auto"/>
            </w:tcBorders>
            <w:vAlign w:val="center"/>
          </w:tcPr>
          <w:p w14:paraId="6D0C93C1" w14:textId="77777777" w:rsidR="0015007E" w:rsidRPr="00D323AE" w:rsidRDefault="00000000">
            <w:pPr>
              <w:autoSpaceDE w:val="0"/>
              <w:autoSpaceDN w:val="0"/>
              <w:adjustRightInd w:val="0"/>
              <w:spacing w:after="0" w:line="240" w:lineRule="auto"/>
              <w:jc w:val="both"/>
              <w:rPr>
                <w:rFonts w:asciiTheme="majorBidi" w:hAnsiTheme="majorBidi" w:cstheme="majorBidi"/>
                <w:b/>
                <w:bCs/>
                <w:color w:val="000000"/>
                <w:kern w:val="0"/>
                <w:sz w:val="24"/>
                <w:szCs w:val="24"/>
                <w14:ligatures w14:val="none"/>
              </w:rPr>
            </w:pPr>
            <w:r w:rsidRPr="00D323AE">
              <w:rPr>
                <w:rFonts w:asciiTheme="majorBidi" w:hAnsiTheme="majorBidi" w:cstheme="majorBidi"/>
                <w:b/>
                <w:bCs/>
                <w:color w:val="000000"/>
                <w:kern w:val="0"/>
                <w:sz w:val="24"/>
                <w:szCs w:val="24"/>
                <w14:ligatures w14:val="none"/>
              </w:rPr>
              <w:t>Control (</w:t>
            </w:r>
            <w:r w:rsidRPr="00D323AE">
              <w:rPr>
                <w:rFonts w:asciiTheme="majorBidi" w:hAnsiTheme="majorBidi" w:cstheme="majorBidi"/>
                <w:b/>
                <w:bCs/>
                <w:i/>
                <w:iCs/>
                <w:color w:val="000000"/>
                <w:kern w:val="0"/>
                <w:sz w:val="24"/>
                <w:szCs w:val="24"/>
                <w14:ligatures w14:val="none"/>
              </w:rPr>
              <w:t>n</w:t>
            </w:r>
            <w:r w:rsidRPr="00D323AE">
              <w:rPr>
                <w:rFonts w:asciiTheme="majorBidi" w:hAnsiTheme="majorBidi" w:cstheme="majorBidi"/>
                <w:b/>
                <w:bCs/>
                <w:color w:val="000000"/>
                <w:kern w:val="0"/>
                <w:sz w:val="24"/>
                <w:szCs w:val="24"/>
                <w14:ligatures w14:val="none"/>
              </w:rPr>
              <w:t>=10)</w:t>
            </w:r>
          </w:p>
        </w:tc>
        <w:tc>
          <w:tcPr>
            <w:tcW w:w="599" w:type="pct"/>
            <w:tcBorders>
              <w:top w:val="single" w:sz="2" w:space="0" w:color="auto"/>
            </w:tcBorders>
            <w:vAlign w:val="center"/>
          </w:tcPr>
          <w:p w14:paraId="168D557E" w14:textId="77777777" w:rsidR="0015007E" w:rsidRPr="00D323AE" w:rsidRDefault="00000000">
            <w:pPr>
              <w:autoSpaceDE w:val="0"/>
              <w:autoSpaceDN w:val="0"/>
              <w:adjustRightInd w:val="0"/>
              <w:spacing w:after="0" w:line="240" w:lineRule="auto"/>
              <w:jc w:val="both"/>
              <w:rPr>
                <w:rFonts w:asciiTheme="majorBidi" w:hAnsiTheme="majorBidi" w:cstheme="majorBidi"/>
                <w:b/>
                <w:bCs/>
                <w:color w:val="000000"/>
                <w:kern w:val="0"/>
                <w:sz w:val="24"/>
                <w:szCs w:val="24"/>
                <w14:ligatures w14:val="none"/>
              </w:rPr>
            </w:pPr>
            <w:r w:rsidRPr="00D323AE">
              <w:rPr>
                <w:rFonts w:asciiTheme="majorBidi" w:hAnsiTheme="majorBidi" w:cstheme="majorBidi"/>
                <w:b/>
                <w:bCs/>
                <w:i/>
                <w:iCs/>
                <w:color w:val="000000"/>
                <w:kern w:val="0"/>
                <w:sz w:val="24"/>
                <w:szCs w:val="24"/>
                <w14:ligatures w14:val="none"/>
              </w:rPr>
              <w:t>P</w:t>
            </w:r>
            <w:r w:rsidRPr="00D323AE">
              <w:rPr>
                <w:rFonts w:asciiTheme="majorBidi" w:hAnsiTheme="majorBidi" w:cstheme="majorBidi"/>
                <w:b/>
                <w:bCs/>
                <w:color w:val="000000"/>
                <w:kern w:val="0"/>
                <w:sz w:val="24"/>
                <w:szCs w:val="24"/>
                <w14:ligatures w14:val="none"/>
              </w:rPr>
              <w:t xml:space="preserve"> value</w:t>
            </w:r>
          </w:p>
        </w:tc>
      </w:tr>
      <w:tr w:rsidR="0015007E" w:rsidRPr="00D323AE" w14:paraId="0B09FB5B" w14:textId="77777777" w:rsidTr="00CA4457">
        <w:trPr>
          <w:trHeight w:val="230"/>
        </w:trPr>
        <w:tc>
          <w:tcPr>
            <w:tcW w:w="1524" w:type="pct"/>
            <w:vMerge w:val="restart"/>
            <w:tcBorders>
              <w:top w:val="single" w:sz="2" w:space="0" w:color="auto"/>
            </w:tcBorders>
            <w:vAlign w:val="center"/>
          </w:tcPr>
          <w:p w14:paraId="4CBEFA39" w14:textId="77777777" w:rsidR="0015007E" w:rsidRPr="00D323AE" w:rsidRDefault="00000000">
            <w:pPr>
              <w:autoSpaceDE w:val="0"/>
              <w:autoSpaceDN w:val="0"/>
              <w:adjustRightInd w:val="0"/>
              <w:spacing w:after="0" w:line="240" w:lineRule="auto"/>
              <w:jc w:val="both"/>
              <w:rPr>
                <w:rFonts w:asciiTheme="majorBidi" w:hAnsiTheme="majorBidi" w:cstheme="majorBidi"/>
                <w:b/>
                <w:bCs/>
                <w:color w:val="000000"/>
                <w:kern w:val="0"/>
                <w:sz w:val="24"/>
                <w:szCs w:val="24"/>
                <w14:ligatures w14:val="none"/>
              </w:rPr>
            </w:pPr>
            <w:r w:rsidRPr="00D323AE">
              <w:rPr>
                <w:rFonts w:asciiTheme="majorBidi" w:hAnsiTheme="majorBidi" w:cstheme="majorBidi"/>
                <w:color w:val="000000"/>
                <w:kern w:val="0"/>
                <w:sz w:val="24"/>
                <w:szCs w:val="24"/>
                <w14:ligatures w14:val="none"/>
              </w:rPr>
              <w:t>Sex</w:t>
            </w:r>
            <w:r w:rsidRPr="00D323AE">
              <w:rPr>
                <w:rFonts w:asciiTheme="majorBidi" w:hAnsiTheme="majorBidi" w:cstheme="majorBidi"/>
                <w:b/>
                <w:bCs/>
                <w:color w:val="000000"/>
                <w:kern w:val="0"/>
                <w:sz w:val="24"/>
                <w:szCs w:val="24"/>
                <w14:ligatures w14:val="none"/>
              </w:rPr>
              <w:t xml:space="preserve"> </w:t>
            </w:r>
          </w:p>
        </w:tc>
        <w:tc>
          <w:tcPr>
            <w:tcW w:w="699" w:type="pct"/>
            <w:tcBorders>
              <w:top w:val="single" w:sz="2" w:space="0" w:color="auto"/>
            </w:tcBorders>
            <w:vAlign w:val="center"/>
          </w:tcPr>
          <w:p w14:paraId="0B0E072B"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Male</w:t>
            </w:r>
          </w:p>
        </w:tc>
        <w:tc>
          <w:tcPr>
            <w:tcW w:w="1076" w:type="pct"/>
            <w:tcBorders>
              <w:top w:val="single" w:sz="2" w:space="0" w:color="auto"/>
            </w:tcBorders>
            <w:vAlign w:val="center"/>
          </w:tcPr>
          <w:p w14:paraId="3435A6F5"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12 (60%)</w:t>
            </w:r>
          </w:p>
        </w:tc>
        <w:tc>
          <w:tcPr>
            <w:tcW w:w="1102" w:type="pct"/>
            <w:tcBorders>
              <w:top w:val="single" w:sz="2" w:space="0" w:color="auto"/>
            </w:tcBorders>
            <w:vAlign w:val="center"/>
          </w:tcPr>
          <w:p w14:paraId="0952D089"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5 (50%)</w:t>
            </w:r>
          </w:p>
        </w:tc>
        <w:tc>
          <w:tcPr>
            <w:tcW w:w="599" w:type="pct"/>
            <w:vMerge w:val="restart"/>
            <w:vAlign w:val="center"/>
          </w:tcPr>
          <w:p w14:paraId="4916CED7"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0.602</w:t>
            </w:r>
          </w:p>
        </w:tc>
      </w:tr>
      <w:tr w:rsidR="0015007E" w:rsidRPr="00D323AE" w14:paraId="3361AB05" w14:textId="77777777" w:rsidTr="00CA4457">
        <w:trPr>
          <w:trHeight w:val="230"/>
        </w:trPr>
        <w:tc>
          <w:tcPr>
            <w:tcW w:w="1524" w:type="pct"/>
            <w:vMerge/>
            <w:vAlign w:val="center"/>
          </w:tcPr>
          <w:p w14:paraId="2677AD04" w14:textId="77777777" w:rsidR="0015007E" w:rsidRPr="00D323AE" w:rsidRDefault="0015007E">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p>
        </w:tc>
        <w:tc>
          <w:tcPr>
            <w:tcW w:w="699" w:type="pct"/>
            <w:vAlign w:val="center"/>
          </w:tcPr>
          <w:p w14:paraId="58352F12"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 xml:space="preserve">Female </w:t>
            </w:r>
          </w:p>
        </w:tc>
        <w:tc>
          <w:tcPr>
            <w:tcW w:w="1076" w:type="pct"/>
            <w:vAlign w:val="center"/>
          </w:tcPr>
          <w:p w14:paraId="0B5B9D5C"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8 (40%)</w:t>
            </w:r>
          </w:p>
        </w:tc>
        <w:tc>
          <w:tcPr>
            <w:tcW w:w="1102" w:type="pct"/>
            <w:vAlign w:val="center"/>
          </w:tcPr>
          <w:p w14:paraId="54B08167"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5 (50%)</w:t>
            </w:r>
          </w:p>
        </w:tc>
        <w:tc>
          <w:tcPr>
            <w:tcW w:w="599" w:type="pct"/>
            <w:vMerge/>
            <w:vAlign w:val="center"/>
          </w:tcPr>
          <w:p w14:paraId="126121FD" w14:textId="77777777" w:rsidR="0015007E" w:rsidRPr="00D323AE" w:rsidRDefault="0015007E">
            <w:pPr>
              <w:autoSpaceDE w:val="0"/>
              <w:autoSpaceDN w:val="0"/>
              <w:adjustRightInd w:val="0"/>
              <w:spacing w:after="0" w:line="240" w:lineRule="auto"/>
              <w:jc w:val="both"/>
              <w:rPr>
                <w:rFonts w:asciiTheme="majorBidi" w:hAnsiTheme="majorBidi" w:cstheme="majorBidi"/>
                <w:b/>
                <w:bCs/>
                <w:i/>
                <w:iCs/>
                <w:color w:val="000000"/>
                <w:kern w:val="0"/>
                <w:sz w:val="24"/>
                <w:szCs w:val="24"/>
                <w14:ligatures w14:val="none"/>
              </w:rPr>
            </w:pPr>
          </w:p>
        </w:tc>
      </w:tr>
      <w:tr w:rsidR="0015007E" w:rsidRPr="00D323AE" w14:paraId="02AD1FD7" w14:textId="77777777" w:rsidTr="00CA4457">
        <w:trPr>
          <w:trHeight w:val="460"/>
        </w:trPr>
        <w:tc>
          <w:tcPr>
            <w:tcW w:w="2223" w:type="pct"/>
            <w:gridSpan w:val="2"/>
            <w:vAlign w:val="center"/>
          </w:tcPr>
          <w:p w14:paraId="704039EE" w14:textId="77777777" w:rsidR="0015007E" w:rsidRPr="00D323AE" w:rsidRDefault="0015007E">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p>
        </w:tc>
        <w:tc>
          <w:tcPr>
            <w:tcW w:w="1076" w:type="pct"/>
            <w:vAlign w:val="center"/>
          </w:tcPr>
          <w:p w14:paraId="5615B434"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b/>
                <w:bCs/>
                <w:color w:val="000000"/>
                <w:kern w:val="0"/>
                <w:sz w:val="24"/>
                <w:szCs w:val="24"/>
                <w14:ligatures w14:val="none"/>
              </w:rPr>
              <w:t>Mean ± SD</w:t>
            </w:r>
          </w:p>
        </w:tc>
        <w:tc>
          <w:tcPr>
            <w:tcW w:w="1102" w:type="pct"/>
            <w:vAlign w:val="center"/>
          </w:tcPr>
          <w:p w14:paraId="78B351C9"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b/>
                <w:bCs/>
                <w:color w:val="000000"/>
                <w:kern w:val="0"/>
                <w:sz w:val="24"/>
                <w:szCs w:val="24"/>
                <w14:ligatures w14:val="none"/>
              </w:rPr>
              <w:t>Mean ± SD</w:t>
            </w:r>
          </w:p>
        </w:tc>
        <w:tc>
          <w:tcPr>
            <w:tcW w:w="599" w:type="pct"/>
            <w:vAlign w:val="center"/>
          </w:tcPr>
          <w:p w14:paraId="52898736" w14:textId="77777777" w:rsidR="0015007E" w:rsidRPr="00D323AE" w:rsidRDefault="0015007E">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p>
        </w:tc>
      </w:tr>
      <w:tr w:rsidR="0015007E" w:rsidRPr="00D323AE" w14:paraId="79C0BFA2" w14:textId="77777777" w:rsidTr="00CA4457">
        <w:trPr>
          <w:trHeight w:val="460"/>
        </w:trPr>
        <w:tc>
          <w:tcPr>
            <w:tcW w:w="2223" w:type="pct"/>
            <w:gridSpan w:val="2"/>
            <w:vAlign w:val="center"/>
          </w:tcPr>
          <w:p w14:paraId="1DB6C34E"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Age (years)</w:t>
            </w:r>
          </w:p>
        </w:tc>
        <w:tc>
          <w:tcPr>
            <w:tcW w:w="1076" w:type="pct"/>
            <w:vAlign w:val="center"/>
          </w:tcPr>
          <w:p w14:paraId="076F3A11"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28.75±5.26</w:t>
            </w:r>
          </w:p>
        </w:tc>
        <w:tc>
          <w:tcPr>
            <w:tcW w:w="1102" w:type="pct"/>
            <w:vAlign w:val="center"/>
          </w:tcPr>
          <w:p w14:paraId="51135087"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28.50±6.55</w:t>
            </w:r>
          </w:p>
        </w:tc>
        <w:tc>
          <w:tcPr>
            <w:tcW w:w="599" w:type="pct"/>
            <w:vAlign w:val="center"/>
          </w:tcPr>
          <w:p w14:paraId="6D052747"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0.911</w:t>
            </w:r>
          </w:p>
        </w:tc>
      </w:tr>
      <w:tr w:rsidR="0015007E" w:rsidRPr="00D323AE" w14:paraId="2221B018" w14:textId="77777777" w:rsidTr="00CA4457">
        <w:trPr>
          <w:trHeight w:val="460"/>
        </w:trPr>
        <w:tc>
          <w:tcPr>
            <w:tcW w:w="2223" w:type="pct"/>
            <w:gridSpan w:val="2"/>
            <w:vAlign w:val="center"/>
          </w:tcPr>
          <w:p w14:paraId="728498F8"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bookmarkStart w:id="9" w:name="_Hlk147074034"/>
            <w:r w:rsidRPr="00D323AE">
              <w:rPr>
                <w:rFonts w:asciiTheme="majorBidi" w:hAnsiTheme="majorBidi" w:cstheme="majorBidi"/>
                <w:color w:val="000000"/>
                <w:kern w:val="0"/>
                <w:sz w:val="24"/>
                <w:szCs w:val="24"/>
                <w14:ligatures w14:val="none"/>
              </w:rPr>
              <w:t xml:space="preserve">Body mass index </w:t>
            </w:r>
          </w:p>
        </w:tc>
        <w:tc>
          <w:tcPr>
            <w:tcW w:w="1076" w:type="pct"/>
            <w:vAlign w:val="center"/>
          </w:tcPr>
          <w:p w14:paraId="63ED4A51"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33.50±5.30</w:t>
            </w:r>
          </w:p>
        </w:tc>
        <w:tc>
          <w:tcPr>
            <w:tcW w:w="1102" w:type="pct"/>
            <w:vAlign w:val="center"/>
          </w:tcPr>
          <w:p w14:paraId="2148F8BE"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22.90±2.18</w:t>
            </w:r>
          </w:p>
        </w:tc>
        <w:tc>
          <w:tcPr>
            <w:tcW w:w="599" w:type="pct"/>
            <w:vAlign w:val="center"/>
          </w:tcPr>
          <w:p w14:paraId="077B5968"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&lt;0.001</w:t>
            </w:r>
          </w:p>
        </w:tc>
      </w:tr>
      <w:tr w:rsidR="0015007E" w:rsidRPr="00D323AE" w14:paraId="4A59F00D" w14:textId="77777777" w:rsidTr="00CA4457">
        <w:trPr>
          <w:trHeight w:val="460"/>
        </w:trPr>
        <w:tc>
          <w:tcPr>
            <w:tcW w:w="2223" w:type="pct"/>
            <w:gridSpan w:val="2"/>
            <w:vAlign w:val="center"/>
          </w:tcPr>
          <w:p w14:paraId="016D3CDF"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vertAlign w:val="superscript"/>
                <w14:ligatures w14:val="none"/>
              </w:rPr>
            </w:pPr>
            <w:r w:rsidRPr="00D323AE">
              <w:rPr>
                <w:rFonts w:asciiTheme="majorBidi" w:hAnsiTheme="majorBidi" w:cstheme="majorBidi"/>
                <w:color w:val="000000"/>
                <w:kern w:val="0"/>
                <w:sz w:val="24"/>
                <w:szCs w:val="24"/>
                <w14:ligatures w14:val="none"/>
              </w:rPr>
              <w:t>Total leucocytes count (x10</w:t>
            </w:r>
            <w:r w:rsidRPr="00D323AE">
              <w:rPr>
                <w:rFonts w:asciiTheme="majorBidi" w:hAnsiTheme="majorBidi" w:cstheme="majorBidi"/>
                <w:color w:val="000000"/>
                <w:kern w:val="0"/>
                <w:sz w:val="24"/>
                <w:szCs w:val="24"/>
                <w:vertAlign w:val="superscript"/>
                <w14:ligatures w14:val="none"/>
              </w:rPr>
              <w:t>3</w:t>
            </w:r>
            <w:r w:rsidRPr="00D323AE">
              <w:rPr>
                <w:rFonts w:asciiTheme="majorBidi" w:hAnsiTheme="majorBidi" w:cstheme="majorBidi"/>
                <w:color w:val="000000"/>
                <w:kern w:val="0"/>
                <w:sz w:val="24"/>
                <w:szCs w:val="24"/>
                <w14:ligatures w14:val="none"/>
              </w:rPr>
              <w:t>)/µL</w:t>
            </w:r>
          </w:p>
        </w:tc>
        <w:tc>
          <w:tcPr>
            <w:tcW w:w="1076" w:type="pct"/>
            <w:vAlign w:val="center"/>
          </w:tcPr>
          <w:p w14:paraId="56C4FAAC"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6.77±2.23</w:t>
            </w:r>
          </w:p>
        </w:tc>
        <w:tc>
          <w:tcPr>
            <w:tcW w:w="1102" w:type="pct"/>
            <w:vAlign w:val="center"/>
          </w:tcPr>
          <w:p w14:paraId="5DD17326"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6.51±1.95</w:t>
            </w:r>
          </w:p>
        </w:tc>
        <w:tc>
          <w:tcPr>
            <w:tcW w:w="599" w:type="pct"/>
            <w:vAlign w:val="center"/>
          </w:tcPr>
          <w:p w14:paraId="473B55DE"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lang w:val="de-DE"/>
                <w14:ligatures w14:val="none"/>
              </w:rPr>
            </w:pPr>
            <w:r w:rsidRPr="00D323AE">
              <w:rPr>
                <w:rFonts w:asciiTheme="majorBidi" w:hAnsiTheme="majorBidi" w:cstheme="majorBidi"/>
                <w:color w:val="000000"/>
                <w:kern w:val="0"/>
                <w:sz w:val="24"/>
                <w:szCs w:val="24"/>
                <w:lang w:val="de-DE"/>
                <w14:ligatures w14:val="none"/>
              </w:rPr>
              <w:t>0.753</w:t>
            </w:r>
          </w:p>
        </w:tc>
      </w:tr>
      <w:bookmarkEnd w:id="9"/>
      <w:tr w:rsidR="0015007E" w:rsidRPr="00D323AE" w14:paraId="5A42BAC3" w14:textId="77777777" w:rsidTr="00CA4457">
        <w:trPr>
          <w:trHeight w:val="460"/>
        </w:trPr>
        <w:tc>
          <w:tcPr>
            <w:tcW w:w="2223" w:type="pct"/>
            <w:gridSpan w:val="2"/>
            <w:vAlign w:val="center"/>
          </w:tcPr>
          <w:p w14:paraId="775B0AB8"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Hemoglobin (g/dL)</w:t>
            </w:r>
          </w:p>
        </w:tc>
        <w:tc>
          <w:tcPr>
            <w:tcW w:w="1076" w:type="pct"/>
            <w:vAlign w:val="center"/>
          </w:tcPr>
          <w:p w14:paraId="7AB7398A"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13.51±1.33</w:t>
            </w:r>
          </w:p>
        </w:tc>
        <w:tc>
          <w:tcPr>
            <w:tcW w:w="1102" w:type="pct"/>
            <w:vAlign w:val="center"/>
          </w:tcPr>
          <w:p w14:paraId="62275758"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13.83±1.91</w:t>
            </w:r>
          </w:p>
        </w:tc>
        <w:tc>
          <w:tcPr>
            <w:tcW w:w="599" w:type="pct"/>
            <w:vAlign w:val="center"/>
          </w:tcPr>
          <w:p w14:paraId="1A4EC0AF"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lang w:val="de-DE"/>
                <w14:ligatures w14:val="none"/>
              </w:rPr>
            </w:pPr>
            <w:r w:rsidRPr="00D323AE">
              <w:rPr>
                <w:rFonts w:asciiTheme="majorBidi" w:hAnsiTheme="majorBidi" w:cstheme="majorBidi"/>
                <w:color w:val="000000"/>
                <w:kern w:val="0"/>
                <w:sz w:val="24"/>
                <w:szCs w:val="24"/>
                <w:lang w:val="de-DE"/>
                <w14:ligatures w14:val="none"/>
              </w:rPr>
              <w:t>0.596</w:t>
            </w:r>
          </w:p>
        </w:tc>
      </w:tr>
      <w:tr w:rsidR="0015007E" w:rsidRPr="00D323AE" w14:paraId="111B89EC" w14:textId="77777777" w:rsidTr="00CA4457">
        <w:trPr>
          <w:trHeight w:val="460"/>
        </w:trPr>
        <w:tc>
          <w:tcPr>
            <w:tcW w:w="2223" w:type="pct"/>
            <w:gridSpan w:val="2"/>
            <w:vAlign w:val="center"/>
          </w:tcPr>
          <w:p w14:paraId="4D03A5BA" w14:textId="2C7CB3C1"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Platelet</w:t>
            </w:r>
            <w:r w:rsidR="00675D5B" w:rsidRPr="00D323AE">
              <w:rPr>
                <w:rFonts w:asciiTheme="majorBidi" w:hAnsiTheme="majorBidi" w:cstheme="majorBidi"/>
                <w:color w:val="000000"/>
                <w:kern w:val="0"/>
                <w:sz w:val="24"/>
                <w:szCs w:val="24"/>
                <w14:ligatures w14:val="none"/>
              </w:rPr>
              <w:t>s</w:t>
            </w:r>
            <w:r w:rsidRPr="00D323AE">
              <w:rPr>
                <w:rFonts w:asciiTheme="majorBidi" w:hAnsiTheme="majorBidi" w:cstheme="majorBidi"/>
                <w:color w:val="000000"/>
                <w:kern w:val="0"/>
                <w:sz w:val="24"/>
                <w:szCs w:val="24"/>
                <w14:ligatures w14:val="none"/>
              </w:rPr>
              <w:t xml:space="preserve"> </w:t>
            </w:r>
            <w:r w:rsidR="00675D5B" w:rsidRPr="00D323AE">
              <w:rPr>
                <w:rFonts w:asciiTheme="majorBidi" w:hAnsiTheme="majorBidi" w:cstheme="majorBidi"/>
                <w:color w:val="000000"/>
                <w:kern w:val="0"/>
                <w:sz w:val="24"/>
                <w:szCs w:val="24"/>
                <w14:ligatures w14:val="none"/>
              </w:rPr>
              <w:t xml:space="preserve">count </w:t>
            </w:r>
            <w:r w:rsidRPr="00D323AE">
              <w:rPr>
                <w:rFonts w:asciiTheme="majorBidi" w:hAnsiTheme="majorBidi" w:cstheme="majorBidi"/>
                <w:color w:val="000000"/>
                <w:kern w:val="0"/>
                <w:sz w:val="24"/>
                <w:szCs w:val="24"/>
                <w14:ligatures w14:val="none"/>
              </w:rPr>
              <w:t>(x10</w:t>
            </w:r>
            <w:r w:rsidRPr="00D323AE">
              <w:rPr>
                <w:rFonts w:asciiTheme="majorBidi" w:hAnsiTheme="majorBidi" w:cstheme="majorBidi"/>
                <w:color w:val="000000"/>
                <w:kern w:val="0"/>
                <w:sz w:val="24"/>
                <w:szCs w:val="24"/>
                <w:vertAlign w:val="superscript"/>
                <w14:ligatures w14:val="none"/>
              </w:rPr>
              <w:t>3</w:t>
            </w:r>
            <w:r w:rsidRPr="00D323AE">
              <w:rPr>
                <w:rFonts w:asciiTheme="majorBidi" w:hAnsiTheme="majorBidi" w:cstheme="majorBidi"/>
                <w:color w:val="000000"/>
                <w:kern w:val="0"/>
                <w:sz w:val="24"/>
                <w:szCs w:val="24"/>
                <w14:ligatures w14:val="none"/>
              </w:rPr>
              <w:t>)/µL</w:t>
            </w:r>
          </w:p>
        </w:tc>
        <w:tc>
          <w:tcPr>
            <w:tcW w:w="1076" w:type="pct"/>
            <w:vAlign w:val="center"/>
          </w:tcPr>
          <w:p w14:paraId="1FF9B713"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269.45±80.81</w:t>
            </w:r>
          </w:p>
        </w:tc>
        <w:tc>
          <w:tcPr>
            <w:tcW w:w="1102" w:type="pct"/>
            <w:vAlign w:val="center"/>
          </w:tcPr>
          <w:p w14:paraId="49F119F6"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267±48.78</w:t>
            </w:r>
          </w:p>
        </w:tc>
        <w:tc>
          <w:tcPr>
            <w:tcW w:w="599" w:type="pct"/>
            <w:vAlign w:val="center"/>
          </w:tcPr>
          <w:p w14:paraId="417DC5D6"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lang w:val="de-DE"/>
                <w14:ligatures w14:val="none"/>
              </w:rPr>
            </w:pPr>
            <w:r w:rsidRPr="00D323AE">
              <w:rPr>
                <w:rFonts w:asciiTheme="majorBidi" w:hAnsiTheme="majorBidi" w:cstheme="majorBidi"/>
                <w:color w:val="000000"/>
                <w:kern w:val="0"/>
                <w:sz w:val="24"/>
                <w:szCs w:val="24"/>
                <w:lang w:val="de-DE"/>
                <w14:ligatures w14:val="none"/>
              </w:rPr>
              <w:t>0.931</w:t>
            </w:r>
          </w:p>
        </w:tc>
      </w:tr>
      <w:tr w:rsidR="0015007E" w:rsidRPr="00D323AE" w14:paraId="3CAC3C4B" w14:textId="77777777" w:rsidTr="00CA4457">
        <w:trPr>
          <w:trHeight w:val="460"/>
        </w:trPr>
        <w:tc>
          <w:tcPr>
            <w:tcW w:w="2223" w:type="pct"/>
            <w:gridSpan w:val="2"/>
            <w:vAlign w:val="center"/>
          </w:tcPr>
          <w:p w14:paraId="6886DAC7" w14:textId="080C4663" w:rsidR="0015007E" w:rsidRPr="00D323AE" w:rsidRDefault="00607E8E">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Aspartate aminotransferase (U/mL)</w:t>
            </w:r>
          </w:p>
        </w:tc>
        <w:tc>
          <w:tcPr>
            <w:tcW w:w="1076" w:type="pct"/>
            <w:vAlign w:val="center"/>
          </w:tcPr>
          <w:p w14:paraId="1883FF67"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21 (10.6 – 63.0)</w:t>
            </w:r>
          </w:p>
        </w:tc>
        <w:tc>
          <w:tcPr>
            <w:tcW w:w="1102" w:type="pct"/>
            <w:vAlign w:val="center"/>
          </w:tcPr>
          <w:p w14:paraId="1AE9D69B"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15 (13.0 – 28.0)</w:t>
            </w:r>
          </w:p>
        </w:tc>
        <w:tc>
          <w:tcPr>
            <w:tcW w:w="599" w:type="pct"/>
            <w:vAlign w:val="center"/>
          </w:tcPr>
          <w:p w14:paraId="17DAB707"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0.42</w:t>
            </w:r>
          </w:p>
        </w:tc>
      </w:tr>
      <w:tr w:rsidR="0015007E" w:rsidRPr="00D323AE" w14:paraId="3556B60B" w14:textId="77777777" w:rsidTr="00CA4457">
        <w:trPr>
          <w:trHeight w:val="460"/>
        </w:trPr>
        <w:tc>
          <w:tcPr>
            <w:tcW w:w="2223" w:type="pct"/>
            <w:gridSpan w:val="2"/>
            <w:vAlign w:val="center"/>
          </w:tcPr>
          <w:p w14:paraId="3691DE4A" w14:textId="12A3F1C1" w:rsidR="0015007E" w:rsidRPr="00D323AE" w:rsidRDefault="00607E8E">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Alanine aminotransferase (U/mL)</w:t>
            </w:r>
          </w:p>
        </w:tc>
        <w:tc>
          <w:tcPr>
            <w:tcW w:w="1076" w:type="pct"/>
            <w:vAlign w:val="center"/>
          </w:tcPr>
          <w:p w14:paraId="15099CF2"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21 (8 – 90)</w:t>
            </w:r>
          </w:p>
        </w:tc>
        <w:tc>
          <w:tcPr>
            <w:tcW w:w="1102" w:type="pct"/>
            <w:vAlign w:val="center"/>
          </w:tcPr>
          <w:p w14:paraId="2CD69E25"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15 (9.0 – 33.0)</w:t>
            </w:r>
          </w:p>
        </w:tc>
        <w:tc>
          <w:tcPr>
            <w:tcW w:w="599" w:type="pct"/>
            <w:vAlign w:val="center"/>
          </w:tcPr>
          <w:p w14:paraId="407DCE0E"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0.28</w:t>
            </w:r>
          </w:p>
        </w:tc>
      </w:tr>
      <w:tr w:rsidR="0015007E" w:rsidRPr="00D323AE" w14:paraId="73AE27FD" w14:textId="77777777" w:rsidTr="00CA4457">
        <w:trPr>
          <w:trHeight w:val="460"/>
        </w:trPr>
        <w:tc>
          <w:tcPr>
            <w:tcW w:w="2223" w:type="pct"/>
            <w:gridSpan w:val="2"/>
            <w:vAlign w:val="center"/>
          </w:tcPr>
          <w:p w14:paraId="5A929E5C"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Serum albumin (mg/dL)</w:t>
            </w:r>
          </w:p>
        </w:tc>
        <w:tc>
          <w:tcPr>
            <w:tcW w:w="1076" w:type="pct"/>
            <w:vAlign w:val="center"/>
          </w:tcPr>
          <w:p w14:paraId="45D20B82"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4.49±0.45</w:t>
            </w:r>
          </w:p>
        </w:tc>
        <w:tc>
          <w:tcPr>
            <w:tcW w:w="1102" w:type="pct"/>
            <w:vAlign w:val="center"/>
          </w:tcPr>
          <w:p w14:paraId="26105D22"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4.41±0.42</w:t>
            </w:r>
          </w:p>
        </w:tc>
        <w:tc>
          <w:tcPr>
            <w:tcW w:w="599" w:type="pct"/>
            <w:vAlign w:val="center"/>
          </w:tcPr>
          <w:p w14:paraId="5CD1B233"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lang w:val="de-DE"/>
                <w14:ligatures w14:val="none"/>
              </w:rPr>
            </w:pPr>
            <w:r w:rsidRPr="00D323AE">
              <w:rPr>
                <w:rFonts w:asciiTheme="majorBidi" w:hAnsiTheme="majorBidi" w:cstheme="majorBidi"/>
                <w:color w:val="000000"/>
                <w:kern w:val="0"/>
                <w:sz w:val="24"/>
                <w:szCs w:val="24"/>
                <w:lang w:val="de-DE"/>
                <w14:ligatures w14:val="none"/>
              </w:rPr>
              <w:t>0.641</w:t>
            </w:r>
          </w:p>
        </w:tc>
      </w:tr>
      <w:tr w:rsidR="0015007E" w:rsidRPr="00D323AE" w14:paraId="30B3C797" w14:textId="77777777" w:rsidTr="00CA4457">
        <w:trPr>
          <w:trHeight w:val="460"/>
        </w:trPr>
        <w:tc>
          <w:tcPr>
            <w:tcW w:w="2223" w:type="pct"/>
            <w:gridSpan w:val="2"/>
            <w:vAlign w:val="center"/>
          </w:tcPr>
          <w:p w14:paraId="7B411077"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Total bilirubin (mg/mL)</w:t>
            </w:r>
          </w:p>
        </w:tc>
        <w:tc>
          <w:tcPr>
            <w:tcW w:w="1076" w:type="pct"/>
            <w:vAlign w:val="center"/>
          </w:tcPr>
          <w:p w14:paraId="0A21934E"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0.62 (0.3 – 1.6)</w:t>
            </w:r>
          </w:p>
        </w:tc>
        <w:tc>
          <w:tcPr>
            <w:tcW w:w="1102" w:type="pct"/>
            <w:vAlign w:val="center"/>
          </w:tcPr>
          <w:p w14:paraId="451CC45E"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0.5 (0.37 – 1.09)</w:t>
            </w:r>
          </w:p>
        </w:tc>
        <w:tc>
          <w:tcPr>
            <w:tcW w:w="599" w:type="pct"/>
            <w:vAlign w:val="center"/>
          </w:tcPr>
          <w:p w14:paraId="7BA62A5A"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0.603</w:t>
            </w:r>
          </w:p>
        </w:tc>
      </w:tr>
      <w:tr w:rsidR="0015007E" w:rsidRPr="00D323AE" w14:paraId="4BCC943B" w14:textId="77777777" w:rsidTr="00CA4457">
        <w:trPr>
          <w:trHeight w:val="460"/>
        </w:trPr>
        <w:tc>
          <w:tcPr>
            <w:tcW w:w="2223" w:type="pct"/>
            <w:gridSpan w:val="2"/>
            <w:vAlign w:val="center"/>
          </w:tcPr>
          <w:p w14:paraId="7BFCC04C"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Direct bilirubin (mg/mL)</w:t>
            </w:r>
          </w:p>
        </w:tc>
        <w:tc>
          <w:tcPr>
            <w:tcW w:w="1076" w:type="pct"/>
            <w:vAlign w:val="center"/>
          </w:tcPr>
          <w:p w14:paraId="2A6A18A6"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0.2 (0.1 – 0.4)</w:t>
            </w:r>
          </w:p>
        </w:tc>
        <w:tc>
          <w:tcPr>
            <w:tcW w:w="1102" w:type="pct"/>
            <w:vAlign w:val="center"/>
          </w:tcPr>
          <w:p w14:paraId="434067A7"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0.2 (0.1 – 0.4)</w:t>
            </w:r>
          </w:p>
        </w:tc>
        <w:tc>
          <w:tcPr>
            <w:tcW w:w="599" w:type="pct"/>
            <w:vAlign w:val="center"/>
          </w:tcPr>
          <w:p w14:paraId="18D55939"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0.81</w:t>
            </w:r>
          </w:p>
        </w:tc>
      </w:tr>
      <w:tr w:rsidR="0015007E" w:rsidRPr="00D323AE" w14:paraId="37D2DC81" w14:textId="77777777" w:rsidTr="00CA4457">
        <w:trPr>
          <w:trHeight w:val="460"/>
        </w:trPr>
        <w:tc>
          <w:tcPr>
            <w:tcW w:w="2223" w:type="pct"/>
            <w:gridSpan w:val="2"/>
            <w:vAlign w:val="center"/>
          </w:tcPr>
          <w:p w14:paraId="025F81F1" w14:textId="59CAAD4F"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I</w:t>
            </w:r>
            <w:r w:rsidR="00E97DA2" w:rsidRPr="00D323AE">
              <w:rPr>
                <w:rFonts w:asciiTheme="majorBidi" w:hAnsiTheme="majorBidi" w:cstheme="majorBidi"/>
                <w:color w:val="000000"/>
                <w:kern w:val="0"/>
                <w:sz w:val="24"/>
                <w:szCs w:val="24"/>
                <w14:ligatures w14:val="none"/>
              </w:rPr>
              <w:t xml:space="preserve">nternational normalized ratio </w:t>
            </w:r>
          </w:p>
        </w:tc>
        <w:tc>
          <w:tcPr>
            <w:tcW w:w="1076" w:type="pct"/>
            <w:vAlign w:val="center"/>
          </w:tcPr>
          <w:p w14:paraId="25089A3F"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1.0 (0.9 – 1.2)</w:t>
            </w:r>
          </w:p>
        </w:tc>
        <w:tc>
          <w:tcPr>
            <w:tcW w:w="1102" w:type="pct"/>
            <w:vAlign w:val="center"/>
          </w:tcPr>
          <w:p w14:paraId="5612365C"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1.0 (0.8 – 1.04)</w:t>
            </w:r>
          </w:p>
        </w:tc>
        <w:tc>
          <w:tcPr>
            <w:tcW w:w="599" w:type="pct"/>
            <w:vAlign w:val="center"/>
          </w:tcPr>
          <w:p w14:paraId="13BC3F3E"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0.14</w:t>
            </w:r>
          </w:p>
        </w:tc>
      </w:tr>
      <w:tr w:rsidR="0015007E" w:rsidRPr="00D323AE" w14:paraId="5EDA939E" w14:textId="77777777" w:rsidTr="00CA4457">
        <w:trPr>
          <w:trHeight w:val="460"/>
        </w:trPr>
        <w:tc>
          <w:tcPr>
            <w:tcW w:w="2223" w:type="pct"/>
            <w:gridSpan w:val="2"/>
            <w:vAlign w:val="center"/>
          </w:tcPr>
          <w:p w14:paraId="2F62166F"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Blood urea nitrogen (mg/mL)</w:t>
            </w:r>
          </w:p>
        </w:tc>
        <w:tc>
          <w:tcPr>
            <w:tcW w:w="1076" w:type="pct"/>
            <w:vAlign w:val="center"/>
          </w:tcPr>
          <w:p w14:paraId="6103646F"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14.50±4.75</w:t>
            </w:r>
          </w:p>
        </w:tc>
        <w:tc>
          <w:tcPr>
            <w:tcW w:w="1102" w:type="pct"/>
            <w:vAlign w:val="center"/>
          </w:tcPr>
          <w:p w14:paraId="5A30D46F"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14.70±4.21</w:t>
            </w:r>
          </w:p>
        </w:tc>
        <w:tc>
          <w:tcPr>
            <w:tcW w:w="599" w:type="pct"/>
            <w:vAlign w:val="center"/>
          </w:tcPr>
          <w:p w14:paraId="1E52858F"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0.911</w:t>
            </w:r>
          </w:p>
        </w:tc>
      </w:tr>
      <w:tr w:rsidR="0015007E" w:rsidRPr="00D323AE" w14:paraId="591E2FD7" w14:textId="77777777" w:rsidTr="00CA4457">
        <w:trPr>
          <w:trHeight w:val="460"/>
        </w:trPr>
        <w:tc>
          <w:tcPr>
            <w:tcW w:w="2223" w:type="pct"/>
            <w:gridSpan w:val="2"/>
            <w:vAlign w:val="center"/>
          </w:tcPr>
          <w:p w14:paraId="025DF7FB"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Creatinine (mg/mL)</w:t>
            </w:r>
          </w:p>
        </w:tc>
        <w:tc>
          <w:tcPr>
            <w:tcW w:w="1076" w:type="pct"/>
            <w:vAlign w:val="center"/>
          </w:tcPr>
          <w:p w14:paraId="69FF1B04"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0.89±0.14</w:t>
            </w:r>
          </w:p>
        </w:tc>
        <w:tc>
          <w:tcPr>
            <w:tcW w:w="1102" w:type="pct"/>
            <w:vAlign w:val="center"/>
          </w:tcPr>
          <w:p w14:paraId="7ABC698E"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0.78±0.13</w:t>
            </w:r>
          </w:p>
        </w:tc>
        <w:tc>
          <w:tcPr>
            <w:tcW w:w="599" w:type="pct"/>
            <w:vAlign w:val="center"/>
          </w:tcPr>
          <w:p w14:paraId="292A5C28"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lang w:val="de-DE"/>
                <w14:ligatures w14:val="none"/>
              </w:rPr>
            </w:pPr>
            <w:r w:rsidRPr="00D323AE">
              <w:rPr>
                <w:rFonts w:asciiTheme="majorBidi" w:hAnsiTheme="majorBidi" w:cstheme="majorBidi"/>
                <w:color w:val="000000"/>
                <w:kern w:val="0"/>
                <w:sz w:val="24"/>
                <w:szCs w:val="24"/>
                <w:lang w:val="de-DE"/>
                <w14:ligatures w14:val="none"/>
              </w:rPr>
              <w:t>0.050</w:t>
            </w:r>
          </w:p>
        </w:tc>
      </w:tr>
      <w:tr w:rsidR="0015007E" w:rsidRPr="00D323AE" w14:paraId="20FEB26D" w14:textId="77777777" w:rsidTr="00CA4457">
        <w:trPr>
          <w:trHeight w:val="460"/>
        </w:trPr>
        <w:tc>
          <w:tcPr>
            <w:tcW w:w="2223" w:type="pct"/>
            <w:gridSpan w:val="2"/>
            <w:vAlign w:val="center"/>
          </w:tcPr>
          <w:p w14:paraId="761E259E"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Total cholesterol (mg/mL)</w:t>
            </w:r>
          </w:p>
        </w:tc>
        <w:tc>
          <w:tcPr>
            <w:tcW w:w="1076" w:type="pct"/>
            <w:vAlign w:val="center"/>
          </w:tcPr>
          <w:p w14:paraId="7D96086B"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196.50 ±37.68</w:t>
            </w:r>
          </w:p>
        </w:tc>
        <w:tc>
          <w:tcPr>
            <w:tcW w:w="1102" w:type="pct"/>
            <w:vAlign w:val="center"/>
          </w:tcPr>
          <w:p w14:paraId="7FCDF1F8"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174.60±22.32</w:t>
            </w:r>
          </w:p>
        </w:tc>
        <w:tc>
          <w:tcPr>
            <w:tcW w:w="599" w:type="pct"/>
            <w:vAlign w:val="center"/>
          </w:tcPr>
          <w:p w14:paraId="1AC8B61A"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0.103</w:t>
            </w:r>
          </w:p>
        </w:tc>
      </w:tr>
      <w:tr w:rsidR="0015007E" w:rsidRPr="00D323AE" w14:paraId="3FF0EF1A" w14:textId="77777777" w:rsidTr="00CA4457">
        <w:trPr>
          <w:trHeight w:val="460"/>
        </w:trPr>
        <w:tc>
          <w:tcPr>
            <w:tcW w:w="2223" w:type="pct"/>
            <w:gridSpan w:val="2"/>
            <w:vAlign w:val="center"/>
          </w:tcPr>
          <w:p w14:paraId="660FD52A" w14:textId="12F1F1B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High</w:t>
            </w:r>
            <w:r w:rsidR="00A86C5F">
              <w:rPr>
                <w:rFonts w:asciiTheme="majorBidi" w:hAnsiTheme="majorBidi" w:cstheme="majorBidi"/>
                <w:color w:val="000000"/>
                <w:kern w:val="0"/>
                <w:sz w:val="24"/>
                <w:szCs w:val="24"/>
                <w14:ligatures w14:val="none"/>
              </w:rPr>
              <w:t>-</w:t>
            </w:r>
            <w:r w:rsidRPr="00D323AE">
              <w:rPr>
                <w:rFonts w:asciiTheme="majorBidi" w:hAnsiTheme="majorBidi" w:cstheme="majorBidi"/>
                <w:color w:val="000000"/>
                <w:kern w:val="0"/>
                <w:sz w:val="24"/>
                <w:szCs w:val="24"/>
                <w14:ligatures w14:val="none"/>
              </w:rPr>
              <w:t>density lipoprotein (mg/mL)</w:t>
            </w:r>
          </w:p>
        </w:tc>
        <w:tc>
          <w:tcPr>
            <w:tcW w:w="1076" w:type="pct"/>
            <w:vAlign w:val="center"/>
          </w:tcPr>
          <w:p w14:paraId="087196BC"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38.90±9.06</w:t>
            </w:r>
          </w:p>
        </w:tc>
        <w:tc>
          <w:tcPr>
            <w:tcW w:w="1102" w:type="pct"/>
            <w:vAlign w:val="center"/>
          </w:tcPr>
          <w:p w14:paraId="08B0620C"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45.10±9.04</w:t>
            </w:r>
          </w:p>
        </w:tc>
        <w:tc>
          <w:tcPr>
            <w:tcW w:w="599" w:type="pct"/>
            <w:vAlign w:val="center"/>
          </w:tcPr>
          <w:p w14:paraId="71AE1F3A"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lang w:val="de-DE"/>
                <w14:ligatures w14:val="none"/>
              </w:rPr>
            </w:pPr>
            <w:r w:rsidRPr="00D323AE">
              <w:rPr>
                <w:rFonts w:asciiTheme="majorBidi" w:hAnsiTheme="majorBidi" w:cstheme="majorBidi"/>
                <w:color w:val="000000"/>
                <w:kern w:val="0"/>
                <w:sz w:val="24"/>
                <w:szCs w:val="24"/>
                <w:lang w:val="de-DE"/>
                <w14:ligatures w14:val="none"/>
              </w:rPr>
              <w:t>0.088</w:t>
            </w:r>
          </w:p>
        </w:tc>
      </w:tr>
      <w:tr w:rsidR="0015007E" w:rsidRPr="00D323AE" w14:paraId="5A172800" w14:textId="77777777" w:rsidTr="00CA4457">
        <w:trPr>
          <w:trHeight w:val="460"/>
        </w:trPr>
        <w:tc>
          <w:tcPr>
            <w:tcW w:w="2223" w:type="pct"/>
            <w:gridSpan w:val="2"/>
            <w:vAlign w:val="center"/>
          </w:tcPr>
          <w:p w14:paraId="19119C2D"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lang w:val="de-DE"/>
                <w14:ligatures w14:val="none"/>
              </w:rPr>
            </w:pPr>
            <w:r w:rsidRPr="00D323AE">
              <w:rPr>
                <w:rFonts w:asciiTheme="majorBidi" w:hAnsiTheme="majorBidi" w:cstheme="majorBidi"/>
                <w:color w:val="000000"/>
                <w:kern w:val="0"/>
                <w:sz w:val="24"/>
                <w:szCs w:val="24"/>
                <w14:ligatures w14:val="none"/>
              </w:rPr>
              <w:t>Triglycerides (mg/mL)</w:t>
            </w:r>
          </w:p>
        </w:tc>
        <w:tc>
          <w:tcPr>
            <w:tcW w:w="1076" w:type="pct"/>
            <w:vAlign w:val="center"/>
          </w:tcPr>
          <w:p w14:paraId="53A13B1F"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lang w:val="de-DE"/>
                <w14:ligatures w14:val="none"/>
              </w:rPr>
            </w:pPr>
            <w:r w:rsidRPr="00D323AE">
              <w:rPr>
                <w:rFonts w:asciiTheme="majorBidi" w:hAnsiTheme="majorBidi" w:cstheme="majorBidi"/>
                <w:color w:val="000000"/>
                <w:kern w:val="0"/>
                <w:sz w:val="24"/>
                <w:szCs w:val="24"/>
                <w14:ligatures w14:val="none"/>
              </w:rPr>
              <w:t>160.05±66.38</w:t>
            </w:r>
          </w:p>
        </w:tc>
        <w:tc>
          <w:tcPr>
            <w:tcW w:w="1102" w:type="pct"/>
            <w:vAlign w:val="center"/>
          </w:tcPr>
          <w:p w14:paraId="6B65E6C1"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lang w:val="de-DE"/>
                <w14:ligatures w14:val="none"/>
              </w:rPr>
            </w:pPr>
            <w:r w:rsidRPr="00D323AE">
              <w:rPr>
                <w:rFonts w:asciiTheme="majorBidi" w:hAnsiTheme="majorBidi" w:cstheme="majorBidi"/>
                <w:color w:val="000000"/>
                <w:kern w:val="0"/>
                <w:sz w:val="24"/>
                <w:szCs w:val="24"/>
                <w14:ligatures w14:val="none"/>
              </w:rPr>
              <w:t>112.60±52.41</w:t>
            </w:r>
          </w:p>
        </w:tc>
        <w:tc>
          <w:tcPr>
            <w:tcW w:w="599" w:type="pct"/>
            <w:vAlign w:val="center"/>
          </w:tcPr>
          <w:p w14:paraId="3F5279CB"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0.059</w:t>
            </w:r>
          </w:p>
        </w:tc>
      </w:tr>
      <w:tr w:rsidR="0015007E" w:rsidRPr="00D323AE" w14:paraId="18C68914" w14:textId="77777777" w:rsidTr="00CA4457">
        <w:trPr>
          <w:trHeight w:val="460"/>
        </w:trPr>
        <w:tc>
          <w:tcPr>
            <w:tcW w:w="2223" w:type="pct"/>
            <w:gridSpan w:val="2"/>
            <w:vAlign w:val="center"/>
          </w:tcPr>
          <w:p w14:paraId="45667E3D"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LDL-Cholesterol (mg/mL)</w:t>
            </w:r>
          </w:p>
        </w:tc>
        <w:tc>
          <w:tcPr>
            <w:tcW w:w="1076" w:type="pct"/>
            <w:vAlign w:val="center"/>
          </w:tcPr>
          <w:p w14:paraId="0805B5C4"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111.35±20.64</w:t>
            </w:r>
          </w:p>
        </w:tc>
        <w:tc>
          <w:tcPr>
            <w:tcW w:w="1102" w:type="pct"/>
            <w:vAlign w:val="center"/>
          </w:tcPr>
          <w:p w14:paraId="5E1ADE3E"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106.30±21.56</w:t>
            </w:r>
          </w:p>
        </w:tc>
        <w:tc>
          <w:tcPr>
            <w:tcW w:w="599" w:type="pct"/>
            <w:vAlign w:val="center"/>
          </w:tcPr>
          <w:p w14:paraId="47CCD9A6"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lang w:val="de-DE"/>
                <w14:ligatures w14:val="none"/>
              </w:rPr>
            </w:pPr>
            <w:r w:rsidRPr="00D323AE">
              <w:rPr>
                <w:rFonts w:asciiTheme="majorBidi" w:hAnsiTheme="majorBidi" w:cstheme="majorBidi"/>
                <w:color w:val="000000"/>
                <w:kern w:val="0"/>
                <w:sz w:val="24"/>
                <w:szCs w:val="24"/>
                <w:lang w:val="de-DE"/>
                <w14:ligatures w14:val="none"/>
              </w:rPr>
              <w:t>0.539</w:t>
            </w:r>
          </w:p>
        </w:tc>
      </w:tr>
      <w:tr w:rsidR="0015007E" w:rsidRPr="00D323AE" w14:paraId="661891D6" w14:textId="77777777" w:rsidTr="00CA4457">
        <w:trPr>
          <w:trHeight w:val="460"/>
        </w:trPr>
        <w:tc>
          <w:tcPr>
            <w:tcW w:w="2223" w:type="pct"/>
            <w:gridSpan w:val="2"/>
            <w:vAlign w:val="center"/>
          </w:tcPr>
          <w:p w14:paraId="13857A97"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Fasting blood glucose (mg/mL)</w:t>
            </w:r>
          </w:p>
        </w:tc>
        <w:tc>
          <w:tcPr>
            <w:tcW w:w="1076" w:type="pct"/>
            <w:vAlign w:val="center"/>
          </w:tcPr>
          <w:p w14:paraId="02BCC0C9"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82.95±10.68</w:t>
            </w:r>
          </w:p>
        </w:tc>
        <w:tc>
          <w:tcPr>
            <w:tcW w:w="1102" w:type="pct"/>
            <w:vAlign w:val="center"/>
          </w:tcPr>
          <w:p w14:paraId="1E3C8EE7"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86.20±8.32</w:t>
            </w:r>
          </w:p>
        </w:tc>
        <w:tc>
          <w:tcPr>
            <w:tcW w:w="599" w:type="pct"/>
            <w:vAlign w:val="center"/>
          </w:tcPr>
          <w:p w14:paraId="1442EA06"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lang w:val="de-DE"/>
                <w14:ligatures w14:val="none"/>
              </w:rPr>
            </w:pPr>
            <w:r w:rsidRPr="00D323AE">
              <w:rPr>
                <w:rFonts w:asciiTheme="majorBidi" w:hAnsiTheme="majorBidi" w:cstheme="majorBidi"/>
                <w:color w:val="000000"/>
                <w:kern w:val="0"/>
                <w:sz w:val="24"/>
                <w:szCs w:val="24"/>
                <w:lang w:val="de-DE"/>
                <w14:ligatures w14:val="none"/>
              </w:rPr>
              <w:t>0.408</w:t>
            </w:r>
          </w:p>
        </w:tc>
      </w:tr>
      <w:tr w:rsidR="0015007E" w:rsidRPr="00D323AE" w14:paraId="5C4F32CA" w14:textId="77777777" w:rsidTr="00CA4457">
        <w:trPr>
          <w:trHeight w:val="460"/>
        </w:trPr>
        <w:tc>
          <w:tcPr>
            <w:tcW w:w="2223" w:type="pct"/>
            <w:gridSpan w:val="2"/>
            <w:vAlign w:val="center"/>
          </w:tcPr>
          <w:p w14:paraId="579FBEA5"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2 hours PP blood glucose (mg/mL)</w:t>
            </w:r>
          </w:p>
        </w:tc>
        <w:tc>
          <w:tcPr>
            <w:tcW w:w="1076" w:type="pct"/>
            <w:vAlign w:val="center"/>
          </w:tcPr>
          <w:p w14:paraId="26619C1B"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100.35±15.70</w:t>
            </w:r>
          </w:p>
        </w:tc>
        <w:tc>
          <w:tcPr>
            <w:tcW w:w="1102" w:type="pct"/>
            <w:vAlign w:val="center"/>
          </w:tcPr>
          <w:p w14:paraId="09AE7B53"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107.60±16.72</w:t>
            </w:r>
          </w:p>
        </w:tc>
        <w:tc>
          <w:tcPr>
            <w:tcW w:w="599" w:type="pct"/>
            <w:vAlign w:val="center"/>
          </w:tcPr>
          <w:p w14:paraId="05BDC585"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lang w:val="de-DE"/>
                <w14:ligatures w14:val="none"/>
              </w:rPr>
            </w:pPr>
            <w:r w:rsidRPr="00D323AE">
              <w:rPr>
                <w:rFonts w:asciiTheme="majorBidi" w:hAnsiTheme="majorBidi" w:cstheme="majorBidi"/>
                <w:color w:val="000000"/>
                <w:kern w:val="0"/>
                <w:sz w:val="24"/>
                <w:szCs w:val="24"/>
                <w:lang w:val="de-DE"/>
                <w14:ligatures w14:val="none"/>
              </w:rPr>
              <w:t>0.253</w:t>
            </w:r>
          </w:p>
        </w:tc>
      </w:tr>
      <w:tr w:rsidR="0015007E" w:rsidRPr="00D323AE" w14:paraId="0CF50EF1" w14:textId="77777777" w:rsidTr="00CA4457">
        <w:trPr>
          <w:trHeight w:val="460"/>
        </w:trPr>
        <w:tc>
          <w:tcPr>
            <w:tcW w:w="2223" w:type="pct"/>
            <w:gridSpan w:val="2"/>
            <w:vAlign w:val="center"/>
          </w:tcPr>
          <w:p w14:paraId="655C676A"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lang w:val="de-DE"/>
                <w14:ligatures w14:val="none"/>
              </w:rPr>
            </w:pPr>
            <w:r w:rsidRPr="00D323AE">
              <w:rPr>
                <w:rFonts w:asciiTheme="majorBidi" w:hAnsiTheme="majorBidi" w:cstheme="majorBidi"/>
                <w:color w:val="000000"/>
                <w:kern w:val="0"/>
                <w:sz w:val="24"/>
                <w:szCs w:val="24"/>
                <w14:ligatures w14:val="none"/>
              </w:rPr>
              <w:t>HbA1C</w:t>
            </w:r>
          </w:p>
        </w:tc>
        <w:tc>
          <w:tcPr>
            <w:tcW w:w="1076" w:type="pct"/>
            <w:vAlign w:val="center"/>
          </w:tcPr>
          <w:p w14:paraId="24F84D43"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5.39±0.39</w:t>
            </w:r>
          </w:p>
        </w:tc>
        <w:tc>
          <w:tcPr>
            <w:tcW w:w="1102" w:type="pct"/>
            <w:vAlign w:val="center"/>
          </w:tcPr>
          <w:p w14:paraId="64B8D190"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5.45±0.37</w:t>
            </w:r>
          </w:p>
        </w:tc>
        <w:tc>
          <w:tcPr>
            <w:tcW w:w="599" w:type="pct"/>
            <w:vAlign w:val="center"/>
          </w:tcPr>
          <w:p w14:paraId="214C736E"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lang w:val="de-DE"/>
                <w14:ligatures w14:val="none"/>
              </w:rPr>
            </w:pPr>
            <w:r w:rsidRPr="00D323AE">
              <w:rPr>
                <w:rFonts w:asciiTheme="majorBidi" w:hAnsiTheme="majorBidi" w:cstheme="majorBidi"/>
                <w:color w:val="000000"/>
                <w:kern w:val="0"/>
                <w:sz w:val="24"/>
                <w:szCs w:val="24"/>
                <w:lang w:val="de-DE"/>
                <w14:ligatures w14:val="none"/>
              </w:rPr>
              <w:t>0.693</w:t>
            </w:r>
          </w:p>
        </w:tc>
      </w:tr>
      <w:tr w:rsidR="0015007E" w:rsidRPr="00D323AE" w14:paraId="2BDDD11A" w14:textId="77777777" w:rsidTr="00CA4457">
        <w:trPr>
          <w:trHeight w:val="460"/>
        </w:trPr>
        <w:tc>
          <w:tcPr>
            <w:tcW w:w="2223" w:type="pct"/>
            <w:gridSpan w:val="2"/>
            <w:vAlign w:val="center"/>
          </w:tcPr>
          <w:p w14:paraId="304AEE12"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Mean platelet volume (</w:t>
            </w:r>
            <w:proofErr w:type="spellStart"/>
            <w:r w:rsidRPr="00D323AE">
              <w:rPr>
                <w:rFonts w:asciiTheme="majorBidi" w:hAnsiTheme="majorBidi" w:cstheme="majorBidi"/>
                <w:color w:val="000000"/>
                <w:kern w:val="0"/>
                <w:sz w:val="24"/>
                <w:szCs w:val="24"/>
                <w14:ligatures w14:val="none"/>
              </w:rPr>
              <w:t>fL</w:t>
            </w:r>
            <w:proofErr w:type="spellEnd"/>
            <w:r w:rsidRPr="00D323AE">
              <w:rPr>
                <w:rFonts w:asciiTheme="majorBidi" w:hAnsiTheme="majorBidi" w:cstheme="majorBidi"/>
                <w:color w:val="000000"/>
                <w:kern w:val="0"/>
                <w:sz w:val="24"/>
                <w:szCs w:val="24"/>
                <w14:ligatures w14:val="none"/>
              </w:rPr>
              <w:t>)</w:t>
            </w:r>
          </w:p>
        </w:tc>
        <w:tc>
          <w:tcPr>
            <w:tcW w:w="1076" w:type="pct"/>
            <w:vAlign w:val="center"/>
          </w:tcPr>
          <w:p w14:paraId="459BFD0F"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10.39±1.10</w:t>
            </w:r>
          </w:p>
        </w:tc>
        <w:tc>
          <w:tcPr>
            <w:tcW w:w="1102" w:type="pct"/>
            <w:vAlign w:val="center"/>
          </w:tcPr>
          <w:p w14:paraId="0C47FE19"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9.14±1.39</w:t>
            </w:r>
          </w:p>
        </w:tc>
        <w:tc>
          <w:tcPr>
            <w:tcW w:w="599" w:type="pct"/>
            <w:vAlign w:val="center"/>
          </w:tcPr>
          <w:p w14:paraId="40EBA9CC"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0.012</w:t>
            </w:r>
          </w:p>
        </w:tc>
      </w:tr>
      <w:tr w:rsidR="0015007E" w:rsidRPr="00D323AE" w14:paraId="1665C9AD" w14:textId="77777777" w:rsidTr="00CA4457">
        <w:trPr>
          <w:trHeight w:val="460"/>
        </w:trPr>
        <w:tc>
          <w:tcPr>
            <w:tcW w:w="2223" w:type="pct"/>
            <w:gridSpan w:val="2"/>
            <w:vAlign w:val="center"/>
          </w:tcPr>
          <w:p w14:paraId="77AB8BB0"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Neutrophil to lymphocyte ratio</w:t>
            </w:r>
          </w:p>
        </w:tc>
        <w:tc>
          <w:tcPr>
            <w:tcW w:w="1076" w:type="pct"/>
            <w:vAlign w:val="center"/>
          </w:tcPr>
          <w:p w14:paraId="0B1AD674"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1.47±0.28</w:t>
            </w:r>
          </w:p>
        </w:tc>
        <w:tc>
          <w:tcPr>
            <w:tcW w:w="1102" w:type="pct"/>
            <w:vAlign w:val="center"/>
          </w:tcPr>
          <w:p w14:paraId="1FA1C8D4"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1.49±0.38</w:t>
            </w:r>
          </w:p>
        </w:tc>
        <w:tc>
          <w:tcPr>
            <w:tcW w:w="599" w:type="pct"/>
            <w:vAlign w:val="center"/>
          </w:tcPr>
          <w:p w14:paraId="1CA238B2"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0.863</w:t>
            </w:r>
          </w:p>
        </w:tc>
      </w:tr>
      <w:tr w:rsidR="0015007E" w:rsidRPr="00D323AE" w14:paraId="6D2AD65A" w14:textId="77777777" w:rsidTr="00CA4457">
        <w:trPr>
          <w:trHeight w:val="115"/>
        </w:trPr>
        <w:tc>
          <w:tcPr>
            <w:tcW w:w="1524" w:type="pct"/>
            <w:vMerge w:val="restart"/>
            <w:vAlign w:val="center"/>
          </w:tcPr>
          <w:p w14:paraId="32531511"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Fatty liver in ultrasound</w:t>
            </w:r>
          </w:p>
        </w:tc>
        <w:tc>
          <w:tcPr>
            <w:tcW w:w="699" w:type="pct"/>
            <w:vAlign w:val="center"/>
          </w:tcPr>
          <w:p w14:paraId="215436AB"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Grade 0</w:t>
            </w:r>
          </w:p>
        </w:tc>
        <w:tc>
          <w:tcPr>
            <w:tcW w:w="1076" w:type="pct"/>
            <w:vAlign w:val="center"/>
          </w:tcPr>
          <w:p w14:paraId="36C1FB7D"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3 (15%)</w:t>
            </w:r>
          </w:p>
        </w:tc>
        <w:tc>
          <w:tcPr>
            <w:tcW w:w="1102" w:type="pct"/>
            <w:vAlign w:val="center"/>
          </w:tcPr>
          <w:p w14:paraId="4AD9BB2F"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10 (100%)</w:t>
            </w:r>
          </w:p>
        </w:tc>
        <w:tc>
          <w:tcPr>
            <w:tcW w:w="599" w:type="pct"/>
            <w:vMerge w:val="restart"/>
            <w:vAlign w:val="center"/>
          </w:tcPr>
          <w:p w14:paraId="1DEECC93"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&lt;0.001</w:t>
            </w:r>
          </w:p>
        </w:tc>
      </w:tr>
      <w:tr w:rsidR="0015007E" w:rsidRPr="00D323AE" w14:paraId="5E8BDAB7" w14:textId="77777777" w:rsidTr="00CA4457">
        <w:trPr>
          <w:trHeight w:val="115"/>
        </w:trPr>
        <w:tc>
          <w:tcPr>
            <w:tcW w:w="1524" w:type="pct"/>
            <w:vMerge/>
            <w:vAlign w:val="center"/>
          </w:tcPr>
          <w:p w14:paraId="56E4FB4F" w14:textId="77777777" w:rsidR="0015007E" w:rsidRPr="00D323AE" w:rsidRDefault="0015007E">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p>
        </w:tc>
        <w:tc>
          <w:tcPr>
            <w:tcW w:w="699" w:type="pct"/>
            <w:vAlign w:val="center"/>
          </w:tcPr>
          <w:p w14:paraId="2989E47C"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Grade I</w:t>
            </w:r>
          </w:p>
        </w:tc>
        <w:tc>
          <w:tcPr>
            <w:tcW w:w="1076" w:type="pct"/>
            <w:vAlign w:val="center"/>
          </w:tcPr>
          <w:p w14:paraId="2A0F3A45"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12 (60)</w:t>
            </w:r>
          </w:p>
        </w:tc>
        <w:tc>
          <w:tcPr>
            <w:tcW w:w="1102" w:type="pct"/>
            <w:vAlign w:val="center"/>
          </w:tcPr>
          <w:p w14:paraId="253B3F03"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w:t>
            </w:r>
          </w:p>
        </w:tc>
        <w:tc>
          <w:tcPr>
            <w:tcW w:w="599" w:type="pct"/>
            <w:vMerge/>
            <w:vAlign w:val="center"/>
          </w:tcPr>
          <w:p w14:paraId="6CED16AD" w14:textId="77777777" w:rsidR="0015007E" w:rsidRPr="00D323AE" w:rsidRDefault="0015007E">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p>
        </w:tc>
      </w:tr>
      <w:tr w:rsidR="0015007E" w:rsidRPr="00D323AE" w14:paraId="08F8ED7F" w14:textId="77777777" w:rsidTr="00CA4457">
        <w:trPr>
          <w:trHeight w:val="115"/>
        </w:trPr>
        <w:tc>
          <w:tcPr>
            <w:tcW w:w="1524" w:type="pct"/>
            <w:vMerge/>
            <w:vAlign w:val="center"/>
          </w:tcPr>
          <w:p w14:paraId="36527FAA" w14:textId="77777777" w:rsidR="0015007E" w:rsidRPr="00D323AE" w:rsidRDefault="0015007E">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p>
        </w:tc>
        <w:tc>
          <w:tcPr>
            <w:tcW w:w="699" w:type="pct"/>
            <w:vAlign w:val="center"/>
          </w:tcPr>
          <w:p w14:paraId="15F866CA"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Grade II</w:t>
            </w:r>
          </w:p>
        </w:tc>
        <w:tc>
          <w:tcPr>
            <w:tcW w:w="1076" w:type="pct"/>
            <w:vAlign w:val="center"/>
          </w:tcPr>
          <w:p w14:paraId="758C188A"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4 (20%)</w:t>
            </w:r>
          </w:p>
        </w:tc>
        <w:tc>
          <w:tcPr>
            <w:tcW w:w="1102" w:type="pct"/>
            <w:vAlign w:val="center"/>
          </w:tcPr>
          <w:p w14:paraId="1A965913"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w:t>
            </w:r>
          </w:p>
        </w:tc>
        <w:tc>
          <w:tcPr>
            <w:tcW w:w="599" w:type="pct"/>
            <w:vMerge/>
            <w:vAlign w:val="center"/>
          </w:tcPr>
          <w:p w14:paraId="14E3F9F5" w14:textId="77777777" w:rsidR="0015007E" w:rsidRPr="00D323AE" w:rsidRDefault="0015007E">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p>
        </w:tc>
      </w:tr>
      <w:tr w:rsidR="0015007E" w:rsidRPr="00D323AE" w14:paraId="48C42824" w14:textId="77777777" w:rsidTr="00CA4457">
        <w:trPr>
          <w:trHeight w:val="115"/>
        </w:trPr>
        <w:tc>
          <w:tcPr>
            <w:tcW w:w="1524" w:type="pct"/>
            <w:vMerge/>
            <w:vAlign w:val="center"/>
          </w:tcPr>
          <w:p w14:paraId="50BBCB2C" w14:textId="77777777" w:rsidR="0015007E" w:rsidRPr="00D323AE" w:rsidRDefault="0015007E">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p>
        </w:tc>
        <w:tc>
          <w:tcPr>
            <w:tcW w:w="699" w:type="pct"/>
            <w:vAlign w:val="center"/>
          </w:tcPr>
          <w:p w14:paraId="4F6E2D00"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Grade III</w:t>
            </w:r>
          </w:p>
        </w:tc>
        <w:tc>
          <w:tcPr>
            <w:tcW w:w="1076" w:type="pct"/>
            <w:vAlign w:val="center"/>
          </w:tcPr>
          <w:p w14:paraId="50C146EB"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1 (5%)</w:t>
            </w:r>
          </w:p>
        </w:tc>
        <w:tc>
          <w:tcPr>
            <w:tcW w:w="1102" w:type="pct"/>
            <w:vAlign w:val="center"/>
          </w:tcPr>
          <w:p w14:paraId="21CA911F"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w:t>
            </w:r>
          </w:p>
        </w:tc>
        <w:tc>
          <w:tcPr>
            <w:tcW w:w="599" w:type="pct"/>
            <w:vMerge/>
            <w:vAlign w:val="center"/>
          </w:tcPr>
          <w:p w14:paraId="732E0D61" w14:textId="77777777" w:rsidR="0015007E" w:rsidRPr="00D323AE" w:rsidRDefault="0015007E">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p>
        </w:tc>
      </w:tr>
      <w:tr w:rsidR="0015007E" w:rsidRPr="00D323AE" w14:paraId="46B30671" w14:textId="77777777" w:rsidTr="00CA4457">
        <w:trPr>
          <w:trHeight w:val="230"/>
        </w:trPr>
        <w:tc>
          <w:tcPr>
            <w:tcW w:w="1524" w:type="pct"/>
            <w:vMerge w:val="restart"/>
            <w:vAlign w:val="center"/>
          </w:tcPr>
          <w:p w14:paraId="3ADCAF24" w14:textId="729142AE" w:rsidR="0015007E" w:rsidRPr="00D323AE" w:rsidRDefault="00675D5B">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Hepatic steatosis</w:t>
            </w:r>
          </w:p>
        </w:tc>
        <w:tc>
          <w:tcPr>
            <w:tcW w:w="699" w:type="pct"/>
            <w:vAlign w:val="center"/>
          </w:tcPr>
          <w:p w14:paraId="59F6B07D"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Grade I</w:t>
            </w:r>
          </w:p>
        </w:tc>
        <w:tc>
          <w:tcPr>
            <w:tcW w:w="1076" w:type="pct"/>
            <w:vAlign w:val="center"/>
          </w:tcPr>
          <w:p w14:paraId="67DD7F8D"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18 (90%)</w:t>
            </w:r>
          </w:p>
        </w:tc>
        <w:tc>
          <w:tcPr>
            <w:tcW w:w="1102" w:type="pct"/>
            <w:vAlign w:val="center"/>
          </w:tcPr>
          <w:p w14:paraId="377343C0"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w:t>
            </w:r>
          </w:p>
        </w:tc>
        <w:tc>
          <w:tcPr>
            <w:tcW w:w="599" w:type="pct"/>
            <w:vMerge w:val="restart"/>
            <w:vAlign w:val="center"/>
          </w:tcPr>
          <w:p w14:paraId="5BFAFC6F"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w:t>
            </w:r>
          </w:p>
        </w:tc>
      </w:tr>
      <w:tr w:rsidR="0015007E" w:rsidRPr="00D323AE" w14:paraId="2EA3E46C" w14:textId="77777777" w:rsidTr="00CA4457">
        <w:trPr>
          <w:trHeight w:val="230"/>
        </w:trPr>
        <w:tc>
          <w:tcPr>
            <w:tcW w:w="1524" w:type="pct"/>
            <w:vMerge/>
            <w:vAlign w:val="center"/>
          </w:tcPr>
          <w:p w14:paraId="369FF46F" w14:textId="77777777" w:rsidR="0015007E" w:rsidRPr="00D323AE" w:rsidRDefault="0015007E">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p>
        </w:tc>
        <w:tc>
          <w:tcPr>
            <w:tcW w:w="699" w:type="pct"/>
            <w:vAlign w:val="center"/>
          </w:tcPr>
          <w:p w14:paraId="31711AC5"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Grade II</w:t>
            </w:r>
          </w:p>
        </w:tc>
        <w:tc>
          <w:tcPr>
            <w:tcW w:w="1076" w:type="pct"/>
            <w:vAlign w:val="center"/>
          </w:tcPr>
          <w:p w14:paraId="5B1CC63D"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2 (10%)</w:t>
            </w:r>
          </w:p>
        </w:tc>
        <w:tc>
          <w:tcPr>
            <w:tcW w:w="1102" w:type="pct"/>
            <w:vAlign w:val="center"/>
          </w:tcPr>
          <w:p w14:paraId="79EE07B8"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w:t>
            </w:r>
          </w:p>
        </w:tc>
        <w:tc>
          <w:tcPr>
            <w:tcW w:w="599" w:type="pct"/>
            <w:vMerge/>
            <w:vAlign w:val="center"/>
          </w:tcPr>
          <w:p w14:paraId="3BAB1DD2" w14:textId="77777777" w:rsidR="0015007E" w:rsidRPr="00D323AE" w:rsidRDefault="0015007E">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p>
        </w:tc>
      </w:tr>
      <w:tr w:rsidR="0015007E" w:rsidRPr="00D323AE" w14:paraId="6781E853" w14:textId="77777777" w:rsidTr="00CA4457">
        <w:trPr>
          <w:trHeight w:val="115"/>
        </w:trPr>
        <w:tc>
          <w:tcPr>
            <w:tcW w:w="1524" w:type="pct"/>
            <w:vMerge w:val="restart"/>
            <w:vAlign w:val="center"/>
          </w:tcPr>
          <w:p w14:paraId="33B8807B"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 xml:space="preserve">Lobular inflammation </w:t>
            </w:r>
          </w:p>
        </w:tc>
        <w:tc>
          <w:tcPr>
            <w:tcW w:w="699" w:type="pct"/>
            <w:vAlign w:val="center"/>
          </w:tcPr>
          <w:p w14:paraId="005DE7BC"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No</w:t>
            </w:r>
          </w:p>
        </w:tc>
        <w:tc>
          <w:tcPr>
            <w:tcW w:w="1076" w:type="pct"/>
            <w:vAlign w:val="center"/>
          </w:tcPr>
          <w:p w14:paraId="2D8FB8DE"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3 (15%)</w:t>
            </w:r>
          </w:p>
        </w:tc>
        <w:tc>
          <w:tcPr>
            <w:tcW w:w="1102" w:type="pct"/>
            <w:vAlign w:val="center"/>
          </w:tcPr>
          <w:p w14:paraId="7DB3DE82"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9 (90%)</w:t>
            </w:r>
          </w:p>
        </w:tc>
        <w:tc>
          <w:tcPr>
            <w:tcW w:w="599" w:type="pct"/>
            <w:vMerge w:val="restart"/>
            <w:vAlign w:val="center"/>
          </w:tcPr>
          <w:p w14:paraId="786C22D9"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0.002</w:t>
            </w:r>
          </w:p>
        </w:tc>
      </w:tr>
      <w:tr w:rsidR="0015007E" w:rsidRPr="00D323AE" w14:paraId="0C06CFF9" w14:textId="77777777" w:rsidTr="00CA4457">
        <w:trPr>
          <w:trHeight w:val="115"/>
        </w:trPr>
        <w:tc>
          <w:tcPr>
            <w:tcW w:w="1524" w:type="pct"/>
            <w:vMerge/>
            <w:vAlign w:val="center"/>
          </w:tcPr>
          <w:p w14:paraId="2A3E125C" w14:textId="77777777" w:rsidR="0015007E" w:rsidRPr="00D323AE" w:rsidRDefault="0015007E">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p>
        </w:tc>
        <w:tc>
          <w:tcPr>
            <w:tcW w:w="699" w:type="pct"/>
            <w:vAlign w:val="center"/>
          </w:tcPr>
          <w:p w14:paraId="2A530A0C"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Mild</w:t>
            </w:r>
          </w:p>
        </w:tc>
        <w:tc>
          <w:tcPr>
            <w:tcW w:w="1076" w:type="pct"/>
            <w:vAlign w:val="center"/>
          </w:tcPr>
          <w:p w14:paraId="4EB531CB"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12 (60%)</w:t>
            </w:r>
          </w:p>
        </w:tc>
        <w:tc>
          <w:tcPr>
            <w:tcW w:w="1102" w:type="pct"/>
            <w:vAlign w:val="center"/>
          </w:tcPr>
          <w:p w14:paraId="184424DF"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1 (10%)</w:t>
            </w:r>
          </w:p>
        </w:tc>
        <w:tc>
          <w:tcPr>
            <w:tcW w:w="599" w:type="pct"/>
            <w:vMerge/>
            <w:vAlign w:val="center"/>
          </w:tcPr>
          <w:p w14:paraId="0947369D" w14:textId="77777777" w:rsidR="0015007E" w:rsidRPr="00D323AE" w:rsidRDefault="0015007E">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p>
        </w:tc>
      </w:tr>
      <w:tr w:rsidR="0015007E" w:rsidRPr="00D323AE" w14:paraId="7C865BA1" w14:textId="77777777" w:rsidTr="00CA4457">
        <w:trPr>
          <w:trHeight w:val="115"/>
        </w:trPr>
        <w:tc>
          <w:tcPr>
            <w:tcW w:w="1524" w:type="pct"/>
            <w:vMerge/>
            <w:vAlign w:val="center"/>
          </w:tcPr>
          <w:p w14:paraId="7C653A00" w14:textId="77777777" w:rsidR="0015007E" w:rsidRPr="00D323AE" w:rsidRDefault="0015007E">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p>
        </w:tc>
        <w:tc>
          <w:tcPr>
            <w:tcW w:w="699" w:type="pct"/>
            <w:vAlign w:val="center"/>
          </w:tcPr>
          <w:p w14:paraId="526F1B31"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 xml:space="preserve">Moderate </w:t>
            </w:r>
          </w:p>
        </w:tc>
        <w:tc>
          <w:tcPr>
            <w:tcW w:w="1076" w:type="pct"/>
            <w:vAlign w:val="center"/>
          </w:tcPr>
          <w:p w14:paraId="0B73171F"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1 (5%)</w:t>
            </w:r>
          </w:p>
        </w:tc>
        <w:tc>
          <w:tcPr>
            <w:tcW w:w="1102" w:type="pct"/>
            <w:vAlign w:val="center"/>
          </w:tcPr>
          <w:p w14:paraId="594ABE73"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w:t>
            </w:r>
          </w:p>
        </w:tc>
        <w:tc>
          <w:tcPr>
            <w:tcW w:w="599" w:type="pct"/>
            <w:vMerge/>
            <w:vAlign w:val="center"/>
          </w:tcPr>
          <w:p w14:paraId="237938D7" w14:textId="77777777" w:rsidR="0015007E" w:rsidRPr="00D323AE" w:rsidRDefault="0015007E">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p>
        </w:tc>
      </w:tr>
      <w:tr w:rsidR="0015007E" w:rsidRPr="00D323AE" w14:paraId="1FEA5A9E" w14:textId="77777777" w:rsidTr="00CA4457">
        <w:trPr>
          <w:trHeight w:val="115"/>
        </w:trPr>
        <w:tc>
          <w:tcPr>
            <w:tcW w:w="1524" w:type="pct"/>
            <w:vMerge/>
            <w:vAlign w:val="center"/>
          </w:tcPr>
          <w:p w14:paraId="49763349" w14:textId="77777777" w:rsidR="0015007E" w:rsidRPr="00D323AE" w:rsidRDefault="0015007E">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p>
        </w:tc>
        <w:tc>
          <w:tcPr>
            <w:tcW w:w="699" w:type="pct"/>
            <w:vAlign w:val="center"/>
          </w:tcPr>
          <w:p w14:paraId="569A64D7"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 xml:space="preserve">Severe </w:t>
            </w:r>
          </w:p>
        </w:tc>
        <w:tc>
          <w:tcPr>
            <w:tcW w:w="1076" w:type="pct"/>
            <w:vAlign w:val="center"/>
          </w:tcPr>
          <w:p w14:paraId="7C1B6677"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4 (20%)</w:t>
            </w:r>
          </w:p>
        </w:tc>
        <w:tc>
          <w:tcPr>
            <w:tcW w:w="1102" w:type="pct"/>
            <w:vAlign w:val="center"/>
          </w:tcPr>
          <w:p w14:paraId="4236E5AE"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w:t>
            </w:r>
          </w:p>
        </w:tc>
        <w:tc>
          <w:tcPr>
            <w:tcW w:w="599" w:type="pct"/>
            <w:vMerge/>
            <w:vAlign w:val="center"/>
          </w:tcPr>
          <w:p w14:paraId="4F162731" w14:textId="77777777" w:rsidR="0015007E" w:rsidRPr="00D323AE" w:rsidRDefault="0015007E">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p>
        </w:tc>
      </w:tr>
      <w:tr w:rsidR="0015007E" w:rsidRPr="00D323AE" w14:paraId="1B3F8546" w14:textId="77777777" w:rsidTr="00CA4457">
        <w:trPr>
          <w:trHeight w:val="78"/>
        </w:trPr>
        <w:tc>
          <w:tcPr>
            <w:tcW w:w="1524" w:type="pct"/>
            <w:vMerge w:val="restart"/>
            <w:vAlign w:val="center"/>
          </w:tcPr>
          <w:p w14:paraId="63CA34E5"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 xml:space="preserve">Hepatocyte ballooning </w:t>
            </w:r>
          </w:p>
        </w:tc>
        <w:tc>
          <w:tcPr>
            <w:tcW w:w="699" w:type="pct"/>
            <w:vAlign w:val="center"/>
          </w:tcPr>
          <w:p w14:paraId="5F5C3026"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No</w:t>
            </w:r>
          </w:p>
        </w:tc>
        <w:tc>
          <w:tcPr>
            <w:tcW w:w="1076" w:type="pct"/>
            <w:vAlign w:val="center"/>
          </w:tcPr>
          <w:p w14:paraId="6EAFFE6A"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3 (15%)</w:t>
            </w:r>
          </w:p>
        </w:tc>
        <w:tc>
          <w:tcPr>
            <w:tcW w:w="1102" w:type="pct"/>
            <w:vAlign w:val="center"/>
          </w:tcPr>
          <w:p w14:paraId="70C015D3"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10 (100%)</w:t>
            </w:r>
          </w:p>
        </w:tc>
        <w:tc>
          <w:tcPr>
            <w:tcW w:w="599" w:type="pct"/>
            <w:vMerge w:val="restart"/>
            <w:vAlign w:val="center"/>
          </w:tcPr>
          <w:p w14:paraId="14124075"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&lt;0.001</w:t>
            </w:r>
          </w:p>
        </w:tc>
      </w:tr>
      <w:tr w:rsidR="0015007E" w:rsidRPr="00D323AE" w14:paraId="42025E88" w14:textId="77777777" w:rsidTr="00CA4457">
        <w:trPr>
          <w:trHeight w:val="76"/>
        </w:trPr>
        <w:tc>
          <w:tcPr>
            <w:tcW w:w="1524" w:type="pct"/>
            <w:vMerge/>
            <w:vAlign w:val="center"/>
          </w:tcPr>
          <w:p w14:paraId="4EA86C83" w14:textId="77777777" w:rsidR="0015007E" w:rsidRPr="00D323AE" w:rsidRDefault="0015007E">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p>
        </w:tc>
        <w:tc>
          <w:tcPr>
            <w:tcW w:w="699" w:type="pct"/>
            <w:vAlign w:val="center"/>
          </w:tcPr>
          <w:p w14:paraId="2E57C60B"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Mild</w:t>
            </w:r>
          </w:p>
        </w:tc>
        <w:tc>
          <w:tcPr>
            <w:tcW w:w="1076" w:type="pct"/>
            <w:vAlign w:val="center"/>
          </w:tcPr>
          <w:p w14:paraId="78554F69"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7 (35%)</w:t>
            </w:r>
          </w:p>
        </w:tc>
        <w:tc>
          <w:tcPr>
            <w:tcW w:w="1102" w:type="pct"/>
            <w:vAlign w:val="center"/>
          </w:tcPr>
          <w:p w14:paraId="7BD470EB"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w:t>
            </w:r>
          </w:p>
        </w:tc>
        <w:tc>
          <w:tcPr>
            <w:tcW w:w="599" w:type="pct"/>
            <w:vMerge/>
            <w:vAlign w:val="center"/>
          </w:tcPr>
          <w:p w14:paraId="1FFCD84A" w14:textId="77777777" w:rsidR="0015007E" w:rsidRPr="00D323AE" w:rsidRDefault="0015007E">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p>
        </w:tc>
      </w:tr>
      <w:tr w:rsidR="0015007E" w:rsidRPr="00D323AE" w14:paraId="0788CD83" w14:textId="77777777" w:rsidTr="00CA4457">
        <w:trPr>
          <w:trHeight w:val="76"/>
        </w:trPr>
        <w:tc>
          <w:tcPr>
            <w:tcW w:w="1524" w:type="pct"/>
            <w:vMerge/>
            <w:vAlign w:val="center"/>
          </w:tcPr>
          <w:p w14:paraId="6FF16477" w14:textId="77777777" w:rsidR="0015007E" w:rsidRPr="00D323AE" w:rsidRDefault="0015007E">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p>
        </w:tc>
        <w:tc>
          <w:tcPr>
            <w:tcW w:w="699" w:type="pct"/>
            <w:vAlign w:val="center"/>
          </w:tcPr>
          <w:p w14:paraId="1AA81A00"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 xml:space="preserve">Severe </w:t>
            </w:r>
          </w:p>
        </w:tc>
        <w:tc>
          <w:tcPr>
            <w:tcW w:w="1076" w:type="pct"/>
            <w:vAlign w:val="center"/>
          </w:tcPr>
          <w:p w14:paraId="3DFA33B6"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10 (50%)</w:t>
            </w:r>
          </w:p>
        </w:tc>
        <w:tc>
          <w:tcPr>
            <w:tcW w:w="1102" w:type="pct"/>
            <w:vAlign w:val="center"/>
          </w:tcPr>
          <w:p w14:paraId="429EB26C"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w:t>
            </w:r>
          </w:p>
        </w:tc>
        <w:tc>
          <w:tcPr>
            <w:tcW w:w="599" w:type="pct"/>
            <w:vMerge/>
            <w:vAlign w:val="center"/>
          </w:tcPr>
          <w:p w14:paraId="5D2FA2E3" w14:textId="77777777" w:rsidR="0015007E" w:rsidRPr="00D323AE" w:rsidRDefault="0015007E">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p>
        </w:tc>
      </w:tr>
      <w:tr w:rsidR="0015007E" w:rsidRPr="00D323AE" w14:paraId="1B6192DC" w14:textId="77777777" w:rsidTr="00CA4457">
        <w:trPr>
          <w:trHeight w:val="115"/>
        </w:trPr>
        <w:tc>
          <w:tcPr>
            <w:tcW w:w="1524" w:type="pct"/>
            <w:vMerge w:val="restart"/>
            <w:vAlign w:val="center"/>
          </w:tcPr>
          <w:p w14:paraId="19632044"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 xml:space="preserve">Hepatic fibrosis </w:t>
            </w:r>
          </w:p>
        </w:tc>
        <w:tc>
          <w:tcPr>
            <w:tcW w:w="699" w:type="pct"/>
            <w:vAlign w:val="center"/>
          </w:tcPr>
          <w:p w14:paraId="0AD99BDC"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 xml:space="preserve">No </w:t>
            </w:r>
          </w:p>
        </w:tc>
        <w:tc>
          <w:tcPr>
            <w:tcW w:w="1076" w:type="pct"/>
            <w:vAlign w:val="center"/>
          </w:tcPr>
          <w:p w14:paraId="593D0184"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3 (15%)</w:t>
            </w:r>
          </w:p>
        </w:tc>
        <w:tc>
          <w:tcPr>
            <w:tcW w:w="1102" w:type="pct"/>
            <w:vAlign w:val="center"/>
          </w:tcPr>
          <w:p w14:paraId="14700072"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10 (100%)</w:t>
            </w:r>
          </w:p>
        </w:tc>
        <w:tc>
          <w:tcPr>
            <w:tcW w:w="599" w:type="pct"/>
            <w:vMerge w:val="restart"/>
            <w:vAlign w:val="center"/>
          </w:tcPr>
          <w:p w14:paraId="27CDC093"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&lt;0.001</w:t>
            </w:r>
          </w:p>
        </w:tc>
      </w:tr>
      <w:tr w:rsidR="0015007E" w:rsidRPr="00D323AE" w14:paraId="530F2073" w14:textId="77777777" w:rsidTr="00CA4457">
        <w:trPr>
          <w:trHeight w:val="115"/>
        </w:trPr>
        <w:tc>
          <w:tcPr>
            <w:tcW w:w="1524" w:type="pct"/>
            <w:vMerge/>
            <w:tcBorders>
              <w:bottom w:val="single" w:sz="2" w:space="0" w:color="auto"/>
            </w:tcBorders>
            <w:vAlign w:val="center"/>
          </w:tcPr>
          <w:p w14:paraId="180EC547" w14:textId="77777777" w:rsidR="0015007E" w:rsidRPr="00D323AE" w:rsidRDefault="0015007E">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p>
        </w:tc>
        <w:tc>
          <w:tcPr>
            <w:tcW w:w="699" w:type="pct"/>
            <w:tcBorders>
              <w:bottom w:val="single" w:sz="2" w:space="0" w:color="auto"/>
            </w:tcBorders>
            <w:vAlign w:val="center"/>
          </w:tcPr>
          <w:p w14:paraId="09B2F5C2"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 xml:space="preserve">Yes </w:t>
            </w:r>
          </w:p>
        </w:tc>
        <w:tc>
          <w:tcPr>
            <w:tcW w:w="1076" w:type="pct"/>
            <w:tcBorders>
              <w:bottom w:val="single" w:sz="2" w:space="0" w:color="auto"/>
            </w:tcBorders>
            <w:vAlign w:val="center"/>
          </w:tcPr>
          <w:p w14:paraId="318AD976"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17 (85%)</w:t>
            </w:r>
          </w:p>
        </w:tc>
        <w:tc>
          <w:tcPr>
            <w:tcW w:w="1102" w:type="pct"/>
            <w:tcBorders>
              <w:bottom w:val="single" w:sz="2" w:space="0" w:color="auto"/>
            </w:tcBorders>
            <w:vAlign w:val="center"/>
          </w:tcPr>
          <w:p w14:paraId="36C5505F" w14:textId="77777777"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w:t>
            </w:r>
          </w:p>
        </w:tc>
        <w:tc>
          <w:tcPr>
            <w:tcW w:w="599" w:type="pct"/>
            <w:vMerge/>
            <w:tcBorders>
              <w:bottom w:val="single" w:sz="2" w:space="0" w:color="auto"/>
            </w:tcBorders>
            <w:vAlign w:val="center"/>
          </w:tcPr>
          <w:p w14:paraId="4AA91172" w14:textId="77777777" w:rsidR="0015007E" w:rsidRPr="00D323AE" w:rsidRDefault="0015007E">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p>
        </w:tc>
      </w:tr>
    </w:tbl>
    <w:p w14:paraId="272FED43" w14:textId="77777777" w:rsidR="0015007E" w:rsidRPr="00D323AE" w:rsidRDefault="0015007E">
      <w:pPr>
        <w:autoSpaceDE w:val="0"/>
        <w:autoSpaceDN w:val="0"/>
        <w:adjustRightInd w:val="0"/>
        <w:spacing w:after="0" w:line="240" w:lineRule="auto"/>
        <w:jc w:val="both"/>
        <w:rPr>
          <w:rFonts w:asciiTheme="majorBidi" w:hAnsiTheme="majorBidi" w:cstheme="majorBidi"/>
          <w:color w:val="000000"/>
          <w:kern w:val="0"/>
          <w:sz w:val="24"/>
          <w:szCs w:val="24"/>
          <w14:ligatures w14:val="none"/>
        </w:rPr>
      </w:pPr>
    </w:p>
    <w:p w14:paraId="5BB84213" w14:textId="77777777" w:rsidR="002E16FF" w:rsidRDefault="00000000" w:rsidP="009E313D">
      <w:pPr>
        <w:keepNext/>
        <w:keepLines/>
        <w:spacing w:before="40" w:after="0" w:line="240" w:lineRule="auto"/>
        <w:jc w:val="both"/>
        <w:outlineLvl w:val="1"/>
        <w:rPr>
          <w:rFonts w:asciiTheme="majorBidi" w:hAnsiTheme="majorBidi" w:cstheme="majorBidi"/>
          <w:color w:val="000000"/>
          <w:kern w:val="0"/>
          <w:sz w:val="24"/>
          <w:szCs w:val="24"/>
          <w:lang w:val="en-US"/>
          <w14:ligatures w14:val="none"/>
        </w:rPr>
        <w:sectPr w:rsidR="002E16FF" w:rsidSect="00AA557A">
          <w:headerReference w:type="default" r:id="rId10"/>
          <w:footerReference w:type="default" r:id="rId11"/>
          <w:pgSz w:w="16838" w:h="11906" w:orient="landscape"/>
          <w:pgMar w:top="1440" w:right="1440" w:bottom="1440" w:left="1440" w:header="708" w:footer="708" w:gutter="0"/>
          <w:pgNumType w:start="281"/>
          <w:cols w:space="708"/>
          <w:docGrid w:linePitch="360"/>
        </w:sectPr>
      </w:pPr>
      <w:r w:rsidRPr="00D323AE">
        <w:rPr>
          <w:rFonts w:asciiTheme="majorBidi" w:hAnsiTheme="majorBidi" w:cstheme="majorBidi"/>
          <w:color w:val="000000"/>
          <w:kern w:val="0"/>
          <w:sz w:val="24"/>
          <w:szCs w:val="24"/>
          <w14:ligatures w14:val="none"/>
        </w:rPr>
        <w:t xml:space="preserve">   </w:t>
      </w:r>
      <w:r w:rsidRPr="00D323AE">
        <w:rPr>
          <w:rFonts w:asciiTheme="majorBidi" w:hAnsiTheme="majorBidi" w:cstheme="majorBidi"/>
          <w:color w:val="000000"/>
          <w:kern w:val="0"/>
          <w:sz w:val="24"/>
          <w:szCs w:val="24"/>
          <w:lang w:val="en-US"/>
          <w14:ligatures w14:val="none"/>
        </w:rPr>
        <w:t>Considering the distribution of</w:t>
      </w:r>
      <w:bookmarkStart w:id="11" w:name="_Hlk119271164"/>
      <w:r w:rsidRPr="00D323AE">
        <w:rPr>
          <w:rFonts w:asciiTheme="majorBidi" w:hAnsiTheme="majorBidi" w:cstheme="majorBidi"/>
          <w:color w:val="000000"/>
          <w:kern w:val="0"/>
          <w:sz w:val="24"/>
          <w:szCs w:val="24"/>
          <w:lang w:val="en-US"/>
          <w14:ligatures w14:val="none"/>
        </w:rPr>
        <w:t xml:space="preserve"> </w:t>
      </w:r>
      <w:r w:rsidR="00D30357" w:rsidRPr="00D323AE">
        <w:rPr>
          <w:rFonts w:asciiTheme="majorBidi" w:hAnsiTheme="majorBidi" w:cstheme="majorBidi"/>
          <w:color w:val="000000"/>
          <w:kern w:val="0"/>
          <w:sz w:val="24"/>
          <w:szCs w:val="24"/>
          <w:lang w:val="en-US"/>
          <w14:ligatures w14:val="none"/>
        </w:rPr>
        <w:t xml:space="preserve">the </w:t>
      </w:r>
      <w:r w:rsidRPr="00D323AE">
        <w:rPr>
          <w:rFonts w:asciiTheme="majorBidi" w:hAnsiTheme="majorBidi" w:cstheme="majorBidi"/>
          <w:color w:val="000000"/>
          <w:kern w:val="0"/>
          <w:sz w:val="24"/>
          <w:szCs w:val="24"/>
          <w:lang w:val="en-US"/>
          <w14:ligatures w14:val="none"/>
        </w:rPr>
        <w:t>PNPLA3 gene variant (rs738409 C/G)</w:t>
      </w:r>
      <w:bookmarkStart w:id="12" w:name="_Hlk119272103"/>
      <w:bookmarkEnd w:id="11"/>
      <w:r w:rsidRPr="00D323AE">
        <w:rPr>
          <w:rFonts w:asciiTheme="majorBidi" w:hAnsiTheme="majorBidi" w:cstheme="majorBidi"/>
          <w:color w:val="000000"/>
          <w:kern w:val="0"/>
          <w:sz w:val="24"/>
          <w:szCs w:val="24"/>
          <w:lang w:val="en-US"/>
          <w14:ligatures w14:val="none"/>
        </w:rPr>
        <w:t>, a greater prevalence of heterozygous rs738409 CG and homozygous rs738409 GG variants occurred in the NAFLD patients in contrast to the control group (</w:t>
      </w:r>
      <w:r w:rsidRPr="00D323AE">
        <w:rPr>
          <w:rFonts w:asciiTheme="majorBidi" w:hAnsiTheme="majorBidi" w:cstheme="majorBidi"/>
          <w:i/>
          <w:iCs/>
          <w:color w:val="000000"/>
          <w:kern w:val="0"/>
          <w:sz w:val="24"/>
          <w:szCs w:val="24"/>
          <w:lang w:val="en-US"/>
          <w14:ligatures w14:val="none"/>
        </w:rPr>
        <w:t xml:space="preserve">p </w:t>
      </w:r>
      <w:r w:rsidRPr="00D323AE">
        <w:rPr>
          <w:rFonts w:asciiTheme="majorBidi" w:hAnsiTheme="majorBidi" w:cstheme="majorBidi"/>
          <w:color w:val="000000"/>
          <w:kern w:val="0"/>
          <w:sz w:val="24"/>
          <w:szCs w:val="24"/>
          <w:lang w:val="en-US"/>
          <w14:ligatures w14:val="none"/>
        </w:rPr>
        <w:t xml:space="preserve">= </w:t>
      </w:r>
      <w:bookmarkEnd w:id="12"/>
      <w:r w:rsidR="00850B14" w:rsidRPr="00D323AE">
        <w:rPr>
          <w:rFonts w:asciiTheme="majorBidi" w:hAnsiTheme="majorBidi" w:cstheme="majorBidi"/>
          <w:color w:val="000000"/>
          <w:kern w:val="0"/>
          <w:sz w:val="24"/>
          <w:szCs w:val="24"/>
          <w:lang w:val="en-US"/>
          <w14:ligatures w14:val="none"/>
        </w:rPr>
        <w:t>0.048</w:t>
      </w:r>
      <w:r w:rsidRPr="00D323AE">
        <w:rPr>
          <w:rFonts w:asciiTheme="majorBidi" w:hAnsiTheme="majorBidi" w:cstheme="majorBidi"/>
          <w:color w:val="000000"/>
          <w:kern w:val="0"/>
          <w:sz w:val="24"/>
          <w:szCs w:val="24"/>
          <w:lang w:val="en-US"/>
          <w14:ligatures w14:val="none"/>
        </w:rPr>
        <w:t>, Table 3)</w:t>
      </w:r>
      <w:r w:rsidRPr="00D323AE">
        <w:rPr>
          <w:rFonts w:asciiTheme="majorBidi" w:hAnsiTheme="majorBidi" w:cstheme="majorBidi"/>
          <w:color w:val="000000"/>
          <w:kern w:val="0"/>
          <w:sz w:val="24"/>
          <w:szCs w:val="24"/>
          <w14:ligatures w14:val="none"/>
        </w:rPr>
        <w:t xml:space="preserve">. </w:t>
      </w:r>
      <w:r w:rsidRPr="00D323AE">
        <w:rPr>
          <w:rFonts w:asciiTheme="majorBidi" w:hAnsiTheme="majorBidi" w:cstheme="majorBidi"/>
          <w:color w:val="000000"/>
          <w:kern w:val="0"/>
          <w:sz w:val="24"/>
          <w:szCs w:val="24"/>
          <w:lang w:val="en-US"/>
          <w14:ligatures w14:val="none"/>
        </w:rPr>
        <w:t>Table 4 shows</w:t>
      </w:r>
      <w:r w:rsidRPr="00D323AE">
        <w:rPr>
          <w:rFonts w:asciiTheme="majorBidi" w:hAnsiTheme="majorBidi" w:cstheme="majorBidi"/>
          <w:color w:val="000000"/>
          <w:kern w:val="0"/>
          <w:sz w:val="24"/>
          <w:szCs w:val="24"/>
          <w14:ligatures w14:val="none"/>
        </w:rPr>
        <w:t xml:space="preserve"> the grades of hepatic steatosis</w:t>
      </w:r>
      <w:r w:rsidR="00C95068" w:rsidRPr="00D323AE">
        <w:rPr>
          <w:rFonts w:asciiTheme="majorBidi" w:hAnsiTheme="majorBidi" w:cstheme="majorBidi"/>
          <w:color w:val="000000"/>
          <w:kern w:val="0"/>
          <w:sz w:val="24"/>
          <w:szCs w:val="24"/>
          <w14:ligatures w14:val="none"/>
        </w:rPr>
        <w:t>, hepatic</w:t>
      </w:r>
      <w:r w:rsidRPr="00D323AE">
        <w:rPr>
          <w:rFonts w:asciiTheme="majorBidi" w:hAnsiTheme="majorBidi" w:cstheme="majorBidi"/>
          <w:color w:val="000000"/>
          <w:kern w:val="0"/>
          <w:sz w:val="24"/>
          <w:szCs w:val="24"/>
          <w14:ligatures w14:val="none"/>
        </w:rPr>
        <w:t xml:space="preserve"> fibrosis</w:t>
      </w:r>
      <w:r w:rsidR="00C95068" w:rsidRPr="00D323AE">
        <w:rPr>
          <w:rFonts w:asciiTheme="majorBidi" w:hAnsiTheme="majorBidi" w:cstheme="majorBidi"/>
          <w:color w:val="000000"/>
          <w:kern w:val="0"/>
          <w:sz w:val="24"/>
          <w:szCs w:val="24"/>
          <w14:ligatures w14:val="none"/>
        </w:rPr>
        <w:t>,</w:t>
      </w:r>
      <w:r w:rsidRPr="00D323AE">
        <w:rPr>
          <w:rFonts w:asciiTheme="majorBidi" w:hAnsiTheme="majorBidi" w:cstheme="majorBidi"/>
          <w:color w:val="000000"/>
          <w:kern w:val="0"/>
          <w:sz w:val="24"/>
          <w:szCs w:val="24"/>
          <w14:ligatures w14:val="none"/>
        </w:rPr>
        <w:t xml:space="preserve"> and hepatocyte ballooning in</w:t>
      </w:r>
      <w:r w:rsidRPr="00D323AE">
        <w:rPr>
          <w:rFonts w:asciiTheme="majorBidi" w:hAnsiTheme="majorBidi" w:cstheme="majorBidi"/>
          <w:color w:val="000000"/>
          <w:kern w:val="0"/>
          <w:sz w:val="24"/>
          <w:szCs w:val="24"/>
          <w:lang w:val="en-US"/>
          <w14:ligatures w14:val="none"/>
        </w:rPr>
        <w:t xml:space="preserve"> NAFLD</w:t>
      </w:r>
      <w:r w:rsidRPr="00D323AE">
        <w:rPr>
          <w:rFonts w:asciiTheme="majorBidi" w:hAnsiTheme="majorBidi" w:cstheme="majorBidi"/>
          <w:color w:val="000000"/>
          <w:kern w:val="0"/>
          <w:sz w:val="24"/>
          <w:szCs w:val="24"/>
          <w14:ligatures w14:val="none"/>
        </w:rPr>
        <w:t xml:space="preserve"> cases according to the </w:t>
      </w:r>
      <w:r w:rsidRPr="00D323AE">
        <w:rPr>
          <w:rFonts w:asciiTheme="majorBidi" w:hAnsiTheme="majorBidi" w:cstheme="majorBidi"/>
          <w:color w:val="000000"/>
          <w:kern w:val="0"/>
          <w:sz w:val="24"/>
          <w:szCs w:val="24"/>
          <w:lang w:val="en-US"/>
          <w14:ligatures w14:val="none"/>
        </w:rPr>
        <w:t xml:space="preserve">PNPLA3 gene variant </w:t>
      </w:r>
      <w:r w:rsidRPr="00D323AE">
        <w:rPr>
          <w:rFonts w:asciiTheme="majorBidi" w:hAnsiTheme="majorBidi" w:cstheme="majorBidi"/>
          <w:color w:val="000000"/>
          <w:kern w:val="0"/>
          <w:sz w:val="24"/>
          <w:szCs w:val="24"/>
          <w14:ligatures w14:val="none"/>
        </w:rPr>
        <w:t>status. Patients with NAFLD with the</w:t>
      </w:r>
      <w:r w:rsidRPr="00D323AE">
        <w:rPr>
          <w:rFonts w:asciiTheme="majorBidi" w:hAnsiTheme="majorBidi" w:cstheme="majorBidi"/>
          <w:color w:val="000000"/>
          <w:kern w:val="0"/>
          <w:sz w:val="24"/>
          <w:szCs w:val="24"/>
          <w:lang w:val="en-US"/>
          <w14:ligatures w14:val="none"/>
        </w:rPr>
        <w:t xml:space="preserve"> homozygous GG variant had a higher incidence of hepatic fibrosis (</w:t>
      </w:r>
      <w:r w:rsidRPr="00D323AE">
        <w:rPr>
          <w:rFonts w:asciiTheme="majorBidi" w:hAnsiTheme="majorBidi" w:cstheme="majorBidi"/>
          <w:i/>
          <w:iCs/>
          <w:color w:val="000000"/>
          <w:kern w:val="0"/>
          <w:sz w:val="24"/>
          <w:szCs w:val="24"/>
          <w:lang w:val="en-US"/>
          <w14:ligatures w14:val="none"/>
        </w:rPr>
        <w:t>p</w:t>
      </w:r>
      <w:r w:rsidRPr="00D323AE">
        <w:rPr>
          <w:rFonts w:asciiTheme="majorBidi" w:hAnsiTheme="majorBidi" w:cstheme="majorBidi"/>
          <w:color w:val="000000"/>
          <w:kern w:val="0"/>
          <w:sz w:val="24"/>
          <w:szCs w:val="24"/>
          <w:lang w:val="en-US"/>
          <w14:ligatures w14:val="none"/>
        </w:rPr>
        <w:t xml:space="preserve"> = </w:t>
      </w:r>
      <w:r w:rsidR="00DB65AF" w:rsidRPr="00D323AE">
        <w:rPr>
          <w:rFonts w:asciiTheme="majorBidi" w:hAnsiTheme="majorBidi" w:cstheme="majorBidi"/>
          <w:color w:val="000000"/>
          <w:kern w:val="0"/>
          <w:sz w:val="24"/>
          <w:szCs w:val="24"/>
          <w:lang w:val="en-US"/>
          <w14:ligatures w14:val="none"/>
        </w:rPr>
        <w:t>0.018</w:t>
      </w:r>
      <w:r w:rsidRPr="00D323AE">
        <w:rPr>
          <w:rFonts w:asciiTheme="majorBidi" w:hAnsiTheme="majorBidi" w:cstheme="majorBidi"/>
          <w:color w:val="000000"/>
          <w:kern w:val="0"/>
          <w:sz w:val="24"/>
          <w:szCs w:val="24"/>
          <w:lang w:val="en-US"/>
          <w14:ligatures w14:val="none"/>
        </w:rPr>
        <w:t xml:space="preserve">). However, </w:t>
      </w:r>
      <w:r w:rsidRPr="00D323AE">
        <w:rPr>
          <w:rFonts w:asciiTheme="majorBidi" w:hAnsiTheme="majorBidi" w:cstheme="majorBidi"/>
          <w:color w:val="000000"/>
          <w:kern w:val="0"/>
          <w:sz w:val="24"/>
          <w:szCs w:val="24"/>
          <w14:ligatures w14:val="none"/>
        </w:rPr>
        <w:t xml:space="preserve">no significant variation was found </w:t>
      </w:r>
      <w:r w:rsidRPr="00D323AE">
        <w:rPr>
          <w:rFonts w:asciiTheme="majorBidi" w:hAnsiTheme="majorBidi" w:cstheme="majorBidi"/>
          <w:color w:val="000000"/>
          <w:kern w:val="0"/>
          <w:sz w:val="24"/>
          <w:szCs w:val="24"/>
          <w:lang w:val="en-US"/>
          <w14:ligatures w14:val="none"/>
        </w:rPr>
        <w:t>regarding</w:t>
      </w:r>
      <w:r w:rsidRPr="00D323AE">
        <w:rPr>
          <w:rFonts w:asciiTheme="majorBidi" w:hAnsiTheme="majorBidi" w:cstheme="majorBidi"/>
          <w:color w:val="000000"/>
          <w:kern w:val="0"/>
          <w:sz w:val="24"/>
          <w:szCs w:val="24"/>
          <w14:ligatures w14:val="none"/>
        </w:rPr>
        <w:t xml:space="preserve"> hepatocyte ballooning and hepatic steatosis (</w:t>
      </w:r>
      <w:r w:rsidRPr="00D323AE">
        <w:rPr>
          <w:rFonts w:asciiTheme="majorBidi" w:hAnsiTheme="majorBidi" w:cstheme="majorBidi"/>
          <w:i/>
          <w:iCs/>
          <w:color w:val="000000"/>
          <w:kern w:val="0"/>
          <w:sz w:val="24"/>
          <w:szCs w:val="24"/>
          <w14:ligatures w14:val="none"/>
        </w:rPr>
        <w:t xml:space="preserve">p </w:t>
      </w:r>
      <w:r w:rsidRPr="00D323AE">
        <w:rPr>
          <w:rFonts w:asciiTheme="majorBidi" w:hAnsiTheme="majorBidi" w:cstheme="majorBidi"/>
          <w:color w:val="000000"/>
          <w:kern w:val="0"/>
          <w:sz w:val="24"/>
          <w:szCs w:val="24"/>
          <w14:ligatures w14:val="none"/>
        </w:rPr>
        <w:t>≥ 0.05</w:t>
      </w:r>
      <w:r w:rsidRPr="00D323AE">
        <w:rPr>
          <w:rFonts w:asciiTheme="majorBidi" w:hAnsiTheme="majorBidi" w:cstheme="majorBidi"/>
          <w:color w:val="000000"/>
          <w:kern w:val="0"/>
          <w:sz w:val="24"/>
          <w:szCs w:val="24"/>
          <w:lang w:val="en-US"/>
          <w14:ligatures w14:val="none"/>
        </w:rPr>
        <w:t>)</w:t>
      </w:r>
      <w:r w:rsidR="000833EE">
        <w:rPr>
          <w:rFonts w:asciiTheme="majorBidi" w:hAnsiTheme="majorBidi" w:cstheme="majorBidi"/>
          <w:color w:val="000000"/>
          <w:kern w:val="0"/>
          <w:sz w:val="24"/>
          <w:szCs w:val="24"/>
          <w:lang w:val="en-US"/>
          <w14:ligatures w14:val="none"/>
        </w:rPr>
        <w:t>.</w:t>
      </w:r>
      <w:r w:rsidRPr="00D323AE">
        <w:rPr>
          <w:rFonts w:asciiTheme="majorBidi" w:hAnsiTheme="majorBidi" w:cstheme="majorBidi"/>
          <w:color w:val="000000"/>
          <w:kern w:val="0"/>
          <w:sz w:val="24"/>
          <w:szCs w:val="24"/>
          <w:lang w:val="en-US"/>
          <w14:ligatures w14:val="none"/>
        </w:rPr>
        <w:t xml:space="preserve"> </w:t>
      </w:r>
      <w:r w:rsidR="000833EE">
        <w:rPr>
          <w:rFonts w:asciiTheme="majorBidi" w:hAnsiTheme="majorBidi" w:cstheme="majorBidi"/>
          <w:color w:val="000000"/>
          <w:kern w:val="0"/>
          <w:sz w:val="24"/>
          <w:szCs w:val="24"/>
          <w:lang w:val="en-US"/>
          <w14:ligatures w14:val="none"/>
        </w:rPr>
        <w:t>H</w:t>
      </w:r>
      <w:r w:rsidRPr="00D323AE">
        <w:rPr>
          <w:rFonts w:asciiTheme="majorBidi" w:hAnsiTheme="majorBidi" w:cstheme="majorBidi"/>
          <w:color w:val="000000"/>
          <w:kern w:val="0"/>
          <w:sz w:val="24"/>
          <w:szCs w:val="24"/>
          <w:lang w:val="en-US"/>
          <w14:ligatures w14:val="none"/>
        </w:rPr>
        <w:t>o</w:t>
      </w:r>
      <w:r w:rsidR="000833EE">
        <w:rPr>
          <w:rFonts w:asciiTheme="majorBidi" w:hAnsiTheme="majorBidi" w:cstheme="majorBidi"/>
          <w:color w:val="000000"/>
          <w:kern w:val="0"/>
          <w:sz w:val="24"/>
          <w:szCs w:val="24"/>
          <w:lang w:val="en-US"/>
          <w14:ligatures w14:val="none"/>
        </w:rPr>
        <w:t>wever,</w:t>
      </w:r>
      <w:r w:rsidRPr="00D323AE">
        <w:rPr>
          <w:rFonts w:asciiTheme="majorBidi" w:hAnsiTheme="majorBidi" w:cstheme="majorBidi"/>
          <w:color w:val="000000"/>
          <w:kern w:val="0"/>
          <w:sz w:val="24"/>
          <w:szCs w:val="24"/>
          <w:lang w:val="en-US"/>
          <w14:ligatures w14:val="none"/>
        </w:rPr>
        <w:t xml:space="preserve"> </w:t>
      </w:r>
      <w:r w:rsidRPr="00D323AE">
        <w:rPr>
          <w:rFonts w:asciiTheme="majorBidi" w:hAnsiTheme="majorBidi" w:cstheme="majorBidi"/>
          <w:color w:val="000000"/>
          <w:kern w:val="0"/>
          <w:sz w:val="24"/>
          <w:szCs w:val="24"/>
          <w14:ligatures w14:val="none"/>
        </w:rPr>
        <w:t xml:space="preserve">those with the homozygous </w:t>
      </w:r>
      <w:r w:rsidRPr="00D323AE">
        <w:rPr>
          <w:rFonts w:asciiTheme="majorBidi" w:hAnsiTheme="majorBidi" w:cstheme="majorBidi"/>
          <w:color w:val="000000"/>
          <w:kern w:val="0"/>
          <w:sz w:val="24"/>
          <w:szCs w:val="24"/>
          <w:lang w:val="en-US"/>
          <w14:ligatures w14:val="none"/>
        </w:rPr>
        <w:t xml:space="preserve">rs738409 </w:t>
      </w:r>
      <w:r w:rsidRPr="00D323AE">
        <w:rPr>
          <w:rFonts w:asciiTheme="majorBidi" w:hAnsiTheme="majorBidi" w:cstheme="majorBidi"/>
          <w:color w:val="000000"/>
          <w:kern w:val="0"/>
          <w:sz w:val="24"/>
          <w:szCs w:val="24"/>
          <w14:ligatures w14:val="none"/>
        </w:rPr>
        <w:t>GG variant</w:t>
      </w:r>
      <w:r w:rsidR="007C795C" w:rsidRPr="00D323AE">
        <w:rPr>
          <w:rFonts w:asciiTheme="majorBidi" w:hAnsiTheme="majorBidi" w:cstheme="majorBidi"/>
          <w:color w:val="000000"/>
          <w:kern w:val="0"/>
          <w:sz w:val="24"/>
          <w:szCs w:val="24"/>
          <w14:ligatures w14:val="none"/>
        </w:rPr>
        <w:t xml:space="preserve"> had grade II steatosis with </w:t>
      </w:r>
      <w:r w:rsidR="00D30357" w:rsidRPr="00D323AE">
        <w:rPr>
          <w:rFonts w:asciiTheme="majorBidi" w:hAnsiTheme="majorBidi" w:cstheme="majorBidi"/>
          <w:color w:val="000000"/>
          <w:kern w:val="0"/>
          <w:sz w:val="24"/>
          <w:szCs w:val="24"/>
          <w14:ligatures w14:val="none"/>
        </w:rPr>
        <w:t xml:space="preserve">a </w:t>
      </w:r>
      <w:r w:rsidR="007C795C" w:rsidRPr="00D323AE">
        <w:rPr>
          <w:rFonts w:asciiTheme="majorBidi" w:hAnsiTheme="majorBidi" w:cstheme="majorBidi"/>
          <w:color w:val="000000"/>
          <w:kern w:val="0"/>
          <w:sz w:val="24"/>
          <w:szCs w:val="24"/>
          <w14:ligatures w14:val="none"/>
        </w:rPr>
        <w:t>higher prevalence of hepatocyte ballooning</w:t>
      </w:r>
      <w:r w:rsidRPr="00D323AE">
        <w:rPr>
          <w:rFonts w:asciiTheme="majorBidi" w:hAnsiTheme="majorBidi" w:cstheme="majorBidi"/>
          <w:color w:val="000000"/>
          <w:kern w:val="0"/>
          <w:sz w:val="24"/>
          <w:szCs w:val="24"/>
          <w:lang w:val="en-US"/>
          <w14:ligatures w14:val="none"/>
        </w:rPr>
        <w:t>. Further,</w:t>
      </w:r>
      <w:r w:rsidRPr="00D323AE">
        <w:rPr>
          <w:rFonts w:asciiTheme="majorBidi" w:hAnsiTheme="majorBidi" w:cstheme="majorBidi"/>
          <w:color w:val="000000"/>
          <w:sz w:val="24"/>
          <w:szCs w:val="24"/>
        </w:rPr>
        <w:t xml:space="preserve"> no significant </w:t>
      </w:r>
      <w:r w:rsidRPr="00D323AE">
        <w:rPr>
          <w:rFonts w:asciiTheme="majorBidi" w:hAnsiTheme="majorBidi" w:cstheme="majorBidi"/>
          <w:color w:val="000000"/>
          <w:kern w:val="0"/>
          <w:sz w:val="24"/>
          <w:szCs w:val="24"/>
          <w14:ligatures w14:val="none"/>
        </w:rPr>
        <w:t xml:space="preserve">variations </w:t>
      </w:r>
      <w:r w:rsidRPr="00D323AE">
        <w:rPr>
          <w:rFonts w:asciiTheme="majorBidi" w:hAnsiTheme="majorBidi" w:cstheme="majorBidi"/>
          <w:color w:val="000000"/>
          <w:sz w:val="24"/>
          <w:szCs w:val="24"/>
        </w:rPr>
        <w:t xml:space="preserve">occurred in the </w:t>
      </w:r>
      <w:r w:rsidRPr="00D323AE">
        <w:rPr>
          <w:rFonts w:asciiTheme="majorBidi" w:hAnsiTheme="majorBidi" w:cstheme="majorBidi"/>
          <w:color w:val="000000"/>
          <w:kern w:val="0"/>
          <w:sz w:val="24"/>
          <w:szCs w:val="24"/>
          <w:lang w:val="en-US"/>
          <w14:ligatures w14:val="none"/>
        </w:rPr>
        <w:t>NLR</w:t>
      </w:r>
      <w:r w:rsidRPr="00D323AE">
        <w:rPr>
          <w:rFonts w:asciiTheme="majorBidi" w:hAnsiTheme="majorBidi" w:cstheme="majorBidi"/>
          <w:color w:val="000000"/>
          <w:sz w:val="24"/>
          <w:szCs w:val="24"/>
          <w:lang w:val="en-US"/>
        </w:rPr>
        <w:t xml:space="preserve">, </w:t>
      </w:r>
      <w:r w:rsidRPr="00D323AE">
        <w:rPr>
          <w:rFonts w:asciiTheme="majorBidi" w:hAnsiTheme="majorBidi" w:cstheme="majorBidi"/>
          <w:color w:val="000000"/>
          <w:kern w:val="0"/>
          <w:sz w:val="24"/>
          <w:szCs w:val="24"/>
          <w14:ligatures w14:val="none"/>
        </w:rPr>
        <w:t>ALT, AST</w:t>
      </w:r>
      <w:r w:rsidRPr="00D323AE">
        <w:rPr>
          <w:rFonts w:asciiTheme="majorBidi" w:hAnsiTheme="majorBidi" w:cstheme="majorBidi"/>
          <w:color w:val="000000"/>
          <w:kern w:val="0"/>
          <w:sz w:val="24"/>
          <w:szCs w:val="24"/>
          <w:lang w:val="en-US"/>
          <w14:ligatures w14:val="none"/>
        </w:rPr>
        <w:t>, total cholesterol, LDL cholesterol, and triglyceride</w:t>
      </w:r>
      <w:r w:rsidRPr="00D323AE">
        <w:rPr>
          <w:rFonts w:asciiTheme="majorBidi" w:hAnsiTheme="majorBidi" w:cstheme="majorBidi"/>
          <w:color w:val="000000"/>
          <w:kern w:val="0"/>
          <w:sz w:val="24"/>
          <w:szCs w:val="24"/>
          <w14:ligatures w14:val="none"/>
        </w:rPr>
        <w:t xml:space="preserve"> values</w:t>
      </w:r>
      <w:r w:rsidRPr="00D323AE">
        <w:rPr>
          <w:rFonts w:asciiTheme="majorBidi" w:hAnsiTheme="majorBidi" w:cstheme="majorBidi"/>
          <w:color w:val="000000"/>
          <w:sz w:val="24"/>
          <w:szCs w:val="24"/>
          <w:lang w:val="en-US"/>
        </w:rPr>
        <w:t xml:space="preserve"> </w:t>
      </w:r>
      <w:r w:rsidRPr="00D323AE">
        <w:rPr>
          <w:rFonts w:asciiTheme="majorBidi" w:hAnsiTheme="majorBidi" w:cstheme="majorBidi"/>
          <w:color w:val="000000"/>
          <w:kern w:val="0"/>
          <w:sz w:val="24"/>
          <w:szCs w:val="24"/>
          <w:lang w:val="en-US"/>
          <w14:ligatures w14:val="none"/>
        </w:rPr>
        <w:t>in NAFLD cases according to the PNPLA3 gene rs738409C/G variant status (</w:t>
      </w:r>
      <w:bookmarkStart w:id="13" w:name="_Hlk178986011"/>
      <w:r w:rsidRPr="00D323AE">
        <w:rPr>
          <w:rFonts w:asciiTheme="majorBidi" w:hAnsiTheme="majorBidi" w:cstheme="majorBidi"/>
          <w:i/>
          <w:iCs/>
          <w:color w:val="000000"/>
          <w:kern w:val="0"/>
          <w:sz w:val="24"/>
          <w:szCs w:val="24"/>
          <w14:ligatures w14:val="none"/>
        </w:rPr>
        <w:t xml:space="preserve">p </w:t>
      </w:r>
      <w:r w:rsidRPr="00D323AE">
        <w:rPr>
          <w:rFonts w:asciiTheme="majorBidi" w:hAnsiTheme="majorBidi" w:cstheme="majorBidi"/>
          <w:color w:val="000000"/>
          <w:kern w:val="0"/>
          <w:sz w:val="24"/>
          <w:szCs w:val="24"/>
          <w14:ligatures w14:val="none"/>
        </w:rPr>
        <w:t>≥ 0.05</w:t>
      </w:r>
      <w:bookmarkEnd w:id="13"/>
      <w:r w:rsidRPr="00D323AE">
        <w:rPr>
          <w:rFonts w:asciiTheme="majorBidi" w:hAnsiTheme="majorBidi" w:cstheme="majorBidi"/>
          <w:color w:val="000000"/>
          <w:kern w:val="0"/>
          <w:sz w:val="24"/>
          <w:szCs w:val="24"/>
          <w14:ligatures w14:val="none"/>
        </w:rPr>
        <w:t xml:space="preserve">, </w:t>
      </w:r>
      <w:r w:rsidR="00BC58A8" w:rsidRPr="00D323AE">
        <w:rPr>
          <w:rFonts w:asciiTheme="majorBidi" w:hAnsiTheme="majorBidi" w:cstheme="majorBidi"/>
          <w:color w:val="000000"/>
          <w:kern w:val="0"/>
          <w:sz w:val="24"/>
          <w:szCs w:val="24"/>
          <w14:ligatures w14:val="none"/>
        </w:rPr>
        <w:t>Supp. t</w:t>
      </w:r>
      <w:r w:rsidRPr="00D323AE">
        <w:rPr>
          <w:rFonts w:asciiTheme="majorBidi" w:hAnsiTheme="majorBidi" w:cstheme="majorBidi"/>
          <w:color w:val="000000"/>
          <w:kern w:val="0"/>
          <w:sz w:val="24"/>
          <w:szCs w:val="24"/>
          <w14:ligatures w14:val="none"/>
        </w:rPr>
        <w:t xml:space="preserve">able </w:t>
      </w:r>
      <w:r w:rsidR="00BC58A8" w:rsidRPr="00D323AE">
        <w:rPr>
          <w:rFonts w:asciiTheme="majorBidi" w:hAnsiTheme="majorBidi" w:cstheme="majorBidi"/>
          <w:color w:val="000000"/>
          <w:kern w:val="0"/>
          <w:sz w:val="24"/>
          <w:szCs w:val="24"/>
          <w14:ligatures w14:val="none"/>
        </w:rPr>
        <w:t>3</w:t>
      </w:r>
      <w:r w:rsidRPr="00D323AE">
        <w:rPr>
          <w:rFonts w:asciiTheme="majorBidi" w:hAnsiTheme="majorBidi" w:cstheme="majorBidi"/>
          <w:color w:val="000000"/>
          <w:kern w:val="0"/>
          <w:sz w:val="24"/>
          <w:szCs w:val="24"/>
          <w14:ligatures w14:val="none"/>
        </w:rPr>
        <w:t>)</w:t>
      </w:r>
      <w:r w:rsidR="000833EE">
        <w:rPr>
          <w:rFonts w:asciiTheme="majorBidi" w:hAnsiTheme="majorBidi" w:cstheme="majorBidi"/>
          <w:color w:val="000000"/>
          <w:kern w:val="0"/>
          <w:sz w:val="24"/>
          <w:szCs w:val="24"/>
          <w14:ligatures w14:val="none"/>
        </w:rPr>
        <w:t>. At</w:t>
      </w:r>
      <w:r w:rsidRPr="00D323AE">
        <w:rPr>
          <w:rFonts w:asciiTheme="majorBidi" w:hAnsiTheme="majorBidi" w:cstheme="majorBidi"/>
          <w:color w:val="000000"/>
          <w:kern w:val="0"/>
          <w:sz w:val="24"/>
          <w:szCs w:val="24"/>
          <w14:ligatures w14:val="none"/>
        </w:rPr>
        <w:t xml:space="preserve"> </w:t>
      </w:r>
      <w:r w:rsidR="000833EE">
        <w:rPr>
          <w:rFonts w:asciiTheme="majorBidi" w:hAnsiTheme="majorBidi" w:cstheme="majorBidi"/>
          <w:color w:val="000000"/>
          <w:kern w:val="0"/>
          <w:sz w:val="24"/>
          <w:szCs w:val="24"/>
          <w14:ligatures w14:val="none"/>
        </w:rPr>
        <w:t>t</w:t>
      </w:r>
      <w:r w:rsidRPr="00D323AE">
        <w:rPr>
          <w:rFonts w:asciiTheme="majorBidi" w:hAnsiTheme="majorBidi" w:cstheme="majorBidi"/>
          <w:color w:val="000000"/>
          <w:kern w:val="0"/>
          <w:sz w:val="24"/>
          <w:szCs w:val="24"/>
          <w14:ligatures w14:val="none"/>
        </w:rPr>
        <w:t>h</w:t>
      </w:r>
      <w:r w:rsidR="000833EE">
        <w:rPr>
          <w:rFonts w:asciiTheme="majorBidi" w:hAnsiTheme="majorBidi" w:cstheme="majorBidi"/>
          <w:color w:val="000000"/>
          <w:kern w:val="0"/>
          <w:sz w:val="24"/>
          <w:szCs w:val="24"/>
          <w14:ligatures w14:val="none"/>
        </w:rPr>
        <w:t>e same t</w:t>
      </w:r>
      <w:r w:rsidRPr="00D323AE">
        <w:rPr>
          <w:rFonts w:asciiTheme="majorBidi" w:hAnsiTheme="majorBidi" w:cstheme="majorBidi"/>
          <w:color w:val="000000"/>
          <w:kern w:val="0"/>
          <w:sz w:val="24"/>
          <w:szCs w:val="24"/>
          <w14:ligatures w14:val="none"/>
        </w:rPr>
        <w:t>i</w:t>
      </w:r>
      <w:r w:rsidR="000833EE">
        <w:rPr>
          <w:rFonts w:asciiTheme="majorBidi" w:hAnsiTheme="majorBidi" w:cstheme="majorBidi"/>
          <w:color w:val="000000"/>
          <w:kern w:val="0"/>
          <w:sz w:val="24"/>
          <w:szCs w:val="24"/>
          <w14:ligatures w14:val="none"/>
        </w:rPr>
        <w:t>m</w:t>
      </w:r>
      <w:r w:rsidRPr="00D323AE">
        <w:rPr>
          <w:rFonts w:asciiTheme="majorBidi" w:hAnsiTheme="majorBidi" w:cstheme="majorBidi"/>
          <w:color w:val="000000"/>
          <w:kern w:val="0"/>
          <w:sz w:val="24"/>
          <w:szCs w:val="24"/>
          <w14:ligatures w14:val="none"/>
        </w:rPr>
        <w:t>e</w:t>
      </w:r>
      <w:r w:rsidR="000833EE">
        <w:rPr>
          <w:rFonts w:asciiTheme="majorBidi" w:hAnsiTheme="majorBidi" w:cstheme="majorBidi"/>
          <w:color w:val="000000"/>
          <w:kern w:val="0"/>
          <w:sz w:val="24"/>
          <w:szCs w:val="24"/>
          <w14:ligatures w14:val="none"/>
        </w:rPr>
        <w:t>,</w:t>
      </w:r>
      <w:r w:rsidRPr="00D323AE">
        <w:rPr>
          <w:rFonts w:asciiTheme="majorBidi" w:hAnsiTheme="majorBidi" w:cstheme="majorBidi"/>
          <w:color w:val="000000"/>
          <w:kern w:val="0"/>
          <w:sz w:val="24"/>
          <w:szCs w:val="24"/>
          <w14:ligatures w14:val="none"/>
        </w:rPr>
        <w:t xml:space="preserve"> MPV was significantly different between the groups (</w:t>
      </w:r>
      <w:r w:rsidRPr="00D323AE">
        <w:rPr>
          <w:rFonts w:asciiTheme="majorBidi" w:hAnsiTheme="majorBidi" w:cstheme="majorBidi"/>
          <w:i/>
          <w:iCs/>
          <w:color w:val="000000"/>
          <w:kern w:val="0"/>
          <w:sz w:val="24"/>
          <w:szCs w:val="24"/>
          <w14:ligatures w14:val="none"/>
        </w:rPr>
        <w:t xml:space="preserve">p </w:t>
      </w:r>
      <w:r w:rsidRPr="00D323AE">
        <w:rPr>
          <w:rFonts w:asciiTheme="majorBidi" w:hAnsiTheme="majorBidi" w:cstheme="majorBidi"/>
          <w:color w:val="000000"/>
          <w:kern w:val="0"/>
          <w:sz w:val="24"/>
          <w:szCs w:val="24"/>
          <w14:ligatures w14:val="none"/>
        </w:rPr>
        <w:t xml:space="preserve">= 0.023, </w:t>
      </w:r>
      <w:r w:rsidR="006727EE" w:rsidRPr="00D323AE">
        <w:rPr>
          <w:rFonts w:asciiTheme="majorBidi" w:hAnsiTheme="majorBidi" w:cstheme="majorBidi"/>
          <w:color w:val="000000"/>
          <w:kern w:val="0"/>
          <w:sz w:val="24"/>
          <w:szCs w:val="24"/>
          <w14:ligatures w14:val="none"/>
        </w:rPr>
        <w:t xml:space="preserve">Supp. </w:t>
      </w:r>
      <w:r w:rsidR="00A86C5F">
        <w:rPr>
          <w:rFonts w:asciiTheme="majorBidi" w:hAnsiTheme="majorBidi" w:cstheme="majorBidi"/>
          <w:color w:val="000000"/>
          <w:kern w:val="0"/>
          <w:sz w:val="24"/>
          <w:szCs w:val="24"/>
          <w14:ligatures w14:val="none"/>
        </w:rPr>
        <w:t>T</w:t>
      </w:r>
      <w:r w:rsidR="006727EE" w:rsidRPr="00D323AE">
        <w:rPr>
          <w:rFonts w:asciiTheme="majorBidi" w:hAnsiTheme="majorBidi" w:cstheme="majorBidi"/>
          <w:color w:val="000000"/>
          <w:kern w:val="0"/>
          <w:sz w:val="24"/>
          <w:szCs w:val="24"/>
          <w14:ligatures w14:val="none"/>
        </w:rPr>
        <w:t>able 3</w:t>
      </w:r>
      <w:r w:rsidRPr="00D323AE">
        <w:rPr>
          <w:rFonts w:asciiTheme="majorBidi" w:hAnsiTheme="majorBidi" w:cstheme="majorBidi"/>
          <w:color w:val="000000"/>
          <w:kern w:val="0"/>
          <w:sz w:val="24"/>
          <w:szCs w:val="24"/>
          <w14:ligatures w14:val="none"/>
        </w:rPr>
        <w:t>).</w:t>
      </w:r>
      <w:r w:rsidRPr="00D323AE">
        <w:rPr>
          <w:rFonts w:asciiTheme="majorBidi" w:hAnsiTheme="majorBidi" w:cstheme="majorBidi"/>
          <w:color w:val="000000"/>
          <w:kern w:val="0"/>
          <w:sz w:val="24"/>
          <w:szCs w:val="24"/>
          <w:lang w:val="en-US"/>
          <w14:ligatures w14:val="none"/>
        </w:rPr>
        <w:t xml:space="preserve"> </w:t>
      </w:r>
    </w:p>
    <w:p w14:paraId="203A07B2" w14:textId="683D112F" w:rsidR="0015007E" w:rsidRDefault="0015007E" w:rsidP="009E313D">
      <w:pPr>
        <w:keepNext/>
        <w:keepLines/>
        <w:spacing w:before="40" w:after="0" w:line="240" w:lineRule="auto"/>
        <w:jc w:val="both"/>
        <w:outlineLvl w:val="1"/>
        <w:rPr>
          <w:rFonts w:asciiTheme="majorBidi" w:hAnsiTheme="majorBidi" w:cstheme="majorBidi"/>
          <w:color w:val="000000"/>
          <w:kern w:val="0"/>
          <w:sz w:val="24"/>
          <w:szCs w:val="24"/>
          <w:lang w:val="en-US"/>
          <w14:ligatures w14:val="none"/>
        </w:rPr>
      </w:pPr>
    </w:p>
    <w:p w14:paraId="7F0007D5" w14:textId="36058675" w:rsidR="00C836BB" w:rsidRPr="00C836BB" w:rsidRDefault="00C836BB" w:rsidP="00C836BB">
      <w:pPr>
        <w:pStyle w:val="Caption"/>
        <w:keepNext/>
        <w:bidi w:val="0"/>
        <w:jc w:val="both"/>
      </w:pPr>
      <w:r>
        <w:t xml:space="preserve">Tab </w:t>
      </w:r>
      <w:r>
        <w:fldChar w:fldCharType="begin"/>
      </w:r>
      <w:r>
        <w:instrText xml:space="preserve"> SEQ Table \* ARABIC </w:instrText>
      </w:r>
      <w:r>
        <w:fldChar w:fldCharType="separate"/>
      </w:r>
      <w:r w:rsidR="00504F32">
        <w:rPr>
          <w:noProof/>
        </w:rPr>
        <w:t>3</w:t>
      </w:r>
      <w:r>
        <w:fldChar w:fldCharType="end"/>
      </w:r>
      <w:r>
        <w:t>.</w:t>
      </w:r>
      <w:r w:rsidRPr="00C836BB">
        <w:t xml:space="preserve"> Distribution of the PNPLA3 </w:t>
      </w:r>
      <w:r w:rsidRPr="00C836BB">
        <w:rPr>
          <w:lang w:val="en-GB"/>
        </w:rPr>
        <w:t>polymorphism</w:t>
      </w:r>
      <w:r w:rsidRPr="00C836BB">
        <w:t xml:space="preserve"> among NAFLD and control groups</w:t>
      </w:r>
    </w:p>
    <w:p w14:paraId="303B17AB" w14:textId="3F39704A" w:rsidR="00C836BB" w:rsidRDefault="00C836BB" w:rsidP="00C836BB">
      <w:pPr>
        <w:pStyle w:val="Caption"/>
        <w:keepNext/>
        <w:bidi w:val="0"/>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 Distribution of the PNPLA3 polymorphism among NAFLD and control groups"/>
      </w:tblPr>
      <w:tblGrid>
        <w:gridCol w:w="3744"/>
        <w:gridCol w:w="3886"/>
        <w:gridCol w:w="2490"/>
        <w:gridCol w:w="2451"/>
        <w:gridCol w:w="1387"/>
      </w:tblGrid>
      <w:tr w:rsidR="00B71A12" w:rsidRPr="00D323AE" w14:paraId="5E48728F" w14:textId="77777777" w:rsidTr="00CA4457">
        <w:trPr>
          <w:trHeight w:val="460"/>
        </w:trPr>
        <w:tc>
          <w:tcPr>
            <w:tcW w:w="1341" w:type="pct"/>
            <w:tcBorders>
              <w:top w:val="single" w:sz="2" w:space="0" w:color="auto"/>
              <w:bottom w:val="single" w:sz="2" w:space="0" w:color="auto"/>
            </w:tcBorders>
            <w:vAlign w:val="center"/>
          </w:tcPr>
          <w:p w14:paraId="1D3A2872" w14:textId="77777777" w:rsidR="00B71A12" w:rsidRPr="00D323AE" w:rsidRDefault="00B71A12" w:rsidP="00CA4457">
            <w:pPr>
              <w:spacing w:before="240" w:line="240" w:lineRule="auto"/>
              <w:jc w:val="both"/>
              <w:rPr>
                <w:rFonts w:asciiTheme="majorBidi" w:hAnsiTheme="majorBidi" w:cstheme="majorBidi"/>
                <w:b/>
                <w:bCs/>
                <w:color w:val="000000"/>
                <w:kern w:val="0"/>
                <w:sz w:val="24"/>
                <w:szCs w:val="24"/>
                <w14:ligatures w14:val="none"/>
              </w:rPr>
            </w:pPr>
            <w:r w:rsidRPr="00D323AE">
              <w:rPr>
                <w:rFonts w:asciiTheme="majorBidi" w:hAnsiTheme="majorBidi" w:cstheme="majorBidi"/>
                <w:b/>
                <w:bCs/>
                <w:color w:val="000000"/>
                <w:kern w:val="0"/>
                <w:sz w:val="24"/>
                <w:szCs w:val="24"/>
                <w14:ligatures w14:val="none"/>
              </w:rPr>
              <w:t>PNPLA3 polymorphism</w:t>
            </w:r>
          </w:p>
        </w:tc>
        <w:tc>
          <w:tcPr>
            <w:tcW w:w="1392" w:type="pct"/>
            <w:tcBorders>
              <w:top w:val="single" w:sz="2" w:space="0" w:color="auto"/>
              <w:bottom w:val="single" w:sz="2" w:space="0" w:color="auto"/>
            </w:tcBorders>
            <w:vAlign w:val="center"/>
          </w:tcPr>
          <w:p w14:paraId="5B2E55E9" w14:textId="77777777" w:rsidR="00B71A12" w:rsidRPr="00D323AE" w:rsidRDefault="00B71A12" w:rsidP="00CA4457">
            <w:pPr>
              <w:spacing w:before="240" w:line="240" w:lineRule="auto"/>
              <w:jc w:val="both"/>
              <w:rPr>
                <w:rFonts w:asciiTheme="majorBidi" w:hAnsiTheme="majorBidi" w:cstheme="majorBidi"/>
                <w:b/>
                <w:bCs/>
                <w:color w:val="000000"/>
                <w:kern w:val="0"/>
                <w:sz w:val="24"/>
                <w:szCs w:val="24"/>
                <w14:ligatures w14:val="none"/>
              </w:rPr>
            </w:pPr>
            <w:r w:rsidRPr="00D323AE">
              <w:rPr>
                <w:rFonts w:asciiTheme="majorBidi" w:hAnsiTheme="majorBidi" w:cstheme="majorBidi"/>
                <w:b/>
                <w:bCs/>
                <w:color w:val="000000"/>
                <w:kern w:val="0"/>
                <w:sz w:val="24"/>
                <w:szCs w:val="24"/>
                <w14:ligatures w14:val="none"/>
              </w:rPr>
              <w:t>Total participants</w:t>
            </w:r>
            <w:r w:rsidRPr="00D323AE">
              <w:rPr>
                <w:rFonts w:asciiTheme="majorBidi" w:hAnsiTheme="majorBidi" w:cstheme="majorBidi"/>
                <w:b/>
                <w:bCs/>
                <w:i/>
                <w:iCs/>
                <w:color w:val="000000"/>
                <w:kern w:val="0"/>
                <w:sz w:val="24"/>
                <w:szCs w:val="24"/>
                <w14:ligatures w14:val="none"/>
              </w:rPr>
              <w:t xml:space="preserve"> </w:t>
            </w:r>
            <w:r w:rsidRPr="00D323AE">
              <w:rPr>
                <w:rFonts w:asciiTheme="majorBidi" w:hAnsiTheme="majorBidi" w:cstheme="majorBidi"/>
                <w:b/>
                <w:bCs/>
                <w:color w:val="000000"/>
                <w:kern w:val="0"/>
                <w:sz w:val="24"/>
                <w:szCs w:val="24"/>
                <w14:ligatures w14:val="none"/>
              </w:rPr>
              <w:t>(</w:t>
            </w:r>
            <w:r w:rsidRPr="00D323AE">
              <w:rPr>
                <w:rFonts w:asciiTheme="majorBidi" w:hAnsiTheme="majorBidi" w:cstheme="majorBidi"/>
                <w:b/>
                <w:bCs/>
                <w:i/>
                <w:iCs/>
                <w:color w:val="000000"/>
                <w:kern w:val="0"/>
                <w:sz w:val="24"/>
                <w:szCs w:val="24"/>
                <w14:ligatures w14:val="none"/>
              </w:rPr>
              <w:t>n</w:t>
            </w:r>
            <w:r w:rsidRPr="00D323AE">
              <w:rPr>
                <w:rFonts w:asciiTheme="majorBidi" w:hAnsiTheme="majorBidi" w:cstheme="majorBidi"/>
                <w:b/>
                <w:bCs/>
                <w:color w:val="000000"/>
                <w:kern w:val="0"/>
                <w:sz w:val="24"/>
                <w:szCs w:val="24"/>
                <w14:ligatures w14:val="none"/>
              </w:rPr>
              <w:t xml:space="preserve">=30) </w:t>
            </w:r>
          </w:p>
        </w:tc>
        <w:tc>
          <w:tcPr>
            <w:tcW w:w="892" w:type="pct"/>
            <w:tcBorders>
              <w:top w:val="single" w:sz="2" w:space="0" w:color="auto"/>
              <w:bottom w:val="single" w:sz="2" w:space="0" w:color="auto"/>
            </w:tcBorders>
            <w:vAlign w:val="center"/>
          </w:tcPr>
          <w:p w14:paraId="1E24138F" w14:textId="7ABA66BA" w:rsidR="00B71A12" w:rsidRPr="00D323AE" w:rsidRDefault="00B71A12" w:rsidP="00CA4457">
            <w:pPr>
              <w:spacing w:before="240" w:line="240" w:lineRule="auto"/>
              <w:jc w:val="both"/>
              <w:rPr>
                <w:rFonts w:asciiTheme="majorBidi" w:hAnsiTheme="majorBidi" w:cstheme="majorBidi"/>
                <w:b/>
                <w:bCs/>
                <w:color w:val="000000"/>
                <w:kern w:val="0"/>
                <w:sz w:val="24"/>
                <w:szCs w:val="24"/>
                <w14:ligatures w14:val="none"/>
              </w:rPr>
            </w:pPr>
            <w:r w:rsidRPr="00D323AE">
              <w:rPr>
                <w:rFonts w:asciiTheme="majorBidi" w:hAnsiTheme="majorBidi" w:cstheme="majorBidi"/>
                <w:b/>
                <w:bCs/>
                <w:color w:val="000000"/>
                <w:kern w:val="0"/>
                <w:sz w:val="24"/>
                <w:szCs w:val="24"/>
                <w14:ligatures w14:val="none"/>
              </w:rPr>
              <w:t>NAFLD (</w:t>
            </w:r>
            <w:r w:rsidRPr="00D323AE">
              <w:rPr>
                <w:rFonts w:asciiTheme="majorBidi" w:hAnsiTheme="majorBidi" w:cstheme="majorBidi"/>
                <w:b/>
                <w:bCs/>
                <w:i/>
                <w:iCs/>
                <w:color w:val="000000"/>
                <w:kern w:val="0"/>
                <w:sz w:val="24"/>
                <w:szCs w:val="24"/>
                <w14:ligatures w14:val="none"/>
              </w:rPr>
              <w:t>n</w:t>
            </w:r>
            <w:r w:rsidRPr="00D323AE">
              <w:rPr>
                <w:rFonts w:asciiTheme="majorBidi" w:hAnsiTheme="majorBidi" w:cstheme="majorBidi"/>
                <w:b/>
                <w:bCs/>
                <w:color w:val="000000"/>
                <w:kern w:val="0"/>
                <w:sz w:val="24"/>
                <w:szCs w:val="24"/>
                <w14:ligatures w14:val="none"/>
              </w:rPr>
              <w:t>=20)</w:t>
            </w:r>
          </w:p>
        </w:tc>
        <w:tc>
          <w:tcPr>
            <w:tcW w:w="878" w:type="pct"/>
            <w:tcBorders>
              <w:top w:val="single" w:sz="2" w:space="0" w:color="auto"/>
              <w:bottom w:val="single" w:sz="2" w:space="0" w:color="auto"/>
            </w:tcBorders>
            <w:vAlign w:val="center"/>
          </w:tcPr>
          <w:p w14:paraId="1BA2A3D6" w14:textId="7F54784C" w:rsidR="00B71A12" w:rsidRPr="00D323AE" w:rsidRDefault="00B71A12" w:rsidP="00CA4457">
            <w:pPr>
              <w:spacing w:before="240" w:line="240" w:lineRule="auto"/>
              <w:jc w:val="both"/>
              <w:rPr>
                <w:rFonts w:asciiTheme="majorBidi" w:hAnsiTheme="majorBidi" w:cstheme="majorBidi"/>
                <w:b/>
                <w:bCs/>
                <w:color w:val="000000"/>
                <w:kern w:val="0"/>
                <w:sz w:val="24"/>
                <w:szCs w:val="24"/>
                <w14:ligatures w14:val="none"/>
              </w:rPr>
            </w:pPr>
            <w:r w:rsidRPr="00D323AE">
              <w:rPr>
                <w:rFonts w:asciiTheme="majorBidi" w:hAnsiTheme="majorBidi" w:cstheme="majorBidi"/>
                <w:b/>
                <w:bCs/>
                <w:color w:val="000000"/>
                <w:kern w:val="0"/>
                <w:sz w:val="24"/>
                <w:szCs w:val="24"/>
                <w14:ligatures w14:val="none"/>
              </w:rPr>
              <w:t>Control (</w:t>
            </w:r>
            <w:r w:rsidRPr="00D323AE">
              <w:rPr>
                <w:rFonts w:asciiTheme="majorBidi" w:hAnsiTheme="majorBidi" w:cstheme="majorBidi"/>
                <w:b/>
                <w:bCs/>
                <w:i/>
                <w:iCs/>
                <w:color w:val="000000"/>
                <w:kern w:val="0"/>
                <w:sz w:val="24"/>
                <w:szCs w:val="24"/>
                <w14:ligatures w14:val="none"/>
              </w:rPr>
              <w:t>n</w:t>
            </w:r>
            <w:r w:rsidRPr="00D323AE">
              <w:rPr>
                <w:rFonts w:asciiTheme="majorBidi" w:hAnsiTheme="majorBidi" w:cstheme="majorBidi"/>
                <w:b/>
                <w:bCs/>
                <w:color w:val="000000"/>
                <w:kern w:val="0"/>
                <w:sz w:val="24"/>
                <w:szCs w:val="24"/>
                <w14:ligatures w14:val="none"/>
              </w:rPr>
              <w:t>=10)</w:t>
            </w:r>
          </w:p>
        </w:tc>
        <w:tc>
          <w:tcPr>
            <w:tcW w:w="497" w:type="pct"/>
            <w:tcBorders>
              <w:top w:val="single" w:sz="2" w:space="0" w:color="auto"/>
              <w:bottom w:val="single" w:sz="2" w:space="0" w:color="auto"/>
            </w:tcBorders>
            <w:vAlign w:val="center"/>
          </w:tcPr>
          <w:p w14:paraId="062BEDA4" w14:textId="77777777" w:rsidR="00B71A12" w:rsidRPr="00D323AE" w:rsidRDefault="00B71A12" w:rsidP="00CA4457">
            <w:pPr>
              <w:spacing w:before="240" w:line="240" w:lineRule="auto"/>
              <w:jc w:val="both"/>
              <w:rPr>
                <w:rFonts w:asciiTheme="majorBidi" w:hAnsiTheme="majorBidi" w:cstheme="majorBidi"/>
                <w:b/>
                <w:bCs/>
                <w:color w:val="000000"/>
                <w:kern w:val="0"/>
                <w:sz w:val="24"/>
                <w:szCs w:val="24"/>
                <w14:ligatures w14:val="none"/>
              </w:rPr>
            </w:pPr>
            <w:r w:rsidRPr="00D323AE">
              <w:rPr>
                <w:rFonts w:asciiTheme="majorBidi" w:hAnsiTheme="majorBidi" w:cstheme="majorBidi"/>
                <w:b/>
                <w:bCs/>
                <w:i/>
                <w:iCs/>
                <w:color w:val="000000"/>
                <w:kern w:val="0"/>
                <w:sz w:val="24"/>
                <w:szCs w:val="24"/>
                <w14:ligatures w14:val="none"/>
              </w:rPr>
              <w:t>P</w:t>
            </w:r>
            <w:r w:rsidRPr="00D323AE">
              <w:rPr>
                <w:rFonts w:asciiTheme="majorBidi" w:hAnsiTheme="majorBidi" w:cstheme="majorBidi"/>
                <w:b/>
                <w:bCs/>
                <w:color w:val="000000"/>
                <w:kern w:val="0"/>
                <w:sz w:val="24"/>
                <w:szCs w:val="24"/>
                <w14:ligatures w14:val="none"/>
              </w:rPr>
              <w:t xml:space="preserve"> value</w:t>
            </w:r>
          </w:p>
        </w:tc>
      </w:tr>
      <w:tr w:rsidR="00B71A12" w:rsidRPr="00D323AE" w14:paraId="5921C43C" w14:textId="77777777" w:rsidTr="00CA4457">
        <w:trPr>
          <w:trHeight w:val="460"/>
        </w:trPr>
        <w:tc>
          <w:tcPr>
            <w:tcW w:w="1341" w:type="pct"/>
            <w:tcBorders>
              <w:top w:val="single" w:sz="2" w:space="0" w:color="auto"/>
            </w:tcBorders>
            <w:vAlign w:val="center"/>
          </w:tcPr>
          <w:p w14:paraId="3ED316C8" w14:textId="77777777" w:rsidR="00B71A12" w:rsidRPr="00D323AE" w:rsidRDefault="00B71A12" w:rsidP="00CA4457">
            <w:pPr>
              <w:spacing w:before="240" w:line="240" w:lineRule="auto"/>
              <w:jc w:val="both"/>
              <w:rPr>
                <w:rFonts w:asciiTheme="majorBidi" w:hAnsiTheme="majorBidi" w:cstheme="majorBidi"/>
                <w:b/>
                <w:bCs/>
                <w:color w:val="000000"/>
                <w:kern w:val="0"/>
                <w:sz w:val="24"/>
                <w:szCs w:val="24"/>
                <w14:ligatures w14:val="none"/>
              </w:rPr>
            </w:pPr>
          </w:p>
        </w:tc>
        <w:tc>
          <w:tcPr>
            <w:tcW w:w="1392" w:type="pct"/>
            <w:tcBorders>
              <w:top w:val="single" w:sz="2" w:space="0" w:color="auto"/>
            </w:tcBorders>
            <w:vAlign w:val="center"/>
          </w:tcPr>
          <w:p w14:paraId="1A1D524C" w14:textId="4DDF3841" w:rsidR="00B71A12" w:rsidRPr="00D323AE" w:rsidRDefault="00B71A12" w:rsidP="00CA4457">
            <w:pPr>
              <w:spacing w:before="240" w:line="240" w:lineRule="auto"/>
              <w:jc w:val="both"/>
              <w:rPr>
                <w:rFonts w:asciiTheme="majorBidi" w:hAnsiTheme="majorBidi" w:cstheme="majorBidi"/>
                <w:b/>
                <w:bCs/>
                <w:color w:val="000000"/>
                <w:kern w:val="0"/>
                <w:sz w:val="24"/>
                <w:szCs w:val="24"/>
                <w14:ligatures w14:val="none"/>
              </w:rPr>
            </w:pPr>
            <w:r w:rsidRPr="00D323AE">
              <w:rPr>
                <w:rFonts w:asciiTheme="majorBidi" w:hAnsiTheme="majorBidi" w:cstheme="majorBidi"/>
                <w:b/>
                <w:bCs/>
                <w:i/>
                <w:iCs/>
                <w:color w:val="000000"/>
                <w:kern w:val="0"/>
                <w:sz w:val="24"/>
                <w:szCs w:val="24"/>
                <w14:ligatures w14:val="none"/>
              </w:rPr>
              <w:t>n</w:t>
            </w:r>
            <w:r w:rsidRPr="00D323AE">
              <w:rPr>
                <w:rFonts w:asciiTheme="majorBidi" w:hAnsiTheme="majorBidi" w:cstheme="majorBidi"/>
                <w:b/>
                <w:bCs/>
                <w:color w:val="000000"/>
                <w:kern w:val="0"/>
                <w:sz w:val="24"/>
                <w:szCs w:val="24"/>
                <w14:ligatures w14:val="none"/>
              </w:rPr>
              <w:t xml:space="preserve"> (%)</w:t>
            </w:r>
          </w:p>
        </w:tc>
        <w:tc>
          <w:tcPr>
            <w:tcW w:w="892" w:type="pct"/>
            <w:tcBorders>
              <w:top w:val="single" w:sz="2" w:space="0" w:color="auto"/>
            </w:tcBorders>
            <w:vAlign w:val="center"/>
          </w:tcPr>
          <w:p w14:paraId="0232FEB8" w14:textId="5C03F4BD" w:rsidR="00B71A12" w:rsidRPr="00D323AE" w:rsidRDefault="00B71A12" w:rsidP="00CA4457">
            <w:pPr>
              <w:spacing w:before="240" w:line="240" w:lineRule="auto"/>
              <w:jc w:val="both"/>
              <w:rPr>
                <w:rFonts w:asciiTheme="majorBidi" w:hAnsiTheme="majorBidi" w:cstheme="majorBidi"/>
                <w:b/>
                <w:bCs/>
                <w:i/>
                <w:iCs/>
                <w:color w:val="000000"/>
                <w:kern w:val="0"/>
                <w:sz w:val="24"/>
                <w:szCs w:val="24"/>
                <w14:ligatures w14:val="none"/>
              </w:rPr>
            </w:pPr>
            <w:r w:rsidRPr="00D323AE">
              <w:rPr>
                <w:rFonts w:asciiTheme="majorBidi" w:hAnsiTheme="majorBidi" w:cstheme="majorBidi"/>
                <w:b/>
                <w:bCs/>
                <w:i/>
                <w:iCs/>
                <w:color w:val="000000"/>
                <w:kern w:val="0"/>
                <w:sz w:val="24"/>
                <w:szCs w:val="24"/>
                <w14:ligatures w14:val="none"/>
              </w:rPr>
              <w:t>n</w:t>
            </w:r>
            <w:r w:rsidRPr="00D323AE">
              <w:rPr>
                <w:rFonts w:asciiTheme="majorBidi" w:hAnsiTheme="majorBidi" w:cstheme="majorBidi"/>
                <w:b/>
                <w:bCs/>
                <w:color w:val="000000"/>
                <w:kern w:val="0"/>
                <w:sz w:val="24"/>
                <w:szCs w:val="24"/>
                <w14:ligatures w14:val="none"/>
              </w:rPr>
              <w:t xml:space="preserve"> (%)</w:t>
            </w:r>
          </w:p>
        </w:tc>
        <w:tc>
          <w:tcPr>
            <w:tcW w:w="878" w:type="pct"/>
            <w:tcBorders>
              <w:top w:val="single" w:sz="2" w:space="0" w:color="auto"/>
            </w:tcBorders>
            <w:vAlign w:val="center"/>
          </w:tcPr>
          <w:p w14:paraId="662AF33A" w14:textId="71E8D22F" w:rsidR="00B71A12" w:rsidRPr="00D323AE" w:rsidRDefault="00B71A12" w:rsidP="00CA4457">
            <w:pPr>
              <w:spacing w:before="240" w:line="240" w:lineRule="auto"/>
              <w:jc w:val="both"/>
              <w:rPr>
                <w:rFonts w:asciiTheme="majorBidi" w:hAnsiTheme="majorBidi" w:cstheme="majorBidi"/>
                <w:b/>
                <w:bCs/>
                <w:color w:val="000000"/>
                <w:kern w:val="0"/>
                <w:sz w:val="24"/>
                <w:szCs w:val="24"/>
                <w14:ligatures w14:val="none"/>
              </w:rPr>
            </w:pPr>
            <w:r w:rsidRPr="00D323AE">
              <w:rPr>
                <w:rFonts w:asciiTheme="majorBidi" w:hAnsiTheme="majorBidi" w:cstheme="majorBidi"/>
                <w:b/>
                <w:bCs/>
                <w:i/>
                <w:iCs/>
                <w:color w:val="000000"/>
                <w:kern w:val="0"/>
                <w:sz w:val="24"/>
                <w:szCs w:val="24"/>
                <w14:ligatures w14:val="none"/>
              </w:rPr>
              <w:t>n</w:t>
            </w:r>
            <w:r w:rsidRPr="00D323AE">
              <w:rPr>
                <w:rFonts w:asciiTheme="majorBidi" w:hAnsiTheme="majorBidi" w:cstheme="majorBidi"/>
                <w:b/>
                <w:bCs/>
                <w:color w:val="000000"/>
                <w:kern w:val="0"/>
                <w:sz w:val="24"/>
                <w:szCs w:val="24"/>
                <w14:ligatures w14:val="none"/>
              </w:rPr>
              <w:t xml:space="preserve"> (%)</w:t>
            </w:r>
          </w:p>
        </w:tc>
        <w:tc>
          <w:tcPr>
            <w:tcW w:w="497" w:type="pct"/>
            <w:tcBorders>
              <w:top w:val="single" w:sz="2" w:space="0" w:color="auto"/>
            </w:tcBorders>
            <w:vAlign w:val="center"/>
          </w:tcPr>
          <w:p w14:paraId="67102CA0" w14:textId="77777777" w:rsidR="00B71A12" w:rsidRPr="00D323AE" w:rsidRDefault="00B71A12" w:rsidP="00CA4457">
            <w:pPr>
              <w:spacing w:before="240" w:line="240" w:lineRule="auto"/>
              <w:jc w:val="both"/>
              <w:rPr>
                <w:rFonts w:asciiTheme="majorBidi" w:hAnsiTheme="majorBidi" w:cstheme="majorBidi"/>
                <w:b/>
                <w:bCs/>
                <w:i/>
                <w:iCs/>
                <w:color w:val="000000"/>
                <w:kern w:val="0"/>
                <w:sz w:val="24"/>
                <w:szCs w:val="24"/>
                <w14:ligatures w14:val="none"/>
              </w:rPr>
            </w:pPr>
          </w:p>
        </w:tc>
      </w:tr>
      <w:tr w:rsidR="00B71A12" w:rsidRPr="00D323AE" w14:paraId="7F3B2FD6" w14:textId="77777777" w:rsidTr="00CA4457">
        <w:trPr>
          <w:trHeight w:val="460"/>
        </w:trPr>
        <w:tc>
          <w:tcPr>
            <w:tcW w:w="1341" w:type="pct"/>
            <w:vAlign w:val="center"/>
          </w:tcPr>
          <w:p w14:paraId="1C5FCAD1" w14:textId="77777777" w:rsidR="00B71A12" w:rsidRPr="00D323AE" w:rsidRDefault="00B71A12" w:rsidP="00CA4457">
            <w:pPr>
              <w:spacing w:before="24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Homozygous CC</w:t>
            </w:r>
          </w:p>
        </w:tc>
        <w:tc>
          <w:tcPr>
            <w:tcW w:w="1392" w:type="pct"/>
            <w:vAlign w:val="center"/>
          </w:tcPr>
          <w:p w14:paraId="21F478DD" w14:textId="77777777" w:rsidR="00B71A12" w:rsidRPr="00D323AE" w:rsidRDefault="00B71A12" w:rsidP="00CA4457">
            <w:pPr>
              <w:spacing w:before="24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10 (33.3%)</w:t>
            </w:r>
          </w:p>
        </w:tc>
        <w:tc>
          <w:tcPr>
            <w:tcW w:w="892" w:type="pct"/>
            <w:vAlign w:val="center"/>
          </w:tcPr>
          <w:p w14:paraId="560CA7AF" w14:textId="1ED0EA94" w:rsidR="00B71A12" w:rsidRPr="00D323AE" w:rsidRDefault="00B71A12" w:rsidP="00CA4457">
            <w:pPr>
              <w:spacing w:before="24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4 (20%)</w:t>
            </w:r>
          </w:p>
        </w:tc>
        <w:tc>
          <w:tcPr>
            <w:tcW w:w="878" w:type="pct"/>
            <w:vAlign w:val="center"/>
          </w:tcPr>
          <w:p w14:paraId="3ACD6DF5" w14:textId="68CD5983" w:rsidR="00B71A12" w:rsidRPr="00D323AE" w:rsidRDefault="00B71A12" w:rsidP="00CA4457">
            <w:pPr>
              <w:spacing w:before="24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6 (60%)</w:t>
            </w:r>
          </w:p>
        </w:tc>
        <w:tc>
          <w:tcPr>
            <w:tcW w:w="497" w:type="pct"/>
            <w:vMerge w:val="restart"/>
            <w:vAlign w:val="center"/>
          </w:tcPr>
          <w:p w14:paraId="7F15B7DA" w14:textId="77777777" w:rsidR="00B71A12" w:rsidRPr="00D323AE" w:rsidRDefault="00B71A12" w:rsidP="00CA4457">
            <w:pPr>
              <w:spacing w:before="240" w:line="240" w:lineRule="auto"/>
              <w:jc w:val="both"/>
              <w:rPr>
                <w:rFonts w:asciiTheme="majorBidi" w:hAnsiTheme="majorBidi" w:cstheme="majorBidi"/>
                <w:color w:val="000000"/>
                <w:kern w:val="0"/>
                <w:sz w:val="24"/>
                <w:szCs w:val="24"/>
                <w:lang w:bidi="ar-EG"/>
                <w14:ligatures w14:val="none"/>
              </w:rPr>
            </w:pPr>
            <w:bookmarkStart w:id="14" w:name="_Hlk179545457"/>
            <w:r w:rsidRPr="00D323AE">
              <w:rPr>
                <w:rFonts w:asciiTheme="majorBidi" w:hAnsiTheme="majorBidi" w:cstheme="majorBidi"/>
                <w:color w:val="000000"/>
                <w:kern w:val="0"/>
                <w:sz w:val="24"/>
                <w:szCs w:val="24"/>
                <w14:ligatures w14:val="none"/>
              </w:rPr>
              <w:t>0.0</w:t>
            </w:r>
            <w:r w:rsidRPr="00D323AE">
              <w:rPr>
                <w:rFonts w:asciiTheme="majorBidi" w:hAnsiTheme="majorBidi" w:cstheme="majorBidi" w:hint="cs"/>
                <w:color w:val="000000"/>
                <w:kern w:val="0"/>
                <w:sz w:val="24"/>
                <w:szCs w:val="24"/>
                <w:rtl/>
                <w:lang w:bidi="ar-EG"/>
                <w14:ligatures w14:val="none"/>
              </w:rPr>
              <w:t>48</w:t>
            </w:r>
            <w:bookmarkEnd w:id="14"/>
          </w:p>
        </w:tc>
      </w:tr>
      <w:tr w:rsidR="00B71A12" w:rsidRPr="00D323AE" w14:paraId="460855F2" w14:textId="77777777" w:rsidTr="00CA4457">
        <w:trPr>
          <w:trHeight w:val="460"/>
        </w:trPr>
        <w:tc>
          <w:tcPr>
            <w:tcW w:w="1341" w:type="pct"/>
            <w:vAlign w:val="center"/>
          </w:tcPr>
          <w:p w14:paraId="1CA71882" w14:textId="77777777" w:rsidR="00B71A12" w:rsidRPr="00D323AE" w:rsidRDefault="00B71A12" w:rsidP="00CA4457">
            <w:pPr>
              <w:spacing w:before="24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Heterozygous CG</w:t>
            </w:r>
          </w:p>
        </w:tc>
        <w:tc>
          <w:tcPr>
            <w:tcW w:w="1392" w:type="pct"/>
            <w:vAlign w:val="center"/>
          </w:tcPr>
          <w:p w14:paraId="5163FF21" w14:textId="77777777" w:rsidR="00B71A12" w:rsidRPr="00D323AE" w:rsidRDefault="00B71A12" w:rsidP="00CA4457">
            <w:pPr>
              <w:spacing w:before="24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9 (30%)</w:t>
            </w:r>
          </w:p>
        </w:tc>
        <w:tc>
          <w:tcPr>
            <w:tcW w:w="892" w:type="pct"/>
            <w:vAlign w:val="center"/>
          </w:tcPr>
          <w:p w14:paraId="48239A1B" w14:textId="4FC3E32A" w:rsidR="00B71A12" w:rsidRPr="00D323AE" w:rsidRDefault="00B71A12" w:rsidP="00CA4457">
            <w:pPr>
              <w:spacing w:before="24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7 (35%)</w:t>
            </w:r>
          </w:p>
        </w:tc>
        <w:tc>
          <w:tcPr>
            <w:tcW w:w="878" w:type="pct"/>
            <w:vAlign w:val="center"/>
          </w:tcPr>
          <w:p w14:paraId="043F6EE8" w14:textId="13AE770A" w:rsidR="00B71A12" w:rsidRPr="00D323AE" w:rsidRDefault="00B71A12" w:rsidP="00CA4457">
            <w:pPr>
              <w:spacing w:before="24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2 (20%)</w:t>
            </w:r>
          </w:p>
        </w:tc>
        <w:tc>
          <w:tcPr>
            <w:tcW w:w="497" w:type="pct"/>
            <w:vMerge/>
            <w:vAlign w:val="center"/>
          </w:tcPr>
          <w:p w14:paraId="42E77F38" w14:textId="77777777" w:rsidR="00B71A12" w:rsidRPr="00D323AE" w:rsidRDefault="00B71A12" w:rsidP="00CA4457">
            <w:pPr>
              <w:spacing w:before="240" w:line="240" w:lineRule="auto"/>
              <w:jc w:val="both"/>
              <w:rPr>
                <w:rFonts w:asciiTheme="majorBidi" w:hAnsiTheme="majorBidi" w:cstheme="majorBidi"/>
                <w:color w:val="000000"/>
                <w:kern w:val="0"/>
                <w:sz w:val="24"/>
                <w:szCs w:val="24"/>
                <w14:ligatures w14:val="none"/>
              </w:rPr>
            </w:pPr>
          </w:p>
        </w:tc>
      </w:tr>
      <w:tr w:rsidR="00B71A12" w:rsidRPr="00D323AE" w14:paraId="24DD1EAB" w14:textId="77777777" w:rsidTr="00C836BB">
        <w:trPr>
          <w:trHeight w:val="460"/>
        </w:trPr>
        <w:tc>
          <w:tcPr>
            <w:tcW w:w="1341" w:type="pct"/>
            <w:tcBorders>
              <w:bottom w:val="single" w:sz="2" w:space="0" w:color="auto"/>
            </w:tcBorders>
            <w:vAlign w:val="center"/>
          </w:tcPr>
          <w:p w14:paraId="48D5ED25" w14:textId="77777777" w:rsidR="00B71A12" w:rsidRPr="00D323AE" w:rsidRDefault="00B71A12" w:rsidP="00CA4457">
            <w:pPr>
              <w:spacing w:before="24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Homozygous GG</w:t>
            </w:r>
          </w:p>
        </w:tc>
        <w:tc>
          <w:tcPr>
            <w:tcW w:w="1392" w:type="pct"/>
            <w:tcBorders>
              <w:bottom w:val="single" w:sz="2" w:space="0" w:color="auto"/>
            </w:tcBorders>
            <w:vAlign w:val="center"/>
          </w:tcPr>
          <w:p w14:paraId="51F7822D" w14:textId="77777777" w:rsidR="00B71A12" w:rsidRPr="00D323AE" w:rsidRDefault="00B71A12" w:rsidP="00CA4457">
            <w:pPr>
              <w:spacing w:before="24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11 (36.7%)</w:t>
            </w:r>
          </w:p>
        </w:tc>
        <w:tc>
          <w:tcPr>
            <w:tcW w:w="892" w:type="pct"/>
            <w:tcBorders>
              <w:bottom w:val="single" w:sz="2" w:space="0" w:color="auto"/>
            </w:tcBorders>
            <w:vAlign w:val="center"/>
          </w:tcPr>
          <w:p w14:paraId="46EC75F5" w14:textId="28EEB354" w:rsidR="00B71A12" w:rsidRPr="00D323AE" w:rsidRDefault="00B71A12" w:rsidP="00CA4457">
            <w:pPr>
              <w:spacing w:before="24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9 (45%)</w:t>
            </w:r>
          </w:p>
        </w:tc>
        <w:tc>
          <w:tcPr>
            <w:tcW w:w="878" w:type="pct"/>
            <w:tcBorders>
              <w:bottom w:val="single" w:sz="2" w:space="0" w:color="auto"/>
            </w:tcBorders>
            <w:vAlign w:val="center"/>
          </w:tcPr>
          <w:p w14:paraId="1F49DB1B" w14:textId="18903818" w:rsidR="00B71A12" w:rsidRPr="00D323AE" w:rsidRDefault="00B71A12" w:rsidP="00CA4457">
            <w:pPr>
              <w:spacing w:before="240"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2 (20%)</w:t>
            </w:r>
          </w:p>
        </w:tc>
        <w:tc>
          <w:tcPr>
            <w:tcW w:w="497" w:type="pct"/>
            <w:vMerge/>
            <w:tcBorders>
              <w:bottom w:val="single" w:sz="2" w:space="0" w:color="auto"/>
            </w:tcBorders>
            <w:vAlign w:val="center"/>
          </w:tcPr>
          <w:p w14:paraId="6B833D8C" w14:textId="77777777" w:rsidR="00B71A12" w:rsidRPr="00D323AE" w:rsidRDefault="00B71A12" w:rsidP="00CA4457">
            <w:pPr>
              <w:spacing w:before="240" w:line="240" w:lineRule="auto"/>
              <w:jc w:val="both"/>
              <w:rPr>
                <w:rFonts w:asciiTheme="majorBidi" w:hAnsiTheme="majorBidi" w:cstheme="majorBidi"/>
                <w:color w:val="000000"/>
                <w:kern w:val="0"/>
                <w:sz w:val="24"/>
                <w:szCs w:val="24"/>
                <w14:ligatures w14:val="none"/>
              </w:rPr>
            </w:pPr>
          </w:p>
        </w:tc>
      </w:tr>
    </w:tbl>
    <w:p w14:paraId="3AC9AF9C" w14:textId="77777777" w:rsidR="00C836BB" w:rsidRDefault="00C836BB">
      <w:pPr>
        <w:spacing w:before="240" w:line="240" w:lineRule="auto"/>
        <w:jc w:val="both"/>
        <w:rPr>
          <w:rFonts w:asciiTheme="majorBidi" w:hAnsiTheme="majorBidi" w:cstheme="majorBidi"/>
          <w:b/>
          <w:bCs/>
          <w:color w:val="000000"/>
          <w:kern w:val="0"/>
          <w:sz w:val="24"/>
          <w:szCs w:val="24"/>
          <w:lang w:val="en-US"/>
          <w14:ligatures w14:val="none"/>
        </w:rPr>
        <w:sectPr w:rsidR="00C836BB" w:rsidSect="00AA557A">
          <w:pgSz w:w="16838" w:h="11906" w:orient="landscape"/>
          <w:pgMar w:top="1440" w:right="1440" w:bottom="1440" w:left="1440" w:header="708" w:footer="708" w:gutter="0"/>
          <w:pgNumType w:start="281"/>
          <w:cols w:space="708"/>
          <w:docGrid w:linePitch="360"/>
        </w:sectPr>
      </w:pPr>
    </w:p>
    <w:p w14:paraId="294DD172" w14:textId="77777777" w:rsidR="00C836BB" w:rsidRDefault="00C836BB" w:rsidP="00C836BB">
      <w:pPr>
        <w:pStyle w:val="Caption"/>
        <w:keepNext/>
        <w:bidi w:val="0"/>
      </w:pPr>
    </w:p>
    <w:p w14:paraId="7E3EE145" w14:textId="691F565F" w:rsidR="00C836BB" w:rsidRPr="00C836BB" w:rsidRDefault="00C836BB" w:rsidP="00C836BB">
      <w:pPr>
        <w:pStyle w:val="Caption"/>
        <w:keepNext/>
        <w:bidi w:val="0"/>
      </w:pPr>
      <w:r>
        <w:t xml:space="preserve">Tab </w:t>
      </w:r>
      <w:r>
        <w:fldChar w:fldCharType="begin"/>
      </w:r>
      <w:r>
        <w:instrText xml:space="preserve"> SEQ Table \* ARABIC </w:instrText>
      </w:r>
      <w:r>
        <w:fldChar w:fldCharType="separate"/>
      </w:r>
      <w:r w:rsidR="00504F32">
        <w:rPr>
          <w:noProof/>
        </w:rPr>
        <w:t>4</w:t>
      </w:r>
      <w:r>
        <w:fldChar w:fldCharType="end"/>
      </w:r>
      <w:r>
        <w:t xml:space="preserve">. </w:t>
      </w:r>
      <w:r w:rsidRPr="00C836BB">
        <w:t xml:space="preserve"> The hepatic steatosis, hepatocellular ballooning, and hepatic fibrosis in NAFLD patients according to the PNPLA3 </w:t>
      </w:r>
      <w:r w:rsidRPr="00C836BB">
        <w:rPr>
          <w:lang w:val="en-GB"/>
        </w:rPr>
        <w:t>polymorphism</w:t>
      </w:r>
    </w:p>
    <w:p w14:paraId="4C131BA7" w14:textId="4D551B76" w:rsidR="00C836BB" w:rsidRDefault="00C836BB" w:rsidP="00C836BB">
      <w:pPr>
        <w:pStyle w:val="Caption"/>
        <w:keepNext/>
        <w:bidi w:val="0"/>
      </w:pPr>
    </w:p>
    <w:tbl>
      <w:tblPr>
        <w:tblStyle w:val="TableGrid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4 The hepatic steatosis, hepatocellular ballooning, and hepatic fibrosis in NAFLD patients according to the PNPLA3 polymorphism"/>
      </w:tblPr>
      <w:tblGrid>
        <w:gridCol w:w="3213"/>
        <w:gridCol w:w="1404"/>
        <w:gridCol w:w="2616"/>
        <w:gridCol w:w="2739"/>
        <w:gridCol w:w="2652"/>
        <w:gridCol w:w="1334"/>
      </w:tblGrid>
      <w:tr w:rsidR="0015007E" w:rsidRPr="00D323AE" w14:paraId="1987D536" w14:textId="77777777" w:rsidTr="00C836BB">
        <w:trPr>
          <w:trHeight w:val="230"/>
          <w:jc w:val="center"/>
        </w:trPr>
        <w:tc>
          <w:tcPr>
            <w:tcW w:w="1654" w:type="pct"/>
            <w:gridSpan w:val="2"/>
            <w:tcBorders>
              <w:top w:val="single" w:sz="2" w:space="0" w:color="auto"/>
              <w:bottom w:val="single" w:sz="2" w:space="0" w:color="auto"/>
            </w:tcBorders>
            <w:vAlign w:val="center"/>
          </w:tcPr>
          <w:p w14:paraId="455FF840" w14:textId="77777777" w:rsidR="0015007E" w:rsidRPr="00D323AE" w:rsidRDefault="00000000">
            <w:pPr>
              <w:spacing w:before="240" w:line="240" w:lineRule="auto"/>
              <w:rPr>
                <w:rFonts w:asciiTheme="majorBidi" w:hAnsiTheme="majorBidi" w:cstheme="majorBidi"/>
                <w:b/>
                <w:bCs/>
                <w:color w:val="000000"/>
                <w:kern w:val="0"/>
                <w:sz w:val="24"/>
                <w:szCs w:val="24"/>
                <w14:ligatures w14:val="none"/>
              </w:rPr>
            </w:pPr>
            <w:r w:rsidRPr="00D323AE">
              <w:rPr>
                <w:rFonts w:asciiTheme="majorBidi" w:hAnsiTheme="majorBidi" w:cstheme="majorBidi"/>
                <w:b/>
                <w:bCs/>
                <w:color w:val="000000"/>
                <w:kern w:val="0"/>
                <w:sz w:val="24"/>
                <w:szCs w:val="24"/>
                <w14:ligatures w14:val="none"/>
              </w:rPr>
              <w:t>Variable</w:t>
            </w:r>
          </w:p>
        </w:tc>
        <w:tc>
          <w:tcPr>
            <w:tcW w:w="937" w:type="pct"/>
            <w:tcBorders>
              <w:top w:val="single" w:sz="2" w:space="0" w:color="auto"/>
              <w:bottom w:val="single" w:sz="2" w:space="0" w:color="auto"/>
            </w:tcBorders>
            <w:vAlign w:val="center"/>
          </w:tcPr>
          <w:p w14:paraId="0DC38F89" w14:textId="77777777" w:rsidR="0015007E" w:rsidRPr="00D323AE" w:rsidRDefault="00000000">
            <w:pPr>
              <w:spacing w:before="240" w:line="240" w:lineRule="auto"/>
              <w:rPr>
                <w:rFonts w:asciiTheme="majorBidi" w:hAnsiTheme="majorBidi" w:cstheme="majorBidi"/>
                <w:b/>
                <w:bCs/>
                <w:color w:val="000000"/>
                <w:kern w:val="0"/>
                <w:sz w:val="24"/>
                <w:szCs w:val="24"/>
                <w14:ligatures w14:val="none"/>
              </w:rPr>
            </w:pPr>
            <w:bookmarkStart w:id="15" w:name="_Hlk179072405"/>
            <w:r w:rsidRPr="00D323AE">
              <w:rPr>
                <w:rFonts w:asciiTheme="majorBidi" w:hAnsiTheme="majorBidi" w:cstheme="majorBidi"/>
                <w:b/>
                <w:bCs/>
                <w:color w:val="000000"/>
                <w:kern w:val="0"/>
                <w:sz w:val="24"/>
                <w:szCs w:val="24"/>
                <w14:ligatures w14:val="none"/>
              </w:rPr>
              <w:t>Homozygous CC</w:t>
            </w:r>
            <w:bookmarkEnd w:id="15"/>
          </w:p>
        </w:tc>
        <w:tc>
          <w:tcPr>
            <w:tcW w:w="981" w:type="pct"/>
            <w:tcBorders>
              <w:top w:val="single" w:sz="2" w:space="0" w:color="auto"/>
              <w:bottom w:val="single" w:sz="2" w:space="0" w:color="auto"/>
            </w:tcBorders>
            <w:vAlign w:val="center"/>
          </w:tcPr>
          <w:p w14:paraId="22663DE8" w14:textId="77777777" w:rsidR="0015007E" w:rsidRPr="00D323AE" w:rsidRDefault="00000000">
            <w:pPr>
              <w:spacing w:before="240" w:line="240" w:lineRule="auto"/>
              <w:rPr>
                <w:rFonts w:asciiTheme="majorBidi" w:hAnsiTheme="majorBidi" w:cstheme="majorBidi"/>
                <w:b/>
                <w:bCs/>
                <w:color w:val="000000"/>
                <w:kern w:val="0"/>
                <w:sz w:val="24"/>
                <w:szCs w:val="24"/>
                <w14:ligatures w14:val="none"/>
              </w:rPr>
            </w:pPr>
            <w:r w:rsidRPr="00D323AE">
              <w:rPr>
                <w:rFonts w:asciiTheme="majorBidi" w:hAnsiTheme="majorBidi" w:cstheme="majorBidi"/>
                <w:b/>
                <w:bCs/>
                <w:color w:val="000000"/>
                <w:kern w:val="0"/>
                <w:sz w:val="24"/>
                <w:szCs w:val="24"/>
                <w14:ligatures w14:val="none"/>
              </w:rPr>
              <w:t>Heterozygous CG</w:t>
            </w:r>
          </w:p>
        </w:tc>
        <w:tc>
          <w:tcPr>
            <w:tcW w:w="950" w:type="pct"/>
            <w:tcBorders>
              <w:top w:val="single" w:sz="2" w:space="0" w:color="auto"/>
              <w:bottom w:val="single" w:sz="2" w:space="0" w:color="auto"/>
            </w:tcBorders>
            <w:vAlign w:val="center"/>
          </w:tcPr>
          <w:p w14:paraId="4761BD88" w14:textId="77777777" w:rsidR="0015007E" w:rsidRPr="00D323AE" w:rsidRDefault="00000000">
            <w:pPr>
              <w:spacing w:before="240" w:line="240" w:lineRule="auto"/>
              <w:rPr>
                <w:rFonts w:asciiTheme="majorBidi" w:hAnsiTheme="majorBidi" w:cstheme="majorBidi"/>
                <w:b/>
                <w:bCs/>
                <w:color w:val="000000"/>
                <w:kern w:val="0"/>
                <w:sz w:val="24"/>
                <w:szCs w:val="24"/>
                <w14:ligatures w14:val="none"/>
              </w:rPr>
            </w:pPr>
            <w:r w:rsidRPr="00D323AE">
              <w:rPr>
                <w:rFonts w:asciiTheme="majorBidi" w:hAnsiTheme="majorBidi" w:cstheme="majorBidi"/>
                <w:b/>
                <w:bCs/>
                <w:color w:val="000000"/>
                <w:kern w:val="0"/>
                <w:sz w:val="24"/>
                <w:szCs w:val="24"/>
                <w14:ligatures w14:val="none"/>
              </w:rPr>
              <w:t>Homozygous GG</w:t>
            </w:r>
          </w:p>
        </w:tc>
        <w:tc>
          <w:tcPr>
            <w:tcW w:w="478" w:type="pct"/>
            <w:tcBorders>
              <w:top w:val="single" w:sz="2" w:space="0" w:color="auto"/>
            </w:tcBorders>
            <w:vAlign w:val="center"/>
          </w:tcPr>
          <w:p w14:paraId="0BB0D27E" w14:textId="77777777" w:rsidR="0015007E" w:rsidRPr="00D323AE" w:rsidRDefault="00000000">
            <w:pPr>
              <w:spacing w:before="240" w:line="240" w:lineRule="auto"/>
              <w:rPr>
                <w:rFonts w:asciiTheme="majorBidi" w:hAnsiTheme="majorBidi" w:cstheme="majorBidi"/>
                <w:b/>
                <w:bCs/>
                <w:color w:val="000000"/>
                <w:kern w:val="0"/>
                <w:sz w:val="24"/>
                <w:szCs w:val="24"/>
                <w14:ligatures w14:val="none"/>
              </w:rPr>
            </w:pPr>
            <w:r w:rsidRPr="00D323AE">
              <w:rPr>
                <w:rFonts w:asciiTheme="majorBidi" w:hAnsiTheme="majorBidi" w:cstheme="majorBidi"/>
                <w:b/>
                <w:bCs/>
                <w:i/>
                <w:iCs/>
                <w:color w:val="000000"/>
                <w:kern w:val="0"/>
                <w:sz w:val="24"/>
                <w:szCs w:val="24"/>
                <w14:ligatures w14:val="none"/>
              </w:rPr>
              <w:t>P</w:t>
            </w:r>
            <w:r w:rsidRPr="00D323AE">
              <w:rPr>
                <w:rFonts w:asciiTheme="majorBidi" w:hAnsiTheme="majorBidi" w:cstheme="majorBidi"/>
                <w:b/>
                <w:bCs/>
                <w:color w:val="000000"/>
                <w:kern w:val="0"/>
                <w:sz w:val="24"/>
                <w:szCs w:val="24"/>
                <w14:ligatures w14:val="none"/>
              </w:rPr>
              <w:t xml:space="preserve"> value</w:t>
            </w:r>
          </w:p>
        </w:tc>
      </w:tr>
      <w:tr w:rsidR="0015007E" w:rsidRPr="00D323AE" w14:paraId="1EDF40CD" w14:textId="77777777" w:rsidTr="00C836BB">
        <w:trPr>
          <w:trHeight w:val="315"/>
          <w:jc w:val="center"/>
        </w:trPr>
        <w:tc>
          <w:tcPr>
            <w:tcW w:w="1151" w:type="pct"/>
            <w:vMerge w:val="restart"/>
            <w:tcBorders>
              <w:top w:val="single" w:sz="2" w:space="0" w:color="auto"/>
            </w:tcBorders>
            <w:vAlign w:val="center"/>
          </w:tcPr>
          <w:p w14:paraId="035CFBC5" w14:textId="1E49B115" w:rsidR="0015007E" w:rsidRPr="00D323AE" w:rsidRDefault="00551F4A">
            <w:pPr>
              <w:spacing w:before="240" w:after="0" w:line="240" w:lineRule="auto"/>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Hepatic steatosis</w:t>
            </w:r>
          </w:p>
        </w:tc>
        <w:tc>
          <w:tcPr>
            <w:tcW w:w="503" w:type="pct"/>
            <w:tcBorders>
              <w:top w:val="single" w:sz="2" w:space="0" w:color="auto"/>
            </w:tcBorders>
            <w:vAlign w:val="center"/>
          </w:tcPr>
          <w:p w14:paraId="0B0B3D41" w14:textId="77777777" w:rsidR="0015007E" w:rsidRPr="00D323AE" w:rsidRDefault="00000000">
            <w:pPr>
              <w:spacing w:before="240" w:line="240" w:lineRule="auto"/>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Grade I</w:t>
            </w:r>
          </w:p>
        </w:tc>
        <w:tc>
          <w:tcPr>
            <w:tcW w:w="937" w:type="pct"/>
            <w:tcBorders>
              <w:top w:val="single" w:sz="2" w:space="0" w:color="auto"/>
            </w:tcBorders>
            <w:vAlign w:val="center"/>
          </w:tcPr>
          <w:p w14:paraId="4939A8C6" w14:textId="77777777" w:rsidR="0015007E" w:rsidRPr="00D323AE" w:rsidRDefault="00000000">
            <w:pPr>
              <w:spacing w:before="240" w:line="240" w:lineRule="auto"/>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4 (100%)</w:t>
            </w:r>
          </w:p>
        </w:tc>
        <w:tc>
          <w:tcPr>
            <w:tcW w:w="981" w:type="pct"/>
            <w:tcBorders>
              <w:top w:val="single" w:sz="2" w:space="0" w:color="auto"/>
            </w:tcBorders>
            <w:vAlign w:val="center"/>
          </w:tcPr>
          <w:p w14:paraId="440C9CAE" w14:textId="77777777" w:rsidR="0015007E" w:rsidRPr="00D323AE" w:rsidRDefault="00000000">
            <w:pPr>
              <w:spacing w:before="240" w:line="240" w:lineRule="auto"/>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7 (100%)</w:t>
            </w:r>
          </w:p>
        </w:tc>
        <w:tc>
          <w:tcPr>
            <w:tcW w:w="950" w:type="pct"/>
            <w:tcBorders>
              <w:top w:val="single" w:sz="2" w:space="0" w:color="auto"/>
            </w:tcBorders>
            <w:vAlign w:val="center"/>
          </w:tcPr>
          <w:p w14:paraId="32E39681" w14:textId="77777777" w:rsidR="0015007E" w:rsidRPr="00D323AE" w:rsidRDefault="00000000">
            <w:pPr>
              <w:spacing w:before="240" w:line="240" w:lineRule="auto"/>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7 (77.78%)</w:t>
            </w:r>
          </w:p>
        </w:tc>
        <w:tc>
          <w:tcPr>
            <w:tcW w:w="478" w:type="pct"/>
            <w:vMerge w:val="restart"/>
            <w:vAlign w:val="center"/>
          </w:tcPr>
          <w:p w14:paraId="60119DCA" w14:textId="77777777" w:rsidR="0015007E" w:rsidRPr="00D323AE" w:rsidRDefault="00000000">
            <w:pPr>
              <w:spacing w:before="240" w:line="240" w:lineRule="auto"/>
              <w:rPr>
                <w:rFonts w:asciiTheme="majorBidi" w:hAnsiTheme="majorBidi" w:cstheme="majorBidi"/>
                <w:color w:val="000000"/>
                <w:kern w:val="0"/>
                <w:sz w:val="24"/>
                <w:szCs w:val="24"/>
                <w:lang w:bidi="ar-EG"/>
                <w14:ligatures w14:val="none"/>
              </w:rPr>
            </w:pPr>
            <w:r w:rsidRPr="00D323AE">
              <w:rPr>
                <w:rFonts w:asciiTheme="majorBidi" w:hAnsiTheme="majorBidi" w:cstheme="majorBidi"/>
                <w:color w:val="000000"/>
                <w:kern w:val="0"/>
                <w:sz w:val="24"/>
                <w:szCs w:val="24"/>
                <w14:ligatures w14:val="none"/>
              </w:rPr>
              <w:t>0.</w:t>
            </w:r>
            <w:r w:rsidRPr="00D323AE">
              <w:rPr>
                <w:rFonts w:asciiTheme="majorBidi" w:hAnsiTheme="majorBidi" w:cstheme="majorBidi" w:hint="cs"/>
                <w:color w:val="000000"/>
                <w:kern w:val="0"/>
                <w:sz w:val="24"/>
                <w:szCs w:val="24"/>
                <w:rtl/>
                <w:lang w:bidi="ar-EG"/>
                <w14:ligatures w14:val="none"/>
              </w:rPr>
              <w:t>155</w:t>
            </w:r>
          </w:p>
        </w:tc>
      </w:tr>
      <w:tr w:rsidR="0015007E" w:rsidRPr="00D323AE" w14:paraId="3236A7BA" w14:textId="77777777" w:rsidTr="00C836BB">
        <w:trPr>
          <w:trHeight w:val="315"/>
          <w:jc w:val="center"/>
        </w:trPr>
        <w:tc>
          <w:tcPr>
            <w:tcW w:w="1151" w:type="pct"/>
            <w:vMerge/>
            <w:vAlign w:val="center"/>
          </w:tcPr>
          <w:p w14:paraId="720A9951" w14:textId="77777777" w:rsidR="0015007E" w:rsidRPr="00D323AE" w:rsidRDefault="0015007E">
            <w:pPr>
              <w:spacing w:before="240" w:after="0" w:line="240" w:lineRule="auto"/>
              <w:rPr>
                <w:rFonts w:asciiTheme="majorBidi" w:hAnsiTheme="majorBidi" w:cstheme="majorBidi"/>
                <w:color w:val="000000"/>
                <w:kern w:val="0"/>
                <w:sz w:val="24"/>
                <w:szCs w:val="24"/>
                <w14:ligatures w14:val="none"/>
              </w:rPr>
            </w:pPr>
          </w:p>
        </w:tc>
        <w:tc>
          <w:tcPr>
            <w:tcW w:w="503" w:type="pct"/>
            <w:vAlign w:val="center"/>
          </w:tcPr>
          <w:p w14:paraId="1BA89D0F" w14:textId="77777777" w:rsidR="0015007E" w:rsidRPr="00D323AE" w:rsidRDefault="00000000">
            <w:pPr>
              <w:spacing w:before="240" w:after="0" w:line="240" w:lineRule="auto"/>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Grade II</w:t>
            </w:r>
          </w:p>
        </w:tc>
        <w:tc>
          <w:tcPr>
            <w:tcW w:w="937" w:type="pct"/>
            <w:vAlign w:val="center"/>
          </w:tcPr>
          <w:p w14:paraId="2E9DF9D4" w14:textId="77777777" w:rsidR="0015007E" w:rsidRPr="00D323AE" w:rsidRDefault="00000000">
            <w:pPr>
              <w:spacing w:before="240" w:after="0" w:line="240" w:lineRule="auto"/>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w:t>
            </w:r>
          </w:p>
        </w:tc>
        <w:tc>
          <w:tcPr>
            <w:tcW w:w="981" w:type="pct"/>
            <w:vAlign w:val="center"/>
          </w:tcPr>
          <w:p w14:paraId="7D860863" w14:textId="77777777" w:rsidR="0015007E" w:rsidRPr="00D323AE" w:rsidRDefault="00000000">
            <w:pPr>
              <w:spacing w:before="240" w:after="0" w:line="240" w:lineRule="auto"/>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w:t>
            </w:r>
          </w:p>
        </w:tc>
        <w:tc>
          <w:tcPr>
            <w:tcW w:w="950" w:type="pct"/>
            <w:vAlign w:val="center"/>
          </w:tcPr>
          <w:p w14:paraId="19FCBE05" w14:textId="77777777" w:rsidR="0015007E" w:rsidRPr="00D323AE" w:rsidRDefault="00000000">
            <w:pPr>
              <w:spacing w:before="240" w:after="0" w:line="240" w:lineRule="auto"/>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2 (22.22%)</w:t>
            </w:r>
          </w:p>
        </w:tc>
        <w:tc>
          <w:tcPr>
            <w:tcW w:w="478" w:type="pct"/>
            <w:vMerge/>
            <w:vAlign w:val="center"/>
          </w:tcPr>
          <w:p w14:paraId="101289A1" w14:textId="77777777" w:rsidR="0015007E" w:rsidRPr="00D323AE" w:rsidRDefault="0015007E">
            <w:pPr>
              <w:spacing w:before="240" w:after="0" w:line="240" w:lineRule="auto"/>
              <w:rPr>
                <w:rFonts w:asciiTheme="majorBidi" w:hAnsiTheme="majorBidi" w:cstheme="majorBidi"/>
                <w:color w:val="000000"/>
                <w:kern w:val="0"/>
                <w:sz w:val="24"/>
                <w:szCs w:val="24"/>
                <w14:ligatures w14:val="none"/>
              </w:rPr>
            </w:pPr>
          </w:p>
        </w:tc>
      </w:tr>
      <w:tr w:rsidR="0015007E" w:rsidRPr="00D323AE" w14:paraId="07CBC8AE" w14:textId="77777777" w:rsidTr="00C836BB">
        <w:trPr>
          <w:trHeight w:val="234"/>
          <w:jc w:val="center"/>
        </w:trPr>
        <w:tc>
          <w:tcPr>
            <w:tcW w:w="1151" w:type="pct"/>
            <w:vMerge w:val="restart"/>
            <w:vAlign w:val="center"/>
          </w:tcPr>
          <w:p w14:paraId="6654C379" w14:textId="77777777" w:rsidR="0015007E" w:rsidRPr="00D323AE" w:rsidRDefault="00000000">
            <w:pPr>
              <w:spacing w:before="240" w:after="0" w:line="240" w:lineRule="auto"/>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Hepatocyte ballooning</w:t>
            </w:r>
          </w:p>
        </w:tc>
        <w:tc>
          <w:tcPr>
            <w:tcW w:w="503" w:type="pct"/>
            <w:vAlign w:val="center"/>
          </w:tcPr>
          <w:p w14:paraId="75C5B9F5" w14:textId="77777777" w:rsidR="0015007E" w:rsidRPr="00D323AE" w:rsidRDefault="00000000">
            <w:pPr>
              <w:spacing w:before="240" w:line="240" w:lineRule="auto"/>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No</w:t>
            </w:r>
          </w:p>
        </w:tc>
        <w:tc>
          <w:tcPr>
            <w:tcW w:w="937" w:type="pct"/>
            <w:vAlign w:val="center"/>
          </w:tcPr>
          <w:p w14:paraId="3D7BE2C4" w14:textId="77777777" w:rsidR="0015007E" w:rsidRPr="00D323AE" w:rsidRDefault="00000000">
            <w:pPr>
              <w:spacing w:before="240" w:line="240" w:lineRule="auto"/>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w:t>
            </w:r>
          </w:p>
        </w:tc>
        <w:tc>
          <w:tcPr>
            <w:tcW w:w="981" w:type="pct"/>
            <w:vAlign w:val="center"/>
          </w:tcPr>
          <w:p w14:paraId="54B74F4B" w14:textId="77777777" w:rsidR="0015007E" w:rsidRPr="00D323AE" w:rsidRDefault="00000000">
            <w:pPr>
              <w:spacing w:before="240" w:line="240" w:lineRule="auto"/>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3 (42.86%)</w:t>
            </w:r>
          </w:p>
        </w:tc>
        <w:tc>
          <w:tcPr>
            <w:tcW w:w="950" w:type="pct"/>
            <w:vAlign w:val="center"/>
          </w:tcPr>
          <w:p w14:paraId="1769E523" w14:textId="77777777" w:rsidR="0015007E" w:rsidRPr="00D323AE" w:rsidRDefault="00000000">
            <w:pPr>
              <w:spacing w:before="240" w:line="240" w:lineRule="auto"/>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w:t>
            </w:r>
          </w:p>
        </w:tc>
        <w:tc>
          <w:tcPr>
            <w:tcW w:w="478" w:type="pct"/>
            <w:vMerge w:val="restart"/>
            <w:vAlign w:val="center"/>
          </w:tcPr>
          <w:p w14:paraId="548830FA" w14:textId="77777777" w:rsidR="0015007E" w:rsidRPr="00D323AE" w:rsidRDefault="00000000">
            <w:pPr>
              <w:spacing w:before="240" w:line="240" w:lineRule="auto"/>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0.126</w:t>
            </w:r>
          </w:p>
        </w:tc>
      </w:tr>
      <w:tr w:rsidR="0015007E" w:rsidRPr="00D323AE" w14:paraId="28E2E45B" w14:textId="77777777" w:rsidTr="00C836BB">
        <w:trPr>
          <w:trHeight w:val="233"/>
          <w:jc w:val="center"/>
        </w:trPr>
        <w:tc>
          <w:tcPr>
            <w:tcW w:w="1151" w:type="pct"/>
            <w:vMerge/>
            <w:vAlign w:val="center"/>
          </w:tcPr>
          <w:p w14:paraId="5A97AF9F" w14:textId="77777777" w:rsidR="0015007E" w:rsidRPr="00D323AE" w:rsidRDefault="0015007E">
            <w:pPr>
              <w:spacing w:before="240" w:after="0" w:line="240" w:lineRule="auto"/>
              <w:rPr>
                <w:rFonts w:asciiTheme="majorBidi" w:hAnsiTheme="majorBidi" w:cstheme="majorBidi"/>
                <w:color w:val="000000"/>
                <w:kern w:val="0"/>
                <w:sz w:val="24"/>
                <w:szCs w:val="24"/>
                <w14:ligatures w14:val="none"/>
              </w:rPr>
            </w:pPr>
          </w:p>
        </w:tc>
        <w:tc>
          <w:tcPr>
            <w:tcW w:w="503" w:type="pct"/>
            <w:vAlign w:val="center"/>
          </w:tcPr>
          <w:p w14:paraId="08393F2E" w14:textId="77777777" w:rsidR="0015007E" w:rsidRPr="00D323AE" w:rsidRDefault="00000000">
            <w:pPr>
              <w:spacing w:before="240" w:after="0" w:line="240" w:lineRule="auto"/>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Mild</w:t>
            </w:r>
          </w:p>
        </w:tc>
        <w:tc>
          <w:tcPr>
            <w:tcW w:w="937" w:type="pct"/>
            <w:vAlign w:val="center"/>
          </w:tcPr>
          <w:p w14:paraId="17398814" w14:textId="77777777" w:rsidR="0015007E" w:rsidRPr="00D323AE" w:rsidRDefault="00000000">
            <w:pPr>
              <w:spacing w:before="240" w:after="0" w:line="240" w:lineRule="auto"/>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1 (25%)</w:t>
            </w:r>
          </w:p>
        </w:tc>
        <w:tc>
          <w:tcPr>
            <w:tcW w:w="981" w:type="pct"/>
            <w:vAlign w:val="center"/>
          </w:tcPr>
          <w:p w14:paraId="15261BDE" w14:textId="77777777" w:rsidR="0015007E" w:rsidRPr="00D323AE" w:rsidRDefault="00000000">
            <w:pPr>
              <w:spacing w:before="240" w:after="0" w:line="240" w:lineRule="auto"/>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2 (28.57%)</w:t>
            </w:r>
          </w:p>
        </w:tc>
        <w:tc>
          <w:tcPr>
            <w:tcW w:w="950" w:type="pct"/>
            <w:vAlign w:val="center"/>
          </w:tcPr>
          <w:p w14:paraId="7207DAC1" w14:textId="77777777" w:rsidR="0015007E" w:rsidRPr="00D323AE" w:rsidRDefault="00000000">
            <w:pPr>
              <w:spacing w:before="240" w:after="0" w:line="240" w:lineRule="auto"/>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4 (44.44%)</w:t>
            </w:r>
          </w:p>
        </w:tc>
        <w:tc>
          <w:tcPr>
            <w:tcW w:w="478" w:type="pct"/>
            <w:vMerge/>
            <w:vAlign w:val="center"/>
          </w:tcPr>
          <w:p w14:paraId="3260066A" w14:textId="77777777" w:rsidR="0015007E" w:rsidRPr="00D323AE" w:rsidRDefault="0015007E">
            <w:pPr>
              <w:spacing w:before="240" w:after="0" w:line="240" w:lineRule="auto"/>
              <w:rPr>
                <w:rFonts w:asciiTheme="majorBidi" w:hAnsiTheme="majorBidi" w:cstheme="majorBidi"/>
                <w:color w:val="000000"/>
                <w:kern w:val="0"/>
                <w:sz w:val="24"/>
                <w:szCs w:val="24"/>
                <w14:ligatures w14:val="none"/>
              </w:rPr>
            </w:pPr>
          </w:p>
        </w:tc>
      </w:tr>
      <w:tr w:rsidR="0015007E" w:rsidRPr="00D323AE" w14:paraId="3378D3DC" w14:textId="77777777" w:rsidTr="00C836BB">
        <w:trPr>
          <w:trHeight w:val="233"/>
          <w:jc w:val="center"/>
        </w:trPr>
        <w:tc>
          <w:tcPr>
            <w:tcW w:w="1151" w:type="pct"/>
            <w:vMerge/>
            <w:vAlign w:val="center"/>
          </w:tcPr>
          <w:p w14:paraId="235F345A" w14:textId="77777777" w:rsidR="0015007E" w:rsidRPr="00D323AE" w:rsidRDefault="0015007E">
            <w:pPr>
              <w:spacing w:before="240" w:after="0" w:line="240" w:lineRule="auto"/>
              <w:rPr>
                <w:rFonts w:asciiTheme="majorBidi" w:hAnsiTheme="majorBidi" w:cstheme="majorBidi"/>
                <w:color w:val="000000"/>
                <w:kern w:val="0"/>
                <w:sz w:val="24"/>
                <w:szCs w:val="24"/>
                <w14:ligatures w14:val="none"/>
              </w:rPr>
            </w:pPr>
          </w:p>
        </w:tc>
        <w:tc>
          <w:tcPr>
            <w:tcW w:w="503" w:type="pct"/>
            <w:vAlign w:val="center"/>
          </w:tcPr>
          <w:p w14:paraId="16682A81" w14:textId="77777777" w:rsidR="0015007E" w:rsidRPr="00D323AE" w:rsidRDefault="00000000">
            <w:pPr>
              <w:spacing w:before="240" w:after="0" w:line="240" w:lineRule="auto"/>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Severe</w:t>
            </w:r>
          </w:p>
        </w:tc>
        <w:tc>
          <w:tcPr>
            <w:tcW w:w="937" w:type="pct"/>
            <w:vAlign w:val="center"/>
          </w:tcPr>
          <w:p w14:paraId="3533471E" w14:textId="77777777" w:rsidR="0015007E" w:rsidRPr="00D323AE" w:rsidRDefault="00000000">
            <w:pPr>
              <w:spacing w:before="240" w:after="0" w:line="240" w:lineRule="auto"/>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3 (75%)</w:t>
            </w:r>
          </w:p>
        </w:tc>
        <w:tc>
          <w:tcPr>
            <w:tcW w:w="981" w:type="pct"/>
            <w:vAlign w:val="center"/>
          </w:tcPr>
          <w:p w14:paraId="0B3C22D8" w14:textId="77777777" w:rsidR="0015007E" w:rsidRPr="00D323AE" w:rsidRDefault="00000000">
            <w:pPr>
              <w:spacing w:before="240" w:after="0" w:line="240" w:lineRule="auto"/>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2 (28.57%)</w:t>
            </w:r>
          </w:p>
        </w:tc>
        <w:tc>
          <w:tcPr>
            <w:tcW w:w="950" w:type="pct"/>
            <w:vAlign w:val="center"/>
          </w:tcPr>
          <w:p w14:paraId="1D115CE3" w14:textId="77777777" w:rsidR="0015007E" w:rsidRPr="00D323AE" w:rsidRDefault="00000000">
            <w:pPr>
              <w:spacing w:before="240" w:after="0" w:line="240" w:lineRule="auto"/>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5 (55.56%)</w:t>
            </w:r>
          </w:p>
        </w:tc>
        <w:tc>
          <w:tcPr>
            <w:tcW w:w="478" w:type="pct"/>
            <w:vMerge/>
            <w:vAlign w:val="center"/>
          </w:tcPr>
          <w:p w14:paraId="3E252E95" w14:textId="77777777" w:rsidR="0015007E" w:rsidRPr="00D323AE" w:rsidRDefault="0015007E">
            <w:pPr>
              <w:spacing w:before="240" w:after="0" w:line="240" w:lineRule="auto"/>
              <w:rPr>
                <w:rFonts w:asciiTheme="majorBidi" w:hAnsiTheme="majorBidi" w:cstheme="majorBidi"/>
                <w:color w:val="000000"/>
                <w:kern w:val="0"/>
                <w:sz w:val="24"/>
                <w:szCs w:val="24"/>
                <w14:ligatures w14:val="none"/>
              </w:rPr>
            </w:pPr>
          </w:p>
        </w:tc>
      </w:tr>
      <w:tr w:rsidR="0015007E" w:rsidRPr="00D323AE" w14:paraId="30BB795A" w14:textId="77777777" w:rsidTr="00C836BB">
        <w:trPr>
          <w:trHeight w:val="315"/>
          <w:jc w:val="center"/>
        </w:trPr>
        <w:tc>
          <w:tcPr>
            <w:tcW w:w="1151" w:type="pct"/>
            <w:vMerge w:val="restart"/>
            <w:vAlign w:val="center"/>
          </w:tcPr>
          <w:p w14:paraId="658EFF1A" w14:textId="77777777" w:rsidR="0015007E" w:rsidRPr="00D323AE" w:rsidRDefault="00000000">
            <w:pPr>
              <w:spacing w:before="240" w:after="0" w:line="240" w:lineRule="auto"/>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Hepatic fibrosis</w:t>
            </w:r>
          </w:p>
        </w:tc>
        <w:tc>
          <w:tcPr>
            <w:tcW w:w="503" w:type="pct"/>
            <w:vAlign w:val="center"/>
          </w:tcPr>
          <w:p w14:paraId="2FDE773B" w14:textId="77777777" w:rsidR="0015007E" w:rsidRPr="00D323AE" w:rsidRDefault="00000000">
            <w:pPr>
              <w:spacing w:before="240" w:line="240" w:lineRule="auto"/>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No</w:t>
            </w:r>
          </w:p>
        </w:tc>
        <w:tc>
          <w:tcPr>
            <w:tcW w:w="937" w:type="pct"/>
            <w:vAlign w:val="center"/>
          </w:tcPr>
          <w:p w14:paraId="0490D8DF" w14:textId="77777777" w:rsidR="0015007E" w:rsidRPr="00D323AE" w:rsidRDefault="00000000">
            <w:pPr>
              <w:spacing w:before="240" w:line="240" w:lineRule="auto"/>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4 (100%)</w:t>
            </w:r>
          </w:p>
        </w:tc>
        <w:tc>
          <w:tcPr>
            <w:tcW w:w="981" w:type="pct"/>
            <w:vAlign w:val="center"/>
          </w:tcPr>
          <w:p w14:paraId="43DC8C99" w14:textId="77777777" w:rsidR="0015007E" w:rsidRPr="00D323AE" w:rsidRDefault="00000000">
            <w:pPr>
              <w:spacing w:before="240" w:line="240" w:lineRule="auto"/>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3 (42.86%)</w:t>
            </w:r>
          </w:p>
        </w:tc>
        <w:tc>
          <w:tcPr>
            <w:tcW w:w="950" w:type="pct"/>
            <w:vAlign w:val="center"/>
          </w:tcPr>
          <w:p w14:paraId="7F0A9C26" w14:textId="77777777" w:rsidR="0015007E" w:rsidRPr="00D323AE" w:rsidRDefault="00000000">
            <w:pPr>
              <w:spacing w:before="240" w:line="240" w:lineRule="auto"/>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w:t>
            </w:r>
          </w:p>
        </w:tc>
        <w:tc>
          <w:tcPr>
            <w:tcW w:w="478" w:type="pct"/>
            <w:vMerge w:val="restart"/>
            <w:vAlign w:val="center"/>
          </w:tcPr>
          <w:p w14:paraId="55156473" w14:textId="77777777" w:rsidR="0015007E" w:rsidRPr="00D323AE" w:rsidRDefault="00000000">
            <w:pPr>
              <w:spacing w:before="240" w:line="240" w:lineRule="auto"/>
              <w:rPr>
                <w:rFonts w:asciiTheme="majorBidi" w:hAnsiTheme="majorBidi" w:cstheme="majorBidi"/>
                <w:color w:val="000000"/>
                <w:kern w:val="0"/>
                <w:sz w:val="24"/>
                <w:szCs w:val="24"/>
                <w:lang w:bidi="ar-EG"/>
                <w14:ligatures w14:val="none"/>
              </w:rPr>
            </w:pPr>
            <w:bookmarkStart w:id="16" w:name="_Hlk179545563"/>
            <w:r w:rsidRPr="00D323AE">
              <w:rPr>
                <w:rFonts w:asciiTheme="majorBidi" w:hAnsiTheme="majorBidi" w:cstheme="majorBidi"/>
                <w:color w:val="000000"/>
                <w:kern w:val="0"/>
                <w:sz w:val="24"/>
                <w:szCs w:val="24"/>
                <w:lang w:bidi="ar-EG"/>
                <w14:ligatures w14:val="none"/>
              </w:rPr>
              <w:t>0.018</w:t>
            </w:r>
            <w:bookmarkEnd w:id="16"/>
          </w:p>
        </w:tc>
      </w:tr>
      <w:tr w:rsidR="0015007E" w:rsidRPr="00D323AE" w14:paraId="0D6288F2" w14:textId="77777777" w:rsidTr="00C836BB">
        <w:trPr>
          <w:trHeight w:val="315"/>
          <w:jc w:val="center"/>
        </w:trPr>
        <w:tc>
          <w:tcPr>
            <w:tcW w:w="1151" w:type="pct"/>
            <w:vMerge/>
            <w:tcBorders>
              <w:bottom w:val="single" w:sz="2" w:space="0" w:color="auto"/>
            </w:tcBorders>
            <w:vAlign w:val="center"/>
          </w:tcPr>
          <w:p w14:paraId="3190F915" w14:textId="77777777" w:rsidR="0015007E" w:rsidRPr="00D323AE" w:rsidRDefault="0015007E">
            <w:pPr>
              <w:spacing w:before="240" w:after="0" w:line="240" w:lineRule="auto"/>
              <w:rPr>
                <w:rFonts w:asciiTheme="majorBidi" w:hAnsiTheme="majorBidi" w:cstheme="majorBidi"/>
                <w:color w:val="000000"/>
                <w:kern w:val="0"/>
                <w:sz w:val="24"/>
                <w:szCs w:val="24"/>
                <w14:ligatures w14:val="none"/>
              </w:rPr>
            </w:pPr>
          </w:p>
        </w:tc>
        <w:tc>
          <w:tcPr>
            <w:tcW w:w="503" w:type="pct"/>
            <w:tcBorders>
              <w:bottom w:val="single" w:sz="2" w:space="0" w:color="auto"/>
            </w:tcBorders>
            <w:vAlign w:val="center"/>
          </w:tcPr>
          <w:p w14:paraId="21B05C91" w14:textId="77777777" w:rsidR="0015007E" w:rsidRPr="00D323AE" w:rsidRDefault="00000000">
            <w:pPr>
              <w:spacing w:before="240" w:after="0" w:line="240" w:lineRule="auto"/>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Yes</w:t>
            </w:r>
          </w:p>
        </w:tc>
        <w:tc>
          <w:tcPr>
            <w:tcW w:w="937" w:type="pct"/>
            <w:tcBorders>
              <w:bottom w:val="single" w:sz="2" w:space="0" w:color="auto"/>
            </w:tcBorders>
            <w:vAlign w:val="center"/>
          </w:tcPr>
          <w:p w14:paraId="05DBFA86" w14:textId="77777777" w:rsidR="0015007E" w:rsidRPr="00D323AE" w:rsidRDefault="00000000">
            <w:pPr>
              <w:spacing w:before="240" w:after="0" w:line="240" w:lineRule="auto"/>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w:t>
            </w:r>
          </w:p>
        </w:tc>
        <w:tc>
          <w:tcPr>
            <w:tcW w:w="981" w:type="pct"/>
            <w:tcBorders>
              <w:bottom w:val="single" w:sz="2" w:space="0" w:color="auto"/>
            </w:tcBorders>
            <w:vAlign w:val="center"/>
          </w:tcPr>
          <w:p w14:paraId="6326A3F8" w14:textId="77777777" w:rsidR="0015007E" w:rsidRPr="00D323AE" w:rsidRDefault="00000000">
            <w:pPr>
              <w:spacing w:before="240" w:after="0" w:line="240" w:lineRule="auto"/>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4 (57.14%)</w:t>
            </w:r>
          </w:p>
        </w:tc>
        <w:tc>
          <w:tcPr>
            <w:tcW w:w="950" w:type="pct"/>
            <w:tcBorders>
              <w:bottom w:val="single" w:sz="2" w:space="0" w:color="auto"/>
            </w:tcBorders>
            <w:vAlign w:val="center"/>
          </w:tcPr>
          <w:p w14:paraId="5C6D5143" w14:textId="77777777" w:rsidR="0015007E" w:rsidRPr="00D323AE" w:rsidRDefault="00000000">
            <w:pPr>
              <w:spacing w:before="240" w:after="0" w:line="240" w:lineRule="auto"/>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9 (100%)</w:t>
            </w:r>
          </w:p>
        </w:tc>
        <w:tc>
          <w:tcPr>
            <w:tcW w:w="478" w:type="pct"/>
            <w:vMerge/>
            <w:tcBorders>
              <w:bottom w:val="single" w:sz="2" w:space="0" w:color="auto"/>
            </w:tcBorders>
            <w:vAlign w:val="center"/>
          </w:tcPr>
          <w:p w14:paraId="68D34DF4" w14:textId="77777777" w:rsidR="0015007E" w:rsidRPr="00D323AE" w:rsidRDefault="0015007E">
            <w:pPr>
              <w:spacing w:before="240" w:after="0" w:line="240" w:lineRule="auto"/>
              <w:rPr>
                <w:rFonts w:asciiTheme="majorBidi" w:hAnsiTheme="majorBidi" w:cstheme="majorBidi"/>
                <w:color w:val="000000"/>
                <w:kern w:val="0"/>
                <w:sz w:val="24"/>
                <w:szCs w:val="24"/>
                <w14:ligatures w14:val="none"/>
              </w:rPr>
            </w:pPr>
          </w:p>
        </w:tc>
      </w:tr>
    </w:tbl>
    <w:p w14:paraId="72226BA9" w14:textId="5FA224EE" w:rsidR="008143EF" w:rsidRPr="00D323AE" w:rsidRDefault="008143EF" w:rsidP="008143EF">
      <w:pPr>
        <w:spacing w:before="240" w:after="0" w:line="240" w:lineRule="auto"/>
        <w:jc w:val="both"/>
        <w:rPr>
          <w:rFonts w:asciiTheme="majorBidi" w:hAnsiTheme="majorBidi" w:cstheme="majorBidi"/>
          <w:color w:val="000000"/>
          <w:kern w:val="0"/>
          <w:sz w:val="24"/>
          <w:szCs w:val="24"/>
          <w:lang w:val="en-US"/>
          <w14:ligatures w14:val="none"/>
        </w:rPr>
      </w:pPr>
      <w:r w:rsidRPr="00D323AE">
        <w:rPr>
          <w:rFonts w:asciiTheme="majorBidi" w:hAnsiTheme="majorBidi" w:cstheme="majorBidi"/>
          <w:color w:val="000000"/>
          <w:kern w:val="0"/>
          <w:sz w:val="24"/>
          <w:szCs w:val="24"/>
          <w:lang w:val="en-US"/>
          <w14:ligatures w14:val="none"/>
        </w:rPr>
        <w:t xml:space="preserve">Table 5 shows that </w:t>
      </w:r>
      <w:r w:rsidR="00840FC0" w:rsidRPr="00D323AE">
        <w:rPr>
          <w:rFonts w:asciiTheme="majorBidi" w:eastAsia="Times New Roman" w:hAnsiTheme="majorBidi" w:cstheme="majorBidi"/>
          <w:color w:val="000000"/>
          <w:kern w:val="0"/>
          <w:sz w:val="24"/>
          <w:szCs w:val="24"/>
          <w:lang w:val="en-US"/>
          <w14:ligatures w14:val="none"/>
        </w:rPr>
        <w:t>hepatic steatosis</w:t>
      </w:r>
      <w:r w:rsidR="00840FC0" w:rsidRPr="00D323AE">
        <w:rPr>
          <w:rFonts w:asciiTheme="majorBidi" w:hAnsiTheme="majorBidi" w:cstheme="majorBidi"/>
          <w:color w:val="000000"/>
          <w:kern w:val="0"/>
          <w:sz w:val="24"/>
          <w:szCs w:val="24"/>
          <w:lang w:val="en-US"/>
          <w14:ligatures w14:val="none"/>
        </w:rPr>
        <w:t xml:space="preserve"> correlated positively with</w:t>
      </w:r>
      <w:r w:rsidR="00840FC0" w:rsidRPr="00D323AE">
        <w:rPr>
          <w:rFonts w:asciiTheme="majorBidi" w:eastAsia="Times New Roman" w:hAnsiTheme="majorBidi" w:cstheme="majorBidi"/>
          <w:color w:val="000000"/>
          <w:kern w:val="0"/>
          <w:sz w:val="24"/>
          <w:szCs w:val="24"/>
          <w:lang w:val="en-US"/>
          <w14:ligatures w14:val="none"/>
        </w:rPr>
        <w:t xml:space="preserve"> </w:t>
      </w:r>
      <w:r w:rsidRPr="00D323AE">
        <w:rPr>
          <w:rFonts w:asciiTheme="majorBidi" w:hAnsiTheme="majorBidi" w:cstheme="majorBidi"/>
          <w:color w:val="000000"/>
          <w:kern w:val="0"/>
          <w:sz w:val="24"/>
          <w:szCs w:val="24"/>
          <w:lang w:val="en-US"/>
          <w14:ligatures w14:val="none"/>
        </w:rPr>
        <w:t>PNPLA3 gene polymorphism and BMI (</w:t>
      </w:r>
      <w:r w:rsidRPr="00D323AE">
        <w:rPr>
          <w:rFonts w:asciiTheme="majorBidi" w:hAnsiTheme="majorBidi" w:cstheme="majorBidi"/>
          <w:i/>
          <w:iCs/>
          <w:color w:val="000000"/>
          <w:kern w:val="0"/>
          <w:sz w:val="24"/>
          <w:szCs w:val="24"/>
          <w:lang w:val="en-US"/>
          <w14:ligatures w14:val="none"/>
        </w:rPr>
        <w:t>p</w:t>
      </w:r>
      <w:r w:rsidRPr="00D323AE">
        <w:rPr>
          <w:rFonts w:asciiTheme="majorBidi" w:hAnsiTheme="majorBidi" w:cstheme="majorBidi"/>
          <w:color w:val="000000"/>
          <w:kern w:val="0"/>
          <w:sz w:val="24"/>
          <w:szCs w:val="24"/>
          <w14:ligatures w14:val="none"/>
        </w:rPr>
        <w:t xml:space="preserve"> = 0.033 and </w:t>
      </w:r>
      <w:r w:rsidRPr="00D323AE">
        <w:rPr>
          <w:rFonts w:asciiTheme="majorBidi" w:hAnsiTheme="majorBidi" w:cstheme="majorBidi"/>
          <w:i/>
          <w:iCs/>
          <w:color w:val="000000"/>
          <w:kern w:val="0"/>
          <w:sz w:val="24"/>
          <w:szCs w:val="24"/>
          <w:lang w:val="en-US"/>
          <w14:ligatures w14:val="none"/>
        </w:rPr>
        <w:t>p</w:t>
      </w:r>
      <w:r w:rsidRPr="00D323AE">
        <w:rPr>
          <w:rFonts w:asciiTheme="majorBidi" w:hAnsiTheme="majorBidi" w:cstheme="majorBidi"/>
          <w:color w:val="000000"/>
          <w:kern w:val="0"/>
          <w:sz w:val="24"/>
          <w:szCs w:val="24"/>
          <w:lang w:val="en-US"/>
          <w14:ligatures w14:val="none"/>
        </w:rPr>
        <w:t xml:space="preserve"> &lt; 0.001, respectively). Additionally, they were predictors for </w:t>
      </w:r>
      <w:r w:rsidR="00E35118" w:rsidRPr="00D323AE">
        <w:rPr>
          <w:rFonts w:asciiTheme="majorBidi" w:hAnsiTheme="majorBidi" w:cstheme="majorBidi"/>
          <w:color w:val="000000"/>
          <w:kern w:val="0"/>
          <w:sz w:val="24"/>
          <w:szCs w:val="24"/>
          <w:lang w:val="en-US"/>
          <w14:ligatures w14:val="none"/>
        </w:rPr>
        <w:t xml:space="preserve">hepatic </w:t>
      </w:r>
      <w:r w:rsidRPr="00D323AE">
        <w:rPr>
          <w:rFonts w:asciiTheme="majorBidi" w:hAnsiTheme="majorBidi" w:cstheme="majorBidi"/>
          <w:color w:val="000000"/>
          <w:kern w:val="0"/>
          <w:sz w:val="24"/>
          <w:szCs w:val="24"/>
          <w:lang w:val="en-US"/>
          <w14:ligatures w14:val="none"/>
        </w:rPr>
        <w:t>steatosis (</w:t>
      </w:r>
      <w:r w:rsidRPr="00D323AE">
        <w:rPr>
          <w:rFonts w:asciiTheme="majorBidi" w:hAnsiTheme="majorBidi" w:cstheme="majorBidi"/>
          <w:i/>
          <w:iCs/>
          <w:color w:val="000000"/>
          <w:kern w:val="0"/>
          <w:sz w:val="24"/>
          <w:szCs w:val="24"/>
          <w:lang w:val="en-US"/>
          <w14:ligatures w14:val="none"/>
        </w:rPr>
        <w:t>p</w:t>
      </w:r>
      <w:r w:rsidRPr="00D323AE">
        <w:rPr>
          <w:rFonts w:asciiTheme="majorBidi" w:hAnsiTheme="majorBidi" w:cstheme="majorBidi"/>
          <w:color w:val="000000"/>
          <w:kern w:val="0"/>
          <w:sz w:val="24"/>
          <w:szCs w:val="24"/>
          <w14:ligatures w14:val="none"/>
        </w:rPr>
        <w:t xml:space="preserve"> = 0.033 and </w:t>
      </w:r>
      <w:r w:rsidRPr="00D323AE">
        <w:rPr>
          <w:rFonts w:asciiTheme="majorBidi" w:hAnsiTheme="majorBidi" w:cstheme="majorBidi"/>
          <w:i/>
          <w:iCs/>
          <w:color w:val="000000"/>
          <w:kern w:val="0"/>
          <w:sz w:val="24"/>
          <w:szCs w:val="24"/>
          <w:lang w:val="en-US"/>
          <w14:ligatures w14:val="none"/>
        </w:rPr>
        <w:t>p</w:t>
      </w:r>
      <w:r w:rsidRPr="00D323AE">
        <w:rPr>
          <w:rFonts w:asciiTheme="majorBidi" w:hAnsiTheme="majorBidi" w:cstheme="majorBidi"/>
          <w:color w:val="000000"/>
          <w:kern w:val="0"/>
          <w:sz w:val="24"/>
          <w:szCs w:val="24"/>
          <w:lang w:val="en-US"/>
          <w14:ligatures w14:val="none"/>
        </w:rPr>
        <w:t xml:space="preserve"> &lt; 0.001, respectively, Supp. </w:t>
      </w:r>
      <w:r w:rsidR="000833EE">
        <w:rPr>
          <w:rFonts w:asciiTheme="majorBidi" w:hAnsiTheme="majorBidi" w:cstheme="majorBidi"/>
          <w:color w:val="000000"/>
          <w:kern w:val="0"/>
          <w:sz w:val="24"/>
          <w:szCs w:val="24"/>
          <w:lang w:val="en-US"/>
          <w14:ligatures w14:val="none"/>
        </w:rPr>
        <w:t>T</w:t>
      </w:r>
      <w:r w:rsidR="00D55EF2" w:rsidRPr="00D323AE">
        <w:rPr>
          <w:rFonts w:asciiTheme="majorBidi" w:hAnsiTheme="majorBidi" w:cstheme="majorBidi"/>
          <w:color w:val="000000"/>
          <w:kern w:val="0"/>
          <w:sz w:val="24"/>
          <w:szCs w:val="24"/>
          <w:lang w:val="en-US"/>
          <w14:ligatures w14:val="none"/>
        </w:rPr>
        <w:t xml:space="preserve">able </w:t>
      </w:r>
      <w:r w:rsidRPr="00D323AE">
        <w:rPr>
          <w:rFonts w:asciiTheme="majorBidi" w:hAnsiTheme="majorBidi" w:cstheme="majorBidi"/>
          <w:color w:val="000000"/>
          <w:kern w:val="0"/>
          <w:sz w:val="24"/>
          <w:szCs w:val="24"/>
          <w:lang w:val="en-US"/>
          <w14:ligatures w14:val="none"/>
        </w:rPr>
        <w:t xml:space="preserve">4). </w:t>
      </w:r>
      <w:r w:rsidR="000744C9" w:rsidRPr="00D323AE">
        <w:rPr>
          <w:rFonts w:asciiTheme="majorBidi" w:hAnsiTheme="majorBidi" w:cstheme="majorBidi"/>
          <w:color w:val="000000"/>
          <w:kern w:val="0"/>
          <w:sz w:val="24"/>
          <w:szCs w:val="24"/>
          <w:lang w:val="en-US"/>
          <w14:ligatures w14:val="none"/>
        </w:rPr>
        <w:t xml:space="preserve">Table 6 shows that </w:t>
      </w:r>
      <w:r w:rsidR="00840FC0" w:rsidRPr="00D323AE">
        <w:rPr>
          <w:rFonts w:asciiTheme="majorBidi" w:hAnsiTheme="majorBidi" w:cstheme="majorBidi"/>
          <w:color w:val="000000"/>
          <w:kern w:val="0"/>
          <w:sz w:val="24"/>
          <w:szCs w:val="24"/>
          <w:lang w:val="en-US"/>
          <w14:ligatures w14:val="none"/>
        </w:rPr>
        <w:t xml:space="preserve">hepatic fibrosis </w:t>
      </w:r>
      <w:r w:rsidR="00E96C35" w:rsidRPr="00D323AE">
        <w:rPr>
          <w:rFonts w:asciiTheme="majorBidi" w:hAnsiTheme="majorBidi" w:cstheme="majorBidi"/>
          <w:color w:val="000000"/>
          <w:kern w:val="0"/>
          <w:sz w:val="24"/>
          <w:szCs w:val="24"/>
          <w:lang w:val="en-US"/>
          <w14:ligatures w14:val="none"/>
        </w:rPr>
        <w:t xml:space="preserve">correlated positively with </w:t>
      </w:r>
      <w:r w:rsidR="000744C9" w:rsidRPr="00D323AE">
        <w:rPr>
          <w:rFonts w:asciiTheme="majorBidi" w:hAnsiTheme="majorBidi" w:cstheme="majorBidi"/>
          <w:color w:val="000000"/>
          <w:kern w:val="0"/>
          <w:sz w:val="24"/>
          <w:szCs w:val="24"/>
          <w:lang w:val="en-US"/>
          <w14:ligatures w14:val="none"/>
        </w:rPr>
        <w:t xml:space="preserve">PNPLA3 gene polymorphism, BMI, and total cholesterol </w:t>
      </w:r>
      <w:r w:rsidR="00E96C35" w:rsidRPr="00D323AE">
        <w:rPr>
          <w:rFonts w:asciiTheme="majorBidi" w:hAnsiTheme="majorBidi" w:cstheme="majorBidi"/>
          <w:color w:val="000000"/>
          <w:kern w:val="0"/>
          <w:sz w:val="24"/>
          <w:szCs w:val="24"/>
          <w:lang w:val="en-US"/>
          <w14:ligatures w14:val="none"/>
        </w:rPr>
        <w:t>(</w:t>
      </w:r>
      <w:r w:rsidR="00E96C35" w:rsidRPr="00D323AE">
        <w:rPr>
          <w:rFonts w:asciiTheme="majorBidi" w:hAnsiTheme="majorBidi" w:cstheme="majorBidi"/>
          <w:i/>
          <w:iCs/>
          <w:color w:val="000000"/>
          <w:kern w:val="0"/>
          <w:sz w:val="24"/>
          <w:szCs w:val="24"/>
          <w:lang w:val="en-US"/>
          <w14:ligatures w14:val="none"/>
        </w:rPr>
        <w:t>p</w:t>
      </w:r>
      <w:r w:rsidR="00E96C35" w:rsidRPr="00D323AE">
        <w:rPr>
          <w:rFonts w:asciiTheme="majorBidi" w:hAnsiTheme="majorBidi" w:cstheme="majorBidi"/>
          <w:color w:val="000000"/>
          <w:kern w:val="0"/>
          <w:sz w:val="24"/>
          <w:szCs w:val="24"/>
          <w:lang w:val="en-US"/>
          <w14:ligatures w14:val="none"/>
        </w:rPr>
        <w:t xml:space="preserve"> &lt; 0.001</w:t>
      </w:r>
      <w:r w:rsidR="00E96C35" w:rsidRPr="00D323AE">
        <w:rPr>
          <w:rFonts w:asciiTheme="majorBidi" w:hAnsiTheme="majorBidi" w:cstheme="majorBidi"/>
          <w:color w:val="000000"/>
          <w:kern w:val="0"/>
          <w:sz w:val="24"/>
          <w:szCs w:val="24"/>
          <w14:ligatures w14:val="none"/>
        </w:rPr>
        <w:t xml:space="preserve">, </w:t>
      </w:r>
      <w:r w:rsidR="00E96C35" w:rsidRPr="00D323AE">
        <w:rPr>
          <w:rFonts w:asciiTheme="majorBidi" w:hAnsiTheme="majorBidi" w:cstheme="majorBidi"/>
          <w:i/>
          <w:iCs/>
          <w:color w:val="000000"/>
          <w:kern w:val="0"/>
          <w:sz w:val="24"/>
          <w:szCs w:val="24"/>
          <w:lang w:val="en-US"/>
          <w14:ligatures w14:val="none"/>
        </w:rPr>
        <w:t>p</w:t>
      </w:r>
      <w:r w:rsidR="00E96C35" w:rsidRPr="00D323AE">
        <w:rPr>
          <w:rFonts w:asciiTheme="majorBidi" w:hAnsiTheme="majorBidi" w:cstheme="majorBidi"/>
          <w:color w:val="000000"/>
          <w:kern w:val="0"/>
          <w:sz w:val="24"/>
          <w:szCs w:val="24"/>
          <w:lang w:val="en-US"/>
          <w14:ligatures w14:val="none"/>
        </w:rPr>
        <w:t xml:space="preserve"> &lt; 0.001, </w:t>
      </w:r>
      <w:r w:rsidR="00E96C35" w:rsidRPr="00D323AE">
        <w:rPr>
          <w:rFonts w:asciiTheme="majorBidi" w:hAnsiTheme="majorBidi" w:cstheme="majorBidi"/>
          <w:color w:val="000000"/>
          <w:kern w:val="0"/>
          <w:sz w:val="24"/>
          <w:szCs w:val="24"/>
          <w14:ligatures w14:val="none"/>
        </w:rPr>
        <w:t xml:space="preserve">and </w:t>
      </w:r>
      <w:r w:rsidR="00E96C35" w:rsidRPr="00D323AE">
        <w:rPr>
          <w:rFonts w:asciiTheme="majorBidi" w:hAnsiTheme="majorBidi" w:cstheme="majorBidi"/>
          <w:i/>
          <w:iCs/>
          <w:color w:val="000000"/>
          <w:kern w:val="0"/>
          <w:sz w:val="24"/>
          <w:szCs w:val="24"/>
          <w:lang w:val="en-US"/>
          <w14:ligatures w14:val="none"/>
        </w:rPr>
        <w:t>p</w:t>
      </w:r>
      <w:r w:rsidR="00E96C35" w:rsidRPr="00D323AE">
        <w:rPr>
          <w:rFonts w:asciiTheme="majorBidi" w:hAnsiTheme="majorBidi" w:cstheme="majorBidi"/>
          <w:color w:val="000000"/>
          <w:kern w:val="0"/>
          <w:sz w:val="24"/>
          <w:szCs w:val="24"/>
          <w:lang w:val="en-US"/>
          <w14:ligatures w14:val="none"/>
        </w:rPr>
        <w:t xml:space="preserve"> </w:t>
      </w:r>
      <w:r w:rsidR="00CD7C29" w:rsidRPr="00D323AE">
        <w:rPr>
          <w:rFonts w:asciiTheme="majorBidi" w:hAnsiTheme="majorBidi" w:cstheme="majorBidi"/>
          <w:color w:val="000000"/>
          <w:kern w:val="0"/>
          <w:sz w:val="24"/>
          <w:szCs w:val="24"/>
          <w14:ligatures w14:val="none"/>
        </w:rPr>
        <w:t>= 0.049</w:t>
      </w:r>
      <w:r w:rsidR="00E96C35" w:rsidRPr="00D323AE">
        <w:rPr>
          <w:rFonts w:asciiTheme="majorBidi" w:hAnsiTheme="majorBidi" w:cstheme="majorBidi"/>
          <w:color w:val="000000"/>
          <w:kern w:val="0"/>
          <w:sz w:val="24"/>
          <w:szCs w:val="24"/>
          <w:lang w:val="en-US"/>
          <w14:ligatures w14:val="none"/>
        </w:rPr>
        <w:t>, respectively)</w:t>
      </w:r>
      <w:r w:rsidR="00CD7C29" w:rsidRPr="00D323AE">
        <w:rPr>
          <w:rFonts w:asciiTheme="majorBidi" w:hAnsiTheme="majorBidi" w:cstheme="majorBidi"/>
          <w:color w:val="000000"/>
          <w:kern w:val="0"/>
          <w:sz w:val="24"/>
          <w:szCs w:val="24"/>
          <w:lang w:val="en-US"/>
          <w14:ligatures w14:val="none"/>
        </w:rPr>
        <w:t xml:space="preserve">. </w:t>
      </w:r>
      <w:r w:rsidR="00B6084B" w:rsidRPr="00D323AE">
        <w:rPr>
          <w:rFonts w:asciiTheme="majorBidi" w:hAnsiTheme="majorBidi" w:cstheme="majorBidi"/>
          <w:color w:val="000000"/>
          <w:kern w:val="0"/>
          <w:sz w:val="24"/>
          <w:szCs w:val="24"/>
          <w:lang w:val="en-US"/>
          <w14:ligatures w14:val="none"/>
        </w:rPr>
        <w:t>However,</w:t>
      </w:r>
      <w:r w:rsidR="00CD7C29" w:rsidRPr="00D323AE">
        <w:rPr>
          <w:rFonts w:asciiTheme="majorBidi" w:hAnsiTheme="majorBidi" w:cstheme="majorBidi"/>
          <w:color w:val="000000"/>
          <w:kern w:val="0"/>
          <w:sz w:val="24"/>
          <w:szCs w:val="24"/>
          <w:lang w:val="en-US"/>
          <w14:ligatures w14:val="none"/>
        </w:rPr>
        <w:t xml:space="preserve"> </w:t>
      </w:r>
      <w:r w:rsidR="00B6084B" w:rsidRPr="00D323AE">
        <w:rPr>
          <w:rFonts w:asciiTheme="majorBidi" w:hAnsiTheme="majorBidi" w:cstheme="majorBidi"/>
          <w:color w:val="000000"/>
          <w:kern w:val="0"/>
          <w:sz w:val="24"/>
          <w:szCs w:val="24"/>
          <w:lang w:val="en-US"/>
          <w14:ligatures w14:val="none"/>
        </w:rPr>
        <w:t>PNPLA3 gene polymorphism was the only predictor for hepatic fibrosis (</w:t>
      </w:r>
      <w:r w:rsidR="00D55EF2" w:rsidRPr="00D323AE">
        <w:rPr>
          <w:rFonts w:asciiTheme="majorBidi" w:hAnsiTheme="majorBidi" w:cstheme="majorBidi"/>
          <w:i/>
          <w:iCs/>
          <w:color w:val="000000"/>
          <w:kern w:val="0"/>
          <w:sz w:val="24"/>
          <w:szCs w:val="24"/>
          <w:lang w:val="en-US"/>
          <w14:ligatures w14:val="none"/>
        </w:rPr>
        <w:t>p</w:t>
      </w:r>
      <w:r w:rsidR="00D55EF2" w:rsidRPr="00D323AE">
        <w:rPr>
          <w:rFonts w:asciiTheme="majorBidi" w:hAnsiTheme="majorBidi" w:cstheme="majorBidi"/>
          <w:color w:val="000000"/>
          <w:kern w:val="0"/>
          <w:sz w:val="24"/>
          <w:szCs w:val="24"/>
          <w:lang w:val="en-US"/>
          <w14:ligatures w14:val="none"/>
        </w:rPr>
        <w:t xml:space="preserve"> &lt; 0.001, Supp. </w:t>
      </w:r>
      <w:r w:rsidR="000833EE">
        <w:rPr>
          <w:rFonts w:asciiTheme="majorBidi" w:hAnsiTheme="majorBidi" w:cstheme="majorBidi"/>
          <w:color w:val="000000"/>
          <w:kern w:val="0"/>
          <w:sz w:val="24"/>
          <w:szCs w:val="24"/>
          <w:lang w:val="en-US"/>
          <w14:ligatures w14:val="none"/>
        </w:rPr>
        <w:t>T</w:t>
      </w:r>
      <w:r w:rsidR="00D55EF2" w:rsidRPr="00D323AE">
        <w:rPr>
          <w:rFonts w:asciiTheme="majorBidi" w:hAnsiTheme="majorBidi" w:cstheme="majorBidi"/>
          <w:color w:val="000000"/>
          <w:kern w:val="0"/>
          <w:sz w:val="24"/>
          <w:szCs w:val="24"/>
          <w:lang w:val="en-US"/>
          <w14:ligatures w14:val="none"/>
        </w:rPr>
        <w:t>able 5</w:t>
      </w:r>
      <w:r w:rsidR="00B6084B" w:rsidRPr="00D323AE">
        <w:rPr>
          <w:rFonts w:asciiTheme="majorBidi" w:hAnsiTheme="majorBidi" w:cstheme="majorBidi"/>
          <w:color w:val="000000"/>
          <w:kern w:val="0"/>
          <w:sz w:val="24"/>
          <w:szCs w:val="24"/>
          <w:lang w:val="en-US"/>
          <w14:ligatures w14:val="none"/>
        </w:rPr>
        <w:t>)</w:t>
      </w:r>
      <w:r w:rsidR="00D55EF2" w:rsidRPr="00D323AE">
        <w:rPr>
          <w:rFonts w:asciiTheme="majorBidi" w:hAnsiTheme="majorBidi" w:cstheme="majorBidi"/>
          <w:color w:val="000000"/>
          <w:kern w:val="0"/>
          <w:sz w:val="24"/>
          <w:szCs w:val="24"/>
          <w:lang w:val="en-US"/>
          <w14:ligatures w14:val="none"/>
        </w:rPr>
        <w:t>.</w:t>
      </w:r>
    </w:p>
    <w:p w14:paraId="314E8116" w14:textId="77777777" w:rsidR="00C138B9" w:rsidRDefault="00C138B9" w:rsidP="00C138B9">
      <w:pPr>
        <w:pStyle w:val="Caption"/>
        <w:keepNext/>
        <w:bidi w:val="0"/>
      </w:pPr>
    </w:p>
    <w:p w14:paraId="074B89D9" w14:textId="3A7096ED" w:rsidR="00C138B9" w:rsidRPr="00C138B9" w:rsidRDefault="00C836BB" w:rsidP="00C138B9">
      <w:pPr>
        <w:pStyle w:val="Caption"/>
        <w:keepNext/>
        <w:bidi w:val="0"/>
      </w:pPr>
      <w:r>
        <w:t xml:space="preserve">Tab </w:t>
      </w:r>
      <w:r>
        <w:fldChar w:fldCharType="begin"/>
      </w:r>
      <w:r>
        <w:instrText xml:space="preserve"> SEQ Table \* ARABIC </w:instrText>
      </w:r>
      <w:r>
        <w:fldChar w:fldCharType="separate"/>
      </w:r>
      <w:r w:rsidR="00504F32">
        <w:rPr>
          <w:noProof/>
        </w:rPr>
        <w:t>5</w:t>
      </w:r>
      <w:r>
        <w:fldChar w:fldCharType="end"/>
      </w:r>
      <w:r w:rsidR="00C138B9">
        <w:t xml:space="preserve">. </w:t>
      </w:r>
      <w:r w:rsidR="00C138B9" w:rsidRPr="00C138B9">
        <w:t xml:space="preserve">Correlations between hepatic steatosis and other studied parameters  </w:t>
      </w:r>
    </w:p>
    <w:p w14:paraId="10A18995" w14:textId="77F40BD7" w:rsidR="00C836BB" w:rsidRDefault="00C836BB" w:rsidP="00C836BB">
      <w:pPr>
        <w:pStyle w:val="Caption"/>
        <w:keepNext/>
        <w:bidi w:val="0"/>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5 Correlations between hepatic steatosis and other studied parameters  "/>
      </w:tblPr>
      <w:tblGrid>
        <w:gridCol w:w="8673"/>
        <w:gridCol w:w="2331"/>
        <w:gridCol w:w="2954"/>
      </w:tblGrid>
      <w:tr w:rsidR="00981C8B" w:rsidRPr="00D323AE" w14:paraId="5F7225AA" w14:textId="77777777" w:rsidTr="00C836BB">
        <w:trPr>
          <w:trHeight w:val="20"/>
        </w:trPr>
        <w:tc>
          <w:tcPr>
            <w:tcW w:w="3107" w:type="pct"/>
            <w:vMerge w:val="restart"/>
            <w:tcBorders>
              <w:top w:val="single" w:sz="2" w:space="0" w:color="auto"/>
            </w:tcBorders>
            <w:noWrap/>
            <w:hideMark/>
          </w:tcPr>
          <w:p w14:paraId="781C36CD" w14:textId="77777777" w:rsidR="00981C8B" w:rsidRPr="00D323AE" w:rsidRDefault="00981C8B" w:rsidP="00937ADF">
            <w:pPr>
              <w:spacing w:line="240" w:lineRule="auto"/>
              <w:jc w:val="both"/>
              <w:rPr>
                <w:rFonts w:asciiTheme="majorBidi" w:hAnsiTheme="majorBidi" w:cstheme="majorBidi"/>
                <w:b/>
                <w:bCs/>
                <w:color w:val="000000"/>
                <w:kern w:val="0"/>
                <w:sz w:val="24"/>
                <w:szCs w:val="24"/>
                <w14:ligatures w14:val="none"/>
              </w:rPr>
            </w:pPr>
            <w:r w:rsidRPr="00D323AE">
              <w:rPr>
                <w:rFonts w:asciiTheme="majorBidi" w:hAnsiTheme="majorBidi" w:cstheme="majorBidi"/>
                <w:b/>
                <w:bCs/>
                <w:color w:val="000000"/>
                <w:kern w:val="0"/>
                <w:sz w:val="24"/>
                <w:szCs w:val="24"/>
                <w14:ligatures w14:val="none"/>
              </w:rPr>
              <w:t> </w:t>
            </w:r>
          </w:p>
        </w:tc>
        <w:tc>
          <w:tcPr>
            <w:tcW w:w="1893" w:type="pct"/>
            <w:gridSpan w:val="2"/>
            <w:tcBorders>
              <w:top w:val="single" w:sz="2" w:space="0" w:color="auto"/>
            </w:tcBorders>
            <w:noWrap/>
            <w:hideMark/>
          </w:tcPr>
          <w:p w14:paraId="6D6F3C88" w14:textId="6BF04297" w:rsidR="00981C8B" w:rsidRPr="00D323AE" w:rsidRDefault="001556F0" w:rsidP="00937ADF">
            <w:pPr>
              <w:spacing w:line="240" w:lineRule="auto"/>
              <w:jc w:val="both"/>
              <w:rPr>
                <w:rFonts w:asciiTheme="majorBidi" w:hAnsiTheme="majorBidi" w:cstheme="majorBidi"/>
                <w:b/>
                <w:bCs/>
                <w:color w:val="000000"/>
                <w:kern w:val="0"/>
                <w:sz w:val="24"/>
                <w:szCs w:val="24"/>
                <w14:ligatures w14:val="none"/>
              </w:rPr>
            </w:pPr>
            <w:r w:rsidRPr="00D323AE">
              <w:rPr>
                <w:rFonts w:asciiTheme="majorBidi" w:hAnsiTheme="majorBidi" w:cstheme="majorBidi"/>
                <w:b/>
                <w:bCs/>
                <w:color w:val="000000"/>
                <w:kern w:val="0"/>
                <w:sz w:val="24"/>
                <w:szCs w:val="24"/>
                <w14:ligatures w14:val="none"/>
              </w:rPr>
              <w:t>Hepatic s</w:t>
            </w:r>
            <w:r w:rsidR="00981C8B" w:rsidRPr="00D323AE">
              <w:rPr>
                <w:rFonts w:asciiTheme="majorBidi" w:hAnsiTheme="majorBidi" w:cstheme="majorBidi"/>
                <w:b/>
                <w:bCs/>
                <w:color w:val="000000"/>
                <w:kern w:val="0"/>
                <w:sz w:val="24"/>
                <w:szCs w:val="24"/>
                <w14:ligatures w14:val="none"/>
              </w:rPr>
              <w:t xml:space="preserve">teatosis </w:t>
            </w:r>
          </w:p>
        </w:tc>
      </w:tr>
      <w:tr w:rsidR="00981C8B" w:rsidRPr="00D323AE" w14:paraId="63187238" w14:textId="77777777" w:rsidTr="00C836BB">
        <w:trPr>
          <w:trHeight w:val="20"/>
        </w:trPr>
        <w:tc>
          <w:tcPr>
            <w:tcW w:w="3107" w:type="pct"/>
            <w:vMerge/>
            <w:tcBorders>
              <w:bottom w:val="single" w:sz="2" w:space="0" w:color="auto"/>
            </w:tcBorders>
            <w:hideMark/>
          </w:tcPr>
          <w:p w14:paraId="391BD921" w14:textId="77777777" w:rsidR="00981C8B" w:rsidRPr="00D323AE" w:rsidRDefault="00981C8B" w:rsidP="00937ADF">
            <w:pPr>
              <w:spacing w:line="240" w:lineRule="auto"/>
              <w:jc w:val="both"/>
              <w:rPr>
                <w:rFonts w:asciiTheme="majorBidi" w:hAnsiTheme="majorBidi" w:cstheme="majorBidi"/>
                <w:b/>
                <w:bCs/>
                <w:color w:val="000000"/>
                <w:kern w:val="0"/>
                <w:sz w:val="24"/>
                <w:szCs w:val="24"/>
                <w14:ligatures w14:val="none"/>
              </w:rPr>
            </w:pPr>
          </w:p>
        </w:tc>
        <w:tc>
          <w:tcPr>
            <w:tcW w:w="835" w:type="pct"/>
            <w:tcBorders>
              <w:bottom w:val="single" w:sz="2" w:space="0" w:color="auto"/>
            </w:tcBorders>
            <w:noWrap/>
            <w:hideMark/>
          </w:tcPr>
          <w:p w14:paraId="7C658FD1" w14:textId="77777777" w:rsidR="00981C8B" w:rsidRPr="00D323AE" w:rsidRDefault="00981C8B" w:rsidP="00937ADF">
            <w:pPr>
              <w:spacing w:line="240" w:lineRule="auto"/>
              <w:jc w:val="both"/>
              <w:rPr>
                <w:rFonts w:asciiTheme="majorBidi" w:hAnsiTheme="majorBidi" w:cstheme="majorBidi"/>
                <w:b/>
                <w:bCs/>
                <w:color w:val="000000"/>
                <w:kern w:val="0"/>
                <w:sz w:val="24"/>
                <w:szCs w:val="24"/>
                <w14:ligatures w14:val="none"/>
              </w:rPr>
            </w:pPr>
            <w:r w:rsidRPr="00D323AE">
              <w:rPr>
                <w:rFonts w:asciiTheme="majorBidi" w:hAnsiTheme="majorBidi" w:cstheme="majorBidi"/>
                <w:b/>
                <w:bCs/>
                <w:color w:val="000000"/>
                <w:kern w:val="0"/>
                <w:sz w:val="24"/>
                <w:szCs w:val="24"/>
                <w14:ligatures w14:val="none"/>
              </w:rPr>
              <w:t>r</w:t>
            </w:r>
          </w:p>
        </w:tc>
        <w:tc>
          <w:tcPr>
            <w:tcW w:w="1058" w:type="pct"/>
            <w:tcBorders>
              <w:bottom w:val="single" w:sz="2" w:space="0" w:color="auto"/>
            </w:tcBorders>
            <w:noWrap/>
            <w:hideMark/>
          </w:tcPr>
          <w:p w14:paraId="5F4B340B" w14:textId="02D6EDDB" w:rsidR="00981C8B" w:rsidRPr="00D323AE" w:rsidRDefault="00981C8B" w:rsidP="00937ADF">
            <w:pPr>
              <w:spacing w:line="240" w:lineRule="auto"/>
              <w:jc w:val="both"/>
              <w:rPr>
                <w:rFonts w:asciiTheme="majorBidi" w:hAnsiTheme="majorBidi" w:cstheme="majorBidi"/>
                <w:b/>
                <w:bCs/>
                <w:color w:val="000000"/>
                <w:kern w:val="0"/>
                <w:sz w:val="24"/>
                <w:szCs w:val="24"/>
                <w14:ligatures w14:val="none"/>
              </w:rPr>
            </w:pPr>
            <w:r w:rsidRPr="00D323AE">
              <w:rPr>
                <w:rFonts w:asciiTheme="majorBidi" w:hAnsiTheme="majorBidi" w:cstheme="majorBidi"/>
                <w:b/>
                <w:bCs/>
                <w:i/>
                <w:iCs/>
                <w:color w:val="000000"/>
                <w:kern w:val="0"/>
                <w:sz w:val="24"/>
                <w:szCs w:val="24"/>
                <w14:ligatures w14:val="none"/>
              </w:rPr>
              <w:t>P</w:t>
            </w:r>
            <w:r w:rsidR="00937F04" w:rsidRPr="00D323AE">
              <w:rPr>
                <w:rFonts w:asciiTheme="majorBidi" w:hAnsiTheme="majorBidi" w:cstheme="majorBidi"/>
                <w:b/>
                <w:bCs/>
                <w:color w:val="000000"/>
                <w:kern w:val="0"/>
                <w:sz w:val="24"/>
                <w:szCs w:val="24"/>
                <w14:ligatures w14:val="none"/>
              </w:rPr>
              <w:t xml:space="preserve"> </w:t>
            </w:r>
            <w:r w:rsidRPr="00D323AE">
              <w:rPr>
                <w:rFonts w:asciiTheme="majorBidi" w:hAnsiTheme="majorBidi" w:cstheme="majorBidi"/>
                <w:b/>
                <w:bCs/>
                <w:color w:val="000000"/>
                <w:kern w:val="0"/>
                <w:sz w:val="24"/>
                <w:szCs w:val="24"/>
                <w14:ligatures w14:val="none"/>
              </w:rPr>
              <w:t>value</w:t>
            </w:r>
          </w:p>
        </w:tc>
      </w:tr>
      <w:tr w:rsidR="00981C8B" w:rsidRPr="00D323AE" w14:paraId="45CA7142" w14:textId="77777777" w:rsidTr="00C836BB">
        <w:trPr>
          <w:trHeight w:val="20"/>
        </w:trPr>
        <w:tc>
          <w:tcPr>
            <w:tcW w:w="3107" w:type="pct"/>
            <w:tcBorders>
              <w:top w:val="single" w:sz="2" w:space="0" w:color="auto"/>
            </w:tcBorders>
            <w:noWrap/>
            <w:hideMark/>
          </w:tcPr>
          <w:p w14:paraId="3BE2C196" w14:textId="26C31761" w:rsidR="00981C8B" w:rsidRPr="00D323AE" w:rsidRDefault="00E97DA2"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Neutrophil to lymphocyte ratio</w:t>
            </w:r>
          </w:p>
        </w:tc>
        <w:tc>
          <w:tcPr>
            <w:tcW w:w="835" w:type="pct"/>
            <w:tcBorders>
              <w:top w:val="single" w:sz="2" w:space="0" w:color="auto"/>
            </w:tcBorders>
            <w:noWrap/>
            <w:hideMark/>
          </w:tcPr>
          <w:p w14:paraId="052958E9" w14:textId="77777777" w:rsidR="00981C8B" w:rsidRPr="00D323AE" w:rsidRDefault="00981C8B"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0.209</w:t>
            </w:r>
          </w:p>
        </w:tc>
        <w:tc>
          <w:tcPr>
            <w:tcW w:w="1058" w:type="pct"/>
            <w:tcBorders>
              <w:top w:val="single" w:sz="2" w:space="0" w:color="auto"/>
            </w:tcBorders>
            <w:noWrap/>
            <w:hideMark/>
          </w:tcPr>
          <w:p w14:paraId="1E4485B7" w14:textId="77777777" w:rsidR="00981C8B" w:rsidRPr="00D323AE" w:rsidRDefault="00981C8B"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0.377</w:t>
            </w:r>
          </w:p>
        </w:tc>
      </w:tr>
      <w:tr w:rsidR="00981C8B" w:rsidRPr="00D323AE" w14:paraId="39B08E32" w14:textId="77777777" w:rsidTr="00C836BB">
        <w:trPr>
          <w:trHeight w:val="20"/>
        </w:trPr>
        <w:tc>
          <w:tcPr>
            <w:tcW w:w="3107" w:type="pct"/>
            <w:noWrap/>
            <w:hideMark/>
          </w:tcPr>
          <w:p w14:paraId="0267B82A" w14:textId="57C9944C" w:rsidR="00981C8B" w:rsidRPr="00D323AE" w:rsidRDefault="00F54B27" w:rsidP="00F54B27">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lang w:val="en-GB"/>
                <w14:ligatures w14:val="none"/>
              </w:rPr>
              <w:t>Mean platelet volume</w:t>
            </w:r>
          </w:p>
        </w:tc>
        <w:tc>
          <w:tcPr>
            <w:tcW w:w="835" w:type="pct"/>
            <w:noWrap/>
            <w:hideMark/>
          </w:tcPr>
          <w:p w14:paraId="6010C5CC" w14:textId="77777777" w:rsidR="00981C8B" w:rsidRPr="00D323AE" w:rsidRDefault="00981C8B"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0.168</w:t>
            </w:r>
          </w:p>
        </w:tc>
        <w:tc>
          <w:tcPr>
            <w:tcW w:w="1058" w:type="pct"/>
            <w:noWrap/>
            <w:hideMark/>
          </w:tcPr>
          <w:p w14:paraId="7E811932" w14:textId="77777777" w:rsidR="00981C8B" w:rsidRPr="00D323AE" w:rsidRDefault="00981C8B"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0.479</w:t>
            </w:r>
          </w:p>
        </w:tc>
      </w:tr>
      <w:tr w:rsidR="00981C8B" w:rsidRPr="00D323AE" w14:paraId="6CC60462" w14:textId="77777777" w:rsidTr="00C836BB">
        <w:trPr>
          <w:trHeight w:val="20"/>
        </w:trPr>
        <w:tc>
          <w:tcPr>
            <w:tcW w:w="3107" w:type="pct"/>
            <w:noWrap/>
            <w:hideMark/>
          </w:tcPr>
          <w:p w14:paraId="454BF7E5" w14:textId="4C465D66" w:rsidR="00981C8B" w:rsidRPr="00D323AE" w:rsidRDefault="00981C8B"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Total cholesterol</w:t>
            </w:r>
          </w:p>
        </w:tc>
        <w:tc>
          <w:tcPr>
            <w:tcW w:w="835" w:type="pct"/>
            <w:noWrap/>
            <w:hideMark/>
          </w:tcPr>
          <w:p w14:paraId="0E71DCF8" w14:textId="77777777" w:rsidR="00981C8B" w:rsidRPr="00D323AE" w:rsidRDefault="00981C8B"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0.436</w:t>
            </w:r>
          </w:p>
        </w:tc>
        <w:tc>
          <w:tcPr>
            <w:tcW w:w="1058" w:type="pct"/>
            <w:noWrap/>
            <w:hideMark/>
          </w:tcPr>
          <w:p w14:paraId="4136C23A" w14:textId="77777777" w:rsidR="00981C8B" w:rsidRPr="00D323AE" w:rsidRDefault="00981C8B"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0.055</w:t>
            </w:r>
          </w:p>
        </w:tc>
      </w:tr>
      <w:tr w:rsidR="00981C8B" w:rsidRPr="00D323AE" w14:paraId="4378963A" w14:textId="77777777" w:rsidTr="00C836BB">
        <w:trPr>
          <w:trHeight w:val="20"/>
        </w:trPr>
        <w:tc>
          <w:tcPr>
            <w:tcW w:w="3107" w:type="pct"/>
            <w:noWrap/>
            <w:hideMark/>
          </w:tcPr>
          <w:p w14:paraId="03A3113A" w14:textId="73CE03F3" w:rsidR="00981C8B" w:rsidRPr="00D323AE" w:rsidRDefault="00981C8B"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 xml:space="preserve">LDL-Cholesterol </w:t>
            </w:r>
          </w:p>
        </w:tc>
        <w:tc>
          <w:tcPr>
            <w:tcW w:w="835" w:type="pct"/>
            <w:noWrap/>
            <w:hideMark/>
          </w:tcPr>
          <w:p w14:paraId="21D887A8" w14:textId="77777777" w:rsidR="00981C8B" w:rsidRPr="00D323AE" w:rsidRDefault="00981C8B"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0.246</w:t>
            </w:r>
          </w:p>
        </w:tc>
        <w:tc>
          <w:tcPr>
            <w:tcW w:w="1058" w:type="pct"/>
            <w:noWrap/>
            <w:hideMark/>
          </w:tcPr>
          <w:p w14:paraId="0AD90A9B" w14:textId="77777777" w:rsidR="00981C8B" w:rsidRPr="00D323AE" w:rsidRDefault="00981C8B"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0.295</w:t>
            </w:r>
          </w:p>
        </w:tc>
      </w:tr>
      <w:tr w:rsidR="00981C8B" w:rsidRPr="00D323AE" w14:paraId="2743EA88" w14:textId="77777777" w:rsidTr="00C836BB">
        <w:trPr>
          <w:trHeight w:val="20"/>
        </w:trPr>
        <w:tc>
          <w:tcPr>
            <w:tcW w:w="3107" w:type="pct"/>
            <w:noWrap/>
            <w:hideMark/>
          </w:tcPr>
          <w:p w14:paraId="04281893" w14:textId="77777777" w:rsidR="00981C8B" w:rsidRPr="00D323AE" w:rsidRDefault="00981C8B"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Body mass index</w:t>
            </w:r>
          </w:p>
        </w:tc>
        <w:tc>
          <w:tcPr>
            <w:tcW w:w="835" w:type="pct"/>
            <w:noWrap/>
            <w:hideMark/>
          </w:tcPr>
          <w:p w14:paraId="1143694A" w14:textId="77777777" w:rsidR="00981C8B" w:rsidRPr="00D323AE" w:rsidRDefault="00981C8B"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0.863</w:t>
            </w:r>
          </w:p>
        </w:tc>
        <w:tc>
          <w:tcPr>
            <w:tcW w:w="1058" w:type="pct"/>
            <w:noWrap/>
            <w:hideMark/>
          </w:tcPr>
          <w:p w14:paraId="622B03F6" w14:textId="6945D0F6" w:rsidR="00981C8B" w:rsidRPr="00D323AE" w:rsidRDefault="00981C8B"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&lt;0.001</w:t>
            </w:r>
          </w:p>
        </w:tc>
      </w:tr>
      <w:tr w:rsidR="002A7B3A" w:rsidRPr="00D323AE" w14:paraId="07EA0ADB" w14:textId="77777777" w:rsidTr="009E313D">
        <w:trPr>
          <w:trHeight w:val="20"/>
        </w:trPr>
        <w:tc>
          <w:tcPr>
            <w:tcW w:w="3107" w:type="pct"/>
            <w:tcBorders>
              <w:bottom w:val="single" w:sz="4" w:space="0" w:color="auto"/>
            </w:tcBorders>
            <w:noWrap/>
          </w:tcPr>
          <w:p w14:paraId="2294D5C4" w14:textId="17714B5B" w:rsidR="002A7B3A" w:rsidRPr="00D323AE" w:rsidRDefault="002A7B3A"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 xml:space="preserve">PNPLA3 gene polymorphism </w:t>
            </w:r>
          </w:p>
        </w:tc>
        <w:tc>
          <w:tcPr>
            <w:tcW w:w="835" w:type="pct"/>
            <w:tcBorders>
              <w:bottom w:val="single" w:sz="4" w:space="0" w:color="auto"/>
            </w:tcBorders>
            <w:noWrap/>
          </w:tcPr>
          <w:p w14:paraId="42D974CE" w14:textId="63E42A62" w:rsidR="002A7B3A" w:rsidRPr="00D323AE" w:rsidRDefault="008F36AF"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0.391</w:t>
            </w:r>
          </w:p>
        </w:tc>
        <w:tc>
          <w:tcPr>
            <w:tcW w:w="1058" w:type="pct"/>
            <w:tcBorders>
              <w:bottom w:val="single" w:sz="4" w:space="0" w:color="auto"/>
            </w:tcBorders>
            <w:noWrap/>
          </w:tcPr>
          <w:p w14:paraId="2B62C9F2" w14:textId="09572392" w:rsidR="002A7B3A" w:rsidRPr="00D323AE" w:rsidRDefault="002A7B3A"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0.03</w:t>
            </w:r>
            <w:r w:rsidR="008F36AF" w:rsidRPr="00D323AE">
              <w:rPr>
                <w:rFonts w:asciiTheme="majorBidi" w:hAnsiTheme="majorBidi" w:cstheme="majorBidi"/>
                <w:color w:val="000000"/>
                <w:kern w:val="0"/>
                <w:sz w:val="24"/>
                <w:szCs w:val="24"/>
                <w14:ligatures w14:val="none"/>
              </w:rPr>
              <w:t>3</w:t>
            </w:r>
          </w:p>
        </w:tc>
      </w:tr>
    </w:tbl>
    <w:p w14:paraId="23394E50" w14:textId="77777777" w:rsidR="009E313D" w:rsidRDefault="009E313D" w:rsidP="0066492B">
      <w:pPr>
        <w:spacing w:before="240" w:after="0" w:line="240" w:lineRule="auto"/>
        <w:jc w:val="both"/>
        <w:rPr>
          <w:rFonts w:asciiTheme="majorBidi" w:hAnsiTheme="majorBidi" w:cstheme="majorBidi"/>
          <w:b/>
          <w:bCs/>
          <w:color w:val="000000"/>
          <w:kern w:val="0"/>
          <w:sz w:val="24"/>
          <w:szCs w:val="24"/>
          <w:lang w:val="en-US"/>
          <w14:ligatures w14:val="none"/>
        </w:rPr>
      </w:pPr>
      <w:bookmarkStart w:id="17" w:name="_Hlk180577471"/>
    </w:p>
    <w:bookmarkEnd w:id="17"/>
    <w:p w14:paraId="20EBDBD1" w14:textId="21476878" w:rsidR="009E313D" w:rsidRPr="009E313D" w:rsidRDefault="009E313D" w:rsidP="009E313D">
      <w:pPr>
        <w:pStyle w:val="Caption"/>
        <w:keepNext/>
        <w:bidi w:val="0"/>
      </w:pPr>
      <w:r>
        <w:t xml:space="preserve">Tab </w:t>
      </w:r>
      <w:r>
        <w:fldChar w:fldCharType="begin"/>
      </w:r>
      <w:r>
        <w:instrText xml:space="preserve"> SEQ Table \* ARABIC </w:instrText>
      </w:r>
      <w:r>
        <w:fldChar w:fldCharType="separate"/>
      </w:r>
      <w:r w:rsidR="00504F32">
        <w:rPr>
          <w:noProof/>
        </w:rPr>
        <w:t>6</w:t>
      </w:r>
      <w:r>
        <w:fldChar w:fldCharType="end"/>
      </w:r>
      <w:r>
        <w:t>.</w:t>
      </w:r>
      <w:r w:rsidRPr="009E313D">
        <w:t xml:space="preserve"> Correlations between hepatic fibrosis and other studied parameters  </w:t>
      </w:r>
    </w:p>
    <w:p w14:paraId="30D85789" w14:textId="135CA57D" w:rsidR="009E313D" w:rsidRDefault="009E313D" w:rsidP="009E313D">
      <w:pPr>
        <w:pStyle w:val="Caption"/>
        <w:keepNext/>
        <w:bidi w:val="0"/>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6 Correlations between hepatic fibrosis and other studied parameters  "/>
      </w:tblPr>
      <w:tblGrid>
        <w:gridCol w:w="8833"/>
        <w:gridCol w:w="2261"/>
        <w:gridCol w:w="2864"/>
      </w:tblGrid>
      <w:tr w:rsidR="00C74E91" w:rsidRPr="00D323AE" w14:paraId="5F6CBFA8" w14:textId="77777777" w:rsidTr="002E16FF">
        <w:trPr>
          <w:trHeight w:val="20"/>
        </w:trPr>
        <w:tc>
          <w:tcPr>
            <w:tcW w:w="3164" w:type="pct"/>
            <w:vMerge w:val="restart"/>
            <w:tcBorders>
              <w:top w:val="single" w:sz="4" w:space="0" w:color="auto"/>
            </w:tcBorders>
            <w:noWrap/>
            <w:hideMark/>
          </w:tcPr>
          <w:p w14:paraId="6FF267ED" w14:textId="77777777" w:rsidR="00C74E91" w:rsidRPr="00D323AE" w:rsidRDefault="00C74E91" w:rsidP="00937ADF">
            <w:pPr>
              <w:spacing w:line="240" w:lineRule="auto"/>
              <w:jc w:val="both"/>
              <w:rPr>
                <w:rFonts w:asciiTheme="majorBidi" w:hAnsiTheme="majorBidi" w:cstheme="majorBidi"/>
                <w:b/>
                <w:bCs/>
                <w:color w:val="000000"/>
                <w:kern w:val="0"/>
                <w:sz w:val="24"/>
                <w:szCs w:val="24"/>
                <w14:ligatures w14:val="none"/>
              </w:rPr>
            </w:pPr>
            <w:r w:rsidRPr="00D323AE">
              <w:rPr>
                <w:rFonts w:asciiTheme="majorBidi" w:hAnsiTheme="majorBidi" w:cstheme="majorBidi"/>
                <w:b/>
                <w:bCs/>
                <w:color w:val="000000"/>
                <w:kern w:val="0"/>
                <w:sz w:val="24"/>
                <w:szCs w:val="24"/>
                <w14:ligatures w14:val="none"/>
              </w:rPr>
              <w:t> </w:t>
            </w:r>
          </w:p>
        </w:tc>
        <w:tc>
          <w:tcPr>
            <w:tcW w:w="1836" w:type="pct"/>
            <w:gridSpan w:val="2"/>
            <w:tcBorders>
              <w:top w:val="single" w:sz="4" w:space="0" w:color="auto"/>
            </w:tcBorders>
            <w:noWrap/>
            <w:hideMark/>
          </w:tcPr>
          <w:p w14:paraId="4189D2E7" w14:textId="75F78ED4" w:rsidR="00C74E91" w:rsidRPr="00D323AE" w:rsidRDefault="009356C2" w:rsidP="00937ADF">
            <w:pPr>
              <w:spacing w:line="240" w:lineRule="auto"/>
              <w:jc w:val="both"/>
              <w:rPr>
                <w:rFonts w:asciiTheme="majorBidi" w:hAnsiTheme="majorBidi" w:cstheme="majorBidi"/>
                <w:b/>
                <w:bCs/>
                <w:color w:val="000000"/>
                <w:kern w:val="0"/>
                <w:sz w:val="24"/>
                <w:szCs w:val="24"/>
                <w14:ligatures w14:val="none"/>
              </w:rPr>
            </w:pPr>
            <w:r w:rsidRPr="00D323AE">
              <w:rPr>
                <w:rFonts w:asciiTheme="majorBidi" w:hAnsiTheme="majorBidi" w:cstheme="majorBidi"/>
                <w:b/>
                <w:bCs/>
                <w:color w:val="000000"/>
                <w:kern w:val="0"/>
                <w:sz w:val="24"/>
                <w:szCs w:val="24"/>
                <w14:ligatures w14:val="none"/>
              </w:rPr>
              <w:t>Hepatic f</w:t>
            </w:r>
            <w:r w:rsidR="0015574B" w:rsidRPr="00D323AE">
              <w:rPr>
                <w:rFonts w:asciiTheme="majorBidi" w:hAnsiTheme="majorBidi" w:cstheme="majorBidi"/>
                <w:b/>
                <w:bCs/>
                <w:color w:val="000000"/>
                <w:kern w:val="0"/>
                <w:sz w:val="24"/>
                <w:szCs w:val="24"/>
                <w14:ligatures w14:val="none"/>
              </w:rPr>
              <w:t>ibrosis</w:t>
            </w:r>
          </w:p>
        </w:tc>
      </w:tr>
      <w:tr w:rsidR="00C74E91" w:rsidRPr="00D323AE" w14:paraId="59BBFDBF" w14:textId="77777777" w:rsidTr="002E16FF">
        <w:trPr>
          <w:trHeight w:val="20"/>
        </w:trPr>
        <w:tc>
          <w:tcPr>
            <w:tcW w:w="3164" w:type="pct"/>
            <w:vMerge/>
            <w:hideMark/>
          </w:tcPr>
          <w:p w14:paraId="6A0184C4" w14:textId="77777777" w:rsidR="00C74E91" w:rsidRPr="00D323AE" w:rsidRDefault="00C74E91" w:rsidP="00937ADF">
            <w:pPr>
              <w:spacing w:line="240" w:lineRule="auto"/>
              <w:jc w:val="both"/>
              <w:rPr>
                <w:rFonts w:asciiTheme="majorBidi" w:hAnsiTheme="majorBidi" w:cstheme="majorBidi"/>
                <w:b/>
                <w:bCs/>
                <w:color w:val="000000"/>
                <w:kern w:val="0"/>
                <w:sz w:val="24"/>
                <w:szCs w:val="24"/>
                <w14:ligatures w14:val="none"/>
              </w:rPr>
            </w:pPr>
          </w:p>
        </w:tc>
        <w:tc>
          <w:tcPr>
            <w:tcW w:w="810" w:type="pct"/>
            <w:noWrap/>
            <w:hideMark/>
          </w:tcPr>
          <w:p w14:paraId="574F5341" w14:textId="77777777" w:rsidR="00C74E91" w:rsidRPr="00D323AE" w:rsidRDefault="00C74E91" w:rsidP="00937ADF">
            <w:pPr>
              <w:spacing w:line="240" w:lineRule="auto"/>
              <w:jc w:val="both"/>
              <w:rPr>
                <w:rFonts w:asciiTheme="majorBidi" w:hAnsiTheme="majorBidi" w:cstheme="majorBidi"/>
                <w:b/>
                <w:bCs/>
                <w:color w:val="000000"/>
                <w:kern w:val="0"/>
                <w:sz w:val="24"/>
                <w:szCs w:val="24"/>
                <w14:ligatures w14:val="none"/>
              </w:rPr>
            </w:pPr>
            <w:r w:rsidRPr="00D323AE">
              <w:rPr>
                <w:rFonts w:asciiTheme="majorBidi" w:hAnsiTheme="majorBidi" w:cstheme="majorBidi"/>
                <w:b/>
                <w:bCs/>
                <w:color w:val="000000"/>
                <w:kern w:val="0"/>
                <w:sz w:val="24"/>
                <w:szCs w:val="24"/>
                <w14:ligatures w14:val="none"/>
              </w:rPr>
              <w:t>r</w:t>
            </w:r>
          </w:p>
        </w:tc>
        <w:tc>
          <w:tcPr>
            <w:tcW w:w="1026" w:type="pct"/>
            <w:noWrap/>
            <w:hideMark/>
          </w:tcPr>
          <w:p w14:paraId="1939CEB7" w14:textId="1CBEE424" w:rsidR="00C74E91" w:rsidRPr="00D323AE" w:rsidRDefault="00B6084B" w:rsidP="00937ADF">
            <w:pPr>
              <w:spacing w:line="240" w:lineRule="auto"/>
              <w:jc w:val="both"/>
              <w:rPr>
                <w:rFonts w:asciiTheme="majorBidi" w:hAnsiTheme="majorBidi" w:cstheme="majorBidi"/>
                <w:b/>
                <w:bCs/>
                <w:color w:val="000000"/>
                <w:kern w:val="0"/>
                <w:sz w:val="24"/>
                <w:szCs w:val="24"/>
                <w14:ligatures w14:val="none"/>
              </w:rPr>
            </w:pPr>
            <w:r w:rsidRPr="00D323AE">
              <w:rPr>
                <w:rFonts w:asciiTheme="majorBidi" w:hAnsiTheme="majorBidi" w:cstheme="majorBidi"/>
                <w:b/>
                <w:bCs/>
                <w:i/>
                <w:iCs/>
                <w:color w:val="000000"/>
                <w:kern w:val="0"/>
                <w:sz w:val="24"/>
                <w:szCs w:val="24"/>
                <w14:ligatures w14:val="none"/>
              </w:rPr>
              <w:t>P</w:t>
            </w:r>
            <w:r w:rsidRPr="00D323AE">
              <w:rPr>
                <w:rFonts w:asciiTheme="majorBidi" w:hAnsiTheme="majorBidi" w:cstheme="majorBidi"/>
                <w:b/>
                <w:bCs/>
                <w:color w:val="000000"/>
                <w:kern w:val="0"/>
                <w:sz w:val="24"/>
                <w:szCs w:val="24"/>
                <w14:ligatures w14:val="none"/>
              </w:rPr>
              <w:t xml:space="preserve"> value</w:t>
            </w:r>
          </w:p>
        </w:tc>
      </w:tr>
      <w:tr w:rsidR="00C74E91" w:rsidRPr="00D323AE" w14:paraId="65352D17" w14:textId="77777777" w:rsidTr="002E16FF">
        <w:trPr>
          <w:trHeight w:val="20"/>
        </w:trPr>
        <w:tc>
          <w:tcPr>
            <w:tcW w:w="3164" w:type="pct"/>
            <w:tcBorders>
              <w:top w:val="single" w:sz="4" w:space="0" w:color="auto"/>
            </w:tcBorders>
            <w:noWrap/>
            <w:hideMark/>
          </w:tcPr>
          <w:p w14:paraId="1C027C3A" w14:textId="0D37BDAE" w:rsidR="00C74E91" w:rsidRPr="00D323AE" w:rsidRDefault="00E97DA2"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Neutrophil to lymphocyte ratio</w:t>
            </w:r>
          </w:p>
        </w:tc>
        <w:tc>
          <w:tcPr>
            <w:tcW w:w="810" w:type="pct"/>
            <w:tcBorders>
              <w:top w:val="single" w:sz="4" w:space="0" w:color="auto"/>
            </w:tcBorders>
            <w:noWrap/>
          </w:tcPr>
          <w:p w14:paraId="26648FDE" w14:textId="1E4C19DD" w:rsidR="00C74E91" w:rsidRPr="00D323AE" w:rsidRDefault="00E153EB"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0.094</w:t>
            </w:r>
          </w:p>
        </w:tc>
        <w:tc>
          <w:tcPr>
            <w:tcW w:w="1026" w:type="pct"/>
            <w:tcBorders>
              <w:top w:val="single" w:sz="4" w:space="0" w:color="auto"/>
            </w:tcBorders>
            <w:noWrap/>
          </w:tcPr>
          <w:p w14:paraId="7AF00678" w14:textId="5C4B3D56" w:rsidR="00C74E91" w:rsidRPr="00D323AE" w:rsidRDefault="00E153EB"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0.623</w:t>
            </w:r>
          </w:p>
        </w:tc>
      </w:tr>
      <w:tr w:rsidR="00C74E91" w:rsidRPr="00D323AE" w14:paraId="0AFDD6B0" w14:textId="77777777" w:rsidTr="002E16FF">
        <w:trPr>
          <w:trHeight w:val="20"/>
        </w:trPr>
        <w:tc>
          <w:tcPr>
            <w:tcW w:w="3164" w:type="pct"/>
            <w:noWrap/>
            <w:hideMark/>
          </w:tcPr>
          <w:p w14:paraId="440FC32A" w14:textId="6139BEE0" w:rsidR="00C74E91" w:rsidRPr="00D323AE" w:rsidRDefault="00F54B27" w:rsidP="00F54B27">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lang w:val="en-GB"/>
                <w14:ligatures w14:val="none"/>
              </w:rPr>
              <w:t>Mean platelet volume</w:t>
            </w:r>
          </w:p>
        </w:tc>
        <w:tc>
          <w:tcPr>
            <w:tcW w:w="810" w:type="pct"/>
            <w:noWrap/>
          </w:tcPr>
          <w:p w14:paraId="2BBF0D1B" w14:textId="41398CA1" w:rsidR="00C74E91" w:rsidRPr="00D323AE" w:rsidRDefault="00E153EB"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0.127</w:t>
            </w:r>
          </w:p>
        </w:tc>
        <w:tc>
          <w:tcPr>
            <w:tcW w:w="1026" w:type="pct"/>
            <w:noWrap/>
          </w:tcPr>
          <w:p w14:paraId="5B669F65" w14:textId="7BD83171" w:rsidR="00C74E91" w:rsidRPr="00D323AE" w:rsidRDefault="00E153EB"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0.503</w:t>
            </w:r>
          </w:p>
        </w:tc>
      </w:tr>
      <w:tr w:rsidR="00C74E91" w:rsidRPr="00D323AE" w14:paraId="26B159D3" w14:textId="77777777" w:rsidTr="002E16FF">
        <w:trPr>
          <w:trHeight w:val="20"/>
        </w:trPr>
        <w:tc>
          <w:tcPr>
            <w:tcW w:w="3164" w:type="pct"/>
            <w:noWrap/>
            <w:hideMark/>
          </w:tcPr>
          <w:p w14:paraId="4721CE1E" w14:textId="4BA182B6" w:rsidR="00C74E91" w:rsidRPr="00D323AE" w:rsidRDefault="00C74E91"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 xml:space="preserve">Total cholesterol </w:t>
            </w:r>
          </w:p>
        </w:tc>
        <w:tc>
          <w:tcPr>
            <w:tcW w:w="810" w:type="pct"/>
            <w:noWrap/>
          </w:tcPr>
          <w:p w14:paraId="76ED26DE" w14:textId="1FA04A22" w:rsidR="00C74E91" w:rsidRPr="00D323AE" w:rsidRDefault="00CE0036"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0.363</w:t>
            </w:r>
          </w:p>
        </w:tc>
        <w:tc>
          <w:tcPr>
            <w:tcW w:w="1026" w:type="pct"/>
            <w:noWrap/>
          </w:tcPr>
          <w:p w14:paraId="02F907EA" w14:textId="5C7D3CC1" w:rsidR="00C74E91" w:rsidRPr="00D323AE" w:rsidRDefault="00CE0036"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0.049</w:t>
            </w:r>
          </w:p>
        </w:tc>
      </w:tr>
      <w:tr w:rsidR="00C74E91" w:rsidRPr="00D323AE" w14:paraId="2CBBEC08" w14:textId="77777777" w:rsidTr="002E16FF">
        <w:trPr>
          <w:trHeight w:val="20"/>
        </w:trPr>
        <w:tc>
          <w:tcPr>
            <w:tcW w:w="3164" w:type="pct"/>
            <w:noWrap/>
            <w:hideMark/>
          </w:tcPr>
          <w:p w14:paraId="7CCFC7DF" w14:textId="49A7A95B" w:rsidR="00C74E91" w:rsidRPr="00D323AE" w:rsidRDefault="00C74E91"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 xml:space="preserve">LDL-Cholesterol </w:t>
            </w:r>
          </w:p>
        </w:tc>
        <w:tc>
          <w:tcPr>
            <w:tcW w:w="810" w:type="pct"/>
            <w:noWrap/>
          </w:tcPr>
          <w:p w14:paraId="4A33AD26" w14:textId="7010F5C4" w:rsidR="00C74E91" w:rsidRPr="00D323AE" w:rsidRDefault="00CE0036"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0.067</w:t>
            </w:r>
          </w:p>
        </w:tc>
        <w:tc>
          <w:tcPr>
            <w:tcW w:w="1026" w:type="pct"/>
            <w:noWrap/>
          </w:tcPr>
          <w:p w14:paraId="3B865D74" w14:textId="732397AC" w:rsidR="00C74E91" w:rsidRPr="00D323AE" w:rsidRDefault="00CE0036"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0.724</w:t>
            </w:r>
          </w:p>
        </w:tc>
      </w:tr>
      <w:tr w:rsidR="00C74E91" w:rsidRPr="00D323AE" w14:paraId="517D36D0" w14:textId="77777777" w:rsidTr="002E16FF">
        <w:trPr>
          <w:trHeight w:val="20"/>
        </w:trPr>
        <w:tc>
          <w:tcPr>
            <w:tcW w:w="3164" w:type="pct"/>
            <w:noWrap/>
            <w:hideMark/>
          </w:tcPr>
          <w:p w14:paraId="405AADEC" w14:textId="77777777" w:rsidR="00C74E91" w:rsidRPr="00D323AE" w:rsidRDefault="00C74E91"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Body mass index</w:t>
            </w:r>
          </w:p>
        </w:tc>
        <w:tc>
          <w:tcPr>
            <w:tcW w:w="810" w:type="pct"/>
            <w:noWrap/>
          </w:tcPr>
          <w:p w14:paraId="71CF075B" w14:textId="2883B153" w:rsidR="00C74E91" w:rsidRPr="00D323AE" w:rsidRDefault="00CE0036"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0.642</w:t>
            </w:r>
          </w:p>
        </w:tc>
        <w:tc>
          <w:tcPr>
            <w:tcW w:w="1026" w:type="pct"/>
            <w:noWrap/>
          </w:tcPr>
          <w:p w14:paraId="2E5A18FC" w14:textId="4018F66E" w:rsidR="00C74E91" w:rsidRPr="00D323AE" w:rsidRDefault="00CE0036"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&lt;0.001</w:t>
            </w:r>
          </w:p>
        </w:tc>
      </w:tr>
      <w:tr w:rsidR="00C74E91" w:rsidRPr="00D323AE" w14:paraId="2A8A9AF9" w14:textId="77777777" w:rsidTr="002E16FF">
        <w:trPr>
          <w:trHeight w:val="20"/>
        </w:trPr>
        <w:tc>
          <w:tcPr>
            <w:tcW w:w="3164" w:type="pct"/>
            <w:tcBorders>
              <w:bottom w:val="single" w:sz="4" w:space="0" w:color="auto"/>
            </w:tcBorders>
            <w:noWrap/>
          </w:tcPr>
          <w:p w14:paraId="4BACBD67" w14:textId="77777777" w:rsidR="00C74E91" w:rsidRPr="00D323AE" w:rsidRDefault="00C74E91"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 xml:space="preserve">PNPLA3 gene polymorphism </w:t>
            </w:r>
          </w:p>
        </w:tc>
        <w:tc>
          <w:tcPr>
            <w:tcW w:w="810" w:type="pct"/>
            <w:tcBorders>
              <w:bottom w:val="single" w:sz="4" w:space="0" w:color="auto"/>
            </w:tcBorders>
            <w:noWrap/>
          </w:tcPr>
          <w:p w14:paraId="3CEAEB37" w14:textId="6587824A" w:rsidR="00C74E91" w:rsidRPr="00D323AE" w:rsidRDefault="00E153EB"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0.689</w:t>
            </w:r>
          </w:p>
        </w:tc>
        <w:tc>
          <w:tcPr>
            <w:tcW w:w="1026" w:type="pct"/>
            <w:tcBorders>
              <w:bottom w:val="single" w:sz="4" w:space="0" w:color="auto"/>
            </w:tcBorders>
            <w:noWrap/>
          </w:tcPr>
          <w:p w14:paraId="1B4E6BCF" w14:textId="4F6EC893" w:rsidR="00C74E91" w:rsidRPr="00D323AE" w:rsidRDefault="0015574B" w:rsidP="00937ADF">
            <w:pPr>
              <w:spacing w:line="240" w:lineRule="auto"/>
              <w:jc w:val="both"/>
              <w:rPr>
                <w:rFonts w:asciiTheme="majorBidi" w:hAnsiTheme="majorBidi" w:cstheme="majorBidi"/>
                <w:color w:val="000000"/>
                <w:kern w:val="0"/>
                <w:sz w:val="24"/>
                <w:szCs w:val="24"/>
                <w14:ligatures w14:val="none"/>
              </w:rPr>
            </w:pPr>
            <w:r w:rsidRPr="00D323AE">
              <w:rPr>
                <w:rFonts w:asciiTheme="majorBidi" w:hAnsiTheme="majorBidi" w:cstheme="majorBidi"/>
                <w:color w:val="000000"/>
                <w:kern w:val="0"/>
                <w:sz w:val="24"/>
                <w:szCs w:val="24"/>
                <w14:ligatures w14:val="none"/>
              </w:rPr>
              <w:t>&lt;0.001</w:t>
            </w:r>
          </w:p>
        </w:tc>
      </w:tr>
    </w:tbl>
    <w:p w14:paraId="157E465A" w14:textId="77777777" w:rsidR="00C74E91" w:rsidRPr="00D323AE" w:rsidRDefault="00C74E91">
      <w:pPr>
        <w:spacing w:before="240" w:after="0" w:line="240" w:lineRule="auto"/>
        <w:jc w:val="both"/>
        <w:rPr>
          <w:rFonts w:asciiTheme="majorBidi" w:hAnsiTheme="majorBidi" w:cstheme="majorBidi"/>
          <w:b/>
          <w:bCs/>
          <w:color w:val="000000"/>
          <w:kern w:val="0"/>
          <w:sz w:val="24"/>
          <w:szCs w:val="24"/>
          <w:lang w:val="en-US"/>
          <w14:ligatures w14:val="none"/>
        </w:rPr>
      </w:pPr>
    </w:p>
    <w:p w14:paraId="0BA3976D" w14:textId="77777777" w:rsidR="009E313D" w:rsidRDefault="009E313D">
      <w:pPr>
        <w:spacing w:line="240" w:lineRule="auto"/>
        <w:jc w:val="both"/>
        <w:rPr>
          <w:rFonts w:asciiTheme="majorBidi" w:hAnsiTheme="majorBidi" w:cstheme="majorBidi"/>
          <w:b/>
          <w:bCs/>
          <w:color w:val="000000"/>
          <w:kern w:val="0"/>
          <w:sz w:val="24"/>
          <w:szCs w:val="24"/>
          <w14:ligatures w14:val="none"/>
        </w:rPr>
      </w:pPr>
    </w:p>
    <w:p w14:paraId="78EDC255" w14:textId="17B4BC2C" w:rsidR="0015007E" w:rsidRPr="00D323AE" w:rsidRDefault="00000000">
      <w:pPr>
        <w:spacing w:line="240" w:lineRule="auto"/>
        <w:jc w:val="both"/>
        <w:rPr>
          <w:rFonts w:asciiTheme="majorBidi" w:hAnsiTheme="majorBidi" w:cstheme="majorBidi"/>
          <w:b/>
          <w:bCs/>
          <w:color w:val="000000"/>
          <w:kern w:val="0"/>
          <w:sz w:val="24"/>
          <w:szCs w:val="24"/>
          <w:u w:val="single"/>
          <w14:ligatures w14:val="none"/>
        </w:rPr>
      </w:pPr>
      <w:r w:rsidRPr="00D323AE">
        <w:rPr>
          <w:rFonts w:asciiTheme="majorBidi" w:hAnsiTheme="majorBidi" w:cstheme="majorBidi"/>
          <w:b/>
          <w:bCs/>
          <w:color w:val="000000"/>
          <w:kern w:val="0"/>
          <w:sz w:val="24"/>
          <w:szCs w:val="24"/>
          <w14:ligatures w14:val="none"/>
        </w:rPr>
        <w:t>Discussion</w:t>
      </w:r>
    </w:p>
    <w:p w14:paraId="54453D13" w14:textId="33FD81A1"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rPr>
      </w:pPr>
      <w:r w:rsidRPr="00D323AE">
        <w:rPr>
          <w:rFonts w:asciiTheme="majorBidi" w:hAnsiTheme="majorBidi" w:cstheme="majorBidi"/>
          <w:color w:val="000000"/>
          <w:kern w:val="0"/>
          <w:sz w:val="24"/>
          <w:szCs w:val="24"/>
        </w:rPr>
        <w:t xml:space="preserve">The first genome-wide association study (GWAS) regarding NAFLD found that the </w:t>
      </w:r>
      <w:r w:rsidRPr="00D323AE">
        <w:rPr>
          <w:rFonts w:asciiTheme="majorBidi" w:hAnsiTheme="majorBidi" w:cstheme="majorBidi"/>
          <w:color w:val="000000"/>
          <w:sz w:val="24"/>
          <w:szCs w:val="24"/>
        </w:rPr>
        <w:t>allele of PNPLA3</w:t>
      </w:r>
      <w:r w:rsidRPr="00D323AE">
        <w:rPr>
          <w:rFonts w:asciiTheme="majorBidi" w:hAnsiTheme="majorBidi" w:cstheme="majorBidi"/>
          <w:i/>
          <w:iCs/>
          <w:color w:val="000000"/>
          <w:sz w:val="24"/>
          <w:szCs w:val="24"/>
        </w:rPr>
        <w:t xml:space="preserve"> </w:t>
      </w:r>
      <w:r w:rsidRPr="00D323AE">
        <w:rPr>
          <w:rFonts w:asciiTheme="majorBidi" w:hAnsiTheme="majorBidi" w:cstheme="majorBidi"/>
          <w:color w:val="000000"/>
          <w:sz w:val="24"/>
          <w:szCs w:val="24"/>
        </w:rPr>
        <w:t>rs738409 is significantly correlated with hepatic steatosis and inflammation [26].</w:t>
      </w:r>
      <w:r w:rsidRPr="00D323AE">
        <w:rPr>
          <w:rFonts w:asciiTheme="majorBidi" w:hAnsiTheme="majorBidi" w:cstheme="majorBidi"/>
          <w:color w:val="000000"/>
          <w:kern w:val="0"/>
          <w:sz w:val="24"/>
          <w:szCs w:val="24"/>
        </w:rPr>
        <w:t xml:space="preserve"> This finding gave new insight into the pathogenesis of NAFLD. </w:t>
      </w:r>
      <w:r w:rsidRPr="00D323AE">
        <w:rPr>
          <w:rFonts w:asciiTheme="majorBidi" w:hAnsiTheme="majorBidi" w:cstheme="majorBidi"/>
          <w:color w:val="000000"/>
          <w:sz w:val="24"/>
          <w:szCs w:val="24"/>
        </w:rPr>
        <w:t xml:space="preserve">Since then, knowledge regarding the genetic constituents of NAFLD has </w:t>
      </w:r>
      <w:r w:rsidRPr="00D323AE">
        <w:rPr>
          <w:rFonts w:asciiTheme="majorBidi" w:hAnsiTheme="majorBidi" w:cstheme="majorBidi"/>
          <w:color w:val="000000"/>
          <w:sz w:val="24"/>
          <w:szCs w:val="24"/>
          <w:shd w:val="clear" w:color="auto" w:fill="FFFFFF"/>
        </w:rPr>
        <w:t>substantially</w:t>
      </w:r>
      <w:r w:rsidRPr="00D323AE">
        <w:rPr>
          <w:rFonts w:asciiTheme="majorBidi" w:hAnsiTheme="majorBidi" w:cstheme="majorBidi"/>
          <w:color w:val="000000"/>
          <w:sz w:val="24"/>
          <w:szCs w:val="24"/>
        </w:rPr>
        <w:t xml:space="preserve"> increased. Several studies have reported that </w:t>
      </w:r>
      <w:r w:rsidRPr="00D323AE">
        <w:rPr>
          <w:rFonts w:asciiTheme="majorBidi" w:hAnsiTheme="majorBidi" w:cstheme="majorBidi"/>
          <w:color w:val="000000"/>
          <w:kern w:val="0"/>
          <w:sz w:val="24"/>
          <w:szCs w:val="24"/>
        </w:rPr>
        <w:t xml:space="preserve">this variant leads to the development of NAFLD by increasing triglyceride production and deposition in hepatocytes, increasing the risk of hepatic hepatocyte ballooning, steatosis, and lobular inflammation [27,28]. Furthermore, PNPLA3 rs738409 polymorphism is strongly linked to NASH, cirrhosis, HCC, and death [29-31]. The impact of this polymorphism </w:t>
      </w:r>
      <w:r w:rsidR="00D323D5" w:rsidRPr="00D323AE">
        <w:rPr>
          <w:rFonts w:asciiTheme="majorBidi" w:hAnsiTheme="majorBidi" w:cstheme="majorBidi"/>
          <w:color w:val="000000"/>
          <w:kern w:val="0"/>
          <w:sz w:val="24"/>
          <w:szCs w:val="24"/>
        </w:rPr>
        <w:t>i</w:t>
      </w:r>
      <w:r w:rsidRPr="00D323AE">
        <w:rPr>
          <w:rFonts w:asciiTheme="majorBidi" w:hAnsiTheme="majorBidi" w:cstheme="majorBidi"/>
          <w:color w:val="000000"/>
          <w:kern w:val="0"/>
          <w:sz w:val="24"/>
          <w:szCs w:val="24"/>
        </w:rPr>
        <w:t>s observed even in individuals with lean NAFLD [32].</w:t>
      </w:r>
    </w:p>
    <w:p w14:paraId="7F44E807" w14:textId="77777777" w:rsidR="0015007E" w:rsidRPr="00D323AE" w:rsidRDefault="0015007E">
      <w:pPr>
        <w:autoSpaceDE w:val="0"/>
        <w:autoSpaceDN w:val="0"/>
        <w:adjustRightInd w:val="0"/>
        <w:spacing w:after="0" w:line="240" w:lineRule="auto"/>
        <w:jc w:val="both"/>
        <w:rPr>
          <w:rFonts w:asciiTheme="majorBidi" w:hAnsiTheme="majorBidi" w:cstheme="majorBidi"/>
          <w:color w:val="000000"/>
          <w:sz w:val="24"/>
          <w:szCs w:val="24"/>
        </w:rPr>
      </w:pPr>
    </w:p>
    <w:p w14:paraId="1186447D" w14:textId="34AB9E61" w:rsidR="0015007E" w:rsidRPr="00D323AE" w:rsidRDefault="00000000" w:rsidP="00070F9F">
      <w:pPr>
        <w:autoSpaceDE w:val="0"/>
        <w:autoSpaceDN w:val="0"/>
        <w:adjustRightInd w:val="0"/>
        <w:spacing w:after="0" w:line="240" w:lineRule="auto"/>
        <w:jc w:val="both"/>
        <w:rPr>
          <w:rFonts w:asciiTheme="majorBidi" w:hAnsiTheme="majorBidi" w:cstheme="majorBidi"/>
          <w:color w:val="000000"/>
          <w:kern w:val="0"/>
          <w:sz w:val="24"/>
          <w:szCs w:val="24"/>
        </w:rPr>
      </w:pPr>
      <w:r w:rsidRPr="00D323AE">
        <w:rPr>
          <w:rFonts w:asciiTheme="majorBidi" w:hAnsiTheme="majorBidi" w:cstheme="majorBidi"/>
          <w:color w:val="000000"/>
          <w:kern w:val="0"/>
          <w:sz w:val="24"/>
          <w:szCs w:val="24"/>
          <w14:ligatures w14:val="none"/>
        </w:rPr>
        <w:t>T</w:t>
      </w:r>
      <w:r w:rsidRPr="00D323AE">
        <w:rPr>
          <w:rFonts w:asciiTheme="majorBidi" w:hAnsiTheme="majorBidi" w:cstheme="majorBidi"/>
          <w:color w:val="000000"/>
          <w:kern w:val="0"/>
          <w:sz w:val="24"/>
          <w:szCs w:val="24"/>
          <w:lang w:val="en-US"/>
          <w14:ligatures w14:val="none"/>
        </w:rPr>
        <w:t xml:space="preserve">he current study detected a </w:t>
      </w:r>
      <w:r w:rsidR="003D1FD2" w:rsidRPr="00D323AE">
        <w:rPr>
          <w:rFonts w:asciiTheme="majorBidi" w:hAnsiTheme="majorBidi" w:cstheme="majorBidi"/>
          <w:color w:val="000000"/>
          <w:kern w:val="0"/>
          <w:sz w:val="24"/>
          <w:szCs w:val="24"/>
          <w:lang w:val="en-US"/>
          <w14:ligatures w14:val="none"/>
        </w:rPr>
        <w:t>greater prevalence</w:t>
      </w:r>
      <w:r w:rsidRPr="00D323AE">
        <w:rPr>
          <w:rFonts w:asciiTheme="majorBidi" w:hAnsiTheme="majorBidi" w:cstheme="majorBidi"/>
          <w:color w:val="000000"/>
          <w:kern w:val="0"/>
          <w:sz w:val="24"/>
          <w:szCs w:val="24"/>
          <w:lang w:val="en-US"/>
          <w14:ligatures w14:val="none"/>
        </w:rPr>
        <w:t xml:space="preserve"> of heterozygous </w:t>
      </w:r>
      <w:r w:rsidRPr="00D323AE">
        <w:rPr>
          <w:rFonts w:asciiTheme="majorBidi" w:hAnsiTheme="majorBidi" w:cstheme="majorBidi"/>
          <w:color w:val="000000"/>
          <w:sz w:val="24"/>
          <w:szCs w:val="24"/>
        </w:rPr>
        <w:t>rs738409</w:t>
      </w:r>
      <w:r w:rsidRPr="00D323AE">
        <w:rPr>
          <w:rFonts w:asciiTheme="majorBidi" w:hAnsiTheme="majorBidi" w:cstheme="majorBidi"/>
          <w:color w:val="000000"/>
          <w:kern w:val="0"/>
          <w:sz w:val="24"/>
          <w:szCs w:val="24"/>
          <w:lang w:val="en-US"/>
          <w14:ligatures w14:val="none"/>
        </w:rPr>
        <w:t xml:space="preserve"> CG and homozygous </w:t>
      </w:r>
      <w:r w:rsidRPr="00D323AE">
        <w:rPr>
          <w:rFonts w:asciiTheme="majorBidi" w:hAnsiTheme="majorBidi" w:cstheme="majorBidi"/>
          <w:color w:val="000000"/>
          <w:sz w:val="24"/>
          <w:szCs w:val="24"/>
        </w:rPr>
        <w:t xml:space="preserve">rs738409 </w:t>
      </w:r>
      <w:r w:rsidRPr="00D323AE">
        <w:rPr>
          <w:rFonts w:asciiTheme="majorBidi" w:hAnsiTheme="majorBidi" w:cstheme="majorBidi"/>
          <w:color w:val="000000"/>
          <w:kern w:val="0"/>
          <w:sz w:val="24"/>
          <w:szCs w:val="24"/>
          <w:lang w:val="en-US"/>
          <w14:ligatures w14:val="none"/>
        </w:rPr>
        <w:t xml:space="preserve">GG </w:t>
      </w:r>
      <w:r w:rsidRPr="00D323AE">
        <w:rPr>
          <w:rFonts w:asciiTheme="majorBidi" w:hAnsiTheme="majorBidi" w:cstheme="majorBidi"/>
          <w:color w:val="000000"/>
          <w:kern w:val="0"/>
          <w:sz w:val="24"/>
          <w:szCs w:val="24"/>
          <w14:ligatures w14:val="none"/>
        </w:rPr>
        <w:t>PNPLA3</w:t>
      </w:r>
      <w:r w:rsidRPr="00D323AE">
        <w:rPr>
          <w:rFonts w:asciiTheme="majorBidi" w:hAnsiTheme="majorBidi" w:cstheme="majorBidi"/>
          <w:color w:val="000000"/>
          <w:kern w:val="0"/>
          <w:sz w:val="24"/>
          <w:szCs w:val="24"/>
          <w:lang w:val="en-US"/>
          <w14:ligatures w14:val="none"/>
        </w:rPr>
        <w:t xml:space="preserve"> gene variants in the NAFLD group co</w:t>
      </w:r>
      <w:r w:rsidR="000833EE">
        <w:rPr>
          <w:rFonts w:asciiTheme="majorBidi" w:hAnsiTheme="majorBidi" w:cstheme="majorBidi"/>
          <w:color w:val="000000"/>
          <w:kern w:val="0"/>
          <w:sz w:val="24"/>
          <w:szCs w:val="24"/>
          <w:lang w:val="en-US"/>
          <w14:ligatures w14:val="none"/>
        </w:rPr>
        <w:t>mpa</w:t>
      </w:r>
      <w:r w:rsidRPr="00D323AE">
        <w:rPr>
          <w:rFonts w:asciiTheme="majorBidi" w:hAnsiTheme="majorBidi" w:cstheme="majorBidi"/>
          <w:color w:val="000000"/>
          <w:kern w:val="0"/>
          <w:sz w:val="24"/>
          <w:szCs w:val="24"/>
          <w:lang w:val="en-US"/>
          <w14:ligatures w14:val="none"/>
        </w:rPr>
        <w:t>r</w:t>
      </w:r>
      <w:r w:rsidR="000833EE">
        <w:rPr>
          <w:rFonts w:asciiTheme="majorBidi" w:hAnsiTheme="majorBidi" w:cstheme="majorBidi"/>
          <w:color w:val="000000"/>
          <w:kern w:val="0"/>
          <w:sz w:val="24"/>
          <w:szCs w:val="24"/>
          <w:lang w:val="en-US"/>
          <w14:ligatures w14:val="none"/>
        </w:rPr>
        <w:t>ed</w:t>
      </w:r>
      <w:r w:rsidRPr="00D323AE">
        <w:rPr>
          <w:rFonts w:asciiTheme="majorBidi" w:hAnsiTheme="majorBidi" w:cstheme="majorBidi"/>
          <w:color w:val="000000"/>
          <w:kern w:val="0"/>
          <w:sz w:val="24"/>
          <w:szCs w:val="24"/>
          <w:lang w:val="en-US"/>
          <w14:ligatures w14:val="none"/>
        </w:rPr>
        <w:t xml:space="preserve"> to the controls. Additionally, </w:t>
      </w:r>
      <w:r w:rsidRPr="00D323AE">
        <w:rPr>
          <w:rFonts w:asciiTheme="majorBidi" w:hAnsiTheme="majorBidi" w:cstheme="majorBidi"/>
          <w:color w:val="000000"/>
          <w:kern w:val="0"/>
          <w:sz w:val="24"/>
          <w:szCs w:val="24"/>
          <w14:ligatures w14:val="none"/>
        </w:rPr>
        <w:t xml:space="preserve">NAFLD cases with </w:t>
      </w:r>
      <w:r w:rsidRPr="00D323AE">
        <w:rPr>
          <w:rFonts w:asciiTheme="majorBidi" w:hAnsiTheme="majorBidi" w:cstheme="majorBidi"/>
          <w:color w:val="000000"/>
          <w:kern w:val="0"/>
          <w:sz w:val="24"/>
          <w:szCs w:val="24"/>
          <w:lang w:val="en-US"/>
          <w14:ligatures w14:val="none"/>
        </w:rPr>
        <w:t xml:space="preserve">heterozygous </w:t>
      </w:r>
      <w:r w:rsidRPr="00D323AE">
        <w:rPr>
          <w:rFonts w:asciiTheme="majorBidi" w:hAnsiTheme="majorBidi" w:cstheme="majorBidi"/>
          <w:color w:val="000000"/>
          <w:sz w:val="24"/>
          <w:szCs w:val="24"/>
        </w:rPr>
        <w:t>rs738409</w:t>
      </w:r>
      <w:r w:rsidRPr="00D323AE">
        <w:rPr>
          <w:rFonts w:asciiTheme="majorBidi" w:hAnsiTheme="majorBidi" w:cstheme="majorBidi"/>
          <w:color w:val="000000"/>
          <w:kern w:val="0"/>
          <w:sz w:val="24"/>
          <w:szCs w:val="24"/>
          <w:lang w:val="en-US"/>
          <w14:ligatures w14:val="none"/>
        </w:rPr>
        <w:t xml:space="preserve"> CG and homozygous </w:t>
      </w:r>
      <w:r w:rsidRPr="00D323AE">
        <w:rPr>
          <w:rFonts w:asciiTheme="majorBidi" w:hAnsiTheme="majorBidi" w:cstheme="majorBidi"/>
          <w:color w:val="000000"/>
          <w:sz w:val="24"/>
          <w:szCs w:val="24"/>
        </w:rPr>
        <w:t xml:space="preserve">rs738409 </w:t>
      </w:r>
      <w:r w:rsidRPr="00D323AE">
        <w:rPr>
          <w:rFonts w:asciiTheme="majorBidi" w:hAnsiTheme="majorBidi" w:cstheme="majorBidi"/>
          <w:color w:val="000000"/>
          <w:kern w:val="0"/>
          <w:sz w:val="24"/>
          <w:szCs w:val="24"/>
          <w:lang w:val="en-US"/>
          <w14:ligatures w14:val="none"/>
        </w:rPr>
        <w:t xml:space="preserve">GG </w:t>
      </w:r>
      <w:r w:rsidRPr="00D323AE">
        <w:rPr>
          <w:rFonts w:asciiTheme="majorBidi" w:hAnsiTheme="majorBidi" w:cstheme="majorBidi"/>
          <w:color w:val="000000"/>
          <w:kern w:val="0"/>
          <w:sz w:val="24"/>
          <w:szCs w:val="24"/>
          <w14:ligatures w14:val="none"/>
        </w:rPr>
        <w:t>PNPLA3</w:t>
      </w:r>
      <w:r w:rsidRPr="00D323AE">
        <w:rPr>
          <w:rFonts w:asciiTheme="majorBidi" w:hAnsiTheme="majorBidi" w:cstheme="majorBidi"/>
          <w:color w:val="000000"/>
          <w:kern w:val="0"/>
          <w:sz w:val="24"/>
          <w:szCs w:val="24"/>
          <w:lang w:val="en-US"/>
          <w14:ligatures w14:val="none"/>
        </w:rPr>
        <w:t xml:space="preserve"> gene variants</w:t>
      </w:r>
      <w:r w:rsidRPr="00D323AE">
        <w:rPr>
          <w:rFonts w:asciiTheme="majorBidi" w:hAnsiTheme="majorBidi" w:cstheme="majorBidi"/>
          <w:color w:val="000000"/>
          <w:kern w:val="0"/>
          <w:sz w:val="24"/>
          <w:szCs w:val="24"/>
          <w14:ligatures w14:val="none"/>
        </w:rPr>
        <w:t xml:space="preserve"> had a higher incidence of hepatic fibrosis compared to the homozygous </w:t>
      </w:r>
      <w:r w:rsidRPr="00D323AE">
        <w:rPr>
          <w:rFonts w:asciiTheme="majorBidi" w:hAnsiTheme="majorBidi" w:cstheme="majorBidi"/>
          <w:color w:val="000000"/>
          <w:sz w:val="24"/>
          <w:szCs w:val="24"/>
        </w:rPr>
        <w:t>rs738409</w:t>
      </w:r>
      <w:r w:rsidRPr="00D323AE">
        <w:rPr>
          <w:rFonts w:asciiTheme="majorBidi" w:hAnsiTheme="majorBidi" w:cstheme="majorBidi"/>
          <w:color w:val="000000"/>
          <w:kern w:val="0"/>
          <w:sz w:val="24"/>
          <w:szCs w:val="24"/>
          <w14:ligatures w14:val="none"/>
        </w:rPr>
        <w:t xml:space="preserve"> CC gene variant.</w:t>
      </w:r>
      <w:r w:rsidRPr="00D323AE">
        <w:rPr>
          <w:rFonts w:asciiTheme="majorBidi" w:hAnsiTheme="majorBidi" w:cstheme="majorBidi"/>
          <w:color w:val="000000"/>
          <w:kern w:val="0"/>
          <w:sz w:val="24"/>
          <w:szCs w:val="24"/>
          <w:lang w:val="en-US"/>
          <w14:ligatures w14:val="none"/>
        </w:rPr>
        <w:t xml:space="preserve"> </w:t>
      </w:r>
      <w:r w:rsidR="009762F2" w:rsidRPr="00D323AE">
        <w:rPr>
          <w:rFonts w:asciiTheme="majorBidi" w:hAnsiTheme="majorBidi" w:cstheme="majorBidi"/>
          <w:color w:val="000000"/>
          <w:sz w:val="24"/>
          <w:szCs w:val="24"/>
        </w:rPr>
        <w:t xml:space="preserve">Furthermore, </w:t>
      </w:r>
      <w:r w:rsidR="009762F2" w:rsidRPr="00D323AE">
        <w:rPr>
          <w:rFonts w:asciiTheme="majorBidi" w:hAnsiTheme="majorBidi" w:cstheme="majorBidi"/>
          <w:color w:val="000000"/>
          <w:kern w:val="0"/>
          <w:sz w:val="24"/>
          <w:szCs w:val="24"/>
        </w:rPr>
        <w:t>PNPLA3 rs738409 polymorphism</w:t>
      </w:r>
      <w:r w:rsidR="009762F2" w:rsidRPr="00D323AE">
        <w:rPr>
          <w:rFonts w:asciiTheme="majorBidi" w:hAnsiTheme="majorBidi" w:cstheme="majorBidi"/>
          <w:color w:val="000000"/>
          <w:sz w:val="24"/>
          <w:szCs w:val="24"/>
        </w:rPr>
        <w:t xml:space="preserve"> was </w:t>
      </w:r>
      <w:r w:rsidR="00070F9F" w:rsidRPr="00D323AE">
        <w:rPr>
          <w:rFonts w:asciiTheme="majorBidi" w:hAnsiTheme="majorBidi" w:cstheme="majorBidi"/>
          <w:color w:val="000000"/>
          <w:sz w:val="24"/>
          <w:szCs w:val="24"/>
        </w:rPr>
        <w:t xml:space="preserve">a significant predictor for both hepatic steatosis and fibrosis. </w:t>
      </w:r>
      <w:r w:rsidRPr="00D323AE">
        <w:rPr>
          <w:rFonts w:asciiTheme="majorBidi" w:hAnsiTheme="majorBidi" w:cstheme="majorBidi"/>
          <w:color w:val="000000"/>
          <w:sz w:val="24"/>
          <w:szCs w:val="24"/>
        </w:rPr>
        <w:t>The results align with a meta-analysis consist</w:t>
      </w:r>
      <w:r w:rsidR="000833EE">
        <w:rPr>
          <w:rFonts w:asciiTheme="majorBidi" w:hAnsiTheme="majorBidi" w:cstheme="majorBidi"/>
          <w:color w:val="000000"/>
          <w:sz w:val="24"/>
          <w:szCs w:val="24"/>
        </w:rPr>
        <w:t>ing</w:t>
      </w:r>
      <w:r w:rsidRPr="00D323AE">
        <w:rPr>
          <w:rFonts w:asciiTheme="majorBidi" w:hAnsiTheme="majorBidi" w:cstheme="majorBidi"/>
          <w:color w:val="000000"/>
          <w:sz w:val="24"/>
          <w:szCs w:val="24"/>
        </w:rPr>
        <w:t xml:space="preserve"> of 16 studies that examined 2,124 patients and detected that the homozygous PNPLA3</w:t>
      </w:r>
      <w:r w:rsidRPr="00D323AE">
        <w:rPr>
          <w:rFonts w:asciiTheme="majorBidi" w:hAnsiTheme="majorBidi" w:cstheme="majorBidi"/>
          <w:i/>
          <w:iCs/>
          <w:color w:val="000000"/>
          <w:sz w:val="24"/>
          <w:szCs w:val="24"/>
        </w:rPr>
        <w:t xml:space="preserve"> </w:t>
      </w:r>
      <w:r w:rsidRPr="00D323AE">
        <w:rPr>
          <w:rFonts w:asciiTheme="majorBidi" w:hAnsiTheme="majorBidi" w:cstheme="majorBidi"/>
          <w:color w:val="000000"/>
          <w:sz w:val="24"/>
          <w:szCs w:val="24"/>
        </w:rPr>
        <w:t xml:space="preserve">rs738409 GG had a 73% higher hepatic fat content in comparison to </w:t>
      </w:r>
      <w:r w:rsidRPr="00D323AE">
        <w:rPr>
          <w:rFonts w:asciiTheme="majorBidi" w:hAnsiTheme="majorBidi" w:cstheme="majorBidi"/>
          <w:color w:val="000000"/>
          <w:kern w:val="0"/>
          <w:sz w:val="24"/>
          <w:szCs w:val="24"/>
          <w:lang w:val="en-US"/>
          <w14:ligatures w14:val="none"/>
        </w:rPr>
        <w:t xml:space="preserve">the homozygous </w:t>
      </w:r>
      <w:r w:rsidRPr="00D323AE">
        <w:rPr>
          <w:rFonts w:asciiTheme="majorBidi" w:hAnsiTheme="majorBidi" w:cstheme="majorBidi"/>
          <w:color w:val="000000"/>
          <w:sz w:val="24"/>
          <w:szCs w:val="24"/>
        </w:rPr>
        <w:t>rs738409 CC polymorphism. In addition, rs738409 GG had a greater risk of developing fibrosis t</w:t>
      </w:r>
      <w:r w:rsidR="000833EE">
        <w:rPr>
          <w:rFonts w:asciiTheme="majorBidi" w:hAnsiTheme="majorBidi" w:cstheme="majorBidi"/>
          <w:color w:val="000000"/>
          <w:sz w:val="24"/>
          <w:szCs w:val="24"/>
        </w:rPr>
        <w:t>h</w:t>
      </w:r>
      <w:r w:rsidRPr="00D323AE">
        <w:rPr>
          <w:rFonts w:asciiTheme="majorBidi" w:hAnsiTheme="majorBidi" w:cstheme="majorBidi"/>
          <w:color w:val="000000"/>
          <w:sz w:val="24"/>
          <w:szCs w:val="24"/>
        </w:rPr>
        <w:t>a</w:t>
      </w:r>
      <w:r w:rsidR="000833EE">
        <w:rPr>
          <w:rFonts w:asciiTheme="majorBidi" w:hAnsiTheme="majorBidi" w:cstheme="majorBidi"/>
          <w:color w:val="000000"/>
          <w:sz w:val="24"/>
          <w:szCs w:val="24"/>
        </w:rPr>
        <w:t>n</w:t>
      </w:r>
      <w:r w:rsidRPr="00D323AE">
        <w:rPr>
          <w:rFonts w:asciiTheme="majorBidi" w:hAnsiTheme="majorBidi" w:cstheme="majorBidi"/>
          <w:color w:val="000000"/>
          <w:sz w:val="24"/>
          <w:szCs w:val="24"/>
        </w:rPr>
        <w:t xml:space="preserve"> homozygous CC [16]. </w:t>
      </w:r>
    </w:p>
    <w:p w14:paraId="66FE3145" w14:textId="77777777" w:rsidR="0015007E" w:rsidRPr="00D323AE" w:rsidRDefault="0015007E">
      <w:pPr>
        <w:autoSpaceDE w:val="0"/>
        <w:autoSpaceDN w:val="0"/>
        <w:adjustRightInd w:val="0"/>
        <w:spacing w:after="0" w:line="240" w:lineRule="auto"/>
        <w:jc w:val="both"/>
        <w:rPr>
          <w:rFonts w:asciiTheme="majorBidi" w:hAnsiTheme="majorBidi" w:cstheme="majorBidi"/>
          <w:color w:val="000000"/>
          <w:kern w:val="0"/>
          <w:sz w:val="24"/>
          <w:szCs w:val="24"/>
        </w:rPr>
      </w:pPr>
    </w:p>
    <w:p w14:paraId="40B5174E" w14:textId="6904E48B" w:rsidR="0015007E" w:rsidRPr="00D323AE" w:rsidRDefault="00000000">
      <w:pPr>
        <w:autoSpaceDE w:val="0"/>
        <w:autoSpaceDN w:val="0"/>
        <w:adjustRightInd w:val="0"/>
        <w:spacing w:after="0" w:line="240" w:lineRule="auto"/>
        <w:jc w:val="both"/>
        <w:rPr>
          <w:rFonts w:asciiTheme="majorBidi" w:hAnsiTheme="majorBidi" w:cstheme="majorBidi"/>
          <w:color w:val="000000"/>
          <w:kern w:val="0"/>
          <w:sz w:val="24"/>
          <w:szCs w:val="24"/>
        </w:rPr>
      </w:pPr>
      <w:r w:rsidRPr="00D323AE">
        <w:rPr>
          <w:rFonts w:asciiTheme="majorBidi" w:hAnsiTheme="majorBidi" w:cstheme="majorBidi"/>
          <w:color w:val="000000"/>
          <w:kern w:val="0"/>
          <w:sz w:val="24"/>
          <w:szCs w:val="24"/>
        </w:rPr>
        <w:t>In agreement with the current study, case</w:t>
      </w:r>
      <w:r w:rsidR="00A86C5F">
        <w:rPr>
          <w:rFonts w:asciiTheme="majorBidi" w:hAnsiTheme="majorBidi" w:cstheme="majorBidi"/>
          <w:color w:val="000000"/>
          <w:kern w:val="0"/>
          <w:sz w:val="24"/>
          <w:szCs w:val="24"/>
        </w:rPr>
        <w:t>-</w:t>
      </w:r>
      <w:r w:rsidRPr="00D323AE">
        <w:rPr>
          <w:rFonts w:asciiTheme="majorBidi" w:hAnsiTheme="majorBidi" w:cstheme="majorBidi"/>
          <w:color w:val="000000"/>
          <w:kern w:val="0"/>
          <w:sz w:val="24"/>
          <w:szCs w:val="24"/>
        </w:rPr>
        <w:t>control research</w:t>
      </w:r>
      <w:r w:rsidR="000833EE">
        <w:rPr>
          <w:rFonts w:asciiTheme="majorBidi" w:hAnsiTheme="majorBidi" w:cstheme="majorBidi"/>
          <w:color w:val="000000"/>
          <w:kern w:val="0"/>
          <w:sz w:val="24"/>
          <w:szCs w:val="24"/>
        </w:rPr>
        <w:t>,</w:t>
      </w:r>
      <w:r w:rsidRPr="00D323AE">
        <w:rPr>
          <w:rFonts w:asciiTheme="majorBidi" w:hAnsiTheme="majorBidi" w:cstheme="majorBidi"/>
          <w:color w:val="000000"/>
          <w:kern w:val="0"/>
          <w:sz w:val="24"/>
          <w:szCs w:val="24"/>
        </w:rPr>
        <w:t xml:space="preserve"> including the genomic data of 2,950 NAFLD patients and 12,907 healthy controls</w:t>
      </w:r>
      <w:r w:rsidR="000833EE">
        <w:rPr>
          <w:rFonts w:asciiTheme="majorBidi" w:hAnsiTheme="majorBidi" w:cstheme="majorBidi"/>
          <w:color w:val="000000"/>
          <w:kern w:val="0"/>
          <w:sz w:val="24"/>
          <w:szCs w:val="24"/>
        </w:rPr>
        <w:t>,</w:t>
      </w:r>
      <w:r w:rsidRPr="00D323AE">
        <w:rPr>
          <w:rFonts w:asciiTheme="majorBidi" w:hAnsiTheme="majorBidi" w:cstheme="majorBidi"/>
          <w:color w:val="000000"/>
          <w:kern w:val="0"/>
          <w:sz w:val="24"/>
          <w:szCs w:val="24"/>
        </w:rPr>
        <w:t xml:space="preserve"> detected that the frequency of the PNPLA3 rs738409 GG allele was higher in NAFLD patients </w:t>
      </w:r>
      <w:r w:rsidR="000833EE">
        <w:rPr>
          <w:rFonts w:asciiTheme="majorBidi" w:hAnsiTheme="majorBidi" w:cstheme="majorBidi"/>
          <w:color w:val="000000"/>
          <w:kern w:val="0"/>
          <w:sz w:val="24"/>
          <w:szCs w:val="24"/>
        </w:rPr>
        <w:t>tha</w:t>
      </w:r>
      <w:r w:rsidRPr="00D323AE">
        <w:rPr>
          <w:rFonts w:asciiTheme="majorBidi" w:hAnsiTheme="majorBidi" w:cstheme="majorBidi"/>
          <w:color w:val="000000"/>
          <w:kern w:val="0"/>
          <w:sz w:val="24"/>
          <w:szCs w:val="24"/>
        </w:rPr>
        <w:t xml:space="preserve">n in the control group. </w:t>
      </w:r>
      <w:r w:rsidR="00B32AFE" w:rsidRPr="00D323AE">
        <w:rPr>
          <w:rFonts w:asciiTheme="majorBidi" w:hAnsiTheme="majorBidi" w:cstheme="majorBidi"/>
          <w:color w:val="000000"/>
          <w:kern w:val="0"/>
          <w:sz w:val="24"/>
          <w:szCs w:val="24"/>
        </w:rPr>
        <w:t>Furthermore, t</w:t>
      </w:r>
      <w:r w:rsidRPr="00D323AE">
        <w:rPr>
          <w:rFonts w:asciiTheme="majorBidi" w:hAnsiTheme="majorBidi" w:cstheme="majorBidi"/>
          <w:color w:val="000000"/>
          <w:kern w:val="0"/>
          <w:sz w:val="24"/>
          <w:szCs w:val="24"/>
        </w:rPr>
        <w:t xml:space="preserve">he PNPLA3 rs738409 GG and GC variants had </w:t>
      </w:r>
      <w:r w:rsidR="000833EE">
        <w:rPr>
          <w:rFonts w:asciiTheme="majorBidi" w:hAnsiTheme="majorBidi" w:cstheme="majorBidi"/>
          <w:color w:val="000000"/>
          <w:kern w:val="0"/>
          <w:sz w:val="24"/>
          <w:szCs w:val="24"/>
        </w:rPr>
        <w:t>mo</w:t>
      </w:r>
      <w:r w:rsidRPr="00D323AE">
        <w:rPr>
          <w:rFonts w:asciiTheme="majorBidi" w:hAnsiTheme="majorBidi" w:cstheme="majorBidi"/>
          <w:color w:val="000000"/>
          <w:kern w:val="0"/>
          <w:sz w:val="24"/>
          <w:szCs w:val="24"/>
        </w:rPr>
        <w:t xml:space="preserve">re NAFLD patients </w:t>
      </w:r>
      <w:r w:rsidR="000833EE">
        <w:rPr>
          <w:rFonts w:asciiTheme="majorBidi" w:hAnsiTheme="majorBidi" w:cstheme="majorBidi"/>
          <w:color w:val="000000"/>
          <w:kern w:val="0"/>
          <w:sz w:val="24"/>
          <w:szCs w:val="24"/>
        </w:rPr>
        <w:t>th</w:t>
      </w:r>
      <w:r w:rsidRPr="00D323AE">
        <w:rPr>
          <w:rFonts w:asciiTheme="majorBidi" w:hAnsiTheme="majorBidi" w:cstheme="majorBidi"/>
          <w:color w:val="000000"/>
          <w:kern w:val="0"/>
          <w:sz w:val="24"/>
          <w:szCs w:val="24"/>
        </w:rPr>
        <w:t>a</w:t>
      </w:r>
      <w:r w:rsidR="000833EE">
        <w:rPr>
          <w:rFonts w:asciiTheme="majorBidi" w:hAnsiTheme="majorBidi" w:cstheme="majorBidi"/>
          <w:color w:val="000000"/>
          <w:kern w:val="0"/>
          <w:sz w:val="24"/>
          <w:szCs w:val="24"/>
        </w:rPr>
        <w:t>n</w:t>
      </w:r>
      <w:r w:rsidRPr="00D323AE">
        <w:rPr>
          <w:rFonts w:asciiTheme="majorBidi" w:hAnsiTheme="majorBidi" w:cstheme="majorBidi"/>
          <w:color w:val="000000"/>
          <w:kern w:val="0"/>
          <w:sz w:val="24"/>
          <w:szCs w:val="24"/>
        </w:rPr>
        <w:t xml:space="preserve"> the PNPLA3 rs738409 CC variant (19.9% </w:t>
      </w:r>
      <w:r w:rsidRPr="00D323AE">
        <w:rPr>
          <w:rFonts w:asciiTheme="majorBidi" w:hAnsiTheme="majorBidi" w:cstheme="majorBidi"/>
          <w:i/>
          <w:iCs/>
          <w:color w:val="000000"/>
          <w:kern w:val="0"/>
          <w:sz w:val="24"/>
          <w:szCs w:val="24"/>
        </w:rPr>
        <w:t>vs</w:t>
      </w:r>
      <w:r w:rsidRPr="00D323AE">
        <w:rPr>
          <w:rFonts w:asciiTheme="majorBidi" w:hAnsiTheme="majorBidi" w:cstheme="majorBidi"/>
          <w:color w:val="000000"/>
          <w:kern w:val="0"/>
          <w:sz w:val="24"/>
          <w:szCs w:val="24"/>
        </w:rPr>
        <w:t xml:space="preserve"> 16%). In addition, the PNPLA3 rs738409 GG allele was an independent risk factor for NAFLD [33]. </w:t>
      </w:r>
    </w:p>
    <w:p w14:paraId="7E4BF31C" w14:textId="77777777" w:rsidR="0015007E" w:rsidRPr="00D323AE" w:rsidRDefault="0015007E">
      <w:pPr>
        <w:autoSpaceDE w:val="0"/>
        <w:autoSpaceDN w:val="0"/>
        <w:adjustRightInd w:val="0"/>
        <w:spacing w:after="0" w:line="240" w:lineRule="auto"/>
        <w:jc w:val="both"/>
        <w:rPr>
          <w:rFonts w:asciiTheme="majorBidi" w:hAnsiTheme="majorBidi" w:cstheme="majorBidi"/>
          <w:color w:val="000000"/>
          <w:kern w:val="0"/>
          <w:sz w:val="24"/>
          <w:szCs w:val="24"/>
        </w:rPr>
      </w:pPr>
    </w:p>
    <w:p w14:paraId="42BA68F7" w14:textId="195B39B4" w:rsidR="0015007E" w:rsidRPr="00D323AE" w:rsidRDefault="00000000">
      <w:pPr>
        <w:spacing w:after="0" w:line="240" w:lineRule="auto"/>
        <w:jc w:val="both"/>
        <w:rPr>
          <w:rFonts w:asciiTheme="majorBidi" w:hAnsiTheme="majorBidi" w:cstheme="majorBidi"/>
          <w:color w:val="000000"/>
          <w:sz w:val="24"/>
          <w:szCs w:val="24"/>
          <w:shd w:val="clear" w:color="auto" w:fill="FFFFFF"/>
        </w:rPr>
      </w:pPr>
      <w:r w:rsidRPr="00D323AE">
        <w:rPr>
          <w:rFonts w:asciiTheme="majorBidi" w:hAnsiTheme="majorBidi" w:cstheme="majorBidi"/>
          <w:color w:val="000000"/>
          <w:kern w:val="0"/>
          <w:sz w:val="24"/>
          <w:szCs w:val="24"/>
          <w:lang w:val="en-US"/>
          <w14:ligatures w14:val="none"/>
        </w:rPr>
        <w:t xml:space="preserve">In agreement with the current results, </w:t>
      </w:r>
      <w:r w:rsidRPr="00D323AE">
        <w:rPr>
          <w:rFonts w:asciiTheme="majorBidi" w:hAnsiTheme="majorBidi" w:cstheme="majorBidi"/>
          <w:color w:val="000000"/>
          <w:kern w:val="0"/>
          <w:sz w:val="24"/>
          <w:szCs w:val="24"/>
        </w:rPr>
        <w:t xml:space="preserve">a GWAS by Anstee </w:t>
      </w:r>
      <w:r w:rsidRPr="00D323AE">
        <w:rPr>
          <w:rFonts w:asciiTheme="majorBidi" w:hAnsiTheme="majorBidi" w:cstheme="majorBidi"/>
          <w:i/>
          <w:iCs/>
          <w:color w:val="000000"/>
          <w:kern w:val="0"/>
          <w:sz w:val="24"/>
          <w:szCs w:val="24"/>
        </w:rPr>
        <w:t>et al</w:t>
      </w:r>
      <w:r w:rsidR="00E94874" w:rsidRPr="00D323AE">
        <w:rPr>
          <w:rFonts w:asciiTheme="majorBidi" w:hAnsiTheme="majorBidi" w:cstheme="majorBidi"/>
          <w:color w:val="000000"/>
          <w:kern w:val="0"/>
          <w:sz w:val="24"/>
          <w:szCs w:val="24"/>
        </w:rPr>
        <w:t>.</w:t>
      </w:r>
      <w:r w:rsidRPr="00D323AE">
        <w:rPr>
          <w:rFonts w:asciiTheme="majorBidi" w:hAnsiTheme="majorBidi" w:cstheme="majorBidi"/>
          <w:color w:val="000000"/>
          <w:kern w:val="0"/>
          <w:sz w:val="24"/>
          <w:szCs w:val="24"/>
        </w:rPr>
        <w:t xml:space="preserve"> reported that the PNPLA3</w:t>
      </w:r>
      <w:r w:rsidRPr="00D323AE">
        <w:rPr>
          <w:rFonts w:asciiTheme="majorBidi" w:hAnsiTheme="majorBidi" w:cstheme="majorBidi"/>
          <w:i/>
          <w:iCs/>
          <w:color w:val="000000"/>
          <w:kern w:val="0"/>
          <w:sz w:val="24"/>
          <w:szCs w:val="24"/>
        </w:rPr>
        <w:t xml:space="preserve"> </w:t>
      </w:r>
      <w:r w:rsidRPr="00D323AE">
        <w:rPr>
          <w:rFonts w:asciiTheme="majorBidi" w:hAnsiTheme="majorBidi" w:cstheme="majorBidi"/>
          <w:color w:val="000000"/>
          <w:kern w:val="0"/>
          <w:sz w:val="24"/>
          <w:szCs w:val="24"/>
        </w:rPr>
        <w:t xml:space="preserve">rs738409 variant is a risk factor for the full pathological spectrum of NAFLD [28]. Another study found that the </w:t>
      </w:r>
      <w:r w:rsidRPr="00D323AE">
        <w:rPr>
          <w:rFonts w:asciiTheme="majorBidi" w:hAnsiTheme="majorBidi" w:cstheme="majorBidi"/>
          <w:color w:val="000000"/>
          <w:sz w:val="24"/>
          <w:szCs w:val="24"/>
          <w:shd w:val="clear" w:color="auto" w:fill="FFFFFF"/>
        </w:rPr>
        <w:t xml:space="preserve">BMI, serum triglyceride, and AST levels were risk factors for NAFLD [34]. </w:t>
      </w:r>
      <w:r w:rsidRPr="00D323AE">
        <w:rPr>
          <w:rFonts w:asciiTheme="majorBidi" w:hAnsiTheme="majorBidi" w:cstheme="majorBidi"/>
          <w:color w:val="000000"/>
          <w:kern w:val="0"/>
          <w:sz w:val="24"/>
          <w:szCs w:val="24"/>
        </w:rPr>
        <w:t xml:space="preserve">In addition, a meta-analysis consisting of 20 studies recorded a significant correlation between NAFLD susceptibility and PNPLA3 rs738409 </w:t>
      </w:r>
      <w:bookmarkStart w:id="18" w:name="_Hlk150724407"/>
      <w:r w:rsidRPr="00D323AE">
        <w:rPr>
          <w:rFonts w:asciiTheme="majorBidi" w:hAnsiTheme="majorBidi" w:cstheme="majorBidi"/>
          <w:color w:val="000000"/>
          <w:kern w:val="0"/>
          <w:sz w:val="24"/>
          <w:szCs w:val="24"/>
        </w:rPr>
        <w:t>polymorphism</w:t>
      </w:r>
      <w:bookmarkEnd w:id="18"/>
      <w:r w:rsidRPr="00D323AE">
        <w:rPr>
          <w:rFonts w:asciiTheme="majorBidi" w:hAnsiTheme="majorBidi" w:cstheme="majorBidi"/>
          <w:color w:val="000000"/>
          <w:kern w:val="0"/>
          <w:sz w:val="24"/>
          <w:szCs w:val="24"/>
        </w:rPr>
        <w:t xml:space="preserve"> [20]. However, in con</w:t>
      </w:r>
      <w:r w:rsidR="00D81FC7" w:rsidRPr="00D323AE">
        <w:rPr>
          <w:rFonts w:asciiTheme="majorBidi" w:hAnsiTheme="majorBidi" w:cstheme="majorBidi"/>
          <w:color w:val="000000"/>
          <w:kern w:val="0"/>
          <w:sz w:val="24"/>
          <w:szCs w:val="24"/>
        </w:rPr>
        <w:t xml:space="preserve">trast to </w:t>
      </w:r>
      <w:r w:rsidRPr="00D323AE">
        <w:rPr>
          <w:rFonts w:asciiTheme="majorBidi" w:hAnsiTheme="majorBidi" w:cstheme="majorBidi"/>
          <w:color w:val="000000"/>
          <w:kern w:val="0"/>
          <w:sz w:val="24"/>
          <w:szCs w:val="24"/>
        </w:rPr>
        <w:t xml:space="preserve">our results, Li </w:t>
      </w:r>
      <w:r w:rsidRPr="00D323AE">
        <w:rPr>
          <w:rFonts w:asciiTheme="majorBidi" w:hAnsiTheme="majorBidi" w:cstheme="majorBidi"/>
          <w:i/>
          <w:iCs/>
          <w:color w:val="000000"/>
          <w:kern w:val="0"/>
          <w:sz w:val="24"/>
          <w:szCs w:val="24"/>
        </w:rPr>
        <w:t>et al</w:t>
      </w:r>
      <w:r w:rsidR="00D81FC7" w:rsidRPr="00D323AE">
        <w:rPr>
          <w:rFonts w:asciiTheme="majorBidi" w:hAnsiTheme="majorBidi" w:cstheme="majorBidi"/>
          <w:color w:val="000000"/>
          <w:kern w:val="0"/>
          <w:sz w:val="24"/>
          <w:szCs w:val="24"/>
        </w:rPr>
        <w:t>.</w:t>
      </w:r>
      <w:r w:rsidRPr="00D323AE">
        <w:rPr>
          <w:rFonts w:asciiTheme="majorBidi" w:hAnsiTheme="majorBidi" w:cstheme="majorBidi"/>
          <w:color w:val="000000"/>
          <w:kern w:val="0"/>
          <w:sz w:val="24"/>
          <w:szCs w:val="24"/>
        </w:rPr>
        <w:t xml:space="preserve"> [35] detected no correlation between hepatic steatosis and PNPLA3 rs738409 gene polymorphism.</w:t>
      </w:r>
    </w:p>
    <w:p w14:paraId="0459A5E0" w14:textId="77777777" w:rsidR="0015007E" w:rsidRPr="00D323AE" w:rsidRDefault="0015007E">
      <w:pPr>
        <w:autoSpaceDE w:val="0"/>
        <w:autoSpaceDN w:val="0"/>
        <w:adjustRightInd w:val="0"/>
        <w:spacing w:after="0" w:line="240" w:lineRule="auto"/>
        <w:jc w:val="both"/>
        <w:rPr>
          <w:rFonts w:asciiTheme="majorBidi" w:hAnsiTheme="majorBidi" w:cstheme="majorBidi"/>
          <w:color w:val="000000"/>
          <w:kern w:val="0"/>
          <w:sz w:val="24"/>
          <w:szCs w:val="24"/>
        </w:rPr>
      </w:pPr>
    </w:p>
    <w:p w14:paraId="7E3D2331" w14:textId="1D2DC467" w:rsidR="0015007E" w:rsidRPr="00D323AE" w:rsidRDefault="00000000">
      <w:pPr>
        <w:spacing w:line="240" w:lineRule="auto"/>
        <w:jc w:val="both"/>
        <w:rPr>
          <w:rFonts w:asciiTheme="majorBidi" w:hAnsiTheme="majorBidi" w:cstheme="majorBidi"/>
          <w:color w:val="000000"/>
          <w:sz w:val="24"/>
          <w:szCs w:val="24"/>
        </w:rPr>
      </w:pPr>
      <w:r w:rsidRPr="00D323AE">
        <w:rPr>
          <w:rFonts w:asciiTheme="majorBidi" w:hAnsiTheme="majorBidi" w:cstheme="majorBidi"/>
          <w:color w:val="000000"/>
          <w:kern w:val="0"/>
          <w:sz w:val="24"/>
          <w:szCs w:val="24"/>
        </w:rPr>
        <w:t xml:space="preserve">Many studies have confirmed a strong relationship between metabolic syndrome and the grade of fibrosis and steatosis in NAFLD [36,37]. </w:t>
      </w:r>
      <w:r w:rsidRPr="00D323AE">
        <w:rPr>
          <w:rFonts w:asciiTheme="majorBidi" w:hAnsiTheme="majorBidi" w:cstheme="majorBidi"/>
          <w:color w:val="000000"/>
          <w:kern w:val="0"/>
          <w:sz w:val="24"/>
          <w:szCs w:val="24"/>
          <w:lang w:val="en-US"/>
          <w14:ligatures w14:val="none"/>
        </w:rPr>
        <w:t>In agreement with earlier studies [33,34,38], NAFLD patients had higher BMI values than the control group</w:t>
      </w:r>
      <w:r w:rsidRPr="00D323AE">
        <w:rPr>
          <w:rFonts w:asciiTheme="majorBidi" w:hAnsiTheme="majorBidi" w:cstheme="majorBidi"/>
          <w:color w:val="000000"/>
          <w:kern w:val="0"/>
          <w:sz w:val="24"/>
          <w:szCs w:val="24"/>
          <w14:ligatures w14:val="none"/>
        </w:rPr>
        <w:t xml:space="preserve">. </w:t>
      </w:r>
      <w:r w:rsidRPr="00D323AE">
        <w:rPr>
          <w:rFonts w:asciiTheme="majorBidi" w:hAnsiTheme="majorBidi" w:cstheme="majorBidi"/>
          <w:color w:val="000000"/>
          <w:sz w:val="24"/>
          <w:szCs w:val="24"/>
        </w:rPr>
        <w:t>Moreover,</w:t>
      </w:r>
      <w:r w:rsidRPr="00D323AE">
        <w:rPr>
          <w:rFonts w:asciiTheme="majorBidi" w:hAnsiTheme="majorBidi" w:cstheme="majorBidi"/>
          <w:color w:val="000000"/>
          <w:kern w:val="0"/>
          <w:sz w:val="24"/>
          <w:szCs w:val="24"/>
          <w14:ligatures w14:val="none"/>
        </w:rPr>
        <w:t xml:space="preserve"> a strong association was detected between the BMI and </w:t>
      </w:r>
      <w:r w:rsidR="00A1413B" w:rsidRPr="00D323AE">
        <w:rPr>
          <w:rFonts w:asciiTheme="majorBidi" w:hAnsiTheme="majorBidi" w:cstheme="majorBidi"/>
          <w:color w:val="000000"/>
          <w:kern w:val="0"/>
          <w:sz w:val="24"/>
          <w:szCs w:val="24"/>
          <w14:ligatures w14:val="none"/>
        </w:rPr>
        <w:t>hepatic</w:t>
      </w:r>
      <w:r w:rsidRPr="00D323AE">
        <w:rPr>
          <w:rFonts w:asciiTheme="majorBidi" w:hAnsiTheme="majorBidi" w:cstheme="majorBidi"/>
          <w:color w:val="000000"/>
          <w:kern w:val="0"/>
          <w:sz w:val="24"/>
          <w:szCs w:val="24"/>
          <w14:ligatures w14:val="none"/>
        </w:rPr>
        <w:t xml:space="preserve"> steatosis and fibrosis in liver biopsy.</w:t>
      </w:r>
      <w:r w:rsidRPr="00D323AE">
        <w:rPr>
          <w:rFonts w:asciiTheme="majorBidi" w:hAnsiTheme="majorBidi" w:cstheme="majorBidi"/>
          <w:color w:val="000000"/>
          <w:sz w:val="24"/>
          <w:szCs w:val="24"/>
        </w:rPr>
        <w:t xml:space="preserve"> </w:t>
      </w:r>
    </w:p>
    <w:p w14:paraId="0A7BFE13" w14:textId="19B403DF" w:rsidR="0015007E" w:rsidRPr="00D323AE" w:rsidRDefault="00000000">
      <w:pPr>
        <w:spacing w:line="240" w:lineRule="auto"/>
        <w:jc w:val="both"/>
        <w:rPr>
          <w:rFonts w:asciiTheme="majorBidi" w:hAnsiTheme="majorBidi" w:cstheme="majorBidi"/>
          <w:color w:val="000000"/>
          <w:kern w:val="0"/>
          <w:sz w:val="24"/>
          <w:szCs w:val="24"/>
          <w:lang w:val="en-US"/>
        </w:rPr>
      </w:pPr>
      <w:r w:rsidRPr="00D323AE">
        <w:rPr>
          <w:rFonts w:asciiTheme="majorBidi" w:hAnsiTheme="majorBidi" w:cstheme="majorBidi"/>
          <w:color w:val="000000"/>
          <w:sz w:val="24"/>
          <w:szCs w:val="24"/>
        </w:rPr>
        <w:t>Substantial evidence suggests that stimulatin</w:t>
      </w:r>
      <w:r w:rsidR="000833EE">
        <w:rPr>
          <w:rFonts w:asciiTheme="majorBidi" w:hAnsiTheme="majorBidi" w:cstheme="majorBidi"/>
          <w:color w:val="000000"/>
          <w:sz w:val="24"/>
          <w:szCs w:val="24"/>
        </w:rPr>
        <w:t>g</w:t>
      </w:r>
      <w:r w:rsidRPr="00D323AE">
        <w:rPr>
          <w:rFonts w:asciiTheme="majorBidi" w:hAnsiTheme="majorBidi" w:cstheme="majorBidi"/>
          <w:color w:val="000000"/>
          <w:sz w:val="24"/>
          <w:szCs w:val="24"/>
        </w:rPr>
        <w:t xml:space="preserve"> the immune system with proinflammatory mediators secreted by visceral adipose tissue is crucial to disease severity and progression</w:t>
      </w:r>
      <w:r w:rsidRPr="00D323AE">
        <w:rPr>
          <w:rFonts w:asciiTheme="majorBidi" w:hAnsiTheme="majorBidi" w:cstheme="majorBidi"/>
          <w:color w:val="000000"/>
          <w:kern w:val="0"/>
          <w:sz w:val="24"/>
          <w:szCs w:val="24"/>
        </w:rPr>
        <w:t xml:space="preserve">. In addition, intrahepatic lipids are implicated </w:t>
      </w:r>
      <w:r w:rsidR="000833EE">
        <w:rPr>
          <w:rFonts w:asciiTheme="majorBidi" w:hAnsiTheme="majorBidi" w:cstheme="majorBidi"/>
          <w:color w:val="000000"/>
          <w:kern w:val="0"/>
          <w:sz w:val="24"/>
          <w:szCs w:val="24"/>
        </w:rPr>
        <w:t>in</w:t>
      </w:r>
      <w:r w:rsidRPr="00D323AE">
        <w:rPr>
          <w:rFonts w:asciiTheme="majorBidi" w:hAnsiTheme="majorBidi" w:cstheme="majorBidi"/>
          <w:color w:val="000000"/>
          <w:kern w:val="0"/>
          <w:sz w:val="24"/>
          <w:szCs w:val="24"/>
        </w:rPr>
        <w:t xml:space="preserve"> induc</w:t>
      </w:r>
      <w:r w:rsidR="000833EE">
        <w:rPr>
          <w:rFonts w:asciiTheme="majorBidi" w:hAnsiTheme="majorBidi" w:cstheme="majorBidi"/>
          <w:color w:val="000000"/>
          <w:kern w:val="0"/>
          <w:sz w:val="24"/>
          <w:szCs w:val="24"/>
        </w:rPr>
        <w:t>ing</w:t>
      </w:r>
      <w:r w:rsidRPr="00D323AE">
        <w:rPr>
          <w:rFonts w:asciiTheme="majorBidi" w:hAnsiTheme="majorBidi" w:cstheme="majorBidi"/>
          <w:color w:val="000000"/>
          <w:kern w:val="0"/>
          <w:sz w:val="24"/>
          <w:szCs w:val="24"/>
        </w:rPr>
        <w:t xml:space="preserve"> oxidative stress, triggering portal and lobular inflammation, </w:t>
      </w:r>
      <w:r w:rsidR="000833EE">
        <w:rPr>
          <w:rFonts w:asciiTheme="majorBidi" w:hAnsiTheme="majorBidi" w:cstheme="majorBidi"/>
          <w:color w:val="000000"/>
          <w:kern w:val="0"/>
          <w:sz w:val="24"/>
          <w:szCs w:val="24"/>
        </w:rPr>
        <w:t>and </w:t>
      </w:r>
      <w:r w:rsidRPr="00D323AE">
        <w:rPr>
          <w:rFonts w:asciiTheme="majorBidi" w:hAnsiTheme="majorBidi" w:cstheme="majorBidi"/>
          <w:color w:val="000000"/>
          <w:kern w:val="0"/>
          <w:sz w:val="24"/>
          <w:szCs w:val="24"/>
        </w:rPr>
        <w:t>characteri</w:t>
      </w:r>
      <w:r w:rsidR="000833EE">
        <w:rPr>
          <w:rFonts w:asciiTheme="majorBidi" w:hAnsiTheme="majorBidi" w:cstheme="majorBidi"/>
          <w:color w:val="000000"/>
          <w:kern w:val="0"/>
          <w:sz w:val="24"/>
          <w:szCs w:val="24"/>
        </w:rPr>
        <w:t>z</w:t>
      </w:r>
      <w:r w:rsidRPr="00D323AE">
        <w:rPr>
          <w:rFonts w:asciiTheme="majorBidi" w:hAnsiTheme="majorBidi" w:cstheme="majorBidi"/>
          <w:color w:val="000000"/>
          <w:kern w:val="0"/>
          <w:sz w:val="24"/>
          <w:szCs w:val="24"/>
        </w:rPr>
        <w:t xml:space="preserve">ing the severe histological forms of the disease </w:t>
      </w:r>
      <w:r w:rsidRPr="00D323AE">
        <w:rPr>
          <w:rFonts w:asciiTheme="majorBidi" w:hAnsiTheme="majorBidi" w:cstheme="majorBidi"/>
          <w:color w:val="000000"/>
          <w:sz w:val="24"/>
          <w:szCs w:val="24"/>
        </w:rPr>
        <w:t>[39]</w:t>
      </w:r>
      <w:r w:rsidRPr="00D323AE">
        <w:rPr>
          <w:rFonts w:asciiTheme="majorBidi" w:eastAsia="AlergiaNormal-Light" w:hAnsiTheme="majorBidi" w:cstheme="majorBidi"/>
          <w:color w:val="000000"/>
          <w:kern w:val="0"/>
          <w:sz w:val="24"/>
          <w:szCs w:val="24"/>
        </w:rPr>
        <w:t>. Further, accumulating data support</w:t>
      </w:r>
      <w:r w:rsidR="000833EE">
        <w:rPr>
          <w:rFonts w:asciiTheme="majorBidi" w:eastAsia="AlergiaNormal-Light" w:hAnsiTheme="majorBidi" w:cstheme="majorBidi"/>
          <w:color w:val="000000"/>
          <w:kern w:val="0"/>
          <w:sz w:val="24"/>
          <w:szCs w:val="24"/>
        </w:rPr>
        <w:t>s</w:t>
      </w:r>
      <w:r w:rsidRPr="00D323AE">
        <w:rPr>
          <w:rFonts w:asciiTheme="majorBidi" w:eastAsia="AlergiaNormal-Light" w:hAnsiTheme="majorBidi" w:cstheme="majorBidi"/>
          <w:color w:val="000000"/>
          <w:kern w:val="0"/>
          <w:sz w:val="24"/>
          <w:szCs w:val="24"/>
        </w:rPr>
        <w:t xml:space="preserve"> that the NLR is a simple marker in estimating the NAFLD severity [40].</w:t>
      </w:r>
      <w:r w:rsidRPr="00D323AE">
        <w:rPr>
          <w:rFonts w:asciiTheme="majorBidi" w:hAnsiTheme="majorBidi" w:cstheme="majorBidi"/>
          <w:color w:val="000000"/>
          <w:kern w:val="0"/>
          <w:sz w:val="24"/>
          <w:szCs w:val="24"/>
          <w:lang w:val="en-US"/>
          <w14:ligatures w14:val="none"/>
        </w:rPr>
        <w:t xml:space="preserve"> In contrast to our results, </w:t>
      </w:r>
      <w:r w:rsidRPr="00D323AE">
        <w:rPr>
          <w:rFonts w:asciiTheme="majorBidi" w:hAnsiTheme="majorBidi" w:cstheme="majorBidi"/>
          <w:color w:val="000000"/>
          <w:sz w:val="24"/>
          <w:szCs w:val="24"/>
        </w:rPr>
        <w:t xml:space="preserve">Lesmana </w:t>
      </w:r>
      <w:r w:rsidRPr="00D323AE">
        <w:rPr>
          <w:rFonts w:asciiTheme="majorBidi" w:hAnsiTheme="majorBidi" w:cstheme="majorBidi"/>
          <w:i/>
          <w:iCs/>
          <w:color w:val="000000"/>
          <w:kern w:val="0"/>
          <w:sz w:val="24"/>
          <w:szCs w:val="24"/>
          <w:lang w:val="en-US"/>
          <w14:ligatures w14:val="none"/>
        </w:rPr>
        <w:t>et al</w:t>
      </w:r>
      <w:r w:rsidR="00156804" w:rsidRPr="00D323AE">
        <w:rPr>
          <w:rFonts w:asciiTheme="majorBidi" w:hAnsiTheme="majorBidi" w:cstheme="majorBidi"/>
          <w:color w:val="000000"/>
          <w:kern w:val="0"/>
          <w:sz w:val="24"/>
          <w:szCs w:val="24"/>
          <w:lang w:val="en-US"/>
          <w14:ligatures w14:val="none"/>
        </w:rPr>
        <w:t>.</w:t>
      </w:r>
      <w:r w:rsidRPr="00D323AE">
        <w:rPr>
          <w:rFonts w:asciiTheme="majorBidi" w:hAnsiTheme="majorBidi" w:cstheme="majorBidi"/>
          <w:color w:val="000000"/>
          <w:kern w:val="0"/>
          <w:sz w:val="24"/>
          <w:szCs w:val="24"/>
          <w:lang w:val="en-US"/>
          <w14:ligatures w14:val="none"/>
        </w:rPr>
        <w:t xml:space="preserve"> </w:t>
      </w:r>
      <w:r w:rsidRPr="00D323AE">
        <w:rPr>
          <w:rFonts w:asciiTheme="majorBidi" w:hAnsiTheme="majorBidi" w:cstheme="majorBidi"/>
          <w:color w:val="000000"/>
          <w:sz w:val="24"/>
          <w:szCs w:val="24"/>
        </w:rPr>
        <w:t>[38] observed that cases with moderate to severe steatosis had a greater</w:t>
      </w:r>
      <w:r w:rsidRPr="00D323AE">
        <w:rPr>
          <w:rFonts w:asciiTheme="majorBidi" w:eastAsia="AlergiaNormal-Light" w:hAnsiTheme="majorBidi" w:cstheme="majorBidi"/>
          <w:color w:val="000000"/>
          <w:kern w:val="0"/>
          <w:sz w:val="24"/>
          <w:szCs w:val="24"/>
        </w:rPr>
        <w:t xml:space="preserve"> NLR </w:t>
      </w:r>
      <w:r w:rsidR="000833EE">
        <w:rPr>
          <w:rFonts w:asciiTheme="majorBidi" w:hAnsiTheme="majorBidi" w:cstheme="majorBidi"/>
          <w:color w:val="000000"/>
          <w:sz w:val="24"/>
          <w:szCs w:val="24"/>
        </w:rPr>
        <w:t>th</w:t>
      </w:r>
      <w:r w:rsidRPr="00D323AE">
        <w:rPr>
          <w:rFonts w:asciiTheme="majorBidi" w:hAnsiTheme="majorBidi" w:cstheme="majorBidi"/>
          <w:color w:val="000000"/>
          <w:sz w:val="24"/>
          <w:szCs w:val="24"/>
        </w:rPr>
        <w:t>a</w:t>
      </w:r>
      <w:r w:rsidR="000833EE">
        <w:rPr>
          <w:rFonts w:asciiTheme="majorBidi" w:hAnsiTheme="majorBidi" w:cstheme="majorBidi"/>
          <w:color w:val="000000"/>
          <w:sz w:val="24"/>
          <w:szCs w:val="24"/>
        </w:rPr>
        <w:t>n</w:t>
      </w:r>
      <w:r w:rsidRPr="00D323AE">
        <w:rPr>
          <w:rFonts w:asciiTheme="majorBidi" w:hAnsiTheme="majorBidi" w:cstheme="majorBidi"/>
          <w:color w:val="000000"/>
          <w:sz w:val="24"/>
          <w:szCs w:val="24"/>
        </w:rPr>
        <w:t xml:space="preserve"> patients with mild steatosis.</w:t>
      </w:r>
      <w:r w:rsidRPr="00D323AE">
        <w:rPr>
          <w:rFonts w:asciiTheme="majorBidi" w:hAnsiTheme="majorBidi" w:cstheme="majorBidi"/>
          <w:color w:val="000000"/>
          <w:kern w:val="0"/>
          <w:sz w:val="24"/>
          <w:szCs w:val="24"/>
          <w14:ligatures w14:val="none"/>
        </w:rPr>
        <w:t xml:space="preserve"> Additionally,</w:t>
      </w:r>
      <w:r w:rsidRPr="00D323AE">
        <w:rPr>
          <w:rFonts w:asciiTheme="majorBidi" w:hAnsiTheme="majorBidi" w:cstheme="majorBidi"/>
          <w:color w:val="000000"/>
          <w:kern w:val="0"/>
          <w:sz w:val="24"/>
          <w:szCs w:val="24"/>
        </w:rPr>
        <w:t xml:space="preserve"> Yilmaz </w:t>
      </w:r>
      <w:r w:rsidRPr="00D323AE">
        <w:rPr>
          <w:rFonts w:asciiTheme="majorBidi" w:hAnsiTheme="majorBidi" w:cstheme="majorBidi"/>
          <w:i/>
          <w:iCs/>
          <w:color w:val="000000"/>
          <w:kern w:val="0"/>
          <w:sz w:val="24"/>
          <w:szCs w:val="24"/>
        </w:rPr>
        <w:t>et al</w:t>
      </w:r>
      <w:r w:rsidR="00156804" w:rsidRPr="00D323AE">
        <w:rPr>
          <w:rFonts w:asciiTheme="majorBidi" w:hAnsiTheme="majorBidi" w:cstheme="majorBidi"/>
          <w:color w:val="000000"/>
          <w:kern w:val="0"/>
          <w:sz w:val="24"/>
          <w:szCs w:val="24"/>
        </w:rPr>
        <w:t>.</w:t>
      </w:r>
      <w:r w:rsidRPr="00D323AE">
        <w:rPr>
          <w:rFonts w:asciiTheme="majorBidi" w:hAnsiTheme="majorBidi" w:cstheme="majorBidi"/>
          <w:color w:val="000000"/>
          <w:kern w:val="0"/>
          <w:sz w:val="24"/>
          <w:szCs w:val="24"/>
        </w:rPr>
        <w:t xml:space="preserve"> [41] noted that cases with NASH had a </w:t>
      </w:r>
      <w:r w:rsidRPr="00D323AE">
        <w:rPr>
          <w:rFonts w:asciiTheme="majorBidi" w:hAnsiTheme="majorBidi" w:cstheme="majorBidi"/>
          <w:color w:val="000000"/>
          <w:sz w:val="24"/>
          <w:szCs w:val="24"/>
        </w:rPr>
        <w:t>greater</w:t>
      </w:r>
      <w:r w:rsidRPr="00D323AE">
        <w:rPr>
          <w:rFonts w:asciiTheme="majorBidi" w:eastAsia="AlergiaNormal-Light" w:hAnsiTheme="majorBidi" w:cstheme="majorBidi"/>
          <w:color w:val="000000"/>
          <w:kern w:val="0"/>
          <w:sz w:val="24"/>
          <w:szCs w:val="24"/>
        </w:rPr>
        <w:t xml:space="preserve"> NLR </w:t>
      </w:r>
      <w:r w:rsidR="000833EE">
        <w:rPr>
          <w:rFonts w:asciiTheme="majorBidi" w:hAnsiTheme="majorBidi" w:cstheme="majorBidi"/>
          <w:color w:val="000000"/>
          <w:kern w:val="0"/>
          <w:sz w:val="24"/>
          <w:szCs w:val="24"/>
        </w:rPr>
        <w:t>th</w:t>
      </w:r>
      <w:r w:rsidRPr="00D323AE">
        <w:rPr>
          <w:rFonts w:asciiTheme="majorBidi" w:hAnsiTheme="majorBidi" w:cstheme="majorBidi"/>
          <w:color w:val="000000"/>
          <w:kern w:val="0"/>
          <w:sz w:val="24"/>
          <w:szCs w:val="24"/>
        </w:rPr>
        <w:t>a</w:t>
      </w:r>
      <w:r w:rsidR="000833EE">
        <w:rPr>
          <w:rFonts w:asciiTheme="majorBidi" w:hAnsiTheme="majorBidi" w:cstheme="majorBidi"/>
          <w:color w:val="000000"/>
          <w:kern w:val="0"/>
          <w:sz w:val="24"/>
          <w:szCs w:val="24"/>
        </w:rPr>
        <w:t>n</w:t>
      </w:r>
      <w:r w:rsidRPr="00D323AE">
        <w:rPr>
          <w:rFonts w:asciiTheme="majorBidi" w:hAnsiTheme="majorBidi" w:cstheme="majorBidi"/>
          <w:color w:val="000000"/>
          <w:kern w:val="0"/>
          <w:sz w:val="24"/>
          <w:szCs w:val="24"/>
        </w:rPr>
        <w:t xml:space="preserve"> controls. </w:t>
      </w:r>
      <w:r w:rsidRPr="00D323AE">
        <w:rPr>
          <w:rFonts w:asciiTheme="majorBidi" w:eastAsia="AlergiaNormal-Light" w:hAnsiTheme="majorBidi" w:cstheme="majorBidi"/>
          <w:color w:val="000000"/>
          <w:kern w:val="0"/>
          <w:sz w:val="24"/>
          <w:szCs w:val="24"/>
        </w:rPr>
        <w:t>However, in agreement with the present results</w:t>
      </w:r>
      <w:r w:rsidRPr="00D323AE">
        <w:rPr>
          <w:rFonts w:asciiTheme="majorBidi" w:hAnsiTheme="majorBidi" w:cstheme="majorBidi"/>
          <w:color w:val="000000"/>
          <w:kern w:val="0"/>
          <w:sz w:val="24"/>
          <w:szCs w:val="24"/>
        </w:rPr>
        <w:t xml:space="preserve">, </w:t>
      </w:r>
      <w:r w:rsidRPr="00D323AE">
        <w:rPr>
          <w:rFonts w:asciiTheme="majorBidi" w:eastAsia="AlergiaNormal-Light" w:hAnsiTheme="majorBidi" w:cstheme="majorBidi"/>
          <w:color w:val="000000"/>
          <w:kern w:val="0"/>
          <w:sz w:val="24"/>
          <w:szCs w:val="24"/>
        </w:rPr>
        <w:t>a large cohort</w:t>
      </w:r>
      <w:r w:rsidRPr="00D323AE">
        <w:rPr>
          <w:rFonts w:asciiTheme="majorBidi" w:eastAsia="AlergiaNormal-Light" w:hAnsiTheme="majorBidi" w:cstheme="majorBidi"/>
          <w:i/>
          <w:iCs/>
          <w:color w:val="000000"/>
          <w:kern w:val="0"/>
          <w:sz w:val="24"/>
          <w:szCs w:val="24"/>
        </w:rPr>
        <w:t xml:space="preserve"> </w:t>
      </w:r>
      <w:r w:rsidRPr="00D323AE">
        <w:rPr>
          <w:rFonts w:asciiTheme="majorBidi" w:eastAsia="AlergiaNormal-Light" w:hAnsiTheme="majorBidi" w:cstheme="majorBidi"/>
          <w:color w:val="000000"/>
          <w:kern w:val="0"/>
          <w:sz w:val="24"/>
          <w:szCs w:val="24"/>
        </w:rPr>
        <w:t xml:space="preserve">study found that the NLR is </w:t>
      </w:r>
      <w:r w:rsidR="000833EE">
        <w:rPr>
          <w:rFonts w:asciiTheme="majorBidi" w:eastAsia="AlergiaNormal-Light" w:hAnsiTheme="majorBidi" w:cstheme="majorBidi"/>
          <w:color w:val="000000"/>
          <w:kern w:val="0"/>
          <w:sz w:val="24"/>
          <w:szCs w:val="24"/>
        </w:rPr>
        <w:t>u</w:t>
      </w:r>
      <w:r w:rsidRPr="00D323AE">
        <w:rPr>
          <w:rFonts w:asciiTheme="majorBidi" w:eastAsia="AlergiaNormal-Light" w:hAnsiTheme="majorBidi" w:cstheme="majorBidi"/>
          <w:color w:val="000000"/>
          <w:kern w:val="0"/>
          <w:sz w:val="24"/>
          <w:szCs w:val="24"/>
        </w:rPr>
        <w:t>nrelated to fibrosis and inflammation in NAFLD</w:t>
      </w:r>
      <w:r w:rsidRPr="00D323AE">
        <w:rPr>
          <w:rFonts w:asciiTheme="majorBidi" w:hAnsiTheme="majorBidi" w:cstheme="majorBidi"/>
          <w:color w:val="000000"/>
          <w:kern w:val="0"/>
          <w:sz w:val="24"/>
          <w:szCs w:val="24"/>
        </w:rPr>
        <w:t xml:space="preserve"> [42]</w:t>
      </w:r>
      <w:r w:rsidRPr="00D323AE">
        <w:rPr>
          <w:rFonts w:asciiTheme="majorBidi" w:hAnsiTheme="majorBidi" w:cstheme="majorBidi"/>
          <w:color w:val="000000"/>
          <w:kern w:val="0"/>
          <w:sz w:val="24"/>
          <w:szCs w:val="24"/>
          <w:lang w:val="en-US"/>
          <w14:ligatures w14:val="none"/>
        </w:rPr>
        <w:t>.</w:t>
      </w:r>
    </w:p>
    <w:p w14:paraId="51CEC856" w14:textId="328D277B" w:rsidR="0015007E" w:rsidRPr="00D323AE" w:rsidRDefault="00000000">
      <w:pPr>
        <w:spacing w:line="240" w:lineRule="auto"/>
        <w:jc w:val="both"/>
        <w:rPr>
          <w:rFonts w:asciiTheme="majorBidi" w:hAnsiTheme="majorBidi" w:cstheme="majorBidi"/>
          <w:color w:val="000000"/>
          <w:kern w:val="0"/>
          <w:sz w:val="24"/>
          <w:szCs w:val="24"/>
        </w:rPr>
      </w:pPr>
      <w:r w:rsidRPr="00D323AE">
        <w:rPr>
          <w:rFonts w:asciiTheme="majorBidi" w:hAnsiTheme="majorBidi" w:cstheme="majorBidi"/>
          <w:color w:val="000000"/>
          <w:kern w:val="0"/>
          <w:sz w:val="24"/>
          <w:szCs w:val="24"/>
          <w:lang w:val="en-US"/>
          <w14:ligatures w14:val="none"/>
        </w:rPr>
        <w:t xml:space="preserve">In agreement with an earlier study [43], NAFLD patients had a greater MPV than the control group. </w:t>
      </w:r>
      <w:r w:rsidRPr="00D323AE">
        <w:rPr>
          <w:rFonts w:asciiTheme="majorBidi" w:eastAsia="Times New Roman" w:hAnsiTheme="majorBidi" w:cstheme="majorBidi"/>
          <w:color w:val="000000"/>
          <w:kern w:val="0"/>
          <w:sz w:val="24"/>
          <w:szCs w:val="24"/>
          <w:lang w:val="en-US"/>
          <w14:ligatures w14:val="none"/>
        </w:rPr>
        <w:t xml:space="preserve">However, </w:t>
      </w:r>
      <w:r w:rsidRPr="00D323AE">
        <w:rPr>
          <w:rFonts w:asciiTheme="majorBidi" w:eastAsia="Times New Roman" w:hAnsiTheme="majorBidi" w:cstheme="majorBidi"/>
          <w:color w:val="000000"/>
          <w:kern w:val="0"/>
          <w:sz w:val="24"/>
          <w:szCs w:val="24"/>
          <w:shd w:val="clear" w:color="auto" w:fill="FFFFFF"/>
          <w:lang w:val="en-US"/>
          <w14:ligatures w14:val="none"/>
        </w:rPr>
        <w:t xml:space="preserve">MPV was not statistically different between the NAFLD group and controls, nor was </w:t>
      </w:r>
      <w:r w:rsidR="000833EE">
        <w:rPr>
          <w:rFonts w:asciiTheme="majorBidi" w:eastAsia="Times New Roman" w:hAnsiTheme="majorBidi" w:cstheme="majorBidi"/>
          <w:color w:val="000000"/>
          <w:kern w:val="0"/>
          <w:sz w:val="24"/>
          <w:szCs w:val="24"/>
          <w:shd w:val="clear" w:color="auto" w:fill="FFFFFF"/>
          <w:lang w:val="en-US"/>
          <w14:ligatures w14:val="none"/>
        </w:rPr>
        <w:t>it </w:t>
      </w:r>
      <w:r w:rsidRPr="00D323AE">
        <w:rPr>
          <w:rFonts w:asciiTheme="majorBidi" w:eastAsia="Times New Roman" w:hAnsiTheme="majorBidi" w:cstheme="majorBidi"/>
          <w:color w:val="000000"/>
          <w:kern w:val="0"/>
          <w:sz w:val="24"/>
          <w:szCs w:val="24"/>
          <w:shd w:val="clear" w:color="auto" w:fill="FFFFFF"/>
          <w:lang w:val="en-US"/>
          <w14:ligatures w14:val="none"/>
        </w:rPr>
        <w:t>a predictive factor for NAFLD in another study [34].</w:t>
      </w:r>
      <w:r w:rsidRPr="00D323AE">
        <w:rPr>
          <w:rFonts w:asciiTheme="majorBidi" w:eastAsia="Times New Roman" w:hAnsiTheme="majorBidi" w:cstheme="majorBidi"/>
          <w:color w:val="000000"/>
          <w:kern w:val="0"/>
          <w:sz w:val="24"/>
          <w:szCs w:val="24"/>
          <w:lang w:val="en-US"/>
          <w14:ligatures w14:val="none"/>
        </w:rPr>
        <w:t xml:space="preserve"> </w:t>
      </w:r>
    </w:p>
    <w:p w14:paraId="650CEAAF" w14:textId="6064CD23" w:rsidR="0015007E" w:rsidRPr="00D323AE" w:rsidRDefault="00000000">
      <w:pPr>
        <w:autoSpaceDE w:val="0"/>
        <w:autoSpaceDN w:val="0"/>
        <w:adjustRightInd w:val="0"/>
        <w:spacing w:after="0" w:line="240" w:lineRule="auto"/>
        <w:jc w:val="both"/>
        <w:rPr>
          <w:rFonts w:asciiTheme="majorBidi" w:eastAsia="AlergiaNormal-Light" w:hAnsiTheme="majorBidi" w:cstheme="majorBidi"/>
          <w:color w:val="000000"/>
          <w:kern w:val="0"/>
          <w:sz w:val="24"/>
          <w:szCs w:val="24"/>
        </w:rPr>
      </w:pPr>
      <w:r w:rsidRPr="00D323AE">
        <w:rPr>
          <w:rFonts w:asciiTheme="majorBidi" w:eastAsia="AlergiaNormal-Light" w:hAnsiTheme="majorBidi" w:cstheme="majorBidi"/>
          <w:color w:val="000000"/>
          <w:kern w:val="0"/>
          <w:sz w:val="24"/>
          <w:szCs w:val="24"/>
        </w:rPr>
        <w:t xml:space="preserve">A </w:t>
      </w:r>
      <w:r w:rsidR="000833EE">
        <w:rPr>
          <w:rFonts w:asciiTheme="majorBidi" w:eastAsia="AlergiaNormal-Light" w:hAnsiTheme="majorBidi" w:cstheme="majorBidi"/>
          <w:color w:val="000000"/>
          <w:kern w:val="0"/>
          <w:sz w:val="24"/>
          <w:szCs w:val="24"/>
        </w:rPr>
        <w:t>signific</w:t>
      </w:r>
      <w:r w:rsidRPr="00D323AE">
        <w:rPr>
          <w:rFonts w:asciiTheme="majorBidi" w:eastAsia="AlergiaNormal-Light" w:hAnsiTheme="majorBidi" w:cstheme="majorBidi"/>
          <w:color w:val="000000"/>
          <w:kern w:val="0"/>
          <w:sz w:val="24"/>
          <w:szCs w:val="24"/>
        </w:rPr>
        <w:t>a</w:t>
      </w:r>
      <w:r w:rsidR="000833EE">
        <w:rPr>
          <w:rFonts w:asciiTheme="majorBidi" w:eastAsia="AlergiaNormal-Light" w:hAnsiTheme="majorBidi" w:cstheme="majorBidi"/>
          <w:color w:val="000000"/>
          <w:kern w:val="0"/>
          <w:sz w:val="24"/>
          <w:szCs w:val="24"/>
        </w:rPr>
        <w:t>nt</w:t>
      </w:r>
      <w:r w:rsidRPr="00D323AE">
        <w:rPr>
          <w:rFonts w:asciiTheme="majorBidi" w:eastAsia="AlergiaNormal-Light" w:hAnsiTheme="majorBidi" w:cstheme="majorBidi"/>
          <w:color w:val="000000"/>
          <w:kern w:val="0"/>
          <w:sz w:val="24"/>
          <w:szCs w:val="24"/>
        </w:rPr>
        <w:t xml:space="preserve"> strength of the present research is evaluatin</w:t>
      </w:r>
      <w:r w:rsidR="000833EE">
        <w:rPr>
          <w:rFonts w:asciiTheme="majorBidi" w:eastAsia="AlergiaNormal-Light" w:hAnsiTheme="majorBidi" w:cstheme="majorBidi"/>
          <w:color w:val="000000"/>
          <w:kern w:val="0"/>
          <w:sz w:val="24"/>
          <w:szCs w:val="24"/>
        </w:rPr>
        <w:t>g</w:t>
      </w:r>
      <w:r w:rsidRPr="00D323AE">
        <w:rPr>
          <w:rFonts w:asciiTheme="majorBidi" w:eastAsia="AlergiaNormal-Light" w:hAnsiTheme="majorBidi" w:cstheme="majorBidi"/>
          <w:color w:val="000000"/>
          <w:kern w:val="0"/>
          <w:sz w:val="24"/>
          <w:szCs w:val="24"/>
        </w:rPr>
        <w:t xml:space="preserve"> hepatic disease with biopsy-proven NAFLD, the golden standard for </w:t>
      </w:r>
      <w:r w:rsidR="000833EE">
        <w:rPr>
          <w:rFonts w:asciiTheme="majorBidi" w:eastAsia="AlergiaNormal-Light" w:hAnsiTheme="majorBidi" w:cstheme="majorBidi"/>
          <w:color w:val="000000"/>
          <w:kern w:val="0"/>
          <w:sz w:val="24"/>
          <w:szCs w:val="24"/>
        </w:rPr>
        <w:t>ass</w:t>
      </w:r>
      <w:r w:rsidRPr="00D323AE">
        <w:rPr>
          <w:rFonts w:asciiTheme="majorBidi" w:eastAsia="AlergiaNormal-Light" w:hAnsiTheme="majorBidi" w:cstheme="majorBidi"/>
          <w:color w:val="000000"/>
          <w:kern w:val="0"/>
          <w:sz w:val="24"/>
          <w:szCs w:val="24"/>
        </w:rPr>
        <w:t>e</w:t>
      </w:r>
      <w:r w:rsidR="000833EE">
        <w:rPr>
          <w:rFonts w:asciiTheme="majorBidi" w:eastAsia="AlergiaNormal-Light" w:hAnsiTheme="majorBidi" w:cstheme="majorBidi"/>
          <w:color w:val="000000"/>
          <w:kern w:val="0"/>
          <w:sz w:val="24"/>
          <w:szCs w:val="24"/>
        </w:rPr>
        <w:t>ss</w:t>
      </w:r>
      <w:r w:rsidRPr="00D323AE">
        <w:rPr>
          <w:rFonts w:asciiTheme="majorBidi" w:eastAsia="AlergiaNormal-Light" w:hAnsiTheme="majorBidi" w:cstheme="majorBidi"/>
          <w:color w:val="000000"/>
          <w:kern w:val="0"/>
          <w:sz w:val="24"/>
          <w:szCs w:val="24"/>
        </w:rPr>
        <w:t>ing liver disease severity. However, the present s</w:t>
      </w:r>
      <w:r w:rsidR="000833EE">
        <w:rPr>
          <w:rFonts w:asciiTheme="majorBidi" w:eastAsia="AlergiaNormal-Light" w:hAnsiTheme="majorBidi" w:cstheme="majorBidi"/>
          <w:color w:val="000000"/>
          <w:kern w:val="0"/>
          <w:sz w:val="24"/>
          <w:szCs w:val="24"/>
        </w:rPr>
        <w:t>tudy</w:t>
      </w:r>
      <w:r w:rsidRPr="00D323AE">
        <w:rPr>
          <w:rFonts w:asciiTheme="majorBidi" w:eastAsia="AlergiaNormal-Light" w:hAnsiTheme="majorBidi" w:cstheme="majorBidi"/>
          <w:color w:val="000000"/>
          <w:kern w:val="0"/>
          <w:sz w:val="24"/>
          <w:szCs w:val="24"/>
        </w:rPr>
        <w:t xml:space="preserve"> is restricted by the small sample size. </w:t>
      </w:r>
      <w:bookmarkStart w:id="19" w:name="_Hlk154094513"/>
      <w:r w:rsidR="000833EE" w:rsidRPr="000833EE">
        <w:rPr>
          <w:rFonts w:asciiTheme="majorBidi" w:hAnsiTheme="majorBidi" w:cstheme="majorBidi"/>
          <w:color w:val="000000"/>
          <w:kern w:val="0"/>
          <w:sz w:val="24"/>
          <w:szCs w:val="24"/>
        </w:rPr>
        <w:t>According to the current results, PNPLA3 genotyping may improve risk stratification and prognostication and allow for the </w:t>
      </w:r>
      <w:r w:rsidRPr="00D323AE">
        <w:rPr>
          <w:rFonts w:asciiTheme="majorBidi" w:hAnsiTheme="majorBidi" w:cstheme="majorBidi"/>
          <w:color w:val="000000"/>
          <w:kern w:val="0"/>
          <w:sz w:val="24"/>
          <w:szCs w:val="24"/>
        </w:rPr>
        <w:t>prioriti</w:t>
      </w:r>
      <w:r w:rsidR="00A86C5F">
        <w:rPr>
          <w:rFonts w:asciiTheme="majorBidi" w:hAnsiTheme="majorBidi" w:cstheme="majorBidi"/>
          <w:color w:val="000000"/>
          <w:kern w:val="0"/>
          <w:sz w:val="24"/>
          <w:szCs w:val="24"/>
        </w:rPr>
        <w:t>z</w:t>
      </w:r>
      <w:r w:rsidRPr="00D323AE">
        <w:rPr>
          <w:rFonts w:asciiTheme="majorBidi" w:hAnsiTheme="majorBidi" w:cstheme="majorBidi"/>
          <w:color w:val="000000"/>
          <w:kern w:val="0"/>
          <w:sz w:val="24"/>
          <w:szCs w:val="24"/>
        </w:rPr>
        <w:t>ation of intensive interventions in NAFLD patients [44].</w:t>
      </w:r>
      <w:r w:rsidRPr="00D323AE">
        <w:rPr>
          <w:rFonts w:asciiTheme="majorBidi" w:hAnsiTheme="majorBidi" w:cstheme="majorBidi"/>
          <w:color w:val="000000"/>
          <w:sz w:val="24"/>
          <w:szCs w:val="24"/>
        </w:rPr>
        <w:t xml:space="preserve"> Additionally, with this knowledge, it has become possible to apply its effects on NAFLD into clinical applications, such as innovative drugs, and discover potential targets to treat the disease </w:t>
      </w:r>
      <w:bookmarkEnd w:id="19"/>
      <w:r w:rsidRPr="00D323AE">
        <w:rPr>
          <w:rFonts w:asciiTheme="majorBidi" w:hAnsiTheme="majorBidi" w:cstheme="majorBidi"/>
          <w:color w:val="000000"/>
          <w:sz w:val="24"/>
          <w:szCs w:val="24"/>
        </w:rPr>
        <w:t xml:space="preserve">[45,46]. In this context, antisense </w:t>
      </w:r>
      <w:r w:rsidR="000833EE" w:rsidRPr="000833EE">
        <w:rPr>
          <w:rFonts w:asciiTheme="majorBidi" w:hAnsiTheme="majorBidi" w:cstheme="majorBidi"/>
          <w:color w:val="000000"/>
          <w:sz w:val="24"/>
          <w:szCs w:val="24"/>
        </w:rPr>
        <w:t>oligonucleotide-mediated silencing of the </w:t>
      </w:r>
      <w:r w:rsidRPr="00D323AE">
        <w:rPr>
          <w:rFonts w:asciiTheme="majorBidi" w:hAnsiTheme="majorBidi" w:cstheme="majorBidi"/>
          <w:color w:val="000000"/>
          <w:sz w:val="24"/>
          <w:szCs w:val="24"/>
        </w:rPr>
        <w:t>PNPLA3 gene</w:t>
      </w:r>
      <w:r w:rsidRPr="00D323AE">
        <w:rPr>
          <w:rFonts w:asciiTheme="majorBidi" w:hAnsiTheme="majorBidi" w:cstheme="majorBidi"/>
          <w:i/>
          <w:iCs/>
          <w:color w:val="000000"/>
          <w:sz w:val="24"/>
          <w:szCs w:val="24"/>
        </w:rPr>
        <w:t xml:space="preserve"> </w:t>
      </w:r>
      <w:r w:rsidRPr="00D323AE">
        <w:rPr>
          <w:rFonts w:asciiTheme="majorBidi" w:hAnsiTheme="majorBidi" w:cstheme="majorBidi"/>
          <w:color w:val="000000"/>
          <w:sz w:val="24"/>
          <w:szCs w:val="24"/>
        </w:rPr>
        <w:t>was investigated in a m</w:t>
      </w:r>
      <w:r w:rsidR="00A86C5F">
        <w:rPr>
          <w:rFonts w:asciiTheme="majorBidi" w:hAnsiTheme="majorBidi" w:cstheme="majorBidi"/>
          <w:color w:val="000000"/>
          <w:sz w:val="24"/>
          <w:szCs w:val="24"/>
        </w:rPr>
        <w:t>ous</w:t>
      </w:r>
      <w:r w:rsidRPr="00D323AE">
        <w:rPr>
          <w:rFonts w:asciiTheme="majorBidi" w:hAnsiTheme="majorBidi" w:cstheme="majorBidi"/>
          <w:color w:val="000000"/>
          <w:sz w:val="24"/>
          <w:szCs w:val="24"/>
        </w:rPr>
        <w:t xml:space="preserve">e model. </w:t>
      </w:r>
      <w:r w:rsidR="00013357" w:rsidRPr="00D323AE">
        <w:rPr>
          <w:rFonts w:asciiTheme="majorBidi" w:hAnsiTheme="majorBidi" w:cstheme="majorBidi"/>
          <w:color w:val="000000"/>
          <w:sz w:val="24"/>
          <w:szCs w:val="24"/>
        </w:rPr>
        <w:t>Notably, there</w:t>
      </w:r>
      <w:r w:rsidRPr="00D323AE">
        <w:rPr>
          <w:rFonts w:asciiTheme="majorBidi" w:hAnsiTheme="majorBidi" w:cstheme="majorBidi"/>
          <w:color w:val="000000"/>
          <w:sz w:val="24"/>
          <w:szCs w:val="24"/>
        </w:rPr>
        <w:t xml:space="preserve"> was a decline in the NAFLD activity score, hepatic inflammation, steatosis, and fibrosis grade [47]. </w:t>
      </w:r>
    </w:p>
    <w:p w14:paraId="3D425B72" w14:textId="77777777" w:rsidR="0015007E" w:rsidRPr="00D323AE" w:rsidRDefault="00000000">
      <w:pPr>
        <w:spacing w:before="240" w:line="240" w:lineRule="auto"/>
        <w:jc w:val="both"/>
        <w:rPr>
          <w:rFonts w:asciiTheme="majorBidi" w:hAnsiTheme="majorBidi" w:cstheme="majorBidi"/>
          <w:b/>
          <w:bCs/>
          <w:color w:val="000000"/>
          <w:kern w:val="0"/>
          <w:sz w:val="24"/>
          <w:szCs w:val="24"/>
          <w:u w:val="single"/>
          <w14:ligatures w14:val="none"/>
        </w:rPr>
      </w:pPr>
      <w:r w:rsidRPr="00D323AE">
        <w:rPr>
          <w:rFonts w:asciiTheme="majorBidi" w:hAnsiTheme="majorBidi" w:cstheme="majorBidi"/>
          <w:b/>
          <w:bCs/>
          <w:color w:val="000000"/>
          <w:kern w:val="0"/>
          <w:sz w:val="24"/>
          <w:szCs w:val="24"/>
          <w14:ligatures w14:val="none"/>
        </w:rPr>
        <w:t>Conclusions</w:t>
      </w:r>
    </w:p>
    <w:p w14:paraId="74171A19" w14:textId="0ED96CE4" w:rsidR="0011187F" w:rsidRDefault="00000000" w:rsidP="001D0DFC">
      <w:pPr>
        <w:spacing w:before="240" w:after="120" w:line="240" w:lineRule="auto"/>
        <w:jc w:val="both"/>
        <w:rPr>
          <w:rFonts w:asciiTheme="majorBidi" w:hAnsiTheme="majorBidi" w:cstheme="majorBidi"/>
          <w:color w:val="000000"/>
          <w:sz w:val="24"/>
          <w:szCs w:val="24"/>
          <w:lang w:val="en-US"/>
        </w:rPr>
      </w:pPr>
      <w:r w:rsidRPr="00D323AE">
        <w:rPr>
          <w:rFonts w:asciiTheme="majorBidi" w:hAnsiTheme="majorBidi" w:cstheme="majorBidi"/>
          <w:color w:val="000000"/>
          <w:sz w:val="24"/>
          <w:szCs w:val="24"/>
          <w:shd w:val="clear" w:color="auto" w:fill="FFFFFF"/>
        </w:rPr>
        <w:t>The PNPLA3 rs738409 polymorphism</w:t>
      </w:r>
      <w:r w:rsidR="0011187F" w:rsidRPr="00D323AE">
        <w:rPr>
          <w:rFonts w:asciiTheme="majorBidi" w:hAnsiTheme="majorBidi" w:cstheme="majorBidi"/>
          <w:color w:val="000000"/>
          <w:sz w:val="24"/>
          <w:szCs w:val="24"/>
        </w:rPr>
        <w:t xml:space="preserve"> is significantly associated with the susceptibility and severity of </w:t>
      </w:r>
      <w:r w:rsidR="000833EE" w:rsidRPr="00D323AE">
        <w:rPr>
          <w:rFonts w:asciiTheme="majorBidi" w:hAnsiTheme="majorBidi" w:cstheme="majorBidi"/>
          <w:color w:val="000000"/>
          <w:sz w:val="24"/>
          <w:szCs w:val="24"/>
        </w:rPr>
        <w:t>non-alcoholic</w:t>
      </w:r>
      <w:r w:rsidR="0011187F" w:rsidRPr="00D323AE">
        <w:rPr>
          <w:rFonts w:asciiTheme="majorBidi" w:hAnsiTheme="majorBidi" w:cstheme="majorBidi"/>
          <w:color w:val="000000"/>
          <w:sz w:val="24"/>
          <w:szCs w:val="24"/>
        </w:rPr>
        <w:t xml:space="preserve"> fatty liver disease.</w:t>
      </w:r>
      <w:r w:rsidR="0011187F" w:rsidRPr="00D323AE">
        <w:rPr>
          <w:rFonts w:asciiTheme="majorBidi" w:hAnsiTheme="majorBidi" w:cstheme="majorBidi"/>
          <w:color w:val="000000"/>
          <w:sz w:val="24"/>
          <w:szCs w:val="24"/>
          <w:lang w:val="en-US"/>
        </w:rPr>
        <w:t xml:space="preserve"> </w:t>
      </w:r>
    </w:p>
    <w:p w14:paraId="72D0F8AB" w14:textId="77777777" w:rsidR="00907A76" w:rsidRPr="00907A76" w:rsidRDefault="00907A76" w:rsidP="00907A76">
      <w:pPr>
        <w:spacing w:line="240" w:lineRule="auto"/>
        <w:jc w:val="lowKashida"/>
        <w:rPr>
          <w:rFonts w:ascii="Times New Roman" w:hAnsi="Times New Roman" w:cs="Times New Roman"/>
          <w:b/>
          <w:bCs/>
          <w:kern w:val="0"/>
          <w:sz w:val="24"/>
          <w:szCs w:val="24"/>
          <w:lang w:val="en-US"/>
          <w14:ligatures w14:val="none"/>
        </w:rPr>
      </w:pPr>
      <w:r w:rsidRPr="00907A76">
        <w:rPr>
          <w:rFonts w:ascii="Times New Roman" w:hAnsi="Times New Roman" w:cs="Times New Roman"/>
          <w:b/>
          <w:bCs/>
          <w:kern w:val="0"/>
          <w:sz w:val="24"/>
          <w:szCs w:val="24"/>
          <w:lang w:val="en-US"/>
          <w14:ligatures w14:val="none"/>
        </w:rPr>
        <w:t>Footnotes.</w:t>
      </w:r>
    </w:p>
    <w:p w14:paraId="55E0B075" w14:textId="0742596B" w:rsidR="00907A76" w:rsidRPr="00907A76" w:rsidRDefault="007A60D8" w:rsidP="00907A76">
      <w:pPr>
        <w:spacing w:line="240" w:lineRule="auto"/>
        <w:ind w:firstLine="180"/>
        <w:jc w:val="lowKashida"/>
        <w:rPr>
          <w:rFonts w:ascii="Times New Roman" w:hAnsi="Times New Roman" w:cs="Times New Roman"/>
          <w:kern w:val="0"/>
          <w:sz w:val="24"/>
          <w:szCs w:val="24"/>
          <w:lang w:val="en-US"/>
          <w14:ligatures w14:val="none"/>
        </w:rPr>
      </w:pPr>
      <w:r>
        <w:rPr>
          <w:rFonts w:ascii="Times New Roman" w:hAnsi="Times New Roman" w:cs="Times New Roman"/>
          <w:kern w:val="0"/>
          <w:sz w:val="24"/>
          <w:szCs w:val="24"/>
          <w:lang w:val="en-US"/>
          <w14:ligatures w14:val="none"/>
        </w:rPr>
        <w:t>The peer reviewers were Amr Shaban Hanafy</w:t>
      </w:r>
      <w:r w:rsidR="00907A76" w:rsidRPr="00907A76">
        <w:rPr>
          <w:rFonts w:ascii="Times New Roman" w:hAnsi="Times New Roman" w:cs="Times New Roman"/>
          <w:kern w:val="0"/>
          <w:sz w:val="24"/>
          <w:szCs w:val="24"/>
          <w:lang w:val="en-US"/>
          <w14:ligatures w14:val="none"/>
        </w:rPr>
        <w:t xml:space="preserve"> (</w:t>
      </w:r>
      <w:bookmarkStart w:id="20" w:name="_Hlk175576913"/>
      <w:r w:rsidR="00907A76" w:rsidRPr="00907A76">
        <w:rPr>
          <w:rFonts w:ascii="Times New Roman" w:hAnsi="Times New Roman" w:cs="Times New Roman"/>
          <w:kern w:val="0"/>
          <w:sz w:val="24"/>
          <w:szCs w:val="24"/>
          <w:lang w:val="en-US"/>
          <w14:ligatures w14:val="none"/>
        </w:rPr>
        <w:t xml:space="preserve">professor of </w:t>
      </w:r>
      <w:r>
        <w:rPr>
          <w:rFonts w:ascii="Times New Roman" w:hAnsi="Times New Roman" w:cs="Times New Roman"/>
          <w:kern w:val="0"/>
          <w:sz w:val="24"/>
          <w:szCs w:val="24"/>
          <w:lang w:val="en-US"/>
          <w14:ligatures w14:val="none"/>
        </w:rPr>
        <w:t>internal medicine, </w:t>
      </w:r>
      <w:r w:rsidR="00907A76" w:rsidRPr="00907A76">
        <w:rPr>
          <w:rFonts w:ascii="Times New Roman" w:hAnsi="Times New Roman" w:cs="Times New Roman"/>
          <w:kern w:val="0"/>
          <w:sz w:val="24"/>
          <w:szCs w:val="24"/>
          <w:lang w:val="en-US"/>
          <w14:ligatures w14:val="none"/>
        </w:rPr>
        <w:t>gastroenterology, hepatology</w:t>
      </w:r>
      <w:r>
        <w:rPr>
          <w:rFonts w:ascii="Times New Roman" w:hAnsi="Times New Roman" w:cs="Times New Roman"/>
          <w:kern w:val="0"/>
          <w:sz w:val="24"/>
          <w:szCs w:val="24"/>
          <w:lang w:val="en-US"/>
          <w14:ligatures w14:val="none"/>
        </w:rPr>
        <w:t xml:space="preserve"> unit</w:t>
      </w:r>
      <w:bookmarkEnd w:id="20"/>
      <w:r w:rsidR="00907A76" w:rsidRPr="00907A76">
        <w:rPr>
          <w:rFonts w:ascii="Times New Roman" w:hAnsi="Times New Roman" w:cs="Times New Roman"/>
          <w:kern w:val="0"/>
          <w:sz w:val="24"/>
          <w:szCs w:val="24"/>
          <w:lang w:val="en-US"/>
          <w14:ligatures w14:val="none"/>
        </w:rPr>
        <w:t xml:space="preserve">), </w:t>
      </w:r>
      <w:r>
        <w:rPr>
          <w:rFonts w:ascii="Times New Roman" w:hAnsi="Times New Roman" w:cs="Times New Roman"/>
          <w:kern w:val="0"/>
          <w:sz w:val="24"/>
          <w:szCs w:val="24"/>
          <w:lang w:val="en-US"/>
          <w14:ligatures w14:val="none"/>
        </w:rPr>
        <w:t>Marwa Shabana</w:t>
      </w:r>
      <w:r w:rsidR="00907A76" w:rsidRPr="00907A76">
        <w:rPr>
          <w:rFonts w:ascii="Times New Roman" w:hAnsi="Times New Roman" w:cs="Times New Roman"/>
          <w:kern w:val="0"/>
          <w:sz w:val="24"/>
          <w:szCs w:val="24"/>
          <w:lang w:val="en-US"/>
          <w14:ligatures w14:val="none"/>
        </w:rPr>
        <w:t xml:space="preserve"> (</w:t>
      </w:r>
      <w:r>
        <w:rPr>
          <w:rFonts w:ascii="Times New Roman" w:hAnsi="Times New Roman" w:cs="Times New Roman"/>
          <w:kern w:val="0"/>
          <w:sz w:val="24"/>
          <w:szCs w:val="24"/>
          <w:lang w:val="en-US"/>
          <w14:ligatures w14:val="none"/>
        </w:rPr>
        <w:t xml:space="preserve">assistant </w:t>
      </w:r>
      <w:r w:rsidR="00907A76" w:rsidRPr="00907A76">
        <w:rPr>
          <w:rFonts w:ascii="Times New Roman" w:hAnsi="Times New Roman" w:cs="Times New Roman"/>
          <w:kern w:val="0"/>
          <w:sz w:val="24"/>
          <w:szCs w:val="24"/>
          <w:lang w:val="en-US"/>
          <w14:ligatures w14:val="none"/>
        </w:rPr>
        <w:t xml:space="preserve">professor of </w:t>
      </w:r>
      <w:r>
        <w:rPr>
          <w:rFonts w:ascii="Times New Roman" w:hAnsi="Times New Roman" w:cs="Times New Roman"/>
          <w:kern w:val="0"/>
          <w:sz w:val="24"/>
          <w:szCs w:val="24"/>
          <w:lang w:val="en-US"/>
          <w14:ligatures w14:val="none"/>
        </w:rPr>
        <w:t>clinical pathology</w:t>
      </w:r>
      <w:r w:rsidR="00907A76" w:rsidRPr="00907A76">
        <w:rPr>
          <w:rFonts w:ascii="Times New Roman" w:hAnsi="Times New Roman" w:cs="Times New Roman"/>
          <w:kern w:val="0"/>
          <w:sz w:val="24"/>
          <w:szCs w:val="24"/>
          <w:lang w:val="en-US"/>
          <w14:ligatures w14:val="none"/>
        </w:rPr>
        <w:t>), and Amany Mohamed</w:t>
      </w:r>
      <w:r w:rsidR="00AD451F">
        <w:rPr>
          <w:rFonts w:ascii="Times New Roman" w:hAnsi="Times New Roman" w:cs="Times New Roman"/>
          <w:kern w:val="0"/>
          <w:sz w:val="24"/>
          <w:szCs w:val="24"/>
          <w:lang w:val="en-US"/>
          <w14:ligatures w14:val="none"/>
        </w:rPr>
        <w:t xml:space="preserve"> </w:t>
      </w:r>
      <w:r w:rsidR="00907A76" w:rsidRPr="00907A76">
        <w:rPr>
          <w:rFonts w:ascii="Times New Roman" w:hAnsi="Times New Roman" w:cs="Times New Roman"/>
          <w:kern w:val="0"/>
          <w:sz w:val="24"/>
          <w:szCs w:val="24"/>
          <w:lang w:val="en-US"/>
          <w14:ligatures w14:val="none"/>
        </w:rPr>
        <w:t>(</w:t>
      </w:r>
      <w:r w:rsidR="004B6793">
        <w:rPr>
          <w:rFonts w:ascii="Times New Roman" w:hAnsi="Times New Roman" w:cs="Times New Roman"/>
          <w:kern w:val="0"/>
          <w:sz w:val="24"/>
          <w:szCs w:val="24"/>
          <w:lang w:val="en-US"/>
          <w14:ligatures w14:val="none"/>
        </w:rPr>
        <w:t>A</w:t>
      </w:r>
      <w:r w:rsidR="00907A76" w:rsidRPr="00907A76">
        <w:rPr>
          <w:rFonts w:ascii="Times New Roman" w:hAnsi="Times New Roman" w:cs="Times New Roman"/>
          <w:kern w:val="0"/>
          <w:sz w:val="24"/>
          <w:szCs w:val="24"/>
          <w:lang w:val="en-US"/>
          <w14:ligatures w14:val="none"/>
        </w:rPr>
        <w:t xml:space="preserve">ssistant professor of </w:t>
      </w:r>
      <w:r w:rsidR="00AD451F">
        <w:rPr>
          <w:rFonts w:ascii="Times New Roman" w:hAnsi="Times New Roman" w:cs="Times New Roman"/>
          <w:kern w:val="0"/>
          <w:sz w:val="24"/>
          <w:szCs w:val="24"/>
          <w:lang w:val="en-US"/>
          <w14:ligatures w14:val="none"/>
        </w:rPr>
        <w:t>family</w:t>
      </w:r>
      <w:r w:rsidR="00907A76" w:rsidRPr="00907A76">
        <w:rPr>
          <w:rFonts w:ascii="Times New Roman" w:hAnsi="Times New Roman" w:cs="Times New Roman"/>
          <w:kern w:val="0"/>
          <w:sz w:val="24"/>
          <w:szCs w:val="24"/>
          <w:lang w:val="en-US"/>
          <w14:ligatures w14:val="none"/>
        </w:rPr>
        <w:t xml:space="preserve"> medicine).</w:t>
      </w:r>
    </w:p>
    <w:p w14:paraId="27DE5E7C" w14:textId="77777777" w:rsidR="00907A76" w:rsidRPr="00907A76" w:rsidRDefault="00907A76" w:rsidP="00907A76">
      <w:pPr>
        <w:spacing w:line="240" w:lineRule="auto"/>
        <w:ind w:firstLine="180"/>
        <w:jc w:val="lowKashida"/>
        <w:rPr>
          <w:rFonts w:ascii="Times New Roman" w:hAnsi="Times New Roman" w:cs="Times New Roman"/>
          <w:kern w:val="0"/>
          <w:sz w:val="24"/>
          <w:szCs w:val="24"/>
          <w:lang w:val="en-US"/>
          <w14:ligatures w14:val="none"/>
        </w:rPr>
      </w:pPr>
      <w:r w:rsidRPr="00907A76">
        <w:rPr>
          <w:rFonts w:ascii="Times New Roman" w:hAnsi="Times New Roman" w:cs="Times New Roman"/>
          <w:b/>
          <w:bCs/>
          <w:kern w:val="0"/>
          <w:sz w:val="24"/>
          <w:szCs w:val="24"/>
          <w:lang w:val="en-US"/>
          <w14:ligatures w14:val="none"/>
        </w:rPr>
        <w:t>E- Editor:</w:t>
      </w:r>
      <w:r w:rsidRPr="00907A76">
        <w:rPr>
          <w:rFonts w:ascii="Times New Roman" w:hAnsi="Times New Roman" w:cs="Times New Roman"/>
          <w:kern w:val="0"/>
          <w:sz w:val="24"/>
          <w:szCs w:val="24"/>
          <w:lang w:val="en-US"/>
          <w14:ligatures w14:val="none"/>
        </w:rPr>
        <w:t xml:space="preserve"> Salem Youssef Mohamed, Osama Ahmed Khalil, Amany Mohammed.</w:t>
      </w:r>
    </w:p>
    <w:p w14:paraId="18DB76B1" w14:textId="77777777" w:rsidR="00907A76" w:rsidRPr="00907A76" w:rsidRDefault="00907A76" w:rsidP="00907A76">
      <w:pPr>
        <w:spacing w:line="240" w:lineRule="auto"/>
        <w:jc w:val="lowKashida"/>
        <w:rPr>
          <w:rFonts w:ascii="Times New Roman" w:hAnsi="Times New Roman" w:cs="Times New Roman"/>
          <w:kern w:val="0"/>
          <w:sz w:val="24"/>
          <w:szCs w:val="24"/>
          <w:lang w:val="en-US"/>
          <w14:ligatures w14:val="none"/>
        </w:rPr>
      </w:pPr>
      <w:r w:rsidRPr="00907A76">
        <w:rPr>
          <w:rFonts w:ascii="Times New Roman" w:hAnsi="Times New Roman" w:cs="Times New Roman"/>
          <w:b/>
          <w:bCs/>
          <w:kern w:val="0"/>
          <w:sz w:val="24"/>
          <w:szCs w:val="24"/>
          <w:lang w:val="en-US"/>
          <w14:ligatures w14:val="none"/>
        </w:rPr>
        <w:t>Copyright ©.</w:t>
      </w:r>
      <w:r w:rsidRPr="00907A76">
        <w:rPr>
          <w:rFonts w:ascii="Times New Roman" w:hAnsi="Times New Roman" w:cs="Times New Roman"/>
          <w:kern w:val="0"/>
          <w:sz w:val="24"/>
          <w:szCs w:val="24"/>
          <w:lang w:val="en-US"/>
          <w14:ligatures w14:val="none"/>
        </w:rPr>
        <w:t xml:space="preserve"> This open-access article is distributed under the Creative Commons Attribution License (CC BY). It may be used, distributed, or reproduced in other forums, provided the original author(s) and the copyright owner(s) are credited. The original publication in this journal must be cited according to accepted academic practice. </w:t>
      </w:r>
    </w:p>
    <w:p w14:paraId="36652E42" w14:textId="77777777" w:rsidR="00907A76" w:rsidRPr="00907A76" w:rsidRDefault="00907A76" w:rsidP="00907A76">
      <w:pPr>
        <w:spacing w:line="240" w:lineRule="auto"/>
        <w:jc w:val="lowKashida"/>
        <w:rPr>
          <w:rFonts w:ascii="Times New Roman" w:hAnsi="Times New Roman" w:cs="Times New Roman"/>
          <w:kern w:val="0"/>
          <w:sz w:val="24"/>
          <w:szCs w:val="24"/>
          <w:lang w:val="en-US"/>
          <w14:ligatures w14:val="none"/>
        </w:rPr>
      </w:pPr>
      <w:r w:rsidRPr="00907A76">
        <w:rPr>
          <w:rFonts w:ascii="Times New Roman" w:hAnsi="Times New Roman" w:cs="Times New Roman"/>
          <w:b/>
          <w:bCs/>
          <w:kern w:val="0"/>
          <w:sz w:val="24"/>
          <w:szCs w:val="24"/>
          <w:lang w:val="en-US"/>
          <w14:ligatures w14:val="none"/>
        </w:rPr>
        <w:t>Disclaimer:</w:t>
      </w:r>
      <w:r w:rsidRPr="00907A76">
        <w:rPr>
          <w:rFonts w:ascii="Times New Roman" w:hAnsi="Times New Roman" w:cs="Times New Roman"/>
          <w:kern w:val="0"/>
          <w:sz w:val="24"/>
          <w:szCs w:val="24"/>
          <w:lang w:val="en-US"/>
          <w14:ligatures w14:val="none"/>
        </w:rPr>
        <w:t xml:space="preserve"> The authors' claims in this article are solely their own and do not necessarily represent their affiliated organizations or those of the publisher, the editors, and the reviewers. Any product evaluated in this article or its manufacturer's claim is not guaranteed or endorsed by the publisher.</w:t>
      </w:r>
    </w:p>
    <w:p w14:paraId="2B2D2752" w14:textId="0874D40A" w:rsidR="00907A76" w:rsidRDefault="00907A76" w:rsidP="00907A76">
      <w:pPr>
        <w:spacing w:after="200" w:line="480" w:lineRule="auto"/>
        <w:jc w:val="both"/>
        <w:rPr>
          <w:rFonts w:ascii="Times New Roman" w:hAnsi="Times New Roman" w:cs="Times New Roman"/>
          <w:noProof/>
          <w:kern w:val="0"/>
          <w:sz w:val="24"/>
          <w:szCs w:val="24"/>
          <w:lang w:val="en-US"/>
          <w14:ligatures w14:val="none"/>
        </w:rPr>
      </w:pPr>
      <w:r w:rsidRPr="00907A76">
        <w:rPr>
          <w:rFonts w:ascii="Times New Roman" w:hAnsi="Times New Roman" w:cs="Times New Roman"/>
          <w:b/>
          <w:noProof/>
          <w:kern w:val="0"/>
          <w:sz w:val="24"/>
          <w:szCs w:val="24"/>
          <w:lang w:val="en-US"/>
          <w14:ligatures w14:val="none"/>
        </w:rPr>
        <w:t>Ethical approval:</w:t>
      </w:r>
      <w:r w:rsidRPr="00907A76">
        <w:rPr>
          <w:rFonts w:ascii="Times New Roman" w:hAnsi="Times New Roman" w:cs="Times New Roman"/>
          <w:noProof/>
          <w:kern w:val="0"/>
          <w:sz w:val="24"/>
          <w:szCs w:val="24"/>
          <w:lang w:val="en-US"/>
          <w14:ligatures w14:val="none"/>
        </w:rPr>
        <w:t xml:space="preserve"> All procedures involving human participants followed the institutional and national research committee's moral standards, the 1964 Helsinki Declaration, and its later amendments or comparable ethical standards. All authors declare that consent was obtained from the patient</w:t>
      </w:r>
      <w:r w:rsidR="00D800D1">
        <w:rPr>
          <w:rFonts w:ascii="Times New Roman" w:hAnsi="Times New Roman" w:cs="Times New Roman"/>
          <w:noProof/>
          <w:kern w:val="0"/>
          <w:sz w:val="24"/>
          <w:szCs w:val="24"/>
          <w:lang w:val="en-US"/>
          <w14:ligatures w14:val="none"/>
        </w:rPr>
        <w:t>s</w:t>
      </w:r>
      <w:r w:rsidRPr="00907A76">
        <w:rPr>
          <w:rFonts w:ascii="Times New Roman" w:hAnsi="Times New Roman" w:cs="Times New Roman"/>
          <w:noProof/>
          <w:kern w:val="0"/>
          <w:sz w:val="24"/>
          <w:szCs w:val="24"/>
          <w:lang w:val="en-US"/>
          <w14:ligatures w14:val="none"/>
        </w:rPr>
        <w:t xml:space="preserve"> (or other approved parties) to publish this study.</w:t>
      </w:r>
    </w:p>
    <w:p w14:paraId="72605843" w14:textId="379A4A33" w:rsidR="00AA557A" w:rsidRPr="00907A76" w:rsidRDefault="00AA557A" w:rsidP="00AA557A">
      <w:pPr>
        <w:spacing w:after="200" w:line="480" w:lineRule="auto"/>
        <w:jc w:val="both"/>
        <w:rPr>
          <w:rFonts w:ascii="Times New Roman" w:hAnsi="Times New Roman" w:cs="Times New Roman"/>
          <w:noProof/>
          <w:kern w:val="0"/>
          <w:sz w:val="24"/>
          <w:szCs w:val="24"/>
          <w:lang w:val="en-US"/>
          <w14:ligatures w14:val="none"/>
        </w:rPr>
      </w:pPr>
      <w:r w:rsidRPr="00AA557A">
        <w:rPr>
          <w:rFonts w:ascii="Times New Roman" w:hAnsi="Times New Roman" w:cs="Times New Roman"/>
          <w:noProof/>
          <w:kern w:val="0"/>
          <w:sz w:val="24"/>
          <w:szCs w:val="24"/>
          <w14:ligatures w14:val="none"/>
        </w:rPr>
        <w:t xml:space="preserve">The Clinical Research Ethics Committee of the </w:t>
      </w:r>
      <w:r w:rsidRPr="00AA557A">
        <w:rPr>
          <w:rFonts w:ascii="Times New Roman" w:hAnsi="Times New Roman" w:cs="Times New Roman"/>
          <w:noProof/>
          <w:kern w:val="0"/>
          <w:sz w:val="24"/>
          <w:szCs w:val="24"/>
          <w:lang w:val="en-US"/>
          <w14:ligatures w14:val="none"/>
        </w:rPr>
        <w:t>Faculty of Medicine, Ain Shams University</w:t>
      </w:r>
      <w:bookmarkStart w:id="21" w:name="_Hlk27231997"/>
      <w:r w:rsidRPr="00AA557A">
        <w:rPr>
          <w:rFonts w:ascii="Times New Roman" w:hAnsi="Times New Roman" w:cs="Times New Roman"/>
          <w:noProof/>
          <w:kern w:val="0"/>
          <w:sz w:val="24"/>
          <w:szCs w:val="24"/>
          <w:lang w:val="en-US"/>
          <w14:ligatures w14:val="none"/>
        </w:rPr>
        <w:t xml:space="preserve"> </w:t>
      </w:r>
      <w:bookmarkStart w:id="22" w:name="_Hlk41003410"/>
      <w:r w:rsidRPr="00AA557A">
        <w:rPr>
          <w:rFonts w:ascii="Times New Roman" w:hAnsi="Times New Roman" w:cs="Times New Roman"/>
          <w:noProof/>
          <w:kern w:val="0"/>
          <w:sz w:val="24"/>
          <w:szCs w:val="24"/>
          <w:lang w:val="en-US"/>
          <w14:ligatures w14:val="none"/>
        </w:rPr>
        <w:t>(</w:t>
      </w:r>
      <w:r w:rsidRPr="00AA557A">
        <w:rPr>
          <w:rFonts w:ascii="Times New Roman" w:hAnsi="Times New Roman" w:cs="Times New Roman"/>
          <w:b/>
          <w:bCs/>
          <w:noProof/>
          <w:kern w:val="0"/>
          <w:sz w:val="24"/>
          <w:szCs w:val="24"/>
          <w:lang w:val="en-US"/>
          <w14:ligatures w14:val="none"/>
        </w:rPr>
        <w:t>FMASU MD 284/2018</w:t>
      </w:r>
      <w:r w:rsidRPr="00AA557A">
        <w:rPr>
          <w:rFonts w:ascii="Times New Roman" w:hAnsi="Times New Roman" w:cs="Times New Roman"/>
          <w:noProof/>
          <w:kern w:val="0"/>
          <w:sz w:val="24"/>
          <w:szCs w:val="24"/>
          <w:lang w:val="en-US"/>
          <w14:ligatures w14:val="none"/>
        </w:rPr>
        <w:t>)</w:t>
      </w:r>
      <w:bookmarkEnd w:id="22"/>
      <w:r w:rsidR="00D800D1">
        <w:rPr>
          <w:rFonts w:ascii="Times New Roman" w:hAnsi="Times New Roman" w:cs="Times New Roman"/>
          <w:noProof/>
          <w:kern w:val="0"/>
          <w:sz w:val="24"/>
          <w:szCs w:val="24"/>
          <w:lang w:val="en-US"/>
          <w14:ligatures w14:val="none"/>
        </w:rPr>
        <w:t xml:space="preserve"> authorized the study protocol</w:t>
      </w:r>
      <w:r w:rsidRPr="00AA557A">
        <w:rPr>
          <w:rFonts w:ascii="Times New Roman" w:hAnsi="Times New Roman" w:cs="Times New Roman"/>
          <w:noProof/>
          <w:kern w:val="0"/>
          <w:sz w:val="24"/>
          <w:szCs w:val="24"/>
          <w14:ligatures w14:val="none"/>
        </w:rPr>
        <w:t xml:space="preserve">. </w:t>
      </w:r>
      <w:bookmarkEnd w:id="21"/>
      <w:r w:rsidRPr="00AA557A">
        <w:rPr>
          <w:rFonts w:ascii="Times New Roman" w:hAnsi="Times New Roman" w:cs="Times New Roman"/>
          <w:noProof/>
          <w:kern w:val="0"/>
          <w:sz w:val="24"/>
          <w:szCs w:val="24"/>
          <w14:ligatures w14:val="none"/>
        </w:rPr>
        <w:t>A</w:t>
      </w:r>
      <w:r w:rsidR="007E09A5">
        <w:rPr>
          <w:rFonts w:ascii="Times New Roman" w:hAnsi="Times New Roman" w:cs="Times New Roman"/>
          <w:noProof/>
          <w:kern w:val="0"/>
          <w:sz w:val="24"/>
          <w:szCs w:val="24"/>
          <w14:ligatures w14:val="none"/>
        </w:rPr>
        <w:t>ll contributors signed a</w:t>
      </w:r>
      <w:r w:rsidRPr="00AA557A">
        <w:rPr>
          <w:rFonts w:ascii="Times New Roman" w:hAnsi="Times New Roman" w:cs="Times New Roman"/>
          <w:noProof/>
          <w:kern w:val="0"/>
          <w:sz w:val="24"/>
          <w:szCs w:val="24"/>
          <w14:ligatures w14:val="none"/>
        </w:rPr>
        <w:t xml:space="preserve"> written informed agreement</w:t>
      </w:r>
      <w:r w:rsidR="007E09A5">
        <w:rPr>
          <w:rFonts w:ascii="Times New Roman" w:hAnsi="Times New Roman" w:cs="Times New Roman"/>
          <w:noProof/>
          <w:kern w:val="0"/>
          <w:sz w:val="24"/>
          <w:szCs w:val="24"/>
          <w14:ligatures w14:val="none"/>
        </w:rPr>
        <w:t>.</w:t>
      </w:r>
    </w:p>
    <w:p w14:paraId="7E4A2BDC" w14:textId="77777777" w:rsidR="00907A76" w:rsidRPr="00907A76" w:rsidRDefault="00907A76" w:rsidP="00907A76">
      <w:pPr>
        <w:spacing w:line="240" w:lineRule="auto"/>
        <w:jc w:val="lowKashida"/>
        <w:rPr>
          <w:rFonts w:ascii="Times New Roman" w:hAnsi="Times New Roman" w:cs="Times New Roman"/>
          <w:kern w:val="0"/>
          <w:sz w:val="24"/>
          <w:szCs w:val="24"/>
          <w:lang w:val="en-US"/>
          <w14:ligatures w14:val="none"/>
        </w:rPr>
      </w:pPr>
      <w:r w:rsidRPr="00907A76">
        <w:rPr>
          <w:rFonts w:ascii="Times New Roman" w:hAnsi="Times New Roman" w:cs="Times New Roman"/>
          <w:b/>
          <w:bCs/>
          <w:kern w:val="0"/>
          <w:sz w:val="24"/>
          <w:szCs w:val="24"/>
          <w:lang w:val="en-US"/>
          <w14:ligatures w14:val="none"/>
        </w:rPr>
        <w:t>Data and materials availability:</w:t>
      </w:r>
      <w:r w:rsidRPr="00907A76">
        <w:rPr>
          <w:rFonts w:ascii="Times New Roman" w:hAnsi="Times New Roman" w:cs="Times New Roman"/>
          <w:kern w:val="0"/>
          <w:sz w:val="24"/>
          <w:szCs w:val="24"/>
          <w:lang w:val="en-US"/>
          <w14:ligatures w14:val="none"/>
        </w:rPr>
        <w:t xml:space="preserve"> The datasets used or analyzed during the current study are available from the corresponding author upon reasonable request.</w:t>
      </w:r>
    </w:p>
    <w:p w14:paraId="7E81842A" w14:textId="77777777" w:rsidR="00907A76" w:rsidRPr="00907A76" w:rsidRDefault="00907A76" w:rsidP="00907A76">
      <w:pPr>
        <w:spacing w:line="240" w:lineRule="auto"/>
        <w:jc w:val="lowKashida"/>
        <w:rPr>
          <w:rFonts w:ascii="Times New Roman" w:hAnsi="Times New Roman" w:cs="Times New Roman"/>
          <w:kern w:val="0"/>
          <w:sz w:val="24"/>
          <w:szCs w:val="24"/>
          <w:lang w:val="en-US"/>
          <w14:ligatures w14:val="none"/>
        </w:rPr>
      </w:pPr>
      <w:r w:rsidRPr="00907A76">
        <w:rPr>
          <w:rFonts w:ascii="Times New Roman" w:hAnsi="Times New Roman" w:cs="Times New Roman"/>
          <w:b/>
          <w:bCs/>
          <w:kern w:val="0"/>
          <w:sz w:val="24"/>
          <w:szCs w:val="24"/>
          <w:lang w:val="en-US"/>
          <w14:ligatures w14:val="none"/>
        </w:rPr>
        <w:t>Competing interests</w:t>
      </w:r>
      <w:r w:rsidRPr="00907A76">
        <w:rPr>
          <w:rFonts w:ascii="Times New Roman" w:hAnsi="Times New Roman" w:cs="Times New Roman"/>
          <w:kern w:val="0"/>
          <w:sz w:val="24"/>
          <w:szCs w:val="24"/>
          <w:lang w:val="en-US"/>
          <w14:ligatures w14:val="none"/>
        </w:rPr>
        <w:t>: The authors declare that they have no competing interests.</w:t>
      </w:r>
    </w:p>
    <w:p w14:paraId="49B8392A" w14:textId="77777777" w:rsidR="00907A76" w:rsidRPr="00907A76" w:rsidRDefault="00907A76" w:rsidP="00907A76">
      <w:pPr>
        <w:spacing w:line="240" w:lineRule="auto"/>
        <w:jc w:val="lowKashida"/>
        <w:rPr>
          <w:rFonts w:ascii="Times New Roman" w:hAnsi="Times New Roman" w:cs="Times New Roman"/>
          <w:kern w:val="0"/>
          <w:sz w:val="24"/>
          <w:szCs w:val="24"/>
          <w:lang w:val="en-US"/>
          <w14:ligatures w14:val="none"/>
        </w:rPr>
      </w:pPr>
      <w:r w:rsidRPr="00907A76">
        <w:rPr>
          <w:rFonts w:ascii="Times New Roman" w:hAnsi="Times New Roman" w:cs="Times New Roman"/>
          <w:b/>
          <w:bCs/>
          <w:kern w:val="0"/>
          <w:sz w:val="24"/>
          <w:szCs w:val="24"/>
          <w:lang w:val="en-US"/>
          <w14:ligatures w14:val="none"/>
        </w:rPr>
        <w:t>Funding</w:t>
      </w:r>
      <w:r w:rsidRPr="00907A76">
        <w:rPr>
          <w:rFonts w:ascii="Times New Roman" w:hAnsi="Times New Roman" w:cs="Times New Roman"/>
          <w:kern w:val="0"/>
          <w:sz w:val="24"/>
          <w:szCs w:val="24"/>
          <w:lang w:val="en-US"/>
          <w14:ligatures w14:val="none"/>
        </w:rPr>
        <w:t>: This study had no funding from any resource.</w:t>
      </w:r>
    </w:p>
    <w:p w14:paraId="3B75EE7A" w14:textId="77777777" w:rsidR="00907A76" w:rsidRPr="00907A76" w:rsidRDefault="00907A76" w:rsidP="00907A76">
      <w:pPr>
        <w:spacing w:after="200" w:line="480" w:lineRule="auto"/>
        <w:jc w:val="both"/>
        <w:rPr>
          <w:rFonts w:ascii="Times New Roman" w:hAnsi="Times New Roman" w:cs="Times New Roman"/>
          <w:noProof/>
          <w:kern w:val="0"/>
          <w:sz w:val="24"/>
          <w:szCs w:val="24"/>
          <w:lang w:val="en-US"/>
          <w14:ligatures w14:val="none"/>
        </w:rPr>
      </w:pPr>
      <w:r w:rsidRPr="00907A76">
        <w:rPr>
          <w:rFonts w:ascii="Times New Roman" w:hAnsi="Times New Roman" w:cs="Times New Roman"/>
          <w:noProof/>
          <w:kern w:val="0"/>
          <w:sz w:val="24"/>
          <w:szCs w:val="24"/>
          <w:lang w:val="en-US"/>
          <w14:ligatures w14:val="none"/>
        </w:rPr>
        <w:t xml:space="preserve">This work was done according to the </w:t>
      </w:r>
      <w:r w:rsidRPr="00907A76">
        <w:rPr>
          <w:rFonts w:ascii="Times New Roman" w:hAnsi="Times New Roman" w:cs="Times New Roman"/>
          <w:b/>
          <w:bCs/>
          <w:noProof/>
          <w:kern w:val="0"/>
          <w:sz w:val="24"/>
          <w:szCs w:val="24"/>
          <w:lang w:val="en-US"/>
          <w14:ligatures w14:val="none"/>
        </w:rPr>
        <w:t>STROBE</w:t>
      </w:r>
      <w:r w:rsidRPr="00907A76">
        <w:rPr>
          <w:rFonts w:ascii="Times New Roman" w:hAnsi="Times New Roman" w:cs="Times New Roman"/>
          <w:noProof/>
          <w:kern w:val="0"/>
          <w:sz w:val="24"/>
          <w:szCs w:val="24"/>
          <w:lang w:val="en-US"/>
          <w14:ligatures w14:val="none"/>
        </w:rPr>
        <w:t xml:space="preserve"> guidelines.</w:t>
      </w:r>
    </w:p>
    <w:p w14:paraId="364A9F94" w14:textId="77777777" w:rsidR="00907A76" w:rsidRPr="00907A76" w:rsidRDefault="00907A76" w:rsidP="00907A76">
      <w:pPr>
        <w:spacing w:after="0" w:line="240" w:lineRule="auto"/>
        <w:jc w:val="lowKashida"/>
        <w:rPr>
          <w:rFonts w:ascii="Times New Roman" w:hAnsi="Times New Roman" w:cs="Times New Roman"/>
          <w:b/>
          <w:bCs/>
          <w:kern w:val="0"/>
          <w:sz w:val="24"/>
          <w:szCs w:val="24"/>
          <w:lang w:val="en-US"/>
          <w14:ligatures w14:val="none"/>
        </w:rPr>
      </w:pPr>
      <w:bookmarkStart w:id="23" w:name="h11"/>
      <w:bookmarkEnd w:id="23"/>
      <w:r w:rsidRPr="00907A76">
        <w:rPr>
          <w:rFonts w:ascii="Times New Roman" w:hAnsi="Times New Roman" w:cs="Times New Roman"/>
          <w:b/>
          <w:bCs/>
          <w:kern w:val="0"/>
          <w:sz w:val="24"/>
          <w:szCs w:val="24"/>
          <w:lang w:val="en-US"/>
          <w14:ligatures w14:val="none"/>
        </w:rPr>
        <w:t>Authors’ contributions</w:t>
      </w:r>
    </w:p>
    <w:p w14:paraId="02408993" w14:textId="77777777" w:rsidR="002E16FF" w:rsidRDefault="002E16FF" w:rsidP="007E09A5">
      <w:pPr>
        <w:spacing w:after="0" w:line="360" w:lineRule="auto"/>
        <w:ind w:right="48" w:firstLine="720"/>
        <w:contextualSpacing/>
        <w:jc w:val="both"/>
        <w:outlineLvl w:val="1"/>
        <w:rPr>
          <w:rFonts w:ascii="Times New Roman" w:hAnsi="Times New Roman" w:cs="Times New Roman"/>
          <w:kern w:val="0"/>
          <w:sz w:val="24"/>
          <w:szCs w:val="24"/>
          <w:lang w:val="en-US" w:bidi="ar-EG"/>
          <w14:ligatures w14:val="none"/>
        </w:rPr>
      </w:pPr>
    </w:p>
    <w:p w14:paraId="67D8C1C3" w14:textId="10ED7F7D" w:rsidR="00907A76" w:rsidRPr="00907A76" w:rsidRDefault="007E09A5" w:rsidP="007E09A5">
      <w:pPr>
        <w:spacing w:after="0" w:line="360" w:lineRule="auto"/>
        <w:ind w:right="48" w:firstLine="720"/>
        <w:contextualSpacing/>
        <w:jc w:val="both"/>
        <w:outlineLvl w:val="1"/>
        <w:rPr>
          <w:rFonts w:ascii="Times New Roman" w:hAnsi="Times New Roman" w:cs="Times New Roman"/>
          <w:kern w:val="0"/>
          <w:sz w:val="24"/>
          <w:szCs w:val="24"/>
          <w:lang w:val="en-US" w:bidi="ar-EG"/>
          <w14:ligatures w14:val="none"/>
        </w:rPr>
      </w:pPr>
      <w:proofErr w:type="spellStart"/>
      <w:r w:rsidRPr="007E09A5">
        <w:rPr>
          <w:rFonts w:ascii="Times New Roman" w:hAnsi="Times New Roman" w:cs="Times New Roman"/>
          <w:kern w:val="0"/>
          <w:sz w:val="24"/>
          <w:szCs w:val="24"/>
          <w:lang w:val="en-US" w:bidi="ar-EG"/>
          <w14:ligatures w14:val="none"/>
        </w:rPr>
        <w:t>Enas</w:t>
      </w:r>
      <w:proofErr w:type="spellEnd"/>
      <w:r w:rsidRPr="007E09A5">
        <w:rPr>
          <w:rFonts w:ascii="Times New Roman" w:hAnsi="Times New Roman" w:cs="Times New Roman"/>
          <w:kern w:val="0"/>
          <w:sz w:val="24"/>
          <w:szCs w:val="24"/>
          <w:lang w:val="en-US" w:bidi="ar-EG"/>
          <w14:ligatures w14:val="none"/>
        </w:rPr>
        <w:t xml:space="preserve"> Mahmoud </w:t>
      </w:r>
      <w:proofErr w:type="spellStart"/>
      <w:r w:rsidRPr="007E09A5">
        <w:rPr>
          <w:rFonts w:ascii="Times New Roman" w:hAnsi="Times New Roman" w:cs="Times New Roman"/>
          <w:kern w:val="0"/>
          <w:sz w:val="24"/>
          <w:szCs w:val="24"/>
          <w:lang w:val="en-US" w:bidi="ar-EG"/>
          <w14:ligatures w14:val="none"/>
        </w:rPr>
        <w:t>Foda</w:t>
      </w:r>
      <w:proofErr w:type="spellEnd"/>
      <w:r w:rsidRPr="007E09A5">
        <w:rPr>
          <w:rFonts w:ascii="Times New Roman" w:hAnsi="Times New Roman" w:cs="Times New Roman"/>
          <w:kern w:val="0"/>
          <w:sz w:val="24"/>
          <w:szCs w:val="24"/>
          <w:lang w:val="en-US" w:bidi="ar-EG"/>
          <w14:ligatures w14:val="none"/>
        </w:rPr>
        <w:t> and Shereen Abu Bakr Saleh conceived the research concept</w:t>
      </w:r>
      <w:r>
        <w:rPr>
          <w:rFonts w:ascii="Times New Roman" w:hAnsi="Times New Roman" w:cs="Times New Roman"/>
          <w:kern w:val="0"/>
          <w:sz w:val="24"/>
          <w:szCs w:val="24"/>
          <w:lang w:val="en-US" w:bidi="ar-EG"/>
          <w14:ligatures w14:val="none"/>
        </w:rPr>
        <w:t>. At</w:t>
      </w:r>
      <w:r w:rsidRPr="007E09A5">
        <w:rPr>
          <w:rFonts w:ascii="Times New Roman" w:hAnsi="Times New Roman" w:cs="Times New Roman"/>
          <w:kern w:val="0"/>
          <w:sz w:val="24"/>
          <w:szCs w:val="24"/>
          <w:lang w:val="en-US" w:bidi="ar-EG"/>
          <w14:ligatures w14:val="none"/>
        </w:rPr>
        <w:t xml:space="preserve"> </w:t>
      </w:r>
      <w:r>
        <w:rPr>
          <w:rFonts w:ascii="Times New Roman" w:hAnsi="Times New Roman" w:cs="Times New Roman"/>
          <w:kern w:val="0"/>
          <w:sz w:val="24"/>
          <w:szCs w:val="24"/>
          <w:lang w:val="en-US" w:bidi="ar-EG"/>
          <w14:ligatures w14:val="none"/>
        </w:rPr>
        <w:t>t</w:t>
      </w:r>
      <w:r w:rsidRPr="007E09A5">
        <w:rPr>
          <w:rFonts w:ascii="Times New Roman" w:hAnsi="Times New Roman" w:cs="Times New Roman"/>
          <w:kern w:val="0"/>
          <w:sz w:val="24"/>
          <w:szCs w:val="24"/>
          <w:lang w:val="en-US" w:bidi="ar-EG"/>
          <w14:ligatures w14:val="none"/>
        </w:rPr>
        <w:t>h</w:t>
      </w:r>
      <w:r>
        <w:rPr>
          <w:rFonts w:ascii="Times New Roman" w:hAnsi="Times New Roman" w:cs="Times New Roman"/>
          <w:kern w:val="0"/>
          <w:sz w:val="24"/>
          <w:szCs w:val="24"/>
          <w:lang w:val="en-US" w:bidi="ar-EG"/>
          <w14:ligatures w14:val="none"/>
        </w:rPr>
        <w:t>e same t</w:t>
      </w:r>
      <w:r w:rsidRPr="007E09A5">
        <w:rPr>
          <w:rFonts w:ascii="Times New Roman" w:hAnsi="Times New Roman" w:cs="Times New Roman"/>
          <w:kern w:val="0"/>
          <w:sz w:val="24"/>
          <w:szCs w:val="24"/>
          <w:lang w:val="en-US" w:bidi="ar-EG"/>
          <w14:ligatures w14:val="none"/>
        </w:rPr>
        <w:t>i</w:t>
      </w:r>
      <w:r>
        <w:rPr>
          <w:rFonts w:ascii="Times New Roman" w:hAnsi="Times New Roman" w:cs="Times New Roman"/>
          <w:kern w:val="0"/>
          <w:sz w:val="24"/>
          <w:szCs w:val="24"/>
          <w:lang w:val="en-US" w:bidi="ar-EG"/>
          <w14:ligatures w14:val="none"/>
        </w:rPr>
        <w:t>m</w:t>
      </w:r>
      <w:r w:rsidRPr="007E09A5">
        <w:rPr>
          <w:rFonts w:ascii="Times New Roman" w:hAnsi="Times New Roman" w:cs="Times New Roman"/>
          <w:kern w:val="0"/>
          <w:sz w:val="24"/>
          <w:szCs w:val="24"/>
          <w:lang w:val="en-US" w:bidi="ar-EG"/>
          <w14:ligatures w14:val="none"/>
        </w:rPr>
        <w:t>e</w:t>
      </w:r>
      <w:r>
        <w:rPr>
          <w:rFonts w:ascii="Times New Roman" w:hAnsi="Times New Roman" w:cs="Times New Roman"/>
          <w:kern w:val="0"/>
          <w:sz w:val="24"/>
          <w:szCs w:val="24"/>
          <w:lang w:val="en-US" w:bidi="ar-EG"/>
          <w14:ligatures w14:val="none"/>
        </w:rPr>
        <w:t>,</w:t>
      </w:r>
      <w:r w:rsidRPr="007E09A5">
        <w:rPr>
          <w:rFonts w:ascii="Times New Roman" w:hAnsi="Times New Roman" w:cs="Times New Roman"/>
          <w:kern w:val="0"/>
          <w:sz w:val="24"/>
          <w:szCs w:val="24"/>
          <w:lang w:val="en-US" w:bidi="ar-EG"/>
          <w14:ligatures w14:val="none"/>
        </w:rPr>
        <w:t xml:space="preserve"> Moheb </w:t>
      </w:r>
      <w:proofErr w:type="spellStart"/>
      <w:r w:rsidRPr="007E09A5">
        <w:rPr>
          <w:rFonts w:ascii="Times New Roman" w:hAnsi="Times New Roman" w:cs="Times New Roman"/>
          <w:kern w:val="0"/>
          <w:sz w:val="24"/>
          <w:szCs w:val="24"/>
          <w:lang w:val="en-US" w:bidi="ar-EG"/>
          <w14:ligatures w14:val="none"/>
        </w:rPr>
        <w:t>Shoraby</w:t>
      </w:r>
      <w:proofErr w:type="spellEnd"/>
      <w:r w:rsidRPr="007E09A5">
        <w:rPr>
          <w:rFonts w:ascii="Times New Roman" w:hAnsi="Times New Roman" w:cs="Times New Roman"/>
          <w:kern w:val="0"/>
          <w:sz w:val="24"/>
          <w:szCs w:val="24"/>
          <w:lang w:val="en-US" w:bidi="ar-EG"/>
          <w14:ligatures w14:val="none"/>
        </w:rPr>
        <w:t xml:space="preserve"> </w:t>
      </w:r>
      <w:proofErr w:type="spellStart"/>
      <w:r w:rsidRPr="007E09A5">
        <w:rPr>
          <w:rFonts w:ascii="Times New Roman" w:hAnsi="Times New Roman" w:cs="Times New Roman"/>
          <w:kern w:val="0"/>
          <w:sz w:val="24"/>
          <w:szCs w:val="24"/>
          <w:lang w:val="en-US" w:bidi="ar-EG"/>
          <w14:ligatures w14:val="none"/>
        </w:rPr>
        <w:t>Eskandaros</w:t>
      </w:r>
      <w:proofErr w:type="spellEnd"/>
      <w:r w:rsidRPr="007E09A5">
        <w:rPr>
          <w:rFonts w:ascii="Times New Roman" w:hAnsi="Times New Roman" w:cs="Times New Roman"/>
          <w:kern w:val="0"/>
          <w:sz w:val="24"/>
          <w:szCs w:val="24"/>
          <w:lang w:val="en-US" w:bidi="ar-EG"/>
          <w14:ligatures w14:val="none"/>
        </w:rPr>
        <w:t>, Nashwa Nagy El-</w:t>
      </w:r>
      <w:proofErr w:type="spellStart"/>
      <w:r w:rsidRPr="007E09A5">
        <w:rPr>
          <w:rFonts w:ascii="Times New Roman" w:hAnsi="Times New Roman" w:cs="Times New Roman"/>
          <w:kern w:val="0"/>
          <w:sz w:val="24"/>
          <w:szCs w:val="24"/>
          <w:lang w:val="en-US" w:bidi="ar-EG"/>
          <w14:ligatures w14:val="none"/>
        </w:rPr>
        <w:t>Khazragy</w:t>
      </w:r>
      <w:proofErr w:type="spellEnd"/>
      <w:r w:rsidRPr="007E09A5">
        <w:rPr>
          <w:rFonts w:ascii="Times New Roman" w:hAnsi="Times New Roman" w:cs="Times New Roman"/>
          <w:kern w:val="0"/>
          <w:sz w:val="24"/>
          <w:szCs w:val="24"/>
          <w:lang w:val="en-US" w:bidi="ar-EG"/>
          <w14:ligatures w14:val="none"/>
        </w:rPr>
        <w:t>, and Heba Mohamed Abu Bakr conducted the clinical examinations and monitored the patients. Yasmin Mohamed Massoud and Ghada Abdelrahman Mohamed collaborated</w:t>
      </w:r>
      <w:r w:rsidR="00907A76" w:rsidRPr="00907A76">
        <w:rPr>
          <w:rFonts w:ascii="Times New Roman" w:hAnsi="Times New Roman" w:cs="Times New Roman"/>
          <w:kern w:val="0"/>
          <w:sz w:val="24"/>
          <w:szCs w:val="24"/>
          <w:lang w:val="en-US" w:bidi="ar-EG"/>
          <w14:ligatures w14:val="none"/>
        </w:rPr>
        <w:t xml:space="preserve"> to gather laboratory data. All authors actively participated in analyzing and interpreting the patient information and composing the manuscript. All authors thoroughly reviewed and approved the final version of the manuscript.</w:t>
      </w:r>
    </w:p>
    <w:p w14:paraId="3D10C53E" w14:textId="77777777" w:rsidR="002E16FF" w:rsidRDefault="002E16FF">
      <w:pPr>
        <w:spacing w:before="240" w:line="240" w:lineRule="auto"/>
        <w:jc w:val="both"/>
        <w:rPr>
          <w:rFonts w:asciiTheme="majorBidi" w:hAnsiTheme="majorBidi" w:cstheme="majorBidi"/>
          <w:b/>
          <w:bCs/>
          <w:kern w:val="0"/>
          <w:sz w:val="24"/>
          <w:szCs w:val="24"/>
          <w14:ligatures w14:val="none"/>
        </w:rPr>
      </w:pPr>
    </w:p>
    <w:p w14:paraId="32401E34" w14:textId="00EA717F" w:rsidR="0015007E" w:rsidRPr="00D323AE" w:rsidRDefault="00000000">
      <w:pPr>
        <w:spacing w:before="240" w:line="240" w:lineRule="auto"/>
        <w:jc w:val="both"/>
        <w:rPr>
          <w:rFonts w:asciiTheme="majorBidi" w:hAnsiTheme="majorBidi" w:cstheme="majorBidi"/>
          <w:kern w:val="0"/>
          <w:sz w:val="24"/>
          <w:szCs w:val="24"/>
          <w14:ligatures w14:val="none"/>
        </w:rPr>
      </w:pPr>
      <w:r w:rsidRPr="00D323AE">
        <w:rPr>
          <w:rFonts w:asciiTheme="majorBidi" w:hAnsiTheme="majorBidi" w:cstheme="majorBidi"/>
          <w:b/>
          <w:bCs/>
          <w:kern w:val="0"/>
          <w:sz w:val="24"/>
          <w:szCs w:val="24"/>
          <w14:ligatures w14:val="none"/>
        </w:rPr>
        <w:t>References</w:t>
      </w:r>
      <w:r w:rsidRPr="00D323AE">
        <w:rPr>
          <w:rFonts w:asciiTheme="majorBidi" w:hAnsiTheme="majorBidi" w:cstheme="majorBidi"/>
          <w:kern w:val="0"/>
          <w:sz w:val="24"/>
          <w:szCs w:val="24"/>
          <w14:ligatures w14:val="none"/>
        </w:rPr>
        <w:t xml:space="preserve"> </w:t>
      </w:r>
    </w:p>
    <w:p w14:paraId="34F95B6E" w14:textId="77777777"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rPr>
        <w:t>Ye Q, Zou B, Yeo YH, et al. Global prevalence, incidence, and outcomes of non-obese or lean non-alcoholic fatty liver disease: a systematic review and meta-analysis. </w:t>
      </w:r>
      <w:r w:rsidRPr="00D323AE">
        <w:rPr>
          <w:rFonts w:asciiTheme="majorBidi" w:hAnsiTheme="majorBidi" w:cstheme="majorBidi"/>
          <w:i/>
          <w:iCs/>
          <w:color w:val="000000"/>
          <w:sz w:val="24"/>
          <w:szCs w:val="24"/>
        </w:rPr>
        <w:t>Lancet Gastroenterol Hepatol</w:t>
      </w:r>
      <w:r w:rsidRPr="00D323AE">
        <w:rPr>
          <w:rFonts w:asciiTheme="majorBidi" w:hAnsiTheme="majorBidi" w:cstheme="majorBidi"/>
          <w:color w:val="000000"/>
          <w:sz w:val="24"/>
          <w:szCs w:val="24"/>
        </w:rPr>
        <w:t>. 2020;5(8):739-752. doi:10.1016/S2468-1253(20)30077-7</w:t>
      </w:r>
    </w:p>
    <w:p w14:paraId="6186AC05" w14:textId="77777777"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rPr>
        <w:t>Riazi K, Azhari H, Charette JH, et al. The prevalence and incidence of NAFLD worldwide: a systematic review and meta-analysis. </w:t>
      </w:r>
      <w:r w:rsidRPr="00D323AE">
        <w:rPr>
          <w:rFonts w:asciiTheme="majorBidi" w:hAnsiTheme="majorBidi" w:cstheme="majorBidi"/>
          <w:i/>
          <w:iCs/>
          <w:color w:val="000000"/>
          <w:sz w:val="24"/>
          <w:szCs w:val="24"/>
        </w:rPr>
        <w:t>Lancet Gastroenterol Hepatol</w:t>
      </w:r>
      <w:r w:rsidRPr="00D323AE">
        <w:rPr>
          <w:rFonts w:asciiTheme="majorBidi" w:hAnsiTheme="majorBidi" w:cstheme="majorBidi"/>
          <w:color w:val="000000"/>
          <w:sz w:val="24"/>
          <w:szCs w:val="24"/>
        </w:rPr>
        <w:t>. 2022;7(9):851-861. doi:10.1016/S2468-1253(22)00165-0</w:t>
      </w:r>
    </w:p>
    <w:p w14:paraId="1DD31657" w14:textId="68F49FC0"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rPr>
        <w:t>Estes C, Anstee QM, Arias-</w:t>
      </w:r>
      <w:proofErr w:type="spellStart"/>
      <w:r w:rsidRPr="00D323AE">
        <w:rPr>
          <w:rFonts w:asciiTheme="majorBidi" w:hAnsiTheme="majorBidi" w:cstheme="majorBidi"/>
          <w:color w:val="000000"/>
          <w:sz w:val="24"/>
          <w:szCs w:val="24"/>
        </w:rPr>
        <w:t>Loste</w:t>
      </w:r>
      <w:proofErr w:type="spellEnd"/>
      <w:r w:rsidRPr="00D323AE">
        <w:rPr>
          <w:rFonts w:asciiTheme="majorBidi" w:hAnsiTheme="majorBidi" w:cstheme="majorBidi"/>
          <w:color w:val="000000"/>
          <w:sz w:val="24"/>
          <w:szCs w:val="24"/>
        </w:rPr>
        <w:t xml:space="preserve"> MT, et al. </w:t>
      </w:r>
      <w:proofErr w:type="spellStart"/>
      <w:r w:rsidRPr="00D323AE">
        <w:rPr>
          <w:rFonts w:asciiTheme="majorBidi" w:hAnsiTheme="majorBidi" w:cstheme="majorBidi"/>
          <w:color w:val="000000"/>
          <w:sz w:val="24"/>
          <w:szCs w:val="24"/>
        </w:rPr>
        <w:t>Modeling</w:t>
      </w:r>
      <w:proofErr w:type="spellEnd"/>
      <w:r w:rsidRPr="00D323AE">
        <w:rPr>
          <w:rFonts w:asciiTheme="majorBidi" w:hAnsiTheme="majorBidi" w:cstheme="majorBidi"/>
          <w:color w:val="000000"/>
          <w:sz w:val="24"/>
          <w:szCs w:val="24"/>
        </w:rPr>
        <w:t xml:space="preserve"> NAFLD disease burden in China, France, Germany, Italy, Japan, Spain, </w:t>
      </w:r>
      <w:r w:rsidR="00A86C5F">
        <w:rPr>
          <w:rFonts w:asciiTheme="majorBidi" w:hAnsiTheme="majorBidi" w:cstheme="majorBidi"/>
          <w:color w:val="000000"/>
          <w:sz w:val="24"/>
          <w:szCs w:val="24"/>
        </w:rPr>
        <w:t>the </w:t>
      </w:r>
      <w:r w:rsidRPr="00D323AE">
        <w:rPr>
          <w:rFonts w:asciiTheme="majorBidi" w:hAnsiTheme="majorBidi" w:cstheme="majorBidi"/>
          <w:color w:val="000000"/>
          <w:sz w:val="24"/>
          <w:szCs w:val="24"/>
        </w:rPr>
        <w:t xml:space="preserve">United Kingdom, and </w:t>
      </w:r>
      <w:r w:rsidR="00A86C5F">
        <w:rPr>
          <w:rFonts w:asciiTheme="majorBidi" w:hAnsiTheme="majorBidi" w:cstheme="majorBidi"/>
          <w:color w:val="000000"/>
          <w:sz w:val="24"/>
          <w:szCs w:val="24"/>
        </w:rPr>
        <w:t>the </w:t>
      </w:r>
      <w:r w:rsidRPr="00D323AE">
        <w:rPr>
          <w:rFonts w:asciiTheme="majorBidi" w:hAnsiTheme="majorBidi" w:cstheme="majorBidi"/>
          <w:color w:val="000000"/>
          <w:sz w:val="24"/>
          <w:szCs w:val="24"/>
        </w:rPr>
        <w:t>United States for 2016-2030. </w:t>
      </w:r>
      <w:r w:rsidRPr="00D323AE">
        <w:rPr>
          <w:rFonts w:asciiTheme="majorBidi" w:hAnsiTheme="majorBidi" w:cstheme="majorBidi"/>
          <w:i/>
          <w:iCs/>
          <w:color w:val="000000"/>
          <w:sz w:val="24"/>
          <w:szCs w:val="24"/>
        </w:rPr>
        <w:t>J Hepatol</w:t>
      </w:r>
      <w:r w:rsidRPr="00D323AE">
        <w:rPr>
          <w:rFonts w:asciiTheme="majorBidi" w:hAnsiTheme="majorBidi" w:cstheme="majorBidi"/>
          <w:color w:val="000000"/>
          <w:sz w:val="24"/>
          <w:szCs w:val="24"/>
        </w:rPr>
        <w:t xml:space="preserve">. 2018;69(4):896-904. </w:t>
      </w:r>
      <w:proofErr w:type="spellStart"/>
      <w:r w:rsidR="000833EE" w:rsidRPr="00D323AE">
        <w:rPr>
          <w:rFonts w:asciiTheme="majorBidi" w:hAnsiTheme="majorBidi" w:cstheme="majorBidi"/>
          <w:color w:val="000000"/>
          <w:sz w:val="24"/>
          <w:szCs w:val="24"/>
        </w:rPr>
        <w:t>doi</w:t>
      </w:r>
      <w:proofErr w:type="spellEnd"/>
      <w:r w:rsidR="000833EE" w:rsidRPr="00D323AE">
        <w:rPr>
          <w:rFonts w:asciiTheme="majorBidi" w:hAnsiTheme="majorBidi" w:cstheme="majorBidi"/>
          <w:color w:val="000000"/>
          <w:sz w:val="24"/>
          <w:szCs w:val="24"/>
        </w:rPr>
        <w:t>: 10.1016/j.jhep</w:t>
      </w:r>
      <w:r w:rsidRPr="00D323AE">
        <w:rPr>
          <w:rFonts w:asciiTheme="majorBidi" w:hAnsiTheme="majorBidi" w:cstheme="majorBidi"/>
          <w:color w:val="000000"/>
          <w:sz w:val="24"/>
          <w:szCs w:val="24"/>
        </w:rPr>
        <w:t>.2018.05.036</w:t>
      </w:r>
    </w:p>
    <w:p w14:paraId="2DC8D577" w14:textId="77777777"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rPr>
        <w:t xml:space="preserve">Paik JM, </w:t>
      </w:r>
      <w:proofErr w:type="spellStart"/>
      <w:r w:rsidRPr="00D323AE">
        <w:rPr>
          <w:rFonts w:asciiTheme="majorBidi" w:hAnsiTheme="majorBidi" w:cstheme="majorBidi"/>
          <w:color w:val="000000"/>
          <w:sz w:val="24"/>
          <w:szCs w:val="24"/>
        </w:rPr>
        <w:t>Golabi</w:t>
      </w:r>
      <w:proofErr w:type="spellEnd"/>
      <w:r w:rsidRPr="00D323AE">
        <w:rPr>
          <w:rFonts w:asciiTheme="majorBidi" w:hAnsiTheme="majorBidi" w:cstheme="majorBidi"/>
          <w:color w:val="000000"/>
          <w:sz w:val="24"/>
          <w:szCs w:val="24"/>
        </w:rPr>
        <w:t xml:space="preserve"> P, </w:t>
      </w:r>
      <w:proofErr w:type="spellStart"/>
      <w:r w:rsidRPr="00D323AE">
        <w:rPr>
          <w:rFonts w:asciiTheme="majorBidi" w:hAnsiTheme="majorBidi" w:cstheme="majorBidi"/>
          <w:color w:val="000000"/>
          <w:sz w:val="24"/>
          <w:szCs w:val="24"/>
        </w:rPr>
        <w:t>Younossi</w:t>
      </w:r>
      <w:proofErr w:type="spellEnd"/>
      <w:r w:rsidRPr="00D323AE">
        <w:rPr>
          <w:rFonts w:asciiTheme="majorBidi" w:hAnsiTheme="majorBidi" w:cstheme="majorBidi"/>
          <w:color w:val="000000"/>
          <w:sz w:val="24"/>
          <w:szCs w:val="24"/>
        </w:rPr>
        <w:t xml:space="preserve"> Y, Mishra A, </w:t>
      </w:r>
      <w:proofErr w:type="spellStart"/>
      <w:r w:rsidRPr="00D323AE">
        <w:rPr>
          <w:rFonts w:asciiTheme="majorBidi" w:hAnsiTheme="majorBidi" w:cstheme="majorBidi"/>
          <w:color w:val="000000"/>
          <w:sz w:val="24"/>
          <w:szCs w:val="24"/>
        </w:rPr>
        <w:t>Younossi</w:t>
      </w:r>
      <w:proofErr w:type="spellEnd"/>
      <w:r w:rsidRPr="00D323AE">
        <w:rPr>
          <w:rFonts w:asciiTheme="majorBidi" w:hAnsiTheme="majorBidi" w:cstheme="majorBidi"/>
          <w:color w:val="000000"/>
          <w:sz w:val="24"/>
          <w:szCs w:val="24"/>
        </w:rPr>
        <w:t xml:space="preserve"> ZM. Changes in the Global Burden of Chronic Liver Diseases From 2012 to 2017: The Growing Impact of NAFLD. </w:t>
      </w:r>
      <w:r w:rsidRPr="00D323AE">
        <w:rPr>
          <w:rFonts w:asciiTheme="majorBidi" w:hAnsiTheme="majorBidi" w:cstheme="majorBidi"/>
          <w:i/>
          <w:iCs/>
          <w:color w:val="000000"/>
          <w:sz w:val="24"/>
          <w:szCs w:val="24"/>
        </w:rPr>
        <w:t>Hepatology</w:t>
      </w:r>
      <w:r w:rsidRPr="00D323AE">
        <w:rPr>
          <w:rFonts w:asciiTheme="majorBidi" w:hAnsiTheme="majorBidi" w:cstheme="majorBidi"/>
          <w:color w:val="000000"/>
          <w:sz w:val="24"/>
          <w:szCs w:val="24"/>
        </w:rPr>
        <w:t>. 2020;72(5):1605-1616. doi:10.1002/hep.31173</w:t>
      </w:r>
    </w:p>
    <w:p w14:paraId="5AAC16B6" w14:textId="77777777"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rPr>
        <w:t>Yip TC, Vilar-Gomez E, Petta S, et al. Geographical similarity and differences in the burden and genetic predisposition of NAFLD. </w:t>
      </w:r>
      <w:r w:rsidRPr="00D323AE">
        <w:rPr>
          <w:rFonts w:asciiTheme="majorBidi" w:hAnsiTheme="majorBidi" w:cstheme="majorBidi"/>
          <w:i/>
          <w:iCs/>
          <w:color w:val="000000"/>
          <w:sz w:val="24"/>
          <w:szCs w:val="24"/>
        </w:rPr>
        <w:t>Hepatology</w:t>
      </w:r>
      <w:r w:rsidRPr="00D323AE">
        <w:rPr>
          <w:rFonts w:asciiTheme="majorBidi" w:hAnsiTheme="majorBidi" w:cstheme="majorBidi"/>
          <w:color w:val="000000"/>
          <w:sz w:val="24"/>
          <w:szCs w:val="24"/>
        </w:rPr>
        <w:t>. 2023;77(4):1404-1427. doi:10.1002/hep.32774</w:t>
      </w:r>
    </w:p>
    <w:p w14:paraId="04D1B107" w14:textId="60001637"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lang w:val="de-DE"/>
        </w:rPr>
        <w:t xml:space="preserve">Alvarez CS, Graubard BI, Thistle JE, Petrick JL, McGlynn KA. </w:t>
      </w:r>
      <w:r w:rsidRPr="00D323AE">
        <w:rPr>
          <w:rFonts w:asciiTheme="majorBidi" w:hAnsiTheme="majorBidi" w:cstheme="majorBidi"/>
          <w:color w:val="000000"/>
          <w:sz w:val="24"/>
          <w:szCs w:val="24"/>
        </w:rPr>
        <w:t xml:space="preserve">Attributable Fractions of </w:t>
      </w:r>
      <w:r w:rsidR="00A86C5F" w:rsidRPr="00D323AE">
        <w:rPr>
          <w:rFonts w:asciiTheme="majorBidi" w:hAnsiTheme="majorBidi" w:cstheme="majorBidi"/>
          <w:color w:val="000000"/>
          <w:sz w:val="24"/>
          <w:szCs w:val="24"/>
        </w:rPr>
        <w:t>Non-alcoholic</w:t>
      </w:r>
      <w:r w:rsidRPr="00D323AE">
        <w:rPr>
          <w:rFonts w:asciiTheme="majorBidi" w:hAnsiTheme="majorBidi" w:cstheme="majorBidi"/>
          <w:color w:val="000000"/>
          <w:sz w:val="24"/>
          <w:szCs w:val="24"/>
        </w:rPr>
        <w:t xml:space="preserve"> Fatty Liver Disease for Mortality in the United States: Results </w:t>
      </w:r>
      <w:r w:rsidR="000833EE" w:rsidRPr="00D323AE">
        <w:rPr>
          <w:rFonts w:asciiTheme="majorBidi" w:hAnsiTheme="majorBidi" w:cstheme="majorBidi"/>
          <w:color w:val="000000"/>
          <w:sz w:val="24"/>
          <w:szCs w:val="24"/>
        </w:rPr>
        <w:t>from</w:t>
      </w:r>
      <w:r w:rsidRPr="00D323AE">
        <w:rPr>
          <w:rFonts w:asciiTheme="majorBidi" w:hAnsiTheme="majorBidi" w:cstheme="majorBidi"/>
          <w:color w:val="000000"/>
          <w:sz w:val="24"/>
          <w:szCs w:val="24"/>
        </w:rPr>
        <w:t xml:space="preserve"> the Third National Health and Nutrition Examination Survey With 27 Years of Follow-up. </w:t>
      </w:r>
      <w:r w:rsidRPr="00D323AE">
        <w:rPr>
          <w:rFonts w:asciiTheme="majorBidi" w:hAnsiTheme="majorBidi" w:cstheme="majorBidi"/>
          <w:i/>
          <w:iCs/>
          <w:color w:val="000000"/>
          <w:sz w:val="24"/>
          <w:szCs w:val="24"/>
        </w:rPr>
        <w:t>Hepatology</w:t>
      </w:r>
      <w:r w:rsidRPr="00D323AE">
        <w:rPr>
          <w:rFonts w:asciiTheme="majorBidi" w:hAnsiTheme="majorBidi" w:cstheme="majorBidi"/>
          <w:color w:val="000000"/>
          <w:sz w:val="24"/>
          <w:szCs w:val="24"/>
        </w:rPr>
        <w:t>. 2020;72(2):430-440. doi:10.1002/hep.31040</w:t>
      </w:r>
    </w:p>
    <w:p w14:paraId="5775170C" w14:textId="6EB9DD82"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lang w:val="de-DE"/>
        </w:rPr>
        <w:t xml:space="preserve">Ganji SH, Kashyap ML, Kamanna VS. </w:t>
      </w:r>
      <w:r w:rsidRPr="00D323AE">
        <w:rPr>
          <w:rFonts w:asciiTheme="majorBidi" w:hAnsiTheme="majorBidi" w:cstheme="majorBidi"/>
          <w:color w:val="000000"/>
          <w:sz w:val="24"/>
          <w:szCs w:val="24"/>
        </w:rPr>
        <w:t>Niacin inhibits fat accumulation, oxidative stress, and inflammatory cytokine IL-8 in cultured hepatocytes: Impact on non-alcoholic fatty liver disease. </w:t>
      </w:r>
      <w:r w:rsidRPr="00D323AE">
        <w:rPr>
          <w:rFonts w:asciiTheme="majorBidi" w:hAnsiTheme="majorBidi" w:cstheme="majorBidi"/>
          <w:i/>
          <w:iCs/>
          <w:color w:val="000000"/>
          <w:sz w:val="24"/>
          <w:szCs w:val="24"/>
        </w:rPr>
        <w:t>Metabolism</w:t>
      </w:r>
      <w:r w:rsidRPr="00D323AE">
        <w:rPr>
          <w:rFonts w:asciiTheme="majorBidi" w:hAnsiTheme="majorBidi" w:cstheme="majorBidi"/>
          <w:color w:val="000000"/>
          <w:sz w:val="24"/>
          <w:szCs w:val="24"/>
        </w:rPr>
        <w:t xml:space="preserve">. 2015;64(9):982-990. </w:t>
      </w:r>
      <w:r w:rsidR="00A86C5F" w:rsidRPr="00D323AE">
        <w:rPr>
          <w:rFonts w:asciiTheme="majorBidi" w:hAnsiTheme="majorBidi" w:cstheme="majorBidi"/>
          <w:color w:val="000000"/>
          <w:sz w:val="24"/>
          <w:szCs w:val="24"/>
        </w:rPr>
        <w:t>Doi</w:t>
      </w:r>
      <w:r w:rsidR="000833EE" w:rsidRPr="00D323AE">
        <w:rPr>
          <w:rFonts w:asciiTheme="majorBidi" w:hAnsiTheme="majorBidi" w:cstheme="majorBidi"/>
          <w:color w:val="000000"/>
          <w:sz w:val="24"/>
          <w:szCs w:val="24"/>
        </w:rPr>
        <w:t>: 10.1016/j.metabol</w:t>
      </w:r>
      <w:r w:rsidRPr="00D323AE">
        <w:rPr>
          <w:rFonts w:asciiTheme="majorBidi" w:hAnsiTheme="majorBidi" w:cstheme="majorBidi"/>
          <w:color w:val="000000"/>
          <w:sz w:val="24"/>
          <w:szCs w:val="24"/>
        </w:rPr>
        <w:t>.2015.05.002</w:t>
      </w:r>
    </w:p>
    <w:p w14:paraId="2AD6F431" w14:textId="523B0D9B"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rPr>
        <w:t>Eslam M, Sanyal AJ, George J; International Consensus Panel. MAFLD: A Consensus-Driven Proposed Nomenclature for Metabolic Associated Fatty Liver Disease. </w:t>
      </w:r>
      <w:r w:rsidRPr="00D323AE">
        <w:rPr>
          <w:rFonts w:asciiTheme="majorBidi" w:hAnsiTheme="majorBidi" w:cstheme="majorBidi"/>
          <w:i/>
          <w:iCs/>
          <w:color w:val="000000"/>
          <w:sz w:val="24"/>
          <w:szCs w:val="24"/>
        </w:rPr>
        <w:t>Gastroenterology</w:t>
      </w:r>
      <w:r w:rsidRPr="00D323AE">
        <w:rPr>
          <w:rFonts w:asciiTheme="majorBidi" w:hAnsiTheme="majorBidi" w:cstheme="majorBidi"/>
          <w:color w:val="000000"/>
          <w:sz w:val="24"/>
          <w:szCs w:val="24"/>
        </w:rPr>
        <w:t xml:space="preserve">. 2020;158(7):1999-2014.e1. </w:t>
      </w:r>
      <w:r w:rsidR="00A86C5F" w:rsidRPr="00D323AE">
        <w:rPr>
          <w:rFonts w:asciiTheme="majorBidi" w:hAnsiTheme="majorBidi" w:cstheme="majorBidi"/>
          <w:color w:val="000000"/>
          <w:sz w:val="24"/>
          <w:szCs w:val="24"/>
        </w:rPr>
        <w:t>Doi</w:t>
      </w:r>
      <w:r w:rsidR="000833EE" w:rsidRPr="00D323AE">
        <w:rPr>
          <w:rFonts w:asciiTheme="majorBidi" w:hAnsiTheme="majorBidi" w:cstheme="majorBidi"/>
          <w:color w:val="000000"/>
          <w:sz w:val="24"/>
          <w:szCs w:val="24"/>
        </w:rPr>
        <w:t>: 10.1053/j.gastro</w:t>
      </w:r>
      <w:r w:rsidRPr="00D323AE">
        <w:rPr>
          <w:rFonts w:asciiTheme="majorBidi" w:hAnsiTheme="majorBidi" w:cstheme="majorBidi"/>
          <w:color w:val="000000"/>
          <w:sz w:val="24"/>
          <w:szCs w:val="24"/>
        </w:rPr>
        <w:t>.2019.11.312</w:t>
      </w:r>
    </w:p>
    <w:p w14:paraId="579B50DC" w14:textId="77777777"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rPr>
        <w:t>Calzadilla Bertot L, Adams LA. The Natural Course of Non-Alcoholic Fatty Liver Disease. </w:t>
      </w:r>
      <w:r w:rsidRPr="00D323AE">
        <w:rPr>
          <w:rFonts w:asciiTheme="majorBidi" w:hAnsiTheme="majorBidi" w:cstheme="majorBidi"/>
          <w:i/>
          <w:iCs/>
          <w:color w:val="000000"/>
          <w:sz w:val="24"/>
          <w:szCs w:val="24"/>
        </w:rPr>
        <w:t>Int J Mol Sci</w:t>
      </w:r>
      <w:r w:rsidRPr="00D323AE">
        <w:rPr>
          <w:rFonts w:asciiTheme="majorBidi" w:hAnsiTheme="majorBidi" w:cstheme="majorBidi"/>
          <w:color w:val="000000"/>
          <w:sz w:val="24"/>
          <w:szCs w:val="24"/>
        </w:rPr>
        <w:t>. 2016;17(5):774. Published 2016 May 20. doi:10.3390/ijms17050774</w:t>
      </w:r>
    </w:p>
    <w:p w14:paraId="301E1C43" w14:textId="0956E092"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rPr>
        <w:t xml:space="preserve">Rich NE, Oji S, Mufti AR, et al. Racial and Ethnic Disparities in </w:t>
      </w:r>
      <w:proofErr w:type="spellStart"/>
      <w:r w:rsidRPr="00D323AE">
        <w:rPr>
          <w:rFonts w:asciiTheme="majorBidi" w:hAnsiTheme="majorBidi" w:cstheme="majorBidi"/>
          <w:color w:val="000000"/>
          <w:sz w:val="24"/>
          <w:szCs w:val="24"/>
        </w:rPr>
        <w:t>Nonalcoholic</w:t>
      </w:r>
      <w:proofErr w:type="spellEnd"/>
      <w:r w:rsidRPr="00D323AE">
        <w:rPr>
          <w:rFonts w:asciiTheme="majorBidi" w:hAnsiTheme="majorBidi" w:cstheme="majorBidi"/>
          <w:color w:val="000000"/>
          <w:sz w:val="24"/>
          <w:szCs w:val="24"/>
        </w:rPr>
        <w:t xml:space="preserve"> Fatty Liver Disease Prevalence, Severity, and Outcomes in the United States: A Systematic Review and Meta-analysis. </w:t>
      </w:r>
      <w:r w:rsidRPr="00D323AE">
        <w:rPr>
          <w:rFonts w:asciiTheme="majorBidi" w:hAnsiTheme="majorBidi" w:cstheme="majorBidi"/>
          <w:i/>
          <w:iCs/>
          <w:color w:val="000000"/>
          <w:sz w:val="24"/>
          <w:szCs w:val="24"/>
        </w:rPr>
        <w:t>Clin Gastroenterol Hepatol</w:t>
      </w:r>
      <w:r w:rsidRPr="00D323AE">
        <w:rPr>
          <w:rFonts w:asciiTheme="majorBidi" w:hAnsiTheme="majorBidi" w:cstheme="majorBidi"/>
          <w:color w:val="000000"/>
          <w:sz w:val="24"/>
          <w:szCs w:val="24"/>
        </w:rPr>
        <w:t xml:space="preserve">. 2018;16(2):198-210.e2. </w:t>
      </w:r>
      <w:r w:rsidR="00A86C5F" w:rsidRPr="00D323AE">
        <w:rPr>
          <w:rFonts w:asciiTheme="majorBidi" w:hAnsiTheme="majorBidi" w:cstheme="majorBidi"/>
          <w:color w:val="000000"/>
          <w:sz w:val="24"/>
          <w:szCs w:val="24"/>
        </w:rPr>
        <w:t>Doi</w:t>
      </w:r>
      <w:r w:rsidR="000833EE" w:rsidRPr="00D323AE">
        <w:rPr>
          <w:rFonts w:asciiTheme="majorBidi" w:hAnsiTheme="majorBidi" w:cstheme="majorBidi"/>
          <w:color w:val="000000"/>
          <w:sz w:val="24"/>
          <w:szCs w:val="24"/>
        </w:rPr>
        <w:t>: 10.1016/j.cgh</w:t>
      </w:r>
      <w:r w:rsidRPr="00D323AE">
        <w:rPr>
          <w:rFonts w:asciiTheme="majorBidi" w:hAnsiTheme="majorBidi" w:cstheme="majorBidi"/>
          <w:color w:val="000000"/>
          <w:sz w:val="24"/>
          <w:szCs w:val="24"/>
        </w:rPr>
        <w:t>.2017.09.041</w:t>
      </w:r>
    </w:p>
    <w:p w14:paraId="7D9E44CA" w14:textId="02E61A92"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lang w:val="de-DE"/>
        </w:rPr>
        <w:t xml:space="preserve">Balcar L, Semmler G, Oberkofler H, et al. </w:t>
      </w:r>
      <w:r w:rsidRPr="00D323AE">
        <w:rPr>
          <w:rFonts w:asciiTheme="majorBidi" w:hAnsiTheme="majorBidi" w:cstheme="majorBidi"/>
          <w:color w:val="000000"/>
          <w:sz w:val="24"/>
          <w:szCs w:val="24"/>
        </w:rPr>
        <w:t xml:space="preserve">PNPLA3 is the dominant SNP linked to liver disease severity at </w:t>
      </w:r>
      <w:r w:rsidR="00A86C5F">
        <w:rPr>
          <w:rFonts w:asciiTheme="majorBidi" w:hAnsiTheme="majorBidi" w:cstheme="majorBidi"/>
          <w:color w:val="000000"/>
          <w:sz w:val="24"/>
          <w:szCs w:val="24"/>
        </w:rPr>
        <w:t>the </w:t>
      </w:r>
      <w:r w:rsidRPr="00D323AE">
        <w:rPr>
          <w:rFonts w:asciiTheme="majorBidi" w:hAnsiTheme="majorBidi" w:cstheme="majorBidi"/>
          <w:color w:val="000000"/>
          <w:sz w:val="24"/>
          <w:szCs w:val="24"/>
        </w:rPr>
        <w:t xml:space="preserve">time of first referral to a tertiary </w:t>
      </w:r>
      <w:proofErr w:type="spellStart"/>
      <w:r w:rsidRPr="00D323AE">
        <w:rPr>
          <w:rFonts w:asciiTheme="majorBidi" w:hAnsiTheme="majorBidi" w:cstheme="majorBidi"/>
          <w:color w:val="000000"/>
          <w:sz w:val="24"/>
          <w:szCs w:val="24"/>
        </w:rPr>
        <w:t>center</w:t>
      </w:r>
      <w:proofErr w:type="spellEnd"/>
      <w:r w:rsidRPr="00D323AE">
        <w:rPr>
          <w:rFonts w:asciiTheme="majorBidi" w:hAnsiTheme="majorBidi" w:cstheme="majorBidi"/>
          <w:color w:val="000000"/>
          <w:sz w:val="24"/>
          <w:szCs w:val="24"/>
        </w:rPr>
        <w:t>. </w:t>
      </w:r>
      <w:r w:rsidRPr="00D323AE">
        <w:rPr>
          <w:rFonts w:asciiTheme="majorBidi" w:hAnsiTheme="majorBidi" w:cstheme="majorBidi"/>
          <w:i/>
          <w:iCs/>
          <w:color w:val="000000"/>
          <w:sz w:val="24"/>
          <w:szCs w:val="24"/>
        </w:rPr>
        <w:t>Dig Liver Dis</w:t>
      </w:r>
      <w:r w:rsidRPr="00D323AE">
        <w:rPr>
          <w:rFonts w:asciiTheme="majorBidi" w:hAnsiTheme="majorBidi" w:cstheme="majorBidi"/>
          <w:color w:val="000000"/>
          <w:sz w:val="24"/>
          <w:szCs w:val="24"/>
        </w:rPr>
        <w:t xml:space="preserve">. 2022;54(1):84-90. </w:t>
      </w:r>
      <w:r w:rsidR="00A86C5F" w:rsidRPr="00D323AE">
        <w:rPr>
          <w:rFonts w:asciiTheme="majorBidi" w:hAnsiTheme="majorBidi" w:cstheme="majorBidi"/>
          <w:color w:val="000000"/>
          <w:sz w:val="24"/>
          <w:szCs w:val="24"/>
        </w:rPr>
        <w:t>Doi</w:t>
      </w:r>
      <w:r w:rsidR="000833EE" w:rsidRPr="00D323AE">
        <w:rPr>
          <w:rFonts w:asciiTheme="majorBidi" w:hAnsiTheme="majorBidi" w:cstheme="majorBidi"/>
          <w:color w:val="000000"/>
          <w:sz w:val="24"/>
          <w:szCs w:val="24"/>
        </w:rPr>
        <w:t>: 10.1016/j.dld</w:t>
      </w:r>
      <w:r w:rsidRPr="00D323AE">
        <w:rPr>
          <w:rFonts w:asciiTheme="majorBidi" w:hAnsiTheme="majorBidi" w:cstheme="majorBidi"/>
          <w:color w:val="000000"/>
          <w:sz w:val="24"/>
          <w:szCs w:val="24"/>
        </w:rPr>
        <w:t>.2021.06.015</w:t>
      </w:r>
    </w:p>
    <w:p w14:paraId="4527915F" w14:textId="2DF61CF8"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lang w:val="de-DE"/>
        </w:rPr>
        <w:t xml:space="preserve">Gao F, Zheng KI, Chen SD, et al. </w:t>
      </w:r>
      <w:r w:rsidRPr="00D323AE">
        <w:rPr>
          <w:rFonts w:asciiTheme="majorBidi" w:hAnsiTheme="majorBidi" w:cstheme="majorBidi"/>
          <w:color w:val="000000"/>
          <w:sz w:val="24"/>
          <w:szCs w:val="24"/>
        </w:rPr>
        <w:t>Individualized Polygenic Risk Score Identifies NASH in the Eastern Asia Region: A Derivation and Validation Study. </w:t>
      </w:r>
      <w:r w:rsidRPr="00D323AE">
        <w:rPr>
          <w:rFonts w:asciiTheme="majorBidi" w:hAnsiTheme="majorBidi" w:cstheme="majorBidi"/>
          <w:i/>
          <w:iCs/>
          <w:color w:val="000000"/>
          <w:sz w:val="24"/>
          <w:szCs w:val="24"/>
        </w:rPr>
        <w:t xml:space="preserve">Clin </w:t>
      </w:r>
      <w:proofErr w:type="spellStart"/>
      <w:r w:rsidRPr="00D323AE">
        <w:rPr>
          <w:rFonts w:asciiTheme="majorBidi" w:hAnsiTheme="majorBidi" w:cstheme="majorBidi"/>
          <w:i/>
          <w:iCs/>
          <w:color w:val="000000"/>
          <w:sz w:val="24"/>
          <w:szCs w:val="24"/>
        </w:rPr>
        <w:t>Transl</w:t>
      </w:r>
      <w:proofErr w:type="spellEnd"/>
      <w:r w:rsidRPr="00D323AE">
        <w:rPr>
          <w:rFonts w:asciiTheme="majorBidi" w:hAnsiTheme="majorBidi" w:cstheme="majorBidi"/>
          <w:i/>
          <w:iCs/>
          <w:color w:val="000000"/>
          <w:sz w:val="24"/>
          <w:szCs w:val="24"/>
        </w:rPr>
        <w:t xml:space="preserve"> Gastroenterol</w:t>
      </w:r>
      <w:r w:rsidRPr="00D323AE">
        <w:rPr>
          <w:rFonts w:asciiTheme="majorBidi" w:hAnsiTheme="majorBidi" w:cstheme="majorBidi"/>
          <w:color w:val="000000"/>
          <w:sz w:val="24"/>
          <w:szCs w:val="24"/>
        </w:rPr>
        <w:t>. 2021;12(3</w:t>
      </w:r>
      <w:r w:rsidR="000833EE" w:rsidRPr="00D323AE">
        <w:rPr>
          <w:rFonts w:asciiTheme="majorBidi" w:hAnsiTheme="majorBidi" w:cstheme="majorBidi"/>
          <w:color w:val="000000"/>
          <w:sz w:val="24"/>
          <w:szCs w:val="24"/>
        </w:rPr>
        <w:t>): e</w:t>
      </w:r>
      <w:r w:rsidRPr="00D323AE">
        <w:rPr>
          <w:rFonts w:asciiTheme="majorBidi" w:hAnsiTheme="majorBidi" w:cstheme="majorBidi"/>
          <w:color w:val="000000"/>
          <w:sz w:val="24"/>
          <w:szCs w:val="24"/>
        </w:rPr>
        <w:t>00321. Published 2021 Mar 10. doi:10.14309/ctg.0000000000000321</w:t>
      </w:r>
    </w:p>
    <w:p w14:paraId="26046BB2" w14:textId="772CDF75"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rPr>
        <w:t xml:space="preserve">Huh Y, Cho YJ, Nam GE. Recent Epidemiology and Risk Factors of </w:t>
      </w:r>
      <w:r w:rsidR="00A86C5F" w:rsidRPr="00D323AE">
        <w:rPr>
          <w:rFonts w:asciiTheme="majorBidi" w:hAnsiTheme="majorBidi" w:cstheme="majorBidi"/>
          <w:color w:val="000000"/>
          <w:sz w:val="24"/>
          <w:szCs w:val="24"/>
        </w:rPr>
        <w:t>non-alcoholic</w:t>
      </w:r>
      <w:r w:rsidRPr="00D323AE">
        <w:rPr>
          <w:rFonts w:asciiTheme="majorBidi" w:hAnsiTheme="majorBidi" w:cstheme="majorBidi"/>
          <w:color w:val="000000"/>
          <w:sz w:val="24"/>
          <w:szCs w:val="24"/>
        </w:rPr>
        <w:t xml:space="preserve"> Fatty Liver Disease. </w:t>
      </w:r>
      <w:r w:rsidRPr="00D323AE">
        <w:rPr>
          <w:rFonts w:asciiTheme="majorBidi" w:hAnsiTheme="majorBidi" w:cstheme="majorBidi"/>
          <w:i/>
          <w:iCs/>
          <w:color w:val="000000"/>
          <w:sz w:val="24"/>
          <w:szCs w:val="24"/>
        </w:rPr>
        <w:t xml:space="preserve">J </w:t>
      </w:r>
      <w:proofErr w:type="spellStart"/>
      <w:r w:rsidRPr="00D323AE">
        <w:rPr>
          <w:rFonts w:asciiTheme="majorBidi" w:hAnsiTheme="majorBidi" w:cstheme="majorBidi"/>
          <w:i/>
          <w:iCs/>
          <w:color w:val="000000"/>
          <w:sz w:val="24"/>
          <w:szCs w:val="24"/>
        </w:rPr>
        <w:t>Obes</w:t>
      </w:r>
      <w:proofErr w:type="spellEnd"/>
      <w:r w:rsidRPr="00D323AE">
        <w:rPr>
          <w:rFonts w:asciiTheme="majorBidi" w:hAnsiTheme="majorBidi" w:cstheme="majorBidi"/>
          <w:i/>
          <w:iCs/>
          <w:color w:val="000000"/>
          <w:sz w:val="24"/>
          <w:szCs w:val="24"/>
        </w:rPr>
        <w:t xml:space="preserve"> </w:t>
      </w:r>
      <w:proofErr w:type="spellStart"/>
      <w:r w:rsidRPr="00D323AE">
        <w:rPr>
          <w:rFonts w:asciiTheme="majorBidi" w:hAnsiTheme="majorBidi" w:cstheme="majorBidi"/>
          <w:i/>
          <w:iCs/>
          <w:color w:val="000000"/>
          <w:sz w:val="24"/>
          <w:szCs w:val="24"/>
        </w:rPr>
        <w:t>Metab</w:t>
      </w:r>
      <w:proofErr w:type="spellEnd"/>
      <w:r w:rsidRPr="00D323AE">
        <w:rPr>
          <w:rFonts w:asciiTheme="majorBidi" w:hAnsiTheme="majorBidi" w:cstheme="majorBidi"/>
          <w:i/>
          <w:iCs/>
          <w:color w:val="000000"/>
          <w:sz w:val="24"/>
          <w:szCs w:val="24"/>
        </w:rPr>
        <w:t xml:space="preserve"> Syndr</w:t>
      </w:r>
      <w:r w:rsidRPr="00D323AE">
        <w:rPr>
          <w:rFonts w:asciiTheme="majorBidi" w:hAnsiTheme="majorBidi" w:cstheme="majorBidi"/>
          <w:color w:val="000000"/>
          <w:sz w:val="24"/>
          <w:szCs w:val="24"/>
        </w:rPr>
        <w:t>. 2022;31(1):17-27. doi:10.7570/jomes22021</w:t>
      </w:r>
    </w:p>
    <w:p w14:paraId="430FA36C" w14:textId="125BA459"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rPr>
        <w:t xml:space="preserve">Basu Ray S. PNPLA3-I148M: a problem of plenty in non-alcoholic fatty liver disease. Adipocyte. 2019 Dec;8(1):201-208. </w:t>
      </w:r>
      <w:r w:rsidR="00A86C5F" w:rsidRPr="00D323AE">
        <w:rPr>
          <w:rFonts w:asciiTheme="majorBidi" w:hAnsiTheme="majorBidi" w:cstheme="majorBidi"/>
          <w:color w:val="000000"/>
          <w:sz w:val="24"/>
          <w:szCs w:val="24"/>
        </w:rPr>
        <w:t>Doi</w:t>
      </w:r>
      <w:r w:rsidRPr="00D323AE">
        <w:rPr>
          <w:rFonts w:asciiTheme="majorBidi" w:hAnsiTheme="majorBidi" w:cstheme="majorBidi"/>
          <w:color w:val="000000"/>
          <w:sz w:val="24"/>
          <w:szCs w:val="24"/>
        </w:rPr>
        <w:t>: 10.1080/21623945.2019.1607423. PMID: 31062641; PMCID: PMC6768214.</w:t>
      </w:r>
    </w:p>
    <w:p w14:paraId="1FC5653D" w14:textId="77777777"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rPr>
        <w:t xml:space="preserve">Cherubini A, </w:t>
      </w:r>
      <w:proofErr w:type="spellStart"/>
      <w:r w:rsidRPr="00D323AE">
        <w:rPr>
          <w:rFonts w:asciiTheme="majorBidi" w:hAnsiTheme="majorBidi" w:cstheme="majorBidi"/>
          <w:color w:val="000000"/>
          <w:sz w:val="24"/>
          <w:szCs w:val="24"/>
        </w:rPr>
        <w:t>Casirati</w:t>
      </w:r>
      <w:proofErr w:type="spellEnd"/>
      <w:r w:rsidRPr="00D323AE">
        <w:rPr>
          <w:rFonts w:asciiTheme="majorBidi" w:hAnsiTheme="majorBidi" w:cstheme="majorBidi"/>
          <w:color w:val="000000"/>
          <w:sz w:val="24"/>
          <w:szCs w:val="24"/>
        </w:rPr>
        <w:t xml:space="preserve"> E, Tomasi M, Valenti L. PNPLA3 as a therapeutic target for fatty liver disease: the evidence to date. </w:t>
      </w:r>
      <w:r w:rsidRPr="00D323AE">
        <w:rPr>
          <w:rFonts w:asciiTheme="majorBidi" w:hAnsiTheme="majorBidi" w:cstheme="majorBidi"/>
          <w:i/>
          <w:iCs/>
          <w:color w:val="000000"/>
          <w:sz w:val="24"/>
          <w:szCs w:val="24"/>
        </w:rPr>
        <w:t xml:space="preserve">Expert </w:t>
      </w:r>
      <w:proofErr w:type="spellStart"/>
      <w:r w:rsidRPr="00D323AE">
        <w:rPr>
          <w:rFonts w:asciiTheme="majorBidi" w:hAnsiTheme="majorBidi" w:cstheme="majorBidi"/>
          <w:i/>
          <w:iCs/>
          <w:color w:val="000000"/>
          <w:sz w:val="24"/>
          <w:szCs w:val="24"/>
        </w:rPr>
        <w:t>Opin</w:t>
      </w:r>
      <w:proofErr w:type="spellEnd"/>
      <w:r w:rsidRPr="00D323AE">
        <w:rPr>
          <w:rFonts w:asciiTheme="majorBidi" w:hAnsiTheme="majorBidi" w:cstheme="majorBidi"/>
          <w:i/>
          <w:iCs/>
          <w:color w:val="000000"/>
          <w:sz w:val="24"/>
          <w:szCs w:val="24"/>
        </w:rPr>
        <w:t xml:space="preserve"> Ther Targets</w:t>
      </w:r>
      <w:r w:rsidRPr="00D323AE">
        <w:rPr>
          <w:rFonts w:asciiTheme="majorBidi" w:hAnsiTheme="majorBidi" w:cstheme="majorBidi"/>
          <w:color w:val="000000"/>
          <w:sz w:val="24"/>
          <w:szCs w:val="24"/>
        </w:rPr>
        <w:t>. 2021;25(12):1033-1043. doi:10.1080/14728222.2021.2018418</w:t>
      </w:r>
    </w:p>
    <w:p w14:paraId="055AE614" w14:textId="19E08825"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proofErr w:type="spellStart"/>
      <w:r w:rsidRPr="00D323AE">
        <w:rPr>
          <w:rFonts w:asciiTheme="majorBidi" w:hAnsiTheme="majorBidi" w:cstheme="majorBidi"/>
          <w:color w:val="000000"/>
          <w:sz w:val="24"/>
          <w:szCs w:val="24"/>
        </w:rPr>
        <w:t>Sookoian</w:t>
      </w:r>
      <w:proofErr w:type="spellEnd"/>
      <w:r w:rsidRPr="00D323AE">
        <w:rPr>
          <w:rFonts w:asciiTheme="majorBidi" w:hAnsiTheme="majorBidi" w:cstheme="majorBidi"/>
          <w:color w:val="000000"/>
          <w:sz w:val="24"/>
          <w:szCs w:val="24"/>
        </w:rPr>
        <w:t xml:space="preserve"> S, </w:t>
      </w:r>
      <w:proofErr w:type="spellStart"/>
      <w:r w:rsidRPr="00D323AE">
        <w:rPr>
          <w:rFonts w:asciiTheme="majorBidi" w:hAnsiTheme="majorBidi" w:cstheme="majorBidi"/>
          <w:color w:val="000000"/>
          <w:sz w:val="24"/>
          <w:szCs w:val="24"/>
        </w:rPr>
        <w:t>Pirola</w:t>
      </w:r>
      <w:proofErr w:type="spellEnd"/>
      <w:r w:rsidRPr="00D323AE">
        <w:rPr>
          <w:rFonts w:asciiTheme="majorBidi" w:hAnsiTheme="majorBidi" w:cstheme="majorBidi"/>
          <w:color w:val="000000"/>
          <w:sz w:val="24"/>
          <w:szCs w:val="24"/>
        </w:rPr>
        <w:t xml:space="preserve"> CJ. Meta-analysis of the influence of </w:t>
      </w:r>
      <w:r w:rsidR="000833EE">
        <w:rPr>
          <w:rFonts w:asciiTheme="majorBidi" w:hAnsiTheme="majorBidi" w:cstheme="majorBidi"/>
          <w:color w:val="000000"/>
          <w:sz w:val="24"/>
          <w:szCs w:val="24"/>
        </w:rPr>
        <w:t>the </w:t>
      </w:r>
      <w:r w:rsidRPr="00D323AE">
        <w:rPr>
          <w:rFonts w:asciiTheme="majorBidi" w:hAnsiTheme="majorBidi" w:cstheme="majorBidi"/>
          <w:color w:val="000000"/>
          <w:sz w:val="24"/>
          <w:szCs w:val="24"/>
        </w:rPr>
        <w:t xml:space="preserve">I148M variant of </w:t>
      </w:r>
      <w:proofErr w:type="spellStart"/>
      <w:r w:rsidRPr="00D323AE">
        <w:rPr>
          <w:rFonts w:asciiTheme="majorBidi" w:hAnsiTheme="majorBidi" w:cstheme="majorBidi"/>
          <w:color w:val="000000"/>
          <w:sz w:val="24"/>
          <w:szCs w:val="24"/>
        </w:rPr>
        <w:t>patatin</w:t>
      </w:r>
      <w:proofErr w:type="spellEnd"/>
      <w:r w:rsidRPr="00D323AE">
        <w:rPr>
          <w:rFonts w:asciiTheme="majorBidi" w:hAnsiTheme="majorBidi" w:cstheme="majorBidi"/>
          <w:color w:val="000000"/>
          <w:sz w:val="24"/>
          <w:szCs w:val="24"/>
        </w:rPr>
        <w:t>-like phospholipase domain containing 3 gene</w:t>
      </w:r>
      <w:r w:rsidR="00A86C5F">
        <w:rPr>
          <w:rFonts w:asciiTheme="majorBidi" w:hAnsiTheme="majorBidi" w:cstheme="majorBidi"/>
          <w:color w:val="000000"/>
          <w:sz w:val="24"/>
          <w:szCs w:val="24"/>
        </w:rPr>
        <w:t>s</w:t>
      </w:r>
      <w:r w:rsidRPr="00D323AE">
        <w:rPr>
          <w:rFonts w:asciiTheme="majorBidi" w:hAnsiTheme="majorBidi" w:cstheme="majorBidi"/>
          <w:color w:val="000000"/>
          <w:sz w:val="24"/>
          <w:szCs w:val="24"/>
        </w:rPr>
        <w:t xml:space="preserve"> (PNPLA3) on the susceptibility and histological severity of </w:t>
      </w:r>
      <w:r w:rsidR="00A86C5F" w:rsidRPr="00D323AE">
        <w:rPr>
          <w:rFonts w:asciiTheme="majorBidi" w:hAnsiTheme="majorBidi" w:cstheme="majorBidi"/>
          <w:color w:val="000000"/>
          <w:sz w:val="24"/>
          <w:szCs w:val="24"/>
        </w:rPr>
        <w:t>non-alcoholic</w:t>
      </w:r>
      <w:r w:rsidRPr="00D323AE">
        <w:rPr>
          <w:rFonts w:asciiTheme="majorBidi" w:hAnsiTheme="majorBidi" w:cstheme="majorBidi"/>
          <w:color w:val="000000"/>
          <w:sz w:val="24"/>
          <w:szCs w:val="24"/>
        </w:rPr>
        <w:t xml:space="preserve"> fatty liver disease. </w:t>
      </w:r>
      <w:r w:rsidRPr="00D323AE">
        <w:rPr>
          <w:rFonts w:asciiTheme="majorBidi" w:hAnsiTheme="majorBidi" w:cstheme="majorBidi"/>
          <w:i/>
          <w:iCs/>
          <w:color w:val="000000"/>
          <w:sz w:val="24"/>
          <w:szCs w:val="24"/>
        </w:rPr>
        <w:t>Hepatology</w:t>
      </w:r>
      <w:r w:rsidRPr="00D323AE">
        <w:rPr>
          <w:rFonts w:asciiTheme="majorBidi" w:hAnsiTheme="majorBidi" w:cstheme="majorBidi"/>
          <w:color w:val="000000"/>
          <w:sz w:val="24"/>
          <w:szCs w:val="24"/>
        </w:rPr>
        <w:t>. 2011;53(6):1883-1894. doi:10.1002/hep.24283</w:t>
      </w:r>
    </w:p>
    <w:p w14:paraId="62331696" w14:textId="3247CAC5"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rPr>
        <w:t xml:space="preserve">He S, McPhaul C, Li JZ, et al. A sequence variation (I148M) in PNPLA3 associated with </w:t>
      </w:r>
      <w:r w:rsidR="00A86C5F" w:rsidRPr="00D323AE">
        <w:rPr>
          <w:rFonts w:asciiTheme="majorBidi" w:hAnsiTheme="majorBidi" w:cstheme="majorBidi"/>
          <w:color w:val="000000"/>
          <w:sz w:val="24"/>
          <w:szCs w:val="24"/>
        </w:rPr>
        <w:t>non-alcoholic</w:t>
      </w:r>
      <w:r w:rsidRPr="00D323AE">
        <w:rPr>
          <w:rFonts w:asciiTheme="majorBidi" w:hAnsiTheme="majorBidi" w:cstheme="majorBidi"/>
          <w:color w:val="000000"/>
          <w:sz w:val="24"/>
          <w:szCs w:val="24"/>
        </w:rPr>
        <w:t xml:space="preserve"> fatty liver disease disrupts triglyceride hydrolysis. </w:t>
      </w:r>
      <w:r w:rsidRPr="00D323AE">
        <w:rPr>
          <w:rFonts w:asciiTheme="majorBidi" w:hAnsiTheme="majorBidi" w:cstheme="majorBidi"/>
          <w:i/>
          <w:iCs/>
          <w:color w:val="000000"/>
          <w:sz w:val="24"/>
          <w:szCs w:val="24"/>
        </w:rPr>
        <w:t xml:space="preserve">J </w:t>
      </w:r>
      <w:proofErr w:type="spellStart"/>
      <w:r w:rsidRPr="00D323AE">
        <w:rPr>
          <w:rFonts w:asciiTheme="majorBidi" w:hAnsiTheme="majorBidi" w:cstheme="majorBidi"/>
          <w:i/>
          <w:iCs/>
          <w:color w:val="000000"/>
          <w:sz w:val="24"/>
          <w:szCs w:val="24"/>
        </w:rPr>
        <w:t>Biol</w:t>
      </w:r>
      <w:proofErr w:type="spellEnd"/>
      <w:r w:rsidRPr="00D323AE">
        <w:rPr>
          <w:rFonts w:asciiTheme="majorBidi" w:hAnsiTheme="majorBidi" w:cstheme="majorBidi"/>
          <w:i/>
          <w:iCs/>
          <w:color w:val="000000"/>
          <w:sz w:val="24"/>
          <w:szCs w:val="24"/>
        </w:rPr>
        <w:t xml:space="preserve"> Chem</w:t>
      </w:r>
      <w:r w:rsidRPr="00D323AE">
        <w:rPr>
          <w:rFonts w:asciiTheme="majorBidi" w:hAnsiTheme="majorBidi" w:cstheme="majorBidi"/>
          <w:color w:val="000000"/>
          <w:sz w:val="24"/>
          <w:szCs w:val="24"/>
        </w:rPr>
        <w:t>. 2010;285(9):6706-6715. doi:10.1074/jbc.M109.064501</w:t>
      </w:r>
    </w:p>
    <w:p w14:paraId="3F47F921" w14:textId="3F693B16"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lang w:val="de-DE"/>
        </w:rPr>
        <w:t xml:space="preserve">Pirazzi C, Adiels M, Burza MA, et al. </w:t>
      </w:r>
      <w:proofErr w:type="spellStart"/>
      <w:r w:rsidRPr="00D323AE">
        <w:rPr>
          <w:rFonts w:asciiTheme="majorBidi" w:hAnsiTheme="majorBidi" w:cstheme="majorBidi"/>
          <w:color w:val="000000"/>
          <w:sz w:val="24"/>
          <w:szCs w:val="24"/>
        </w:rPr>
        <w:t>Patatin</w:t>
      </w:r>
      <w:proofErr w:type="spellEnd"/>
      <w:r w:rsidRPr="00D323AE">
        <w:rPr>
          <w:rFonts w:asciiTheme="majorBidi" w:hAnsiTheme="majorBidi" w:cstheme="majorBidi"/>
          <w:color w:val="000000"/>
          <w:sz w:val="24"/>
          <w:szCs w:val="24"/>
        </w:rPr>
        <w:t>-like phospholipase domain-containing 3 (PNPLA3) I148M (rs738409) affects hepatic VLDL secretion in humans and in vitro. </w:t>
      </w:r>
      <w:r w:rsidRPr="00D323AE">
        <w:rPr>
          <w:rFonts w:asciiTheme="majorBidi" w:hAnsiTheme="majorBidi" w:cstheme="majorBidi"/>
          <w:i/>
          <w:iCs/>
          <w:color w:val="000000"/>
          <w:sz w:val="24"/>
          <w:szCs w:val="24"/>
        </w:rPr>
        <w:t>J Hepatol</w:t>
      </w:r>
      <w:r w:rsidRPr="00D323AE">
        <w:rPr>
          <w:rFonts w:asciiTheme="majorBidi" w:hAnsiTheme="majorBidi" w:cstheme="majorBidi"/>
          <w:color w:val="000000"/>
          <w:sz w:val="24"/>
          <w:szCs w:val="24"/>
        </w:rPr>
        <w:t xml:space="preserve">. 2012;57(6):1276-1282. </w:t>
      </w:r>
      <w:r w:rsidR="00A86C5F">
        <w:rPr>
          <w:rFonts w:asciiTheme="majorBidi" w:hAnsiTheme="majorBidi" w:cstheme="majorBidi"/>
          <w:color w:val="000000"/>
          <w:sz w:val="24"/>
          <w:szCs w:val="24"/>
        </w:rPr>
        <w:t>D</w:t>
      </w:r>
      <w:r w:rsidR="000833EE" w:rsidRPr="00D323AE">
        <w:rPr>
          <w:rFonts w:asciiTheme="majorBidi" w:hAnsiTheme="majorBidi" w:cstheme="majorBidi"/>
          <w:color w:val="000000"/>
          <w:sz w:val="24"/>
          <w:szCs w:val="24"/>
        </w:rPr>
        <w:t>oi: 10.1016/j.jhep</w:t>
      </w:r>
      <w:r w:rsidRPr="00D323AE">
        <w:rPr>
          <w:rFonts w:asciiTheme="majorBidi" w:hAnsiTheme="majorBidi" w:cstheme="majorBidi"/>
          <w:color w:val="000000"/>
          <w:sz w:val="24"/>
          <w:szCs w:val="24"/>
        </w:rPr>
        <w:t>.2012.07.030</w:t>
      </w:r>
    </w:p>
    <w:p w14:paraId="49F65996" w14:textId="7D06B48B"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lang w:val="de-DE"/>
        </w:rPr>
        <w:t xml:space="preserve">Luukkonen PK, Nick A, Hölttä-Vuori M, et al. </w:t>
      </w:r>
      <w:r w:rsidR="000833EE">
        <w:rPr>
          <w:rFonts w:asciiTheme="majorBidi" w:hAnsiTheme="majorBidi" w:cstheme="majorBidi"/>
          <w:color w:val="000000"/>
          <w:sz w:val="24"/>
          <w:szCs w:val="24"/>
        </w:rPr>
        <w:t>The h</w:t>
      </w:r>
      <w:r w:rsidRPr="00D323AE">
        <w:rPr>
          <w:rFonts w:asciiTheme="majorBidi" w:hAnsiTheme="majorBidi" w:cstheme="majorBidi"/>
          <w:color w:val="000000"/>
          <w:sz w:val="24"/>
          <w:szCs w:val="24"/>
        </w:rPr>
        <w:t>uman PNPLA3-I148M variant increases hepatic retention of polyunsaturated fatty acids. </w:t>
      </w:r>
      <w:r w:rsidRPr="00D323AE">
        <w:rPr>
          <w:rFonts w:asciiTheme="majorBidi" w:hAnsiTheme="majorBidi" w:cstheme="majorBidi"/>
          <w:i/>
          <w:iCs/>
          <w:color w:val="000000"/>
          <w:sz w:val="24"/>
          <w:szCs w:val="24"/>
        </w:rPr>
        <w:t>JCI Insight</w:t>
      </w:r>
      <w:r w:rsidRPr="00D323AE">
        <w:rPr>
          <w:rFonts w:asciiTheme="majorBidi" w:hAnsiTheme="majorBidi" w:cstheme="majorBidi"/>
          <w:color w:val="000000"/>
          <w:sz w:val="24"/>
          <w:szCs w:val="24"/>
        </w:rPr>
        <w:t>. 2019;4(16</w:t>
      </w:r>
      <w:r w:rsidR="000833EE" w:rsidRPr="00D323AE">
        <w:rPr>
          <w:rFonts w:asciiTheme="majorBidi" w:hAnsiTheme="majorBidi" w:cstheme="majorBidi"/>
          <w:color w:val="000000"/>
          <w:sz w:val="24"/>
          <w:szCs w:val="24"/>
        </w:rPr>
        <w:t>): e</w:t>
      </w:r>
      <w:r w:rsidRPr="00D323AE">
        <w:rPr>
          <w:rFonts w:asciiTheme="majorBidi" w:hAnsiTheme="majorBidi" w:cstheme="majorBidi"/>
          <w:color w:val="000000"/>
          <w:sz w:val="24"/>
          <w:szCs w:val="24"/>
        </w:rPr>
        <w:t xml:space="preserve">127902. Published 2019 Aug 22. </w:t>
      </w:r>
      <w:r w:rsidR="00A86C5F" w:rsidRPr="00D323AE">
        <w:rPr>
          <w:rFonts w:asciiTheme="majorBidi" w:hAnsiTheme="majorBidi" w:cstheme="majorBidi"/>
          <w:color w:val="000000"/>
          <w:sz w:val="24"/>
          <w:szCs w:val="24"/>
        </w:rPr>
        <w:t>Doi</w:t>
      </w:r>
      <w:r w:rsidR="000833EE" w:rsidRPr="00D323AE">
        <w:rPr>
          <w:rFonts w:asciiTheme="majorBidi" w:hAnsiTheme="majorBidi" w:cstheme="majorBidi"/>
          <w:color w:val="000000"/>
          <w:sz w:val="24"/>
          <w:szCs w:val="24"/>
        </w:rPr>
        <w:t>: 10.1172/jci.insight</w:t>
      </w:r>
      <w:r w:rsidRPr="00D323AE">
        <w:rPr>
          <w:rFonts w:asciiTheme="majorBidi" w:hAnsiTheme="majorBidi" w:cstheme="majorBidi"/>
          <w:color w:val="000000"/>
          <w:sz w:val="24"/>
          <w:szCs w:val="24"/>
        </w:rPr>
        <w:t>.127902</w:t>
      </w:r>
    </w:p>
    <w:p w14:paraId="3955677E" w14:textId="5616AF8E"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rPr>
        <w:t xml:space="preserve">Zhao Y, Zhao W, Ma J, </w:t>
      </w:r>
      <w:proofErr w:type="spellStart"/>
      <w:r w:rsidRPr="00D323AE">
        <w:rPr>
          <w:rFonts w:asciiTheme="majorBidi" w:hAnsiTheme="majorBidi" w:cstheme="majorBidi"/>
          <w:color w:val="000000"/>
          <w:sz w:val="24"/>
          <w:szCs w:val="24"/>
        </w:rPr>
        <w:t>Toshiyoshi</w:t>
      </w:r>
      <w:proofErr w:type="spellEnd"/>
      <w:r w:rsidRPr="00D323AE">
        <w:rPr>
          <w:rFonts w:asciiTheme="majorBidi" w:hAnsiTheme="majorBidi" w:cstheme="majorBidi"/>
          <w:color w:val="000000"/>
          <w:sz w:val="24"/>
          <w:szCs w:val="24"/>
        </w:rPr>
        <w:t xml:space="preserve"> M, Zhao Y. </w:t>
      </w:r>
      <w:proofErr w:type="spellStart"/>
      <w:r w:rsidRPr="00D323AE">
        <w:rPr>
          <w:rFonts w:asciiTheme="majorBidi" w:hAnsiTheme="majorBidi" w:cstheme="majorBidi"/>
          <w:color w:val="000000"/>
          <w:sz w:val="24"/>
          <w:szCs w:val="24"/>
        </w:rPr>
        <w:t>Patatin</w:t>
      </w:r>
      <w:proofErr w:type="spellEnd"/>
      <w:r w:rsidRPr="00D323AE">
        <w:rPr>
          <w:rFonts w:asciiTheme="majorBidi" w:hAnsiTheme="majorBidi" w:cstheme="majorBidi"/>
          <w:color w:val="000000"/>
          <w:sz w:val="24"/>
          <w:szCs w:val="24"/>
        </w:rPr>
        <w:t xml:space="preserve">-like phospholipase domain-containing 3 gene (PNPLA3) polymorphic (rs738409) single nucleotide polymorphisms and susceptibility to </w:t>
      </w:r>
      <w:r w:rsidR="00A86C5F" w:rsidRPr="00D323AE">
        <w:rPr>
          <w:rFonts w:asciiTheme="majorBidi" w:hAnsiTheme="majorBidi" w:cstheme="majorBidi"/>
          <w:color w:val="000000"/>
          <w:sz w:val="24"/>
          <w:szCs w:val="24"/>
        </w:rPr>
        <w:t>non-alcoholic</w:t>
      </w:r>
      <w:r w:rsidRPr="00D323AE">
        <w:rPr>
          <w:rFonts w:asciiTheme="majorBidi" w:hAnsiTheme="majorBidi" w:cstheme="majorBidi"/>
          <w:color w:val="000000"/>
          <w:sz w:val="24"/>
          <w:szCs w:val="24"/>
        </w:rPr>
        <w:t xml:space="preserve"> fatty liver disease: A meta-analysis of twenty studies. </w:t>
      </w:r>
      <w:r w:rsidRPr="00D323AE">
        <w:rPr>
          <w:rFonts w:asciiTheme="majorBidi" w:hAnsiTheme="majorBidi" w:cstheme="majorBidi"/>
          <w:i/>
          <w:iCs/>
          <w:color w:val="000000"/>
          <w:sz w:val="24"/>
          <w:szCs w:val="24"/>
        </w:rPr>
        <w:t>Medicine (Baltimore)</w:t>
      </w:r>
      <w:r w:rsidRPr="00D323AE">
        <w:rPr>
          <w:rFonts w:asciiTheme="majorBidi" w:hAnsiTheme="majorBidi" w:cstheme="majorBidi"/>
          <w:color w:val="000000"/>
          <w:sz w:val="24"/>
          <w:szCs w:val="24"/>
        </w:rPr>
        <w:t>. 2023;102(10</w:t>
      </w:r>
      <w:r w:rsidR="000833EE" w:rsidRPr="00D323AE">
        <w:rPr>
          <w:rFonts w:asciiTheme="majorBidi" w:hAnsiTheme="majorBidi" w:cstheme="majorBidi"/>
          <w:color w:val="000000"/>
          <w:sz w:val="24"/>
          <w:szCs w:val="24"/>
        </w:rPr>
        <w:t>): e</w:t>
      </w:r>
      <w:r w:rsidRPr="00D323AE">
        <w:rPr>
          <w:rFonts w:asciiTheme="majorBidi" w:hAnsiTheme="majorBidi" w:cstheme="majorBidi"/>
          <w:color w:val="000000"/>
          <w:sz w:val="24"/>
          <w:szCs w:val="24"/>
        </w:rPr>
        <w:t>33110. doi:10.1097/MD.0000000000033110</w:t>
      </w:r>
    </w:p>
    <w:p w14:paraId="27F77CB7" w14:textId="7CCE7DF6"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rPr>
        <w:t>Green CJ, Johnson D, Amin HD, et al. Characterization of lipid metabolism in a novel immortalized human hepatocyte cell line. </w:t>
      </w:r>
      <w:r w:rsidRPr="00D323AE">
        <w:rPr>
          <w:rFonts w:asciiTheme="majorBidi" w:hAnsiTheme="majorBidi" w:cstheme="majorBidi"/>
          <w:i/>
          <w:iCs/>
          <w:color w:val="000000"/>
          <w:sz w:val="24"/>
          <w:szCs w:val="24"/>
        </w:rPr>
        <w:t xml:space="preserve">Am J </w:t>
      </w:r>
      <w:proofErr w:type="spellStart"/>
      <w:r w:rsidRPr="00D323AE">
        <w:rPr>
          <w:rFonts w:asciiTheme="majorBidi" w:hAnsiTheme="majorBidi" w:cstheme="majorBidi"/>
          <w:i/>
          <w:iCs/>
          <w:color w:val="000000"/>
          <w:sz w:val="24"/>
          <w:szCs w:val="24"/>
        </w:rPr>
        <w:t>Physiol</w:t>
      </w:r>
      <w:proofErr w:type="spellEnd"/>
      <w:r w:rsidRPr="00D323AE">
        <w:rPr>
          <w:rFonts w:asciiTheme="majorBidi" w:hAnsiTheme="majorBidi" w:cstheme="majorBidi"/>
          <w:i/>
          <w:iCs/>
          <w:color w:val="000000"/>
          <w:sz w:val="24"/>
          <w:szCs w:val="24"/>
        </w:rPr>
        <w:t xml:space="preserve"> Endocrinol </w:t>
      </w:r>
      <w:proofErr w:type="spellStart"/>
      <w:r w:rsidRPr="00D323AE">
        <w:rPr>
          <w:rFonts w:asciiTheme="majorBidi" w:hAnsiTheme="majorBidi" w:cstheme="majorBidi"/>
          <w:i/>
          <w:iCs/>
          <w:color w:val="000000"/>
          <w:sz w:val="24"/>
          <w:szCs w:val="24"/>
        </w:rPr>
        <w:t>Metab</w:t>
      </w:r>
      <w:proofErr w:type="spellEnd"/>
      <w:r w:rsidRPr="00D323AE">
        <w:rPr>
          <w:rFonts w:asciiTheme="majorBidi" w:hAnsiTheme="majorBidi" w:cstheme="majorBidi"/>
          <w:color w:val="000000"/>
          <w:sz w:val="24"/>
          <w:szCs w:val="24"/>
        </w:rPr>
        <w:t>. 2015;309(6</w:t>
      </w:r>
      <w:r w:rsidR="000833EE" w:rsidRPr="00D323AE">
        <w:rPr>
          <w:rFonts w:asciiTheme="majorBidi" w:hAnsiTheme="majorBidi" w:cstheme="majorBidi"/>
          <w:color w:val="000000"/>
          <w:sz w:val="24"/>
          <w:szCs w:val="24"/>
        </w:rPr>
        <w:t>): E</w:t>
      </w:r>
      <w:r w:rsidRPr="00D323AE">
        <w:rPr>
          <w:rFonts w:asciiTheme="majorBidi" w:hAnsiTheme="majorBidi" w:cstheme="majorBidi"/>
          <w:color w:val="000000"/>
          <w:sz w:val="24"/>
          <w:szCs w:val="24"/>
        </w:rPr>
        <w:t>511-E522. doi:10.1152/ajpendo.00594.2014</w:t>
      </w:r>
    </w:p>
    <w:p w14:paraId="52CACC1F" w14:textId="77777777"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lang w:val="de-DE"/>
        </w:rPr>
        <w:t xml:space="preserve">Bruschi FV, Claudel T, Tardelli M, et al. </w:t>
      </w:r>
      <w:r w:rsidRPr="00D323AE">
        <w:rPr>
          <w:rFonts w:asciiTheme="majorBidi" w:hAnsiTheme="majorBidi" w:cstheme="majorBidi"/>
          <w:color w:val="000000"/>
          <w:sz w:val="24"/>
          <w:szCs w:val="24"/>
        </w:rPr>
        <w:t xml:space="preserve">The PNPLA3 I148M variant modulates the </w:t>
      </w:r>
      <w:proofErr w:type="spellStart"/>
      <w:r w:rsidRPr="00D323AE">
        <w:rPr>
          <w:rFonts w:asciiTheme="majorBidi" w:hAnsiTheme="majorBidi" w:cstheme="majorBidi"/>
          <w:color w:val="000000"/>
          <w:sz w:val="24"/>
          <w:szCs w:val="24"/>
        </w:rPr>
        <w:t>fibrogenic</w:t>
      </w:r>
      <w:proofErr w:type="spellEnd"/>
      <w:r w:rsidRPr="00D323AE">
        <w:rPr>
          <w:rFonts w:asciiTheme="majorBidi" w:hAnsiTheme="majorBidi" w:cstheme="majorBidi"/>
          <w:color w:val="000000"/>
          <w:sz w:val="24"/>
          <w:szCs w:val="24"/>
        </w:rPr>
        <w:t xml:space="preserve"> phenotype of human hepatic stellate cells. </w:t>
      </w:r>
      <w:r w:rsidRPr="00D323AE">
        <w:rPr>
          <w:rFonts w:asciiTheme="majorBidi" w:hAnsiTheme="majorBidi" w:cstheme="majorBidi"/>
          <w:i/>
          <w:iCs/>
          <w:color w:val="000000"/>
          <w:sz w:val="24"/>
          <w:szCs w:val="24"/>
        </w:rPr>
        <w:t>Hepatology</w:t>
      </w:r>
      <w:r w:rsidRPr="00D323AE">
        <w:rPr>
          <w:rFonts w:asciiTheme="majorBidi" w:hAnsiTheme="majorBidi" w:cstheme="majorBidi"/>
          <w:color w:val="000000"/>
          <w:sz w:val="24"/>
          <w:szCs w:val="24"/>
        </w:rPr>
        <w:t>. 2017;65(6):1875-1890. doi:10.1002/hep.29041</w:t>
      </w:r>
    </w:p>
    <w:p w14:paraId="591B0A42" w14:textId="77777777"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rPr>
        <w:t>Gou Y, Wang L, Zhao J, et al. PNPLA3-I148M Variant Promotes the Progression of Liver Fibrosis by Inducing Mitochondrial Dysfunction. </w:t>
      </w:r>
      <w:r w:rsidRPr="00D323AE">
        <w:rPr>
          <w:rFonts w:asciiTheme="majorBidi" w:hAnsiTheme="majorBidi" w:cstheme="majorBidi"/>
          <w:i/>
          <w:iCs/>
          <w:color w:val="000000"/>
          <w:sz w:val="24"/>
          <w:szCs w:val="24"/>
        </w:rPr>
        <w:t>Int J Mol Sci</w:t>
      </w:r>
      <w:r w:rsidRPr="00D323AE">
        <w:rPr>
          <w:rFonts w:asciiTheme="majorBidi" w:hAnsiTheme="majorBidi" w:cstheme="majorBidi"/>
          <w:color w:val="000000"/>
          <w:sz w:val="24"/>
          <w:szCs w:val="24"/>
        </w:rPr>
        <w:t>. 2023;24(11):9681. Published 2023 Jun 2. doi:10.3390/ijms24119681</w:t>
      </w:r>
    </w:p>
    <w:p w14:paraId="0B1DDB42" w14:textId="10457712"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rPr>
        <w:t xml:space="preserve">Abdel-Razik A, Mousa N, Shabana W, et al. A novel model using mean platelet volume and neutrophil to lymphocyte ratio as a marker of </w:t>
      </w:r>
      <w:r w:rsidR="00A86C5F" w:rsidRPr="00D323AE">
        <w:rPr>
          <w:rFonts w:asciiTheme="majorBidi" w:hAnsiTheme="majorBidi" w:cstheme="majorBidi"/>
          <w:color w:val="000000"/>
          <w:sz w:val="24"/>
          <w:szCs w:val="24"/>
        </w:rPr>
        <w:t>non-alcoholic</w:t>
      </w:r>
      <w:r w:rsidRPr="00D323AE">
        <w:rPr>
          <w:rFonts w:asciiTheme="majorBidi" w:hAnsiTheme="majorBidi" w:cstheme="majorBidi"/>
          <w:color w:val="000000"/>
          <w:sz w:val="24"/>
          <w:szCs w:val="24"/>
        </w:rPr>
        <w:t xml:space="preserve"> steatohepatitis in NAFLD patients: </w:t>
      </w:r>
      <w:r w:rsidR="006D325E">
        <w:rPr>
          <w:rFonts w:asciiTheme="majorBidi" w:hAnsiTheme="majorBidi" w:cstheme="majorBidi"/>
          <w:color w:val="000000"/>
          <w:sz w:val="24"/>
          <w:szCs w:val="24"/>
        </w:rPr>
        <w:t>a </w:t>
      </w:r>
      <w:r w:rsidRPr="00D323AE">
        <w:rPr>
          <w:rFonts w:asciiTheme="majorBidi" w:hAnsiTheme="majorBidi" w:cstheme="majorBidi"/>
          <w:color w:val="000000"/>
          <w:sz w:val="24"/>
          <w:szCs w:val="24"/>
        </w:rPr>
        <w:t>multicentric study. </w:t>
      </w:r>
      <w:proofErr w:type="spellStart"/>
      <w:r w:rsidRPr="00D323AE">
        <w:rPr>
          <w:rFonts w:asciiTheme="majorBidi" w:hAnsiTheme="majorBidi" w:cstheme="majorBidi"/>
          <w:i/>
          <w:iCs/>
          <w:color w:val="000000"/>
          <w:sz w:val="24"/>
          <w:szCs w:val="24"/>
        </w:rPr>
        <w:t>Eur</w:t>
      </w:r>
      <w:proofErr w:type="spellEnd"/>
      <w:r w:rsidRPr="00D323AE">
        <w:rPr>
          <w:rFonts w:asciiTheme="majorBidi" w:hAnsiTheme="majorBidi" w:cstheme="majorBidi"/>
          <w:i/>
          <w:iCs/>
          <w:color w:val="000000"/>
          <w:sz w:val="24"/>
          <w:szCs w:val="24"/>
        </w:rPr>
        <w:t xml:space="preserve"> J Gastroenterol Hepatol</w:t>
      </w:r>
      <w:r w:rsidRPr="00D323AE">
        <w:rPr>
          <w:rFonts w:asciiTheme="majorBidi" w:hAnsiTheme="majorBidi" w:cstheme="majorBidi"/>
          <w:color w:val="000000"/>
          <w:sz w:val="24"/>
          <w:szCs w:val="24"/>
        </w:rPr>
        <w:t>. 2016;28(1</w:t>
      </w:r>
      <w:r w:rsidR="000833EE" w:rsidRPr="00D323AE">
        <w:rPr>
          <w:rFonts w:asciiTheme="majorBidi" w:hAnsiTheme="majorBidi" w:cstheme="majorBidi"/>
          <w:color w:val="000000"/>
          <w:sz w:val="24"/>
          <w:szCs w:val="24"/>
        </w:rPr>
        <w:t>): e</w:t>
      </w:r>
      <w:r w:rsidRPr="00D323AE">
        <w:rPr>
          <w:rFonts w:asciiTheme="majorBidi" w:hAnsiTheme="majorBidi" w:cstheme="majorBidi"/>
          <w:color w:val="000000"/>
          <w:sz w:val="24"/>
          <w:szCs w:val="24"/>
        </w:rPr>
        <w:t>1-e9. doi:10.1097/MEG.0000000000000486</w:t>
      </w:r>
    </w:p>
    <w:p w14:paraId="66292A2F" w14:textId="1F1BB730"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lang w:val="de-DE"/>
        </w:rPr>
        <w:t xml:space="preserve">Kleiner DE, Brunt EM, Van Natta M, et al. </w:t>
      </w:r>
      <w:r w:rsidRPr="00D323AE">
        <w:rPr>
          <w:rFonts w:asciiTheme="majorBidi" w:hAnsiTheme="majorBidi" w:cstheme="majorBidi"/>
          <w:color w:val="000000"/>
          <w:sz w:val="24"/>
          <w:szCs w:val="24"/>
        </w:rPr>
        <w:t xml:space="preserve">Design and validation of a histological scoring system for </w:t>
      </w:r>
      <w:r w:rsidR="00A86C5F" w:rsidRPr="00D323AE">
        <w:rPr>
          <w:rFonts w:asciiTheme="majorBidi" w:hAnsiTheme="majorBidi" w:cstheme="majorBidi"/>
          <w:color w:val="000000"/>
          <w:sz w:val="24"/>
          <w:szCs w:val="24"/>
        </w:rPr>
        <w:t>non-alcoholic</w:t>
      </w:r>
      <w:r w:rsidRPr="00D323AE">
        <w:rPr>
          <w:rFonts w:asciiTheme="majorBidi" w:hAnsiTheme="majorBidi" w:cstheme="majorBidi"/>
          <w:color w:val="000000"/>
          <w:sz w:val="24"/>
          <w:szCs w:val="24"/>
        </w:rPr>
        <w:t xml:space="preserve"> fatty liver disease. Hepatology. 2005;41(6):1313-21. </w:t>
      </w:r>
      <w:proofErr w:type="spellStart"/>
      <w:r w:rsidRPr="00D323AE">
        <w:rPr>
          <w:rFonts w:asciiTheme="majorBidi" w:hAnsiTheme="majorBidi" w:cstheme="majorBidi"/>
          <w:color w:val="000000"/>
          <w:sz w:val="24"/>
          <w:szCs w:val="24"/>
        </w:rPr>
        <w:t>doi</w:t>
      </w:r>
      <w:proofErr w:type="spellEnd"/>
      <w:r w:rsidRPr="00D323AE">
        <w:rPr>
          <w:rFonts w:asciiTheme="majorBidi" w:hAnsiTheme="majorBidi" w:cstheme="majorBidi"/>
          <w:color w:val="000000"/>
          <w:sz w:val="24"/>
          <w:szCs w:val="24"/>
        </w:rPr>
        <w:t>: 10.1002/hep.20701.</w:t>
      </w:r>
    </w:p>
    <w:p w14:paraId="13D98D5C" w14:textId="211815DE"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rPr>
        <w:t xml:space="preserve">Romeo S, </w:t>
      </w:r>
      <w:proofErr w:type="spellStart"/>
      <w:r w:rsidRPr="00D323AE">
        <w:rPr>
          <w:rFonts w:asciiTheme="majorBidi" w:hAnsiTheme="majorBidi" w:cstheme="majorBidi"/>
          <w:color w:val="000000"/>
          <w:sz w:val="24"/>
          <w:szCs w:val="24"/>
        </w:rPr>
        <w:t>Kozlitina</w:t>
      </w:r>
      <w:proofErr w:type="spellEnd"/>
      <w:r w:rsidRPr="00D323AE">
        <w:rPr>
          <w:rFonts w:asciiTheme="majorBidi" w:hAnsiTheme="majorBidi" w:cstheme="majorBidi"/>
          <w:color w:val="000000"/>
          <w:sz w:val="24"/>
          <w:szCs w:val="24"/>
        </w:rPr>
        <w:t xml:space="preserve"> J, Xing C, et al. Genetic variation in PNPLA3 confers susceptibility to </w:t>
      </w:r>
      <w:r w:rsidR="00A86C5F" w:rsidRPr="00D323AE">
        <w:rPr>
          <w:rFonts w:asciiTheme="majorBidi" w:hAnsiTheme="majorBidi" w:cstheme="majorBidi"/>
          <w:color w:val="000000"/>
          <w:sz w:val="24"/>
          <w:szCs w:val="24"/>
        </w:rPr>
        <w:t>non-alcoholic</w:t>
      </w:r>
      <w:r w:rsidRPr="00D323AE">
        <w:rPr>
          <w:rFonts w:asciiTheme="majorBidi" w:hAnsiTheme="majorBidi" w:cstheme="majorBidi"/>
          <w:color w:val="000000"/>
          <w:sz w:val="24"/>
          <w:szCs w:val="24"/>
        </w:rPr>
        <w:t xml:space="preserve"> fatty liver disease. </w:t>
      </w:r>
      <w:r w:rsidRPr="00D323AE">
        <w:rPr>
          <w:rFonts w:asciiTheme="majorBidi" w:hAnsiTheme="majorBidi" w:cstheme="majorBidi"/>
          <w:i/>
          <w:iCs/>
          <w:color w:val="000000"/>
          <w:sz w:val="24"/>
          <w:szCs w:val="24"/>
        </w:rPr>
        <w:t>Nat Genet</w:t>
      </w:r>
      <w:r w:rsidRPr="00D323AE">
        <w:rPr>
          <w:rFonts w:asciiTheme="majorBidi" w:hAnsiTheme="majorBidi" w:cstheme="majorBidi"/>
          <w:color w:val="000000"/>
          <w:sz w:val="24"/>
          <w:szCs w:val="24"/>
        </w:rPr>
        <w:t>. 2008;40(12):1461-1465. doi:10.1038/ng.257</w:t>
      </w:r>
    </w:p>
    <w:p w14:paraId="5812D35A" w14:textId="18DF5254"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rPr>
        <w:t>Mullins VA, Bresette W, Johnstone L, Hallmark B, Chilton FH. Genomics in Personalized Nutrition: Can You "Eat for Your Genes"? </w:t>
      </w:r>
      <w:r w:rsidRPr="00D323AE">
        <w:rPr>
          <w:rFonts w:asciiTheme="majorBidi" w:hAnsiTheme="majorBidi" w:cstheme="majorBidi"/>
          <w:i/>
          <w:iCs/>
          <w:color w:val="000000"/>
          <w:sz w:val="24"/>
          <w:szCs w:val="24"/>
        </w:rPr>
        <w:t>Nutrients</w:t>
      </w:r>
      <w:r w:rsidRPr="00D323AE">
        <w:rPr>
          <w:rFonts w:asciiTheme="majorBidi" w:hAnsiTheme="majorBidi" w:cstheme="majorBidi"/>
          <w:color w:val="000000"/>
          <w:sz w:val="24"/>
          <w:szCs w:val="24"/>
        </w:rPr>
        <w:t>. 2020;12(10):3118. Published 2020 Oct 13. doi:10.3390/nu12103118</w:t>
      </w:r>
    </w:p>
    <w:p w14:paraId="66882202" w14:textId="3DF49ABA"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rPr>
        <w:t xml:space="preserve">Anstee QM, </w:t>
      </w:r>
      <w:proofErr w:type="spellStart"/>
      <w:r w:rsidRPr="00D323AE">
        <w:rPr>
          <w:rFonts w:asciiTheme="majorBidi" w:hAnsiTheme="majorBidi" w:cstheme="majorBidi"/>
          <w:color w:val="000000"/>
          <w:sz w:val="24"/>
          <w:szCs w:val="24"/>
        </w:rPr>
        <w:t>Darlay</w:t>
      </w:r>
      <w:proofErr w:type="spellEnd"/>
      <w:r w:rsidRPr="00D323AE">
        <w:rPr>
          <w:rFonts w:asciiTheme="majorBidi" w:hAnsiTheme="majorBidi" w:cstheme="majorBidi"/>
          <w:color w:val="000000"/>
          <w:sz w:val="24"/>
          <w:szCs w:val="24"/>
        </w:rPr>
        <w:t xml:space="preserve"> R, Cockell S, et al. Genome-wide association study of non-alcoholic fatty liver and steatohepatitis in a histologically characteri</w:t>
      </w:r>
      <w:r w:rsidR="000833EE">
        <w:rPr>
          <w:rFonts w:asciiTheme="majorBidi" w:hAnsiTheme="majorBidi" w:cstheme="majorBidi"/>
          <w:color w:val="000000"/>
          <w:sz w:val="24"/>
          <w:szCs w:val="24"/>
        </w:rPr>
        <w:t>z</w:t>
      </w:r>
      <w:r w:rsidRPr="00D323AE">
        <w:rPr>
          <w:rFonts w:asciiTheme="majorBidi" w:hAnsiTheme="majorBidi" w:cstheme="majorBidi"/>
          <w:color w:val="000000"/>
          <w:sz w:val="24"/>
          <w:szCs w:val="24"/>
        </w:rPr>
        <w:t xml:space="preserve">ed cohort. </w:t>
      </w:r>
      <w:r w:rsidRPr="00D323AE">
        <w:rPr>
          <w:rFonts w:asciiTheme="majorBidi" w:hAnsiTheme="majorBidi" w:cstheme="majorBidi"/>
          <w:i/>
          <w:iCs/>
          <w:color w:val="000000"/>
          <w:sz w:val="24"/>
          <w:szCs w:val="24"/>
        </w:rPr>
        <w:t>J Hepatol</w:t>
      </w:r>
      <w:r w:rsidRPr="00D323AE">
        <w:rPr>
          <w:rFonts w:asciiTheme="majorBidi" w:hAnsiTheme="majorBidi" w:cstheme="majorBidi"/>
          <w:color w:val="000000"/>
          <w:sz w:val="24"/>
          <w:szCs w:val="24"/>
        </w:rPr>
        <w:t xml:space="preserve"> 2023; 78(5):1085-1086. </w:t>
      </w:r>
      <w:r w:rsidR="000833EE">
        <w:rPr>
          <w:rFonts w:asciiTheme="majorBidi" w:hAnsiTheme="majorBidi" w:cstheme="majorBidi"/>
          <w:color w:val="000000"/>
          <w:sz w:val="24"/>
          <w:szCs w:val="24"/>
        </w:rPr>
        <w:t>D</w:t>
      </w:r>
      <w:r w:rsidRPr="00D323AE">
        <w:rPr>
          <w:rFonts w:asciiTheme="majorBidi" w:hAnsiTheme="majorBidi" w:cstheme="majorBidi"/>
          <w:color w:val="000000"/>
          <w:sz w:val="24"/>
          <w:szCs w:val="24"/>
        </w:rPr>
        <w:t>oi: 10.1016/j.jhep.2020.04.003</w:t>
      </w:r>
    </w:p>
    <w:p w14:paraId="4AC17FA8" w14:textId="77777777"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rPr>
        <w:t>Dhar D, Loomba R. Emerging Metabolic and Transcriptomic Signature of PNPLA3-Associated NASH. </w:t>
      </w:r>
      <w:r w:rsidRPr="00D323AE">
        <w:rPr>
          <w:rFonts w:asciiTheme="majorBidi" w:hAnsiTheme="majorBidi" w:cstheme="majorBidi"/>
          <w:i/>
          <w:iCs/>
          <w:color w:val="000000"/>
          <w:sz w:val="24"/>
          <w:szCs w:val="24"/>
        </w:rPr>
        <w:t>Hepatology</w:t>
      </w:r>
      <w:r w:rsidRPr="00D323AE">
        <w:rPr>
          <w:rFonts w:asciiTheme="majorBidi" w:hAnsiTheme="majorBidi" w:cstheme="majorBidi"/>
          <w:color w:val="000000"/>
          <w:sz w:val="24"/>
          <w:szCs w:val="24"/>
        </w:rPr>
        <w:t>. 2021;73(4):1248-1250. doi:10.1002/hep.31735</w:t>
      </w:r>
    </w:p>
    <w:p w14:paraId="3907AD37" w14:textId="68D406BA"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rPr>
        <w:t xml:space="preserve">Kim HS, Xiao X, Byun J, et al. Synergistic Associations of PNPLA3 I148M Variant, Alcohol Intake, and Obesity </w:t>
      </w:r>
      <w:r w:rsidR="000833EE" w:rsidRPr="00D323AE">
        <w:rPr>
          <w:rFonts w:asciiTheme="majorBidi" w:hAnsiTheme="majorBidi" w:cstheme="majorBidi"/>
          <w:color w:val="000000"/>
          <w:sz w:val="24"/>
          <w:szCs w:val="24"/>
        </w:rPr>
        <w:t>with</w:t>
      </w:r>
      <w:r w:rsidRPr="00D323AE">
        <w:rPr>
          <w:rFonts w:asciiTheme="majorBidi" w:hAnsiTheme="majorBidi" w:cstheme="majorBidi"/>
          <w:color w:val="000000"/>
          <w:sz w:val="24"/>
          <w:szCs w:val="24"/>
        </w:rPr>
        <w:t xml:space="preserve"> Risk of Cirrhosis, Hepatocellular Carcinoma, and Mortality. </w:t>
      </w:r>
      <w:r w:rsidRPr="00D323AE">
        <w:rPr>
          <w:rFonts w:asciiTheme="majorBidi" w:hAnsiTheme="majorBidi" w:cstheme="majorBidi"/>
          <w:i/>
          <w:iCs/>
          <w:color w:val="000000"/>
          <w:sz w:val="24"/>
          <w:szCs w:val="24"/>
        </w:rPr>
        <w:t xml:space="preserve">JAMA </w:t>
      </w:r>
      <w:proofErr w:type="spellStart"/>
      <w:r w:rsidRPr="00D323AE">
        <w:rPr>
          <w:rFonts w:asciiTheme="majorBidi" w:hAnsiTheme="majorBidi" w:cstheme="majorBidi"/>
          <w:i/>
          <w:iCs/>
          <w:color w:val="000000"/>
          <w:sz w:val="24"/>
          <w:szCs w:val="24"/>
        </w:rPr>
        <w:t>Netw</w:t>
      </w:r>
      <w:proofErr w:type="spellEnd"/>
      <w:r w:rsidRPr="00D323AE">
        <w:rPr>
          <w:rFonts w:asciiTheme="majorBidi" w:hAnsiTheme="majorBidi" w:cstheme="majorBidi"/>
          <w:i/>
          <w:iCs/>
          <w:color w:val="000000"/>
          <w:sz w:val="24"/>
          <w:szCs w:val="24"/>
        </w:rPr>
        <w:t xml:space="preserve"> Open</w:t>
      </w:r>
      <w:r w:rsidRPr="00D323AE">
        <w:rPr>
          <w:rFonts w:asciiTheme="majorBidi" w:hAnsiTheme="majorBidi" w:cstheme="majorBidi"/>
          <w:color w:val="000000"/>
          <w:sz w:val="24"/>
          <w:szCs w:val="24"/>
        </w:rPr>
        <w:t>. 2022;5(10</w:t>
      </w:r>
      <w:r w:rsidR="000833EE" w:rsidRPr="00D323AE">
        <w:rPr>
          <w:rFonts w:asciiTheme="majorBidi" w:hAnsiTheme="majorBidi" w:cstheme="majorBidi"/>
          <w:color w:val="000000"/>
          <w:sz w:val="24"/>
          <w:szCs w:val="24"/>
        </w:rPr>
        <w:t>): e</w:t>
      </w:r>
      <w:r w:rsidRPr="00D323AE">
        <w:rPr>
          <w:rFonts w:asciiTheme="majorBidi" w:hAnsiTheme="majorBidi" w:cstheme="majorBidi"/>
          <w:color w:val="000000"/>
          <w:sz w:val="24"/>
          <w:szCs w:val="24"/>
        </w:rPr>
        <w:t>2234221. Published 2022 Oct 3. doi:10.1001/jamanetworkopen.2022.34221</w:t>
      </w:r>
    </w:p>
    <w:p w14:paraId="594E4FFD" w14:textId="77777777"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rPr>
        <w:t xml:space="preserve">Xia M, Ma S, Huang Q, et al. NAFLD-related gene polymorphisms and all-cause and cause-specific mortality in an Asian population: the Shanghai </w:t>
      </w:r>
      <w:proofErr w:type="spellStart"/>
      <w:r w:rsidRPr="00D323AE">
        <w:rPr>
          <w:rFonts w:asciiTheme="majorBidi" w:hAnsiTheme="majorBidi" w:cstheme="majorBidi"/>
          <w:color w:val="000000"/>
          <w:sz w:val="24"/>
          <w:szCs w:val="24"/>
        </w:rPr>
        <w:t>Changfeng</w:t>
      </w:r>
      <w:proofErr w:type="spellEnd"/>
      <w:r w:rsidRPr="00D323AE">
        <w:rPr>
          <w:rFonts w:asciiTheme="majorBidi" w:hAnsiTheme="majorBidi" w:cstheme="majorBidi"/>
          <w:color w:val="000000"/>
          <w:sz w:val="24"/>
          <w:szCs w:val="24"/>
        </w:rPr>
        <w:t xml:space="preserve"> Study. </w:t>
      </w:r>
      <w:r w:rsidRPr="00D323AE">
        <w:rPr>
          <w:rFonts w:asciiTheme="majorBidi" w:hAnsiTheme="majorBidi" w:cstheme="majorBidi"/>
          <w:i/>
          <w:iCs/>
          <w:color w:val="000000"/>
          <w:sz w:val="24"/>
          <w:szCs w:val="24"/>
        </w:rPr>
        <w:t xml:space="preserve">Aliment </w:t>
      </w:r>
      <w:proofErr w:type="spellStart"/>
      <w:r w:rsidRPr="00D323AE">
        <w:rPr>
          <w:rFonts w:asciiTheme="majorBidi" w:hAnsiTheme="majorBidi" w:cstheme="majorBidi"/>
          <w:i/>
          <w:iCs/>
          <w:color w:val="000000"/>
          <w:sz w:val="24"/>
          <w:szCs w:val="24"/>
        </w:rPr>
        <w:t>Pharmacol</w:t>
      </w:r>
      <w:proofErr w:type="spellEnd"/>
      <w:r w:rsidRPr="00D323AE">
        <w:rPr>
          <w:rFonts w:asciiTheme="majorBidi" w:hAnsiTheme="majorBidi" w:cstheme="majorBidi"/>
          <w:i/>
          <w:iCs/>
          <w:color w:val="000000"/>
          <w:sz w:val="24"/>
          <w:szCs w:val="24"/>
        </w:rPr>
        <w:t xml:space="preserve"> Ther</w:t>
      </w:r>
      <w:r w:rsidRPr="00D323AE">
        <w:rPr>
          <w:rFonts w:asciiTheme="majorBidi" w:hAnsiTheme="majorBidi" w:cstheme="majorBidi"/>
          <w:color w:val="000000"/>
          <w:sz w:val="24"/>
          <w:szCs w:val="24"/>
        </w:rPr>
        <w:t>. 2022;55(6):705-721. doi:10.1111/apt.16772</w:t>
      </w:r>
    </w:p>
    <w:p w14:paraId="5D9D7EB2" w14:textId="77777777"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rPr>
        <w:t>Vilarinho S, Ajmera V, Zheng M, Loomba R. Emerging Role of Genomic Analysis in Clinical Evaluation of Lean Individuals With NAFLD. </w:t>
      </w:r>
      <w:r w:rsidRPr="00D323AE">
        <w:rPr>
          <w:rFonts w:asciiTheme="majorBidi" w:hAnsiTheme="majorBidi" w:cstheme="majorBidi"/>
          <w:i/>
          <w:iCs/>
          <w:color w:val="000000"/>
          <w:sz w:val="24"/>
          <w:szCs w:val="24"/>
        </w:rPr>
        <w:t>Hepatology</w:t>
      </w:r>
      <w:r w:rsidRPr="00D323AE">
        <w:rPr>
          <w:rFonts w:asciiTheme="majorBidi" w:hAnsiTheme="majorBidi" w:cstheme="majorBidi"/>
          <w:color w:val="000000"/>
          <w:sz w:val="24"/>
          <w:szCs w:val="24"/>
        </w:rPr>
        <w:t>. 2021;74(4):2241-2250. doi:10.1002/hep.32047</w:t>
      </w:r>
    </w:p>
    <w:p w14:paraId="59234D37" w14:textId="77777777"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rPr>
        <w:t>Oh S, Lee J, Chun S, et al. Interaction between the </w:t>
      </w:r>
      <w:r w:rsidRPr="00D323AE">
        <w:rPr>
          <w:rFonts w:asciiTheme="majorBidi" w:hAnsiTheme="majorBidi" w:cstheme="majorBidi"/>
          <w:i/>
          <w:iCs/>
          <w:color w:val="000000"/>
          <w:sz w:val="24"/>
          <w:szCs w:val="24"/>
        </w:rPr>
        <w:t>PNPLA3</w:t>
      </w:r>
      <w:r w:rsidRPr="00D323AE">
        <w:rPr>
          <w:rFonts w:asciiTheme="majorBidi" w:hAnsiTheme="majorBidi" w:cstheme="majorBidi"/>
          <w:color w:val="000000"/>
          <w:sz w:val="24"/>
          <w:szCs w:val="24"/>
        </w:rPr>
        <w:t> Gene and Nutritional Factors on NAFLD Development: The Korean Genome and Epidemiology Study. </w:t>
      </w:r>
      <w:r w:rsidRPr="00D323AE">
        <w:rPr>
          <w:rFonts w:asciiTheme="majorBidi" w:hAnsiTheme="majorBidi" w:cstheme="majorBidi"/>
          <w:i/>
          <w:iCs/>
          <w:color w:val="000000"/>
          <w:sz w:val="24"/>
          <w:szCs w:val="24"/>
        </w:rPr>
        <w:t>Nutrients</w:t>
      </w:r>
      <w:r w:rsidRPr="00D323AE">
        <w:rPr>
          <w:rFonts w:asciiTheme="majorBidi" w:hAnsiTheme="majorBidi" w:cstheme="majorBidi"/>
          <w:color w:val="000000"/>
          <w:sz w:val="24"/>
          <w:szCs w:val="24"/>
        </w:rPr>
        <w:t>. 2022;15(1):152. Published 2022 Dec 28. doi:10.3390/nu15010152</w:t>
      </w:r>
    </w:p>
    <w:p w14:paraId="656A7170" w14:textId="688981C4"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lang w:val="de-DE"/>
        </w:rPr>
        <w:t xml:space="preserve">Tuzer C, Sertbas Y, Duman E, et al. </w:t>
      </w:r>
      <w:r w:rsidRPr="00D323AE">
        <w:rPr>
          <w:rFonts w:asciiTheme="majorBidi" w:hAnsiTheme="majorBidi" w:cstheme="majorBidi"/>
          <w:color w:val="000000"/>
          <w:sz w:val="24"/>
          <w:szCs w:val="24"/>
        </w:rPr>
        <w:t xml:space="preserve">The role of mean platelet volume in </w:t>
      </w:r>
      <w:r w:rsidR="00A86C5F" w:rsidRPr="00D323AE">
        <w:rPr>
          <w:rFonts w:asciiTheme="majorBidi" w:hAnsiTheme="majorBidi" w:cstheme="majorBidi"/>
          <w:color w:val="000000"/>
          <w:sz w:val="24"/>
          <w:szCs w:val="24"/>
        </w:rPr>
        <w:t>non-alcoholic</w:t>
      </w:r>
      <w:r w:rsidRPr="00D323AE">
        <w:rPr>
          <w:rFonts w:asciiTheme="majorBidi" w:hAnsiTheme="majorBidi" w:cstheme="majorBidi"/>
          <w:color w:val="000000"/>
          <w:sz w:val="24"/>
          <w:szCs w:val="24"/>
        </w:rPr>
        <w:t xml:space="preserve"> fatty liver disease without cardiovascular comorbidities, obesity</w:t>
      </w:r>
      <w:r w:rsidR="00A86C5F">
        <w:rPr>
          <w:rFonts w:asciiTheme="majorBidi" w:hAnsiTheme="majorBidi" w:cstheme="majorBidi"/>
          <w:color w:val="000000"/>
          <w:sz w:val="24"/>
          <w:szCs w:val="24"/>
        </w:rPr>
        <w:t>,</w:t>
      </w:r>
      <w:r w:rsidRPr="00D323AE">
        <w:rPr>
          <w:rFonts w:asciiTheme="majorBidi" w:hAnsiTheme="majorBidi" w:cstheme="majorBidi"/>
          <w:color w:val="000000"/>
          <w:sz w:val="24"/>
          <w:szCs w:val="24"/>
        </w:rPr>
        <w:t xml:space="preserve"> and diabetes mellitus. </w:t>
      </w:r>
      <w:proofErr w:type="spellStart"/>
      <w:r w:rsidRPr="00D323AE">
        <w:rPr>
          <w:rFonts w:asciiTheme="majorBidi" w:hAnsiTheme="majorBidi" w:cstheme="majorBidi"/>
          <w:i/>
          <w:iCs/>
          <w:color w:val="000000"/>
          <w:sz w:val="24"/>
          <w:szCs w:val="24"/>
        </w:rPr>
        <w:t>Eur</w:t>
      </w:r>
      <w:proofErr w:type="spellEnd"/>
      <w:r w:rsidRPr="00D323AE">
        <w:rPr>
          <w:rFonts w:asciiTheme="majorBidi" w:hAnsiTheme="majorBidi" w:cstheme="majorBidi"/>
          <w:i/>
          <w:iCs/>
          <w:color w:val="000000"/>
          <w:sz w:val="24"/>
          <w:szCs w:val="24"/>
        </w:rPr>
        <w:t xml:space="preserve"> J Gastroenterol Hepatol</w:t>
      </w:r>
      <w:r w:rsidRPr="00D323AE">
        <w:rPr>
          <w:rFonts w:asciiTheme="majorBidi" w:hAnsiTheme="majorBidi" w:cstheme="majorBidi"/>
          <w:color w:val="000000"/>
          <w:sz w:val="24"/>
          <w:szCs w:val="24"/>
        </w:rPr>
        <w:t>. 2021;33(9):1222-1228. doi:10.1097/MEG.0000000000002189</w:t>
      </w:r>
    </w:p>
    <w:p w14:paraId="45BEAD42" w14:textId="5EDB0CC8"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rPr>
        <w:t xml:space="preserve">Li X, Zhao Q, Wu K, Fan D. I148M variant of PNPLA3 confer increased risk for </w:t>
      </w:r>
      <w:r w:rsidR="00A86C5F" w:rsidRPr="00D323AE">
        <w:rPr>
          <w:rFonts w:asciiTheme="majorBidi" w:hAnsiTheme="majorBidi" w:cstheme="majorBidi"/>
          <w:color w:val="000000"/>
          <w:sz w:val="24"/>
          <w:szCs w:val="24"/>
        </w:rPr>
        <w:t>non-alcoholic</w:t>
      </w:r>
      <w:r w:rsidRPr="00D323AE">
        <w:rPr>
          <w:rFonts w:asciiTheme="majorBidi" w:hAnsiTheme="majorBidi" w:cstheme="majorBidi"/>
          <w:color w:val="000000"/>
          <w:sz w:val="24"/>
          <w:szCs w:val="24"/>
        </w:rPr>
        <w:t xml:space="preserve"> fatty liver disease not only in European population, but also in Chinese population. </w:t>
      </w:r>
      <w:r w:rsidRPr="00D323AE">
        <w:rPr>
          <w:rFonts w:asciiTheme="majorBidi" w:hAnsiTheme="majorBidi" w:cstheme="majorBidi"/>
          <w:i/>
          <w:iCs/>
          <w:color w:val="000000"/>
          <w:sz w:val="24"/>
          <w:szCs w:val="24"/>
        </w:rPr>
        <w:t>Hepatology</w:t>
      </w:r>
      <w:r w:rsidRPr="00D323AE">
        <w:rPr>
          <w:rFonts w:asciiTheme="majorBidi" w:hAnsiTheme="majorBidi" w:cstheme="majorBidi"/>
          <w:color w:val="000000"/>
          <w:sz w:val="24"/>
          <w:szCs w:val="24"/>
        </w:rPr>
        <w:t>. 2011;54(6):2275. doi:10.1002/hep.24567</w:t>
      </w:r>
    </w:p>
    <w:p w14:paraId="0A00CE2B" w14:textId="24E3C125"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rPr>
        <w:t xml:space="preserve">Shi FY, Gao WF, Tao EX, Liu HQ, Wang SZ. Metabolic syndrome is a risk factor for </w:t>
      </w:r>
      <w:proofErr w:type="spellStart"/>
      <w:r w:rsidRPr="00D323AE">
        <w:rPr>
          <w:rFonts w:asciiTheme="majorBidi" w:hAnsiTheme="majorBidi" w:cstheme="majorBidi"/>
          <w:color w:val="000000"/>
          <w:sz w:val="24"/>
          <w:szCs w:val="24"/>
        </w:rPr>
        <w:t>nonalcoholic</w:t>
      </w:r>
      <w:proofErr w:type="spellEnd"/>
      <w:r w:rsidRPr="00D323AE">
        <w:rPr>
          <w:rFonts w:asciiTheme="majorBidi" w:hAnsiTheme="majorBidi" w:cstheme="majorBidi"/>
          <w:color w:val="000000"/>
          <w:sz w:val="24"/>
          <w:szCs w:val="24"/>
        </w:rPr>
        <w:t xml:space="preserve"> fatty liver disease: evidence from confirmatory factor analysis and structural equation </w:t>
      </w:r>
      <w:proofErr w:type="spellStart"/>
      <w:r w:rsidRPr="00D323AE">
        <w:rPr>
          <w:rFonts w:asciiTheme="majorBidi" w:hAnsiTheme="majorBidi" w:cstheme="majorBidi"/>
          <w:color w:val="000000"/>
          <w:sz w:val="24"/>
          <w:szCs w:val="24"/>
        </w:rPr>
        <w:t>modeling</w:t>
      </w:r>
      <w:proofErr w:type="spellEnd"/>
      <w:r w:rsidRPr="00D323AE">
        <w:rPr>
          <w:rFonts w:asciiTheme="majorBidi" w:hAnsiTheme="majorBidi" w:cstheme="majorBidi"/>
          <w:color w:val="000000"/>
          <w:sz w:val="24"/>
          <w:szCs w:val="24"/>
        </w:rPr>
        <w:t>. </w:t>
      </w:r>
      <w:proofErr w:type="spellStart"/>
      <w:r w:rsidRPr="00D323AE">
        <w:rPr>
          <w:rFonts w:asciiTheme="majorBidi" w:hAnsiTheme="majorBidi" w:cstheme="majorBidi"/>
          <w:i/>
          <w:iCs/>
          <w:color w:val="000000"/>
          <w:sz w:val="24"/>
          <w:szCs w:val="24"/>
        </w:rPr>
        <w:t>Eur</w:t>
      </w:r>
      <w:proofErr w:type="spellEnd"/>
      <w:r w:rsidRPr="00D323AE">
        <w:rPr>
          <w:rFonts w:asciiTheme="majorBidi" w:hAnsiTheme="majorBidi" w:cstheme="majorBidi"/>
          <w:i/>
          <w:iCs/>
          <w:color w:val="000000"/>
          <w:sz w:val="24"/>
          <w:szCs w:val="24"/>
        </w:rPr>
        <w:t xml:space="preserve"> Rev Med </w:t>
      </w:r>
      <w:proofErr w:type="spellStart"/>
      <w:r w:rsidRPr="00D323AE">
        <w:rPr>
          <w:rFonts w:asciiTheme="majorBidi" w:hAnsiTheme="majorBidi" w:cstheme="majorBidi"/>
          <w:i/>
          <w:iCs/>
          <w:color w:val="000000"/>
          <w:sz w:val="24"/>
          <w:szCs w:val="24"/>
        </w:rPr>
        <w:t>Pharmacol</w:t>
      </w:r>
      <w:proofErr w:type="spellEnd"/>
      <w:r w:rsidRPr="00D323AE">
        <w:rPr>
          <w:rFonts w:asciiTheme="majorBidi" w:hAnsiTheme="majorBidi" w:cstheme="majorBidi"/>
          <w:i/>
          <w:iCs/>
          <w:color w:val="000000"/>
          <w:sz w:val="24"/>
          <w:szCs w:val="24"/>
        </w:rPr>
        <w:t xml:space="preserve"> Sci</w:t>
      </w:r>
      <w:r w:rsidRPr="00D323AE">
        <w:rPr>
          <w:rFonts w:asciiTheme="majorBidi" w:hAnsiTheme="majorBidi" w:cstheme="majorBidi"/>
          <w:color w:val="000000"/>
          <w:sz w:val="24"/>
          <w:szCs w:val="24"/>
        </w:rPr>
        <w:t>. 2016;20(20):4313-4321.</w:t>
      </w:r>
    </w:p>
    <w:p w14:paraId="306DD251" w14:textId="6EB52ED6"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proofErr w:type="spellStart"/>
      <w:r w:rsidRPr="00D323AE">
        <w:rPr>
          <w:rFonts w:asciiTheme="majorBidi" w:hAnsiTheme="majorBidi" w:cstheme="majorBidi"/>
          <w:color w:val="000000"/>
          <w:sz w:val="24"/>
          <w:szCs w:val="24"/>
        </w:rPr>
        <w:t>Mikolasevic</w:t>
      </w:r>
      <w:proofErr w:type="spellEnd"/>
      <w:r w:rsidRPr="00D323AE">
        <w:rPr>
          <w:rFonts w:asciiTheme="majorBidi" w:hAnsiTheme="majorBidi" w:cstheme="majorBidi"/>
          <w:color w:val="000000"/>
          <w:sz w:val="24"/>
          <w:szCs w:val="24"/>
        </w:rPr>
        <w:t xml:space="preserve"> I, Orlic L, </w:t>
      </w:r>
      <w:proofErr w:type="spellStart"/>
      <w:r w:rsidRPr="00D323AE">
        <w:rPr>
          <w:rFonts w:asciiTheme="majorBidi" w:hAnsiTheme="majorBidi" w:cstheme="majorBidi"/>
          <w:color w:val="000000"/>
          <w:sz w:val="24"/>
          <w:szCs w:val="24"/>
        </w:rPr>
        <w:t>Franjic</w:t>
      </w:r>
      <w:proofErr w:type="spellEnd"/>
      <w:r w:rsidRPr="00D323AE">
        <w:rPr>
          <w:rFonts w:asciiTheme="majorBidi" w:hAnsiTheme="majorBidi" w:cstheme="majorBidi"/>
          <w:color w:val="000000"/>
          <w:sz w:val="24"/>
          <w:szCs w:val="24"/>
        </w:rPr>
        <w:t xml:space="preserve"> N, Hauser G, Stimac D, Milic S. Transient elastography (</w:t>
      </w:r>
      <w:proofErr w:type="spellStart"/>
      <w:proofErr w:type="gramStart"/>
      <w:r w:rsidRPr="00D323AE">
        <w:rPr>
          <w:rFonts w:asciiTheme="majorBidi" w:hAnsiTheme="majorBidi" w:cstheme="majorBidi"/>
          <w:color w:val="000000"/>
          <w:sz w:val="24"/>
          <w:szCs w:val="24"/>
        </w:rPr>
        <w:t>FibroScan</w:t>
      </w:r>
      <w:proofErr w:type="spellEnd"/>
      <w:r w:rsidRPr="00D323AE">
        <w:rPr>
          <w:rFonts w:asciiTheme="majorBidi" w:hAnsiTheme="majorBidi" w:cstheme="majorBidi"/>
          <w:color w:val="000000"/>
          <w:sz w:val="24"/>
          <w:szCs w:val="24"/>
        </w:rPr>
        <w:t>(</w:t>
      </w:r>
      <w:proofErr w:type="gramEnd"/>
      <w:r w:rsidRPr="00D323AE">
        <w:rPr>
          <w:rFonts w:asciiTheme="majorBidi" w:hAnsiTheme="majorBidi" w:cstheme="majorBidi"/>
          <w:color w:val="000000"/>
          <w:sz w:val="24"/>
          <w:szCs w:val="24"/>
        </w:rPr>
        <w:t xml:space="preserve">®)) with controlled attenuation parameter in the assessment of liver steatosis and fibrosis in patients with </w:t>
      </w:r>
      <w:r w:rsidR="00A86C5F" w:rsidRPr="00D323AE">
        <w:rPr>
          <w:rFonts w:asciiTheme="majorBidi" w:hAnsiTheme="majorBidi" w:cstheme="majorBidi"/>
          <w:color w:val="000000"/>
          <w:sz w:val="24"/>
          <w:szCs w:val="24"/>
        </w:rPr>
        <w:t>non-alcoholic</w:t>
      </w:r>
      <w:r w:rsidRPr="00D323AE">
        <w:rPr>
          <w:rFonts w:asciiTheme="majorBidi" w:hAnsiTheme="majorBidi" w:cstheme="majorBidi"/>
          <w:color w:val="000000"/>
          <w:sz w:val="24"/>
          <w:szCs w:val="24"/>
        </w:rPr>
        <w:t xml:space="preserve"> fatty liver disease - Where do we stand?. </w:t>
      </w:r>
      <w:r w:rsidRPr="00D323AE">
        <w:rPr>
          <w:rFonts w:asciiTheme="majorBidi" w:hAnsiTheme="majorBidi" w:cstheme="majorBidi"/>
          <w:i/>
          <w:iCs/>
          <w:color w:val="000000"/>
          <w:sz w:val="24"/>
          <w:szCs w:val="24"/>
        </w:rPr>
        <w:t>World J Gastroenterol</w:t>
      </w:r>
      <w:r w:rsidRPr="00D323AE">
        <w:rPr>
          <w:rFonts w:asciiTheme="majorBidi" w:hAnsiTheme="majorBidi" w:cstheme="majorBidi"/>
          <w:color w:val="000000"/>
          <w:sz w:val="24"/>
          <w:szCs w:val="24"/>
        </w:rPr>
        <w:t>. 2016;22(32):7236-7251. doi:10.3748/</w:t>
      </w:r>
      <w:proofErr w:type="spellStart"/>
      <w:r w:rsidR="000833EE" w:rsidRPr="00D323AE">
        <w:rPr>
          <w:rFonts w:asciiTheme="majorBidi" w:hAnsiTheme="majorBidi" w:cstheme="majorBidi"/>
          <w:color w:val="000000"/>
          <w:sz w:val="24"/>
          <w:szCs w:val="24"/>
        </w:rPr>
        <w:t>wjg</w:t>
      </w:r>
      <w:proofErr w:type="spellEnd"/>
      <w:r w:rsidR="000833EE" w:rsidRPr="00D323AE">
        <w:rPr>
          <w:rFonts w:asciiTheme="majorBidi" w:hAnsiTheme="majorBidi" w:cstheme="majorBidi"/>
          <w:color w:val="000000"/>
          <w:sz w:val="24"/>
          <w:szCs w:val="24"/>
        </w:rPr>
        <w:t>. v22.i</w:t>
      </w:r>
      <w:r w:rsidRPr="00D323AE">
        <w:rPr>
          <w:rFonts w:asciiTheme="majorBidi" w:hAnsiTheme="majorBidi" w:cstheme="majorBidi"/>
          <w:color w:val="000000"/>
          <w:sz w:val="24"/>
          <w:szCs w:val="24"/>
        </w:rPr>
        <w:t>32.7236</w:t>
      </w:r>
    </w:p>
    <w:p w14:paraId="3CA66275" w14:textId="193A09C2"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rPr>
        <w:t xml:space="preserve">Lesmana CRA, </w:t>
      </w:r>
      <w:proofErr w:type="spellStart"/>
      <w:r w:rsidRPr="00D323AE">
        <w:rPr>
          <w:rFonts w:asciiTheme="majorBidi" w:hAnsiTheme="majorBidi" w:cstheme="majorBidi"/>
          <w:color w:val="000000"/>
          <w:sz w:val="24"/>
          <w:szCs w:val="24"/>
        </w:rPr>
        <w:t>Kencana</w:t>
      </w:r>
      <w:proofErr w:type="spellEnd"/>
      <w:r w:rsidRPr="00D323AE">
        <w:rPr>
          <w:rFonts w:asciiTheme="majorBidi" w:hAnsiTheme="majorBidi" w:cstheme="majorBidi"/>
          <w:color w:val="000000"/>
          <w:sz w:val="24"/>
          <w:szCs w:val="24"/>
        </w:rPr>
        <w:t xml:space="preserve"> Y, Rinaldi I, et al. Diagnostic Value of Neutrophil to Lymphocyte Ratio in Non-Alcoholic Fatty Liver Disease Evaluated Using Transient Elastography (TE) with Controlled Attenuated Parameter (CAP). </w:t>
      </w:r>
      <w:r w:rsidRPr="00D323AE">
        <w:rPr>
          <w:rFonts w:asciiTheme="majorBidi" w:hAnsiTheme="majorBidi" w:cstheme="majorBidi"/>
          <w:i/>
          <w:iCs/>
          <w:color w:val="000000"/>
          <w:sz w:val="24"/>
          <w:szCs w:val="24"/>
        </w:rPr>
        <w:t xml:space="preserve">Diabetes </w:t>
      </w:r>
      <w:proofErr w:type="spellStart"/>
      <w:r w:rsidRPr="00D323AE">
        <w:rPr>
          <w:rFonts w:asciiTheme="majorBidi" w:hAnsiTheme="majorBidi" w:cstheme="majorBidi"/>
          <w:i/>
          <w:iCs/>
          <w:color w:val="000000"/>
          <w:sz w:val="24"/>
          <w:szCs w:val="24"/>
        </w:rPr>
        <w:t>Metab</w:t>
      </w:r>
      <w:proofErr w:type="spellEnd"/>
      <w:r w:rsidRPr="00D323AE">
        <w:rPr>
          <w:rFonts w:asciiTheme="majorBidi" w:hAnsiTheme="majorBidi" w:cstheme="majorBidi"/>
          <w:i/>
          <w:iCs/>
          <w:color w:val="000000"/>
          <w:sz w:val="24"/>
          <w:szCs w:val="24"/>
        </w:rPr>
        <w:t xml:space="preserve"> Syndr </w:t>
      </w:r>
      <w:proofErr w:type="spellStart"/>
      <w:r w:rsidRPr="00D323AE">
        <w:rPr>
          <w:rFonts w:asciiTheme="majorBidi" w:hAnsiTheme="majorBidi" w:cstheme="majorBidi"/>
          <w:i/>
          <w:iCs/>
          <w:color w:val="000000"/>
          <w:sz w:val="24"/>
          <w:szCs w:val="24"/>
        </w:rPr>
        <w:t>Obes</w:t>
      </w:r>
      <w:proofErr w:type="spellEnd"/>
      <w:r w:rsidRPr="00D323AE">
        <w:rPr>
          <w:rFonts w:asciiTheme="majorBidi" w:hAnsiTheme="majorBidi" w:cstheme="majorBidi"/>
          <w:color w:val="000000"/>
          <w:sz w:val="24"/>
          <w:szCs w:val="24"/>
        </w:rPr>
        <w:t xml:space="preserve">. </w:t>
      </w:r>
      <w:r w:rsidR="000833EE" w:rsidRPr="00D323AE">
        <w:rPr>
          <w:rFonts w:asciiTheme="majorBidi" w:hAnsiTheme="majorBidi" w:cstheme="majorBidi"/>
          <w:color w:val="000000"/>
          <w:sz w:val="24"/>
          <w:szCs w:val="24"/>
        </w:rPr>
        <w:t>2022; 15:15</w:t>
      </w:r>
      <w:r w:rsidRPr="00D323AE">
        <w:rPr>
          <w:rFonts w:asciiTheme="majorBidi" w:hAnsiTheme="majorBidi" w:cstheme="majorBidi"/>
          <w:color w:val="000000"/>
          <w:sz w:val="24"/>
          <w:szCs w:val="24"/>
        </w:rPr>
        <w:t>-22. Published 2022 Jan 5. doi:10.2147/DMSO.S330526</w:t>
      </w:r>
    </w:p>
    <w:p w14:paraId="0AE2F069" w14:textId="77777777"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rPr>
        <w:t xml:space="preserve">Parthasarathy G, Revelo X, Malhi H. Pathogenesis of </w:t>
      </w:r>
      <w:proofErr w:type="spellStart"/>
      <w:r w:rsidRPr="00D323AE">
        <w:rPr>
          <w:rFonts w:asciiTheme="majorBidi" w:hAnsiTheme="majorBidi" w:cstheme="majorBidi"/>
          <w:color w:val="000000"/>
          <w:sz w:val="24"/>
          <w:szCs w:val="24"/>
        </w:rPr>
        <w:t>Nonalcoholic</w:t>
      </w:r>
      <w:proofErr w:type="spellEnd"/>
      <w:r w:rsidRPr="00D323AE">
        <w:rPr>
          <w:rFonts w:asciiTheme="majorBidi" w:hAnsiTheme="majorBidi" w:cstheme="majorBidi"/>
          <w:color w:val="000000"/>
          <w:sz w:val="24"/>
          <w:szCs w:val="24"/>
        </w:rPr>
        <w:t xml:space="preserve"> Steatohepatitis: An Overview. </w:t>
      </w:r>
      <w:r w:rsidRPr="00D323AE">
        <w:rPr>
          <w:rFonts w:asciiTheme="majorBidi" w:hAnsiTheme="majorBidi" w:cstheme="majorBidi"/>
          <w:i/>
          <w:iCs/>
          <w:color w:val="000000"/>
          <w:sz w:val="24"/>
          <w:szCs w:val="24"/>
        </w:rPr>
        <w:t xml:space="preserve">Hepatol </w:t>
      </w:r>
      <w:proofErr w:type="spellStart"/>
      <w:r w:rsidRPr="00D323AE">
        <w:rPr>
          <w:rFonts w:asciiTheme="majorBidi" w:hAnsiTheme="majorBidi" w:cstheme="majorBidi"/>
          <w:i/>
          <w:iCs/>
          <w:color w:val="000000"/>
          <w:sz w:val="24"/>
          <w:szCs w:val="24"/>
        </w:rPr>
        <w:t>Commun</w:t>
      </w:r>
      <w:proofErr w:type="spellEnd"/>
      <w:r w:rsidRPr="00D323AE">
        <w:rPr>
          <w:rFonts w:asciiTheme="majorBidi" w:hAnsiTheme="majorBidi" w:cstheme="majorBidi"/>
          <w:color w:val="000000"/>
          <w:sz w:val="24"/>
          <w:szCs w:val="24"/>
        </w:rPr>
        <w:t>. 2020;4(4):478-492. Published 2020 Jan 14. doi:10.1002/hep4.1479</w:t>
      </w:r>
    </w:p>
    <w:p w14:paraId="65125894" w14:textId="77777777"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rPr>
        <w:t xml:space="preserve">WenYi J, Ting Q, </w:t>
      </w:r>
      <w:proofErr w:type="spellStart"/>
      <w:r w:rsidRPr="00D323AE">
        <w:rPr>
          <w:rFonts w:asciiTheme="majorBidi" w:hAnsiTheme="majorBidi" w:cstheme="majorBidi"/>
          <w:color w:val="000000"/>
          <w:sz w:val="24"/>
          <w:szCs w:val="24"/>
        </w:rPr>
        <w:t>PiaoPiao</w:t>
      </w:r>
      <w:proofErr w:type="spellEnd"/>
      <w:r w:rsidRPr="00D323AE">
        <w:rPr>
          <w:rFonts w:asciiTheme="majorBidi" w:hAnsiTheme="majorBidi" w:cstheme="majorBidi"/>
          <w:color w:val="000000"/>
          <w:sz w:val="24"/>
          <w:szCs w:val="24"/>
        </w:rPr>
        <w:t xml:space="preserve"> Y, </w:t>
      </w:r>
      <w:proofErr w:type="spellStart"/>
      <w:r w:rsidRPr="00D323AE">
        <w:rPr>
          <w:rFonts w:asciiTheme="majorBidi" w:hAnsiTheme="majorBidi" w:cstheme="majorBidi"/>
          <w:color w:val="000000"/>
          <w:sz w:val="24"/>
          <w:szCs w:val="24"/>
        </w:rPr>
        <w:t>JinMing</w:t>
      </w:r>
      <w:proofErr w:type="spellEnd"/>
      <w:r w:rsidRPr="00D323AE">
        <w:rPr>
          <w:rFonts w:asciiTheme="majorBidi" w:hAnsiTheme="majorBidi" w:cstheme="majorBidi"/>
          <w:color w:val="000000"/>
          <w:sz w:val="24"/>
          <w:szCs w:val="24"/>
        </w:rPr>
        <w:t xml:space="preserve"> W. Association Between Neutrophil-to-Lymphocyte Ratio with Inflammatory Activity and Fibrosis in Non-alcoholic Fatty Liver Disease. </w:t>
      </w:r>
      <w:r w:rsidRPr="00D323AE">
        <w:rPr>
          <w:rFonts w:asciiTheme="majorBidi" w:hAnsiTheme="majorBidi" w:cstheme="majorBidi"/>
          <w:i/>
          <w:iCs/>
          <w:color w:val="000000"/>
          <w:sz w:val="24"/>
          <w:szCs w:val="24"/>
        </w:rPr>
        <w:t>Turk J Gastroenterol</w:t>
      </w:r>
      <w:r w:rsidRPr="00D323AE">
        <w:rPr>
          <w:rFonts w:asciiTheme="majorBidi" w:hAnsiTheme="majorBidi" w:cstheme="majorBidi"/>
          <w:color w:val="000000"/>
          <w:sz w:val="24"/>
          <w:szCs w:val="24"/>
        </w:rPr>
        <w:t>. 2022;33(1):53-61. doi:10.5152/tjg.2022.20715</w:t>
      </w:r>
    </w:p>
    <w:p w14:paraId="5BAF0D70" w14:textId="72F1D667"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rPr>
        <w:t xml:space="preserve">Yilmaz H, Yalcin KS, </w:t>
      </w:r>
      <w:proofErr w:type="spellStart"/>
      <w:r w:rsidRPr="00D323AE">
        <w:rPr>
          <w:rFonts w:asciiTheme="majorBidi" w:hAnsiTheme="majorBidi" w:cstheme="majorBidi"/>
          <w:color w:val="000000"/>
          <w:sz w:val="24"/>
          <w:szCs w:val="24"/>
        </w:rPr>
        <w:t>Namuslu</w:t>
      </w:r>
      <w:proofErr w:type="spellEnd"/>
      <w:r w:rsidRPr="00D323AE">
        <w:rPr>
          <w:rFonts w:asciiTheme="majorBidi" w:hAnsiTheme="majorBidi" w:cstheme="majorBidi"/>
          <w:color w:val="000000"/>
          <w:sz w:val="24"/>
          <w:szCs w:val="24"/>
        </w:rPr>
        <w:t xml:space="preserve"> M, et al. Neutrophil-Lymphocyte Ratio (NLR) Could Be </w:t>
      </w:r>
      <w:r w:rsidR="000833EE">
        <w:rPr>
          <w:rFonts w:asciiTheme="majorBidi" w:hAnsiTheme="majorBidi" w:cstheme="majorBidi"/>
          <w:color w:val="000000"/>
          <w:sz w:val="24"/>
          <w:szCs w:val="24"/>
        </w:rPr>
        <w:t>a </w:t>
      </w:r>
      <w:r w:rsidRPr="00D323AE">
        <w:rPr>
          <w:rFonts w:asciiTheme="majorBidi" w:hAnsiTheme="majorBidi" w:cstheme="majorBidi"/>
          <w:color w:val="000000"/>
          <w:sz w:val="24"/>
          <w:szCs w:val="24"/>
        </w:rPr>
        <w:t xml:space="preserve">Better Predictor than C-reactive Protein (CRP) for Liver Fibrosis in Non-alcoholic </w:t>
      </w:r>
      <w:r w:rsidR="000833EE" w:rsidRPr="00D323AE">
        <w:rPr>
          <w:rFonts w:asciiTheme="majorBidi" w:hAnsiTheme="majorBidi" w:cstheme="majorBidi"/>
          <w:color w:val="000000"/>
          <w:sz w:val="24"/>
          <w:szCs w:val="24"/>
        </w:rPr>
        <w:t>Steatohepatitis (</w:t>
      </w:r>
      <w:r w:rsidRPr="00D323AE">
        <w:rPr>
          <w:rFonts w:asciiTheme="majorBidi" w:hAnsiTheme="majorBidi" w:cstheme="majorBidi"/>
          <w:color w:val="000000"/>
          <w:sz w:val="24"/>
          <w:szCs w:val="24"/>
        </w:rPr>
        <w:t>NASH). </w:t>
      </w:r>
      <w:r w:rsidRPr="00D323AE">
        <w:rPr>
          <w:rFonts w:asciiTheme="majorBidi" w:hAnsiTheme="majorBidi" w:cstheme="majorBidi"/>
          <w:i/>
          <w:iCs/>
          <w:color w:val="000000"/>
          <w:sz w:val="24"/>
          <w:szCs w:val="24"/>
        </w:rPr>
        <w:t>Ann Clin Lab Sci</w:t>
      </w:r>
      <w:r w:rsidRPr="00D323AE">
        <w:rPr>
          <w:rFonts w:asciiTheme="majorBidi" w:hAnsiTheme="majorBidi" w:cstheme="majorBidi"/>
          <w:color w:val="000000"/>
          <w:sz w:val="24"/>
          <w:szCs w:val="24"/>
        </w:rPr>
        <w:t>. 2015;45(3):278-286.</w:t>
      </w:r>
    </w:p>
    <w:p w14:paraId="7B40D618" w14:textId="2603494D"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lang w:val="de-DE"/>
        </w:rPr>
        <w:t xml:space="preserve">Kara M, Dogru T, Genc H, et al. </w:t>
      </w:r>
      <w:r w:rsidR="000833EE">
        <w:rPr>
          <w:rFonts w:asciiTheme="majorBidi" w:hAnsiTheme="majorBidi" w:cstheme="majorBidi"/>
          <w:color w:val="000000"/>
          <w:sz w:val="24"/>
          <w:szCs w:val="24"/>
        </w:rPr>
        <w:t>The n</w:t>
      </w:r>
      <w:r w:rsidRPr="00D323AE">
        <w:rPr>
          <w:rFonts w:asciiTheme="majorBidi" w:hAnsiTheme="majorBidi" w:cstheme="majorBidi"/>
          <w:color w:val="000000"/>
          <w:sz w:val="24"/>
          <w:szCs w:val="24"/>
        </w:rPr>
        <w:t xml:space="preserve">eutrophil-to-lymphocyte ratio is not a predictor of liver histology in patients with </w:t>
      </w:r>
      <w:proofErr w:type="spellStart"/>
      <w:r w:rsidRPr="00D323AE">
        <w:rPr>
          <w:rFonts w:asciiTheme="majorBidi" w:hAnsiTheme="majorBidi" w:cstheme="majorBidi"/>
          <w:color w:val="000000"/>
          <w:sz w:val="24"/>
          <w:szCs w:val="24"/>
        </w:rPr>
        <w:t>nonalcoholic</w:t>
      </w:r>
      <w:proofErr w:type="spellEnd"/>
      <w:r w:rsidRPr="00D323AE">
        <w:rPr>
          <w:rFonts w:asciiTheme="majorBidi" w:hAnsiTheme="majorBidi" w:cstheme="majorBidi"/>
          <w:color w:val="000000"/>
          <w:sz w:val="24"/>
          <w:szCs w:val="24"/>
        </w:rPr>
        <w:t xml:space="preserve"> fatty liver disease. </w:t>
      </w:r>
      <w:proofErr w:type="spellStart"/>
      <w:r w:rsidRPr="00D323AE">
        <w:rPr>
          <w:rFonts w:asciiTheme="majorBidi" w:hAnsiTheme="majorBidi" w:cstheme="majorBidi"/>
          <w:i/>
          <w:iCs/>
          <w:color w:val="000000"/>
          <w:sz w:val="24"/>
          <w:szCs w:val="24"/>
        </w:rPr>
        <w:t>Eur</w:t>
      </w:r>
      <w:proofErr w:type="spellEnd"/>
      <w:r w:rsidRPr="00D323AE">
        <w:rPr>
          <w:rFonts w:asciiTheme="majorBidi" w:hAnsiTheme="majorBidi" w:cstheme="majorBidi"/>
          <w:i/>
          <w:iCs/>
          <w:color w:val="000000"/>
          <w:sz w:val="24"/>
          <w:szCs w:val="24"/>
        </w:rPr>
        <w:t xml:space="preserve"> J Gastroenterol Hepatol</w:t>
      </w:r>
      <w:r w:rsidRPr="00D323AE">
        <w:rPr>
          <w:rFonts w:asciiTheme="majorBidi" w:hAnsiTheme="majorBidi" w:cstheme="majorBidi"/>
          <w:color w:val="000000"/>
          <w:sz w:val="24"/>
          <w:szCs w:val="24"/>
        </w:rPr>
        <w:t>. 2015;27(10):1144-1148. doi:10.1097/MEG.0000000000000405</w:t>
      </w:r>
    </w:p>
    <w:p w14:paraId="057CEA9F" w14:textId="3450E7B1"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lang w:val="de-DE"/>
        </w:rPr>
        <w:t xml:space="preserve">Karaoğullarindan Ü, Üsküdar O, Odabaş E, et al. </w:t>
      </w:r>
      <w:r w:rsidRPr="00D323AE">
        <w:rPr>
          <w:rFonts w:asciiTheme="majorBidi" w:hAnsiTheme="majorBidi" w:cstheme="majorBidi"/>
          <w:color w:val="000000"/>
          <w:sz w:val="24"/>
          <w:szCs w:val="24"/>
        </w:rPr>
        <w:t xml:space="preserve">Is mean platelet volume a simple marker of non-alcoholic fatty liver </w:t>
      </w:r>
      <w:r w:rsidR="000833EE" w:rsidRPr="00D323AE">
        <w:rPr>
          <w:rFonts w:asciiTheme="majorBidi" w:hAnsiTheme="majorBidi" w:cstheme="majorBidi"/>
          <w:color w:val="000000"/>
          <w:sz w:val="24"/>
          <w:szCs w:val="24"/>
        </w:rPr>
        <w:t>disease?</w:t>
      </w:r>
      <w:r w:rsidRPr="00D323AE">
        <w:rPr>
          <w:rFonts w:asciiTheme="majorBidi" w:hAnsiTheme="majorBidi" w:cstheme="majorBidi"/>
          <w:color w:val="000000"/>
          <w:sz w:val="24"/>
          <w:szCs w:val="24"/>
        </w:rPr>
        <w:t> </w:t>
      </w:r>
      <w:r w:rsidRPr="00D323AE">
        <w:rPr>
          <w:rFonts w:asciiTheme="majorBidi" w:hAnsiTheme="majorBidi" w:cstheme="majorBidi"/>
          <w:i/>
          <w:iCs/>
          <w:color w:val="000000"/>
          <w:sz w:val="24"/>
          <w:szCs w:val="24"/>
        </w:rPr>
        <w:t>Indian J Gastroenterol</w:t>
      </w:r>
      <w:r w:rsidRPr="00D323AE">
        <w:rPr>
          <w:rFonts w:asciiTheme="majorBidi" w:hAnsiTheme="majorBidi" w:cstheme="majorBidi"/>
          <w:color w:val="000000"/>
          <w:sz w:val="24"/>
          <w:szCs w:val="24"/>
        </w:rPr>
        <w:t>. 2023;42(2):219-225. doi:10.1007/s12664-022-01330-8</w:t>
      </w:r>
    </w:p>
    <w:p w14:paraId="0D10D6C5" w14:textId="331199B8"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r w:rsidRPr="00D323AE">
        <w:rPr>
          <w:rFonts w:asciiTheme="majorBidi" w:hAnsiTheme="majorBidi" w:cstheme="majorBidi"/>
          <w:color w:val="000000"/>
          <w:sz w:val="24"/>
          <w:szCs w:val="24"/>
        </w:rPr>
        <w:t xml:space="preserve">Chen VL, Oliveri A, Miller MJ, et al. PNPLA3 Genotype and Diabetes Identify Patients </w:t>
      </w:r>
      <w:r w:rsidR="000833EE" w:rsidRPr="00D323AE">
        <w:rPr>
          <w:rFonts w:asciiTheme="majorBidi" w:hAnsiTheme="majorBidi" w:cstheme="majorBidi"/>
          <w:color w:val="000000"/>
          <w:sz w:val="24"/>
          <w:szCs w:val="24"/>
        </w:rPr>
        <w:t>with</w:t>
      </w:r>
      <w:r w:rsidRPr="00D323AE">
        <w:rPr>
          <w:rFonts w:asciiTheme="majorBidi" w:hAnsiTheme="majorBidi" w:cstheme="majorBidi"/>
          <w:color w:val="000000"/>
          <w:sz w:val="24"/>
          <w:szCs w:val="24"/>
        </w:rPr>
        <w:t xml:space="preserve"> </w:t>
      </w:r>
      <w:r w:rsidR="00A86C5F" w:rsidRPr="00D323AE">
        <w:rPr>
          <w:rFonts w:asciiTheme="majorBidi" w:hAnsiTheme="majorBidi" w:cstheme="majorBidi"/>
          <w:color w:val="000000"/>
          <w:sz w:val="24"/>
          <w:szCs w:val="24"/>
        </w:rPr>
        <w:t>non-alcoholic</w:t>
      </w:r>
      <w:r w:rsidRPr="00D323AE">
        <w:rPr>
          <w:rFonts w:asciiTheme="majorBidi" w:hAnsiTheme="majorBidi" w:cstheme="majorBidi"/>
          <w:color w:val="000000"/>
          <w:sz w:val="24"/>
          <w:szCs w:val="24"/>
        </w:rPr>
        <w:t xml:space="preserve"> Fatty Liver Disease at High Risk of Incident Cirrhosis. </w:t>
      </w:r>
      <w:r w:rsidRPr="00D323AE">
        <w:rPr>
          <w:rFonts w:asciiTheme="majorBidi" w:hAnsiTheme="majorBidi" w:cstheme="majorBidi"/>
          <w:i/>
          <w:iCs/>
          <w:color w:val="000000"/>
          <w:sz w:val="24"/>
          <w:szCs w:val="24"/>
        </w:rPr>
        <w:t>Gastroenterology</w:t>
      </w:r>
      <w:r w:rsidRPr="00D323AE">
        <w:rPr>
          <w:rFonts w:asciiTheme="majorBidi" w:hAnsiTheme="majorBidi" w:cstheme="majorBidi"/>
          <w:color w:val="000000"/>
          <w:sz w:val="24"/>
          <w:szCs w:val="24"/>
        </w:rPr>
        <w:t xml:space="preserve">. 2023;164(6):966-977.e17. </w:t>
      </w:r>
      <w:r w:rsidR="000833EE" w:rsidRPr="00D323AE">
        <w:rPr>
          <w:rFonts w:asciiTheme="majorBidi" w:hAnsiTheme="majorBidi" w:cstheme="majorBidi"/>
          <w:color w:val="000000"/>
          <w:sz w:val="24"/>
          <w:szCs w:val="24"/>
        </w:rPr>
        <w:t>Doi: 10.1053/j.gastro</w:t>
      </w:r>
      <w:r w:rsidRPr="00D323AE">
        <w:rPr>
          <w:rFonts w:asciiTheme="majorBidi" w:hAnsiTheme="majorBidi" w:cstheme="majorBidi"/>
          <w:color w:val="000000"/>
          <w:sz w:val="24"/>
          <w:szCs w:val="24"/>
        </w:rPr>
        <w:t>.2023.01.040</w:t>
      </w:r>
    </w:p>
    <w:p w14:paraId="12252BA2" w14:textId="0C157FBD"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proofErr w:type="spellStart"/>
      <w:r w:rsidRPr="00D323AE">
        <w:rPr>
          <w:rFonts w:asciiTheme="majorBidi" w:hAnsiTheme="majorBidi" w:cstheme="majorBidi"/>
          <w:color w:val="000000"/>
          <w:sz w:val="24"/>
          <w:szCs w:val="24"/>
        </w:rPr>
        <w:t>Pirola</w:t>
      </w:r>
      <w:proofErr w:type="spellEnd"/>
      <w:r w:rsidRPr="00D323AE">
        <w:rPr>
          <w:rFonts w:asciiTheme="majorBidi" w:hAnsiTheme="majorBidi" w:cstheme="majorBidi"/>
          <w:color w:val="000000"/>
          <w:sz w:val="24"/>
          <w:szCs w:val="24"/>
        </w:rPr>
        <w:t xml:space="preserve"> CJ, </w:t>
      </w:r>
      <w:proofErr w:type="spellStart"/>
      <w:r w:rsidRPr="00D323AE">
        <w:rPr>
          <w:rFonts w:asciiTheme="majorBidi" w:hAnsiTheme="majorBidi" w:cstheme="majorBidi"/>
          <w:color w:val="000000"/>
          <w:sz w:val="24"/>
          <w:szCs w:val="24"/>
        </w:rPr>
        <w:t>Sookoian</w:t>
      </w:r>
      <w:proofErr w:type="spellEnd"/>
      <w:r w:rsidRPr="00D323AE">
        <w:rPr>
          <w:rFonts w:asciiTheme="majorBidi" w:hAnsiTheme="majorBidi" w:cstheme="majorBidi"/>
          <w:color w:val="000000"/>
          <w:sz w:val="24"/>
          <w:szCs w:val="24"/>
        </w:rPr>
        <w:t xml:space="preserve"> S. Personalized medicine in </w:t>
      </w:r>
      <w:r w:rsidR="00A86C5F" w:rsidRPr="00D323AE">
        <w:rPr>
          <w:rFonts w:asciiTheme="majorBidi" w:hAnsiTheme="majorBidi" w:cstheme="majorBidi"/>
          <w:color w:val="000000"/>
          <w:sz w:val="24"/>
          <w:szCs w:val="24"/>
        </w:rPr>
        <w:t>non-alcoholic</w:t>
      </w:r>
      <w:r w:rsidRPr="00D323AE">
        <w:rPr>
          <w:rFonts w:asciiTheme="majorBidi" w:hAnsiTheme="majorBidi" w:cstheme="majorBidi"/>
          <w:color w:val="000000"/>
          <w:sz w:val="24"/>
          <w:szCs w:val="24"/>
        </w:rPr>
        <w:t xml:space="preserve"> fatty liver disease. </w:t>
      </w:r>
      <w:r w:rsidRPr="00D323AE">
        <w:rPr>
          <w:rFonts w:asciiTheme="majorBidi" w:hAnsiTheme="majorBidi" w:cstheme="majorBidi"/>
          <w:i/>
          <w:iCs/>
          <w:color w:val="000000"/>
          <w:sz w:val="24"/>
          <w:szCs w:val="24"/>
        </w:rPr>
        <w:t>Clin Mol Hepatol</w:t>
      </w:r>
      <w:r w:rsidRPr="00D323AE">
        <w:rPr>
          <w:rFonts w:asciiTheme="majorBidi" w:hAnsiTheme="majorBidi" w:cstheme="majorBidi"/>
          <w:color w:val="000000"/>
          <w:sz w:val="24"/>
          <w:szCs w:val="24"/>
        </w:rPr>
        <w:t>. 2022;28(4):935-938. doi:10.3350/cmh.2022.0175</w:t>
      </w:r>
    </w:p>
    <w:p w14:paraId="30DD4125" w14:textId="0869D4B9" w:rsidR="0015007E" w:rsidRPr="00D323AE" w:rsidRDefault="00000000">
      <w:pPr>
        <w:numPr>
          <w:ilvl w:val="0"/>
          <w:numId w:val="2"/>
        </w:numPr>
        <w:spacing w:before="240" w:after="120" w:line="240" w:lineRule="auto"/>
        <w:jc w:val="both"/>
        <w:rPr>
          <w:rFonts w:asciiTheme="majorBidi" w:hAnsiTheme="majorBidi" w:cstheme="majorBidi"/>
          <w:color w:val="000000"/>
          <w:sz w:val="24"/>
          <w:szCs w:val="24"/>
        </w:rPr>
      </w:pPr>
      <w:proofErr w:type="spellStart"/>
      <w:r w:rsidRPr="00D323AE">
        <w:rPr>
          <w:rFonts w:asciiTheme="majorBidi" w:hAnsiTheme="majorBidi" w:cstheme="majorBidi"/>
          <w:color w:val="000000"/>
          <w:sz w:val="24"/>
          <w:szCs w:val="24"/>
        </w:rPr>
        <w:t>Sookoian</w:t>
      </w:r>
      <w:proofErr w:type="spellEnd"/>
      <w:r w:rsidRPr="00D323AE">
        <w:rPr>
          <w:rFonts w:asciiTheme="majorBidi" w:hAnsiTheme="majorBidi" w:cstheme="majorBidi"/>
          <w:color w:val="000000"/>
          <w:sz w:val="24"/>
          <w:szCs w:val="24"/>
        </w:rPr>
        <w:t xml:space="preserve"> S, </w:t>
      </w:r>
      <w:proofErr w:type="spellStart"/>
      <w:r w:rsidRPr="00D323AE">
        <w:rPr>
          <w:rFonts w:asciiTheme="majorBidi" w:hAnsiTheme="majorBidi" w:cstheme="majorBidi"/>
          <w:color w:val="000000"/>
          <w:sz w:val="24"/>
          <w:szCs w:val="24"/>
        </w:rPr>
        <w:t>Pirola</w:t>
      </w:r>
      <w:proofErr w:type="spellEnd"/>
      <w:r w:rsidRPr="00D323AE">
        <w:rPr>
          <w:rFonts w:asciiTheme="majorBidi" w:hAnsiTheme="majorBidi" w:cstheme="majorBidi"/>
          <w:color w:val="000000"/>
          <w:sz w:val="24"/>
          <w:szCs w:val="24"/>
        </w:rPr>
        <w:t xml:space="preserve"> CJ. Genetics in non-alcoholic fatty liver disease: The role of risk alleles through the lens of immune response. </w:t>
      </w:r>
      <w:r w:rsidRPr="00D323AE">
        <w:rPr>
          <w:rFonts w:asciiTheme="majorBidi" w:hAnsiTheme="majorBidi" w:cstheme="majorBidi"/>
          <w:i/>
          <w:iCs/>
          <w:color w:val="000000"/>
          <w:sz w:val="24"/>
          <w:szCs w:val="24"/>
        </w:rPr>
        <w:t>Clin Mol Hepatol</w:t>
      </w:r>
      <w:r w:rsidRPr="00D323AE">
        <w:rPr>
          <w:rFonts w:asciiTheme="majorBidi" w:hAnsiTheme="majorBidi" w:cstheme="majorBidi"/>
          <w:color w:val="000000"/>
          <w:sz w:val="24"/>
          <w:szCs w:val="24"/>
        </w:rPr>
        <w:t>. 2023;29(</w:t>
      </w:r>
      <w:proofErr w:type="spellStart"/>
      <w:r w:rsidRPr="00D323AE">
        <w:rPr>
          <w:rFonts w:asciiTheme="majorBidi" w:hAnsiTheme="majorBidi" w:cstheme="majorBidi"/>
          <w:color w:val="000000"/>
          <w:sz w:val="24"/>
          <w:szCs w:val="24"/>
        </w:rPr>
        <w:t>Suppl</w:t>
      </w:r>
      <w:proofErr w:type="spellEnd"/>
      <w:r w:rsidR="000833EE" w:rsidRPr="00D323AE">
        <w:rPr>
          <w:rFonts w:asciiTheme="majorBidi" w:hAnsiTheme="majorBidi" w:cstheme="majorBidi"/>
          <w:color w:val="000000"/>
          <w:sz w:val="24"/>
          <w:szCs w:val="24"/>
        </w:rPr>
        <w:t>): S</w:t>
      </w:r>
      <w:r w:rsidRPr="00D323AE">
        <w:rPr>
          <w:rFonts w:asciiTheme="majorBidi" w:hAnsiTheme="majorBidi" w:cstheme="majorBidi"/>
          <w:color w:val="000000"/>
          <w:sz w:val="24"/>
          <w:szCs w:val="24"/>
        </w:rPr>
        <w:t>184-S195. doi:10.3350/cmh.2022.0318</w:t>
      </w:r>
    </w:p>
    <w:p w14:paraId="271D775E" w14:textId="5AADAB6B" w:rsidR="0015007E" w:rsidRPr="00F901DB" w:rsidRDefault="00000000" w:rsidP="00647079">
      <w:pPr>
        <w:keepNext/>
        <w:keepLines/>
        <w:numPr>
          <w:ilvl w:val="0"/>
          <w:numId w:val="2"/>
        </w:numPr>
        <w:autoSpaceDE w:val="0"/>
        <w:autoSpaceDN w:val="0"/>
        <w:adjustRightInd w:val="0"/>
        <w:spacing w:before="40" w:after="0" w:line="240" w:lineRule="auto"/>
        <w:jc w:val="both"/>
        <w:outlineLvl w:val="1"/>
        <w:rPr>
          <w:rFonts w:asciiTheme="majorBidi" w:hAnsiTheme="majorBidi" w:cstheme="majorBidi"/>
          <w:color w:val="000000"/>
          <w:kern w:val="0"/>
          <w:sz w:val="24"/>
          <w:szCs w:val="24"/>
          <w:lang w:val="en-US"/>
          <w14:ligatures w14:val="none"/>
        </w:rPr>
      </w:pPr>
      <w:r w:rsidRPr="00F901DB">
        <w:rPr>
          <w:rFonts w:asciiTheme="majorBidi" w:hAnsiTheme="majorBidi" w:cstheme="majorBidi"/>
          <w:color w:val="000000"/>
          <w:sz w:val="24"/>
          <w:szCs w:val="24"/>
        </w:rPr>
        <w:t xml:space="preserve">Lindén D, </w:t>
      </w:r>
      <w:proofErr w:type="spellStart"/>
      <w:r w:rsidRPr="00F901DB">
        <w:rPr>
          <w:rFonts w:asciiTheme="majorBidi" w:hAnsiTheme="majorBidi" w:cstheme="majorBidi"/>
          <w:color w:val="000000"/>
          <w:sz w:val="24"/>
          <w:szCs w:val="24"/>
        </w:rPr>
        <w:t>Ahnmark</w:t>
      </w:r>
      <w:proofErr w:type="spellEnd"/>
      <w:r w:rsidRPr="00F901DB">
        <w:rPr>
          <w:rFonts w:asciiTheme="majorBidi" w:hAnsiTheme="majorBidi" w:cstheme="majorBidi"/>
          <w:color w:val="000000"/>
          <w:sz w:val="24"/>
          <w:szCs w:val="24"/>
        </w:rPr>
        <w:t xml:space="preserve"> A, Pingitore P, et al. Pnpla3 silencing with antisense oligonucleotides ameliorates </w:t>
      </w:r>
      <w:r w:rsidR="00A86C5F" w:rsidRPr="00F901DB">
        <w:rPr>
          <w:rFonts w:asciiTheme="majorBidi" w:hAnsiTheme="majorBidi" w:cstheme="majorBidi"/>
          <w:color w:val="000000"/>
          <w:sz w:val="24"/>
          <w:szCs w:val="24"/>
        </w:rPr>
        <w:t>non-alcoholic</w:t>
      </w:r>
      <w:r w:rsidRPr="00F901DB">
        <w:rPr>
          <w:rFonts w:asciiTheme="majorBidi" w:hAnsiTheme="majorBidi" w:cstheme="majorBidi"/>
          <w:color w:val="000000"/>
          <w:sz w:val="24"/>
          <w:szCs w:val="24"/>
        </w:rPr>
        <w:t xml:space="preserve"> steatohepatitis and fibrosis in Pnpla3 I148M knock-in mice. </w:t>
      </w:r>
      <w:r w:rsidRPr="00F901DB">
        <w:rPr>
          <w:rFonts w:asciiTheme="majorBidi" w:hAnsiTheme="majorBidi" w:cstheme="majorBidi"/>
          <w:i/>
          <w:iCs/>
          <w:color w:val="000000"/>
          <w:sz w:val="24"/>
          <w:szCs w:val="24"/>
        </w:rPr>
        <w:t xml:space="preserve">Mol </w:t>
      </w:r>
      <w:proofErr w:type="spellStart"/>
      <w:r w:rsidRPr="00F901DB">
        <w:rPr>
          <w:rFonts w:asciiTheme="majorBidi" w:hAnsiTheme="majorBidi" w:cstheme="majorBidi"/>
          <w:i/>
          <w:iCs/>
          <w:color w:val="000000"/>
          <w:sz w:val="24"/>
          <w:szCs w:val="24"/>
        </w:rPr>
        <w:t>Metab</w:t>
      </w:r>
      <w:proofErr w:type="spellEnd"/>
      <w:r w:rsidRPr="00F901DB">
        <w:rPr>
          <w:rFonts w:asciiTheme="majorBidi" w:hAnsiTheme="majorBidi" w:cstheme="majorBidi"/>
          <w:color w:val="000000"/>
          <w:sz w:val="24"/>
          <w:szCs w:val="24"/>
        </w:rPr>
        <w:t xml:space="preserve">. </w:t>
      </w:r>
      <w:r w:rsidR="000833EE" w:rsidRPr="00F901DB">
        <w:rPr>
          <w:rFonts w:asciiTheme="majorBidi" w:hAnsiTheme="majorBidi" w:cstheme="majorBidi"/>
          <w:color w:val="000000"/>
          <w:sz w:val="24"/>
          <w:szCs w:val="24"/>
        </w:rPr>
        <w:t>2019; 22:49</w:t>
      </w:r>
      <w:r w:rsidRPr="00F901DB">
        <w:rPr>
          <w:rFonts w:asciiTheme="majorBidi" w:hAnsiTheme="majorBidi" w:cstheme="majorBidi"/>
          <w:color w:val="000000"/>
          <w:sz w:val="24"/>
          <w:szCs w:val="24"/>
        </w:rPr>
        <w:t xml:space="preserve">-61. </w:t>
      </w:r>
      <w:r w:rsidR="00A86C5F" w:rsidRPr="00F901DB">
        <w:rPr>
          <w:rFonts w:asciiTheme="majorBidi" w:hAnsiTheme="majorBidi" w:cstheme="majorBidi"/>
          <w:color w:val="000000"/>
          <w:sz w:val="24"/>
          <w:szCs w:val="24"/>
        </w:rPr>
        <w:t>Doi</w:t>
      </w:r>
      <w:r w:rsidR="000833EE" w:rsidRPr="00F901DB">
        <w:rPr>
          <w:rFonts w:asciiTheme="majorBidi" w:hAnsiTheme="majorBidi" w:cstheme="majorBidi"/>
          <w:color w:val="000000"/>
          <w:sz w:val="24"/>
          <w:szCs w:val="24"/>
        </w:rPr>
        <w:t>: 10.1016/j.molmet</w:t>
      </w:r>
      <w:r w:rsidRPr="00F901DB">
        <w:rPr>
          <w:rFonts w:asciiTheme="majorBidi" w:hAnsiTheme="majorBidi" w:cstheme="majorBidi"/>
          <w:color w:val="000000"/>
          <w:sz w:val="24"/>
          <w:szCs w:val="24"/>
        </w:rPr>
        <w:t>.2019.01.013</w:t>
      </w:r>
      <w:r w:rsidR="00F901DB" w:rsidRPr="00F901DB">
        <w:rPr>
          <w:rFonts w:asciiTheme="majorBidi" w:hAnsiTheme="majorBidi" w:cstheme="majorBidi"/>
          <w:color w:val="000000"/>
          <w:sz w:val="24"/>
          <w:szCs w:val="24"/>
        </w:rPr>
        <w:t>.</w:t>
      </w:r>
    </w:p>
    <w:sectPr w:rsidR="0015007E" w:rsidRPr="00F901DB" w:rsidSect="00AA557A">
      <w:pgSz w:w="16838" w:h="11906" w:orient="landscape"/>
      <w:pgMar w:top="1440" w:right="1440" w:bottom="1440" w:left="1440" w:header="708" w:footer="708" w:gutter="0"/>
      <w:pgNumType w:start="28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1066D" w14:textId="77777777" w:rsidR="007049F5" w:rsidRDefault="007049F5">
      <w:pPr>
        <w:spacing w:line="240" w:lineRule="auto"/>
      </w:pPr>
      <w:r>
        <w:separator/>
      </w:r>
    </w:p>
  </w:endnote>
  <w:endnote w:type="continuationSeparator" w:id="0">
    <w:p w14:paraId="5B0E72D2" w14:textId="77777777" w:rsidR="007049F5" w:rsidRDefault="007049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PS Special 1">
    <w:altName w:val="Wingdings"/>
    <w:charset w:val="02"/>
    <w:family w:val="auto"/>
    <w:pitch w:val="default"/>
    <w:sig w:usb0="00000000" w:usb1="00000000" w:usb2="00000000" w:usb3="00000000" w:csb0="80000000" w:csb1="00000000"/>
  </w:font>
  <w:font w:name="WPS Special 3">
    <w:altName w:val="Symbol"/>
    <w:charset w:val="02"/>
    <w:family w:val="roman"/>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Extra Bold">
    <w:altName w:val="Calibri"/>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001" w:usb1="00000001" w:usb2="00000000" w:usb3="00000000" w:csb0="0000019F" w:csb1="00000000"/>
  </w:font>
  <w:font w:name="Myriad Pro SemiCond">
    <w:altName w:val="Segoe UI"/>
    <w:panose1 w:val="00000000000000000000"/>
    <w:charset w:val="00"/>
    <w:family w:val="swiss"/>
    <w:notTrueType/>
    <w:pitch w:val="default"/>
    <w:sig w:usb0="00000003" w:usb1="00000000" w:usb2="00000000" w:usb3="00000000" w:csb0="00000001" w:csb1="00000000"/>
  </w:font>
  <w:font w:name="JansonText LT">
    <w:altName w:val="Cambria"/>
    <w:panose1 w:val="00000000000000000000"/>
    <w:charset w:val="00"/>
    <w:family w:val="roman"/>
    <w:notTrueType/>
    <w:pitch w:val="default"/>
    <w:sig w:usb0="00000003" w:usb1="00000000" w:usb2="00000000" w:usb3="00000000" w:csb0="00000001" w:csb1="00000000"/>
  </w:font>
  <w:font w:name="Helvetica-Black">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abic Transparent">
    <w:altName w:val="Arial"/>
    <w:panose1 w:val="020B0604020202020204"/>
    <w:charset w:val="00"/>
    <w:family w:val="swiss"/>
    <w:pitch w:val="variable"/>
    <w:sig w:usb0="E0002EFF" w:usb1="C000785B" w:usb2="00000009" w:usb3="00000000" w:csb0="000001FF" w:csb1="00000000"/>
  </w:font>
  <w:font w:name="DINPro-Light">
    <w:altName w:val="Calibri"/>
    <w:panose1 w:val="00000000000000000000"/>
    <w:charset w:val="00"/>
    <w:family w:val="swiss"/>
    <w:notTrueType/>
    <w:pitch w:val="default"/>
    <w:sig w:usb0="00000003" w:usb1="00000000" w:usb2="00000000" w:usb3="00000000" w:csb0="00000001" w:csb1="00000000"/>
  </w:font>
  <w:font w:name="NexusSerif-Regular">
    <w:altName w:val="Cambria"/>
    <w:panose1 w:val="00000000000000000000"/>
    <w:charset w:val="00"/>
    <w:family w:val="roman"/>
    <w:notTrueType/>
    <w:pitch w:val="default"/>
    <w:sig w:usb0="00000003" w:usb1="00000000" w:usb2="00000000" w:usb3="00000000" w:csb0="00000001" w:csb1="00000000"/>
  </w:font>
  <w:font w:name="Futura Std Book">
    <w:altName w:val="Century Gothic"/>
    <w:panose1 w:val="00000000000000000000"/>
    <w:charset w:val="00"/>
    <w:family w:val="swiss"/>
    <w:notTrueType/>
    <w:pitch w:val="default"/>
    <w:sig w:usb0="00000003" w:usb1="00000000" w:usb2="00000000" w:usb3="00000000" w:csb0="00000001" w:csb1="00000000"/>
  </w:font>
  <w:font w:name="ITC Garamond Std Book">
    <w:altName w:val="Times New Roman"/>
    <w:panose1 w:val="00000000000000000000"/>
    <w:charset w:val="00"/>
    <w:family w:val="roman"/>
    <w:notTrueType/>
    <w:pitch w:val="default"/>
    <w:sig w:usb0="00000003" w:usb1="00000000" w:usb2="00000000" w:usb3="00000000" w:csb0="00000001" w:csb1="00000000"/>
  </w:font>
  <w:font w:name="Futura Std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lergiaNormal-Lightitalic">
    <w:altName w:val="Yu Gothic"/>
    <w:panose1 w:val="00000000000000000000"/>
    <w:charset w:val="80"/>
    <w:family w:val="swiss"/>
    <w:notTrueType/>
    <w:pitch w:val="default"/>
    <w:sig w:usb0="00000001" w:usb1="08070000" w:usb2="00000010" w:usb3="00000000" w:csb0="00020000" w:csb1="00000000"/>
  </w:font>
  <w:font w:name="AlergiaNormal-Light">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0" w:name="_Hlk175408030" w:displacedByCustomXml="next"/>
  <w:sdt>
    <w:sdtPr>
      <w:rPr>
        <w:rFonts w:ascii="Times New Roman" w:hAnsi="Times New Roman" w:cs="Times New Roman"/>
        <w:kern w:val="0"/>
        <w:sz w:val="24"/>
        <w:szCs w:val="24"/>
        <w:lang w:val="en-US" w:bidi="ar-EG"/>
        <w14:ligatures w14:val="none"/>
      </w:rPr>
      <w:id w:val="737216105"/>
      <w:docPartObj>
        <w:docPartGallery w:val="Page Numbers (Bottom of Page)"/>
        <w:docPartUnique/>
      </w:docPartObj>
    </w:sdtPr>
    <w:sdtContent>
      <w:sdt>
        <w:sdtPr>
          <w:rPr>
            <w:kern w:val="0"/>
            <w:lang w:val="en-US"/>
            <w14:ligatures w14:val="none"/>
          </w:rPr>
          <w:id w:val="705601247"/>
          <w:docPartObj>
            <w:docPartGallery w:val="Page Numbers (Bottom of Page)"/>
            <w:docPartUnique/>
          </w:docPartObj>
        </w:sdtPr>
        <w:sdtContent>
          <w:sdt>
            <w:sdtPr>
              <w:rPr>
                <w:rFonts w:eastAsia="Times New Roman" w:cs="Times New Roman"/>
                <w:kern w:val="0"/>
                <w:sz w:val="28"/>
                <w:szCs w:val="28"/>
                <w:lang w:val="en-US"/>
                <w14:ligatures w14:val="none"/>
              </w:rPr>
              <w:id w:val="307289815"/>
              <w:docPartObj>
                <w:docPartGallery w:val="Page Numbers (Bottom of Page)"/>
                <w:docPartUnique/>
              </w:docPartObj>
            </w:sdtPr>
            <w:sdtContent>
              <w:p w14:paraId="0C18C824" w14:textId="3D3E3C9F" w:rsidR="00AA557A" w:rsidRPr="00AA557A" w:rsidRDefault="00AA557A" w:rsidP="00AA557A">
                <w:pPr>
                  <w:pBdr>
                    <w:top w:val="thinThickSmallGap" w:sz="24" w:space="1" w:color="823B0B"/>
                  </w:pBdr>
                  <w:tabs>
                    <w:tab w:val="center" w:pos="4320"/>
                    <w:tab w:val="right" w:pos="8640"/>
                  </w:tabs>
                  <w:spacing w:after="240" w:line="480" w:lineRule="auto"/>
                  <w:ind w:firstLine="357"/>
                  <w:jc w:val="both"/>
                  <w:rPr>
                    <w:rFonts w:eastAsia="Times New Roman" w:cs="Times New Roman"/>
                    <w:noProof/>
                    <w:kern w:val="0"/>
                    <w:sz w:val="28"/>
                    <w:szCs w:val="28"/>
                    <w:lang w:val="en-US"/>
                    <w14:ligatures w14:val="none"/>
                  </w:rPr>
                </w:pPr>
                <w:proofErr w:type="spellStart"/>
                <w:r>
                  <w:rPr>
                    <w:bCs/>
                    <w:kern w:val="0"/>
                    <w:lang w:val="en-US"/>
                    <w14:ligatures w14:val="none"/>
                  </w:rPr>
                  <w:t>Foda</w:t>
                </w:r>
                <w:proofErr w:type="spellEnd"/>
                <w:r w:rsidRPr="00AA557A">
                  <w:rPr>
                    <w:bCs/>
                    <w:kern w:val="0"/>
                    <w:lang w:val="en-US"/>
                    <w14:ligatures w14:val="none"/>
                  </w:rPr>
                  <w:t xml:space="preserve"> </w:t>
                </w:r>
                <w:r>
                  <w:rPr>
                    <w:kern w:val="0"/>
                    <w14:ligatures w14:val="none"/>
                  </w:rPr>
                  <w:t>EM</w:t>
                </w:r>
                <w:r w:rsidRPr="00AA557A">
                  <w:rPr>
                    <w:kern w:val="0"/>
                    <w:lang w:val="en-US"/>
                    <w14:ligatures w14:val="none"/>
                  </w:rPr>
                  <w:t xml:space="preserve"> et al.2024</w:t>
                </w:r>
                <w:bookmarkEnd w:id="10"/>
                <w:r w:rsidRPr="00AA557A">
                  <w:rPr>
                    <w:rFonts w:ascii="Calibri Light" w:eastAsia="Times New Roman" w:hAnsi="Calibri Light" w:cs="Times New Roman"/>
                    <w:kern w:val="0"/>
                    <w:lang w:val="en-US"/>
                    <w14:ligatures w14:val="none"/>
                  </w:rPr>
                  <w:ptab w:relativeTo="margin" w:alignment="right" w:leader="none"/>
                </w:r>
                <w:r w:rsidRPr="00AA557A">
                  <w:rPr>
                    <w:rFonts w:ascii="Calibri Light" w:eastAsia="Times New Roman" w:hAnsi="Calibri Light" w:cs="Times New Roman"/>
                    <w:kern w:val="0"/>
                    <w:lang w:val="en-US"/>
                    <w14:ligatures w14:val="none"/>
                  </w:rPr>
                  <w:t xml:space="preserve"> </w:t>
                </w:r>
                <w:r w:rsidRPr="00AA557A">
                  <w:rPr>
                    <w:rFonts w:eastAsia="Times New Roman"/>
                    <w:kern w:val="0"/>
                    <w:lang w:val="en-US"/>
                    <w14:ligatures w14:val="none"/>
                  </w:rPr>
                  <w:fldChar w:fldCharType="begin"/>
                </w:r>
                <w:r w:rsidRPr="00AA557A">
                  <w:rPr>
                    <w:kern w:val="0"/>
                    <w:lang w:val="en-US"/>
                    <w14:ligatures w14:val="none"/>
                  </w:rPr>
                  <w:instrText xml:space="preserve"> PAGE   \* MERGEFORMAT </w:instrText>
                </w:r>
                <w:r w:rsidRPr="00AA557A">
                  <w:rPr>
                    <w:rFonts w:eastAsia="Times New Roman"/>
                    <w:kern w:val="0"/>
                    <w:lang w:val="en-US"/>
                    <w14:ligatures w14:val="none"/>
                  </w:rPr>
                  <w:fldChar w:fldCharType="separate"/>
                </w:r>
                <w:r w:rsidRPr="00AA557A">
                  <w:rPr>
                    <w:rFonts w:eastAsia="Times New Roman"/>
                    <w:kern w:val="0"/>
                    <w:lang w:val="en-US"/>
                    <w14:ligatures w14:val="none"/>
                  </w:rPr>
                  <w:t>272</w:t>
                </w:r>
                <w:r w:rsidRPr="00AA557A">
                  <w:rPr>
                    <w:rFonts w:ascii="Calibri Light" w:eastAsia="Times New Roman" w:hAnsi="Calibri Light" w:cs="Times New Roman"/>
                    <w:noProof/>
                    <w:kern w:val="0"/>
                    <w:lang w:val="en-US"/>
                    <w14:ligatures w14:val="none"/>
                  </w:rPr>
                  <w:fldChar w:fldCharType="end"/>
                </w:r>
              </w:p>
            </w:sdtContent>
          </w:sdt>
        </w:sdtContent>
      </w:sdt>
      <w:p w14:paraId="2DC2BF95" w14:textId="77777777" w:rsidR="00AA557A" w:rsidRPr="00AA557A" w:rsidRDefault="00000000" w:rsidP="00AA557A">
        <w:pPr>
          <w:tabs>
            <w:tab w:val="center" w:pos="4153"/>
            <w:tab w:val="right" w:pos="8306"/>
          </w:tabs>
          <w:spacing w:after="0" w:line="240" w:lineRule="auto"/>
          <w:jc w:val="both"/>
          <w:rPr>
            <w:rFonts w:ascii="Times New Roman" w:hAnsi="Times New Roman" w:cs="Times New Roman"/>
            <w:kern w:val="0"/>
            <w:sz w:val="24"/>
            <w:szCs w:val="24"/>
            <w:lang w:val="en-US" w:bidi="ar-EG"/>
            <w14:ligatures w14:val="none"/>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2D6BC" w14:textId="77777777" w:rsidR="007049F5" w:rsidRDefault="007049F5">
      <w:pPr>
        <w:spacing w:after="0"/>
      </w:pPr>
      <w:r>
        <w:separator/>
      </w:r>
    </w:p>
  </w:footnote>
  <w:footnote w:type="continuationSeparator" w:id="0">
    <w:p w14:paraId="053449BC" w14:textId="77777777" w:rsidR="007049F5" w:rsidRDefault="007049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7B802" w14:textId="5EAAB75A" w:rsidR="00AA557A" w:rsidRDefault="00AA557A" w:rsidP="00AA557A">
    <w:pPr>
      <w:pBdr>
        <w:bottom w:val="thickThinSmallGap" w:sz="24" w:space="21" w:color="622423"/>
      </w:pBdr>
      <w:tabs>
        <w:tab w:val="right" w:pos="8640"/>
      </w:tabs>
      <w:spacing w:after="0" w:line="240" w:lineRule="auto"/>
      <w:rPr>
        <w:rFonts w:ascii="Cambria" w:eastAsia="Times New Roman" w:hAnsi="Cambria" w:cs="Times New Roman"/>
        <w:kern w:val="0"/>
        <w:sz w:val="18"/>
        <w:szCs w:val="18"/>
        <w:lang w:val="en-US"/>
        <w14:ligatures w14:val="none"/>
      </w:rPr>
    </w:pPr>
    <w:r w:rsidRPr="00AA557A">
      <w:rPr>
        <w:rFonts w:ascii="Cambria" w:eastAsia="Times New Roman" w:hAnsi="Cambria" w:cs="Times New Roman"/>
        <w:kern w:val="0"/>
        <w:sz w:val="18"/>
        <w:szCs w:val="18"/>
        <w:lang w:val="en-US"/>
        <w14:ligatures w14:val="none"/>
      </w:rPr>
      <w:t>African journal of gastroenterology and hepatology</w:t>
    </w:r>
    <w:r>
      <w:rPr>
        <w:rFonts w:ascii="Cambria" w:eastAsia="Times New Roman" w:hAnsi="Cambria" w:cs="Times New Roman"/>
        <w:kern w:val="0"/>
        <w:sz w:val="18"/>
        <w:szCs w:val="18"/>
        <w:lang w:val="en-US"/>
        <w14:ligatures w14:val="none"/>
      </w:rPr>
      <w:t xml:space="preserve">                                                                                                                                       </w:t>
    </w:r>
    <w:r w:rsidRPr="00AA557A">
      <w:rPr>
        <w:rFonts w:ascii="Calibri Light" w:eastAsia="Times New Roman" w:hAnsi="Calibri Light" w:cs="Times New Roman"/>
        <w:noProof/>
        <w:kern w:val="0"/>
        <w:sz w:val="32"/>
        <w:szCs w:val="32"/>
        <w:lang w:val="en-US"/>
        <w14:ligatures w14:val="none"/>
      </w:rPr>
      <w:drawing>
        <wp:inline distT="0" distB="0" distL="0" distR="0" wp14:anchorId="4AA3E424" wp14:editId="29E6D1A1">
          <wp:extent cx="1639526" cy="237602"/>
          <wp:effectExtent l="0" t="0" r="0" b="0"/>
          <wp:docPr id="11" name="Picture 7" descr="african journal of gastroenterology and hepat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rican journal of gastroenterology and hepatolog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472" cy="2397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PS Special 1" w:hAnsi="WPS Special 1" w:hint="default"/>
      </w:rPr>
    </w:lvl>
    <w:lvl w:ilvl="3">
      <w:start w:val="1"/>
      <w:numFmt w:val="bullet"/>
      <w:lvlText w:val=""/>
      <w:lvlJc w:val="left"/>
      <w:pPr>
        <w:ind w:left="2880" w:hanging="360"/>
      </w:pPr>
      <w:rPr>
        <w:rFonts w:ascii="WPS Special 3" w:hAnsi="WPS Special 3"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PS Special 1" w:hAnsi="WPS Special 1" w:hint="default"/>
      </w:rPr>
    </w:lvl>
    <w:lvl w:ilvl="6">
      <w:start w:val="1"/>
      <w:numFmt w:val="bullet"/>
      <w:lvlText w:val=""/>
      <w:lvlJc w:val="left"/>
      <w:pPr>
        <w:ind w:left="5040" w:hanging="360"/>
      </w:pPr>
      <w:rPr>
        <w:rFonts w:ascii="WPS Special 3" w:hAnsi="WPS Special 3"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PS Special 1" w:hAnsi="WPS Special 1" w:hint="default"/>
      </w:rPr>
    </w:lvl>
  </w:abstractNum>
  <w:abstractNum w:abstractNumId="1" w15:restartNumberingAfterBreak="0">
    <w:nsid w:val="00000006"/>
    <w:multiLevelType w:val="multilevel"/>
    <w:tmpl w:val="000000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5110578">
    <w:abstractNumId w:val="0"/>
  </w:num>
  <w:num w:numId="2" w16cid:durableId="926383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D4"/>
    <w:rsid w:val="0000261F"/>
    <w:rsid w:val="00004E59"/>
    <w:rsid w:val="00006A72"/>
    <w:rsid w:val="00007B72"/>
    <w:rsid w:val="00013357"/>
    <w:rsid w:val="00017018"/>
    <w:rsid w:val="000242C7"/>
    <w:rsid w:val="000268B4"/>
    <w:rsid w:val="000302F0"/>
    <w:rsid w:val="00032348"/>
    <w:rsid w:val="00035663"/>
    <w:rsid w:val="000412F6"/>
    <w:rsid w:val="000449A7"/>
    <w:rsid w:val="00047588"/>
    <w:rsid w:val="00051390"/>
    <w:rsid w:val="000530F3"/>
    <w:rsid w:val="00053B39"/>
    <w:rsid w:val="00056B90"/>
    <w:rsid w:val="000601EF"/>
    <w:rsid w:val="000610AB"/>
    <w:rsid w:val="00070912"/>
    <w:rsid w:val="00070BE6"/>
    <w:rsid w:val="00070F9F"/>
    <w:rsid w:val="000744C9"/>
    <w:rsid w:val="00074F2E"/>
    <w:rsid w:val="000833EE"/>
    <w:rsid w:val="00086F3B"/>
    <w:rsid w:val="0009040A"/>
    <w:rsid w:val="000926B0"/>
    <w:rsid w:val="000A596A"/>
    <w:rsid w:val="000A779B"/>
    <w:rsid w:val="000B06E7"/>
    <w:rsid w:val="000B5F12"/>
    <w:rsid w:val="000C0CAC"/>
    <w:rsid w:val="000C2C45"/>
    <w:rsid w:val="000C4CC2"/>
    <w:rsid w:val="000D1679"/>
    <w:rsid w:val="000D2306"/>
    <w:rsid w:val="000D4152"/>
    <w:rsid w:val="000E01EA"/>
    <w:rsid w:val="000E19CD"/>
    <w:rsid w:val="000E6ECA"/>
    <w:rsid w:val="000F006F"/>
    <w:rsid w:val="000F7EDA"/>
    <w:rsid w:val="00101F9E"/>
    <w:rsid w:val="001030E0"/>
    <w:rsid w:val="0010769B"/>
    <w:rsid w:val="0011187F"/>
    <w:rsid w:val="0011419D"/>
    <w:rsid w:val="00122F69"/>
    <w:rsid w:val="00125466"/>
    <w:rsid w:val="00127334"/>
    <w:rsid w:val="00127F26"/>
    <w:rsid w:val="001317C4"/>
    <w:rsid w:val="00135BAB"/>
    <w:rsid w:val="00135CA3"/>
    <w:rsid w:val="001407BE"/>
    <w:rsid w:val="00141B1D"/>
    <w:rsid w:val="0015007E"/>
    <w:rsid w:val="00152216"/>
    <w:rsid w:val="00152B6B"/>
    <w:rsid w:val="00152DA6"/>
    <w:rsid w:val="001556F0"/>
    <w:rsid w:val="0015574B"/>
    <w:rsid w:val="00156245"/>
    <w:rsid w:val="00156804"/>
    <w:rsid w:val="00160AF3"/>
    <w:rsid w:val="00173AA2"/>
    <w:rsid w:val="00174147"/>
    <w:rsid w:val="00175539"/>
    <w:rsid w:val="00177CC4"/>
    <w:rsid w:val="00184620"/>
    <w:rsid w:val="00184655"/>
    <w:rsid w:val="00194052"/>
    <w:rsid w:val="00197233"/>
    <w:rsid w:val="001A23CC"/>
    <w:rsid w:val="001A2BA0"/>
    <w:rsid w:val="001B0106"/>
    <w:rsid w:val="001B0AE2"/>
    <w:rsid w:val="001B63EB"/>
    <w:rsid w:val="001C09CA"/>
    <w:rsid w:val="001C184D"/>
    <w:rsid w:val="001C3A3C"/>
    <w:rsid w:val="001C41FE"/>
    <w:rsid w:val="001C4772"/>
    <w:rsid w:val="001D04E9"/>
    <w:rsid w:val="001D0DFC"/>
    <w:rsid w:val="001D575F"/>
    <w:rsid w:val="001D697D"/>
    <w:rsid w:val="001D75EA"/>
    <w:rsid w:val="001D76E7"/>
    <w:rsid w:val="001D7C55"/>
    <w:rsid w:val="001E281C"/>
    <w:rsid w:val="001E5BF5"/>
    <w:rsid w:val="001F1424"/>
    <w:rsid w:val="001F42EE"/>
    <w:rsid w:val="001F4B1B"/>
    <w:rsid w:val="001F6273"/>
    <w:rsid w:val="00201EA6"/>
    <w:rsid w:val="0021096D"/>
    <w:rsid w:val="002227C8"/>
    <w:rsid w:val="002351DC"/>
    <w:rsid w:val="00237B87"/>
    <w:rsid w:val="0025050B"/>
    <w:rsid w:val="00251F26"/>
    <w:rsid w:val="00252CB9"/>
    <w:rsid w:val="002557C7"/>
    <w:rsid w:val="00256B5D"/>
    <w:rsid w:val="00257302"/>
    <w:rsid w:val="00262DD0"/>
    <w:rsid w:val="002704DA"/>
    <w:rsid w:val="00270989"/>
    <w:rsid w:val="00273DC9"/>
    <w:rsid w:val="0027592B"/>
    <w:rsid w:val="0027646F"/>
    <w:rsid w:val="00276757"/>
    <w:rsid w:val="00277D75"/>
    <w:rsid w:val="0028709F"/>
    <w:rsid w:val="002906A7"/>
    <w:rsid w:val="00291FFB"/>
    <w:rsid w:val="00293F97"/>
    <w:rsid w:val="0029780C"/>
    <w:rsid w:val="002A0397"/>
    <w:rsid w:val="002A0DE6"/>
    <w:rsid w:val="002A37FC"/>
    <w:rsid w:val="002A6965"/>
    <w:rsid w:val="002A7B3A"/>
    <w:rsid w:val="002B64C7"/>
    <w:rsid w:val="002B6A7E"/>
    <w:rsid w:val="002C0D8A"/>
    <w:rsid w:val="002C4667"/>
    <w:rsid w:val="002C475B"/>
    <w:rsid w:val="002C66E6"/>
    <w:rsid w:val="002D003E"/>
    <w:rsid w:val="002D64BF"/>
    <w:rsid w:val="002E16FF"/>
    <w:rsid w:val="002E6B46"/>
    <w:rsid w:val="002F3A55"/>
    <w:rsid w:val="002F5B88"/>
    <w:rsid w:val="00301988"/>
    <w:rsid w:val="00311068"/>
    <w:rsid w:val="003139F9"/>
    <w:rsid w:val="00314F51"/>
    <w:rsid w:val="003226BF"/>
    <w:rsid w:val="00323C02"/>
    <w:rsid w:val="0032709F"/>
    <w:rsid w:val="00334552"/>
    <w:rsid w:val="003403F0"/>
    <w:rsid w:val="00352AF5"/>
    <w:rsid w:val="0035468D"/>
    <w:rsid w:val="00355B0B"/>
    <w:rsid w:val="0035720A"/>
    <w:rsid w:val="0036091F"/>
    <w:rsid w:val="00361C7A"/>
    <w:rsid w:val="00364A07"/>
    <w:rsid w:val="00365A3C"/>
    <w:rsid w:val="00366A75"/>
    <w:rsid w:val="00367D9D"/>
    <w:rsid w:val="00370B29"/>
    <w:rsid w:val="00370CF6"/>
    <w:rsid w:val="003727B5"/>
    <w:rsid w:val="003730B0"/>
    <w:rsid w:val="00376325"/>
    <w:rsid w:val="00377512"/>
    <w:rsid w:val="003846A0"/>
    <w:rsid w:val="00390574"/>
    <w:rsid w:val="00393F02"/>
    <w:rsid w:val="003963E2"/>
    <w:rsid w:val="0039726D"/>
    <w:rsid w:val="003A0850"/>
    <w:rsid w:val="003A4301"/>
    <w:rsid w:val="003A5146"/>
    <w:rsid w:val="003A5E6E"/>
    <w:rsid w:val="003A7F31"/>
    <w:rsid w:val="003B0D8B"/>
    <w:rsid w:val="003B232A"/>
    <w:rsid w:val="003B55B7"/>
    <w:rsid w:val="003C34A5"/>
    <w:rsid w:val="003D06AE"/>
    <w:rsid w:val="003D0AAB"/>
    <w:rsid w:val="003D0E48"/>
    <w:rsid w:val="003D1FD2"/>
    <w:rsid w:val="003D30A2"/>
    <w:rsid w:val="003D5D04"/>
    <w:rsid w:val="003E575D"/>
    <w:rsid w:val="003E757A"/>
    <w:rsid w:val="003F2E36"/>
    <w:rsid w:val="004030CF"/>
    <w:rsid w:val="00411DB1"/>
    <w:rsid w:val="004132BA"/>
    <w:rsid w:val="00416B30"/>
    <w:rsid w:val="00422A7B"/>
    <w:rsid w:val="00424201"/>
    <w:rsid w:val="004248EE"/>
    <w:rsid w:val="00426BFB"/>
    <w:rsid w:val="00430BE5"/>
    <w:rsid w:val="00433337"/>
    <w:rsid w:val="0044008B"/>
    <w:rsid w:val="0044173E"/>
    <w:rsid w:val="00441A2C"/>
    <w:rsid w:val="00456F3F"/>
    <w:rsid w:val="004570CB"/>
    <w:rsid w:val="004574DA"/>
    <w:rsid w:val="00457EC5"/>
    <w:rsid w:val="00460D73"/>
    <w:rsid w:val="004617AC"/>
    <w:rsid w:val="00465B09"/>
    <w:rsid w:val="00466986"/>
    <w:rsid w:val="004673D8"/>
    <w:rsid w:val="0047177F"/>
    <w:rsid w:val="00475FC8"/>
    <w:rsid w:val="00477A86"/>
    <w:rsid w:val="004801A7"/>
    <w:rsid w:val="00481C98"/>
    <w:rsid w:val="0048383F"/>
    <w:rsid w:val="004841C6"/>
    <w:rsid w:val="004912BC"/>
    <w:rsid w:val="004915DB"/>
    <w:rsid w:val="00493559"/>
    <w:rsid w:val="00495AC8"/>
    <w:rsid w:val="004970A3"/>
    <w:rsid w:val="004A1086"/>
    <w:rsid w:val="004A2C11"/>
    <w:rsid w:val="004A35E5"/>
    <w:rsid w:val="004A4EFE"/>
    <w:rsid w:val="004A5CD4"/>
    <w:rsid w:val="004A6DE0"/>
    <w:rsid w:val="004B2037"/>
    <w:rsid w:val="004B575A"/>
    <w:rsid w:val="004B6793"/>
    <w:rsid w:val="004B6957"/>
    <w:rsid w:val="004C1778"/>
    <w:rsid w:val="004C2083"/>
    <w:rsid w:val="004C5D07"/>
    <w:rsid w:val="004C77AA"/>
    <w:rsid w:val="004D0CE1"/>
    <w:rsid w:val="004D144E"/>
    <w:rsid w:val="004D31DA"/>
    <w:rsid w:val="004D6939"/>
    <w:rsid w:val="004E2638"/>
    <w:rsid w:val="004E35F8"/>
    <w:rsid w:val="004E3AD8"/>
    <w:rsid w:val="004E4E4C"/>
    <w:rsid w:val="004E7376"/>
    <w:rsid w:val="00500938"/>
    <w:rsid w:val="00500E24"/>
    <w:rsid w:val="0050239A"/>
    <w:rsid w:val="00502468"/>
    <w:rsid w:val="005036CF"/>
    <w:rsid w:val="005043ED"/>
    <w:rsid w:val="005047D3"/>
    <w:rsid w:val="00504CF2"/>
    <w:rsid w:val="00504F32"/>
    <w:rsid w:val="00510C83"/>
    <w:rsid w:val="00514086"/>
    <w:rsid w:val="00516011"/>
    <w:rsid w:val="00516697"/>
    <w:rsid w:val="00517DA5"/>
    <w:rsid w:val="00520656"/>
    <w:rsid w:val="00525B1D"/>
    <w:rsid w:val="00525F17"/>
    <w:rsid w:val="0053200C"/>
    <w:rsid w:val="00532AB9"/>
    <w:rsid w:val="005364EB"/>
    <w:rsid w:val="00540625"/>
    <w:rsid w:val="00540E34"/>
    <w:rsid w:val="005478E6"/>
    <w:rsid w:val="00550F7A"/>
    <w:rsid w:val="00551F4A"/>
    <w:rsid w:val="00556A5C"/>
    <w:rsid w:val="005647CF"/>
    <w:rsid w:val="0056608E"/>
    <w:rsid w:val="0057122F"/>
    <w:rsid w:val="00576422"/>
    <w:rsid w:val="00581694"/>
    <w:rsid w:val="0058298B"/>
    <w:rsid w:val="00583865"/>
    <w:rsid w:val="00584364"/>
    <w:rsid w:val="0058665D"/>
    <w:rsid w:val="00586FDF"/>
    <w:rsid w:val="005912D3"/>
    <w:rsid w:val="0059282A"/>
    <w:rsid w:val="00593F44"/>
    <w:rsid w:val="00595B3E"/>
    <w:rsid w:val="005968A5"/>
    <w:rsid w:val="005A024A"/>
    <w:rsid w:val="005A4329"/>
    <w:rsid w:val="005A74AB"/>
    <w:rsid w:val="005A7EEF"/>
    <w:rsid w:val="005B2D4A"/>
    <w:rsid w:val="005B2F76"/>
    <w:rsid w:val="005B332E"/>
    <w:rsid w:val="005B3AA8"/>
    <w:rsid w:val="005C344F"/>
    <w:rsid w:val="005C4C7B"/>
    <w:rsid w:val="005C6C69"/>
    <w:rsid w:val="005D1CBA"/>
    <w:rsid w:val="005D4880"/>
    <w:rsid w:val="005D4988"/>
    <w:rsid w:val="005E12C9"/>
    <w:rsid w:val="005E5E50"/>
    <w:rsid w:val="005E7536"/>
    <w:rsid w:val="005F0908"/>
    <w:rsid w:val="005F1E32"/>
    <w:rsid w:val="005F37EB"/>
    <w:rsid w:val="005F4058"/>
    <w:rsid w:val="005F69A2"/>
    <w:rsid w:val="00605815"/>
    <w:rsid w:val="00607E8E"/>
    <w:rsid w:val="00614B1D"/>
    <w:rsid w:val="00616D9F"/>
    <w:rsid w:val="00623104"/>
    <w:rsid w:val="00623B63"/>
    <w:rsid w:val="00630982"/>
    <w:rsid w:val="00631893"/>
    <w:rsid w:val="00632C01"/>
    <w:rsid w:val="00640551"/>
    <w:rsid w:val="00644B45"/>
    <w:rsid w:val="00651559"/>
    <w:rsid w:val="006530AD"/>
    <w:rsid w:val="0065604F"/>
    <w:rsid w:val="006619BB"/>
    <w:rsid w:val="00663484"/>
    <w:rsid w:val="0066492B"/>
    <w:rsid w:val="00665596"/>
    <w:rsid w:val="006727EE"/>
    <w:rsid w:val="00672B0F"/>
    <w:rsid w:val="006730FC"/>
    <w:rsid w:val="00674609"/>
    <w:rsid w:val="006751A6"/>
    <w:rsid w:val="00675D5B"/>
    <w:rsid w:val="00676004"/>
    <w:rsid w:val="00677D35"/>
    <w:rsid w:val="00680CC9"/>
    <w:rsid w:val="00682709"/>
    <w:rsid w:val="006854FA"/>
    <w:rsid w:val="006900F1"/>
    <w:rsid w:val="00694EFD"/>
    <w:rsid w:val="006A5801"/>
    <w:rsid w:val="006A7590"/>
    <w:rsid w:val="006C258A"/>
    <w:rsid w:val="006C2675"/>
    <w:rsid w:val="006C3CDB"/>
    <w:rsid w:val="006C4F35"/>
    <w:rsid w:val="006C572A"/>
    <w:rsid w:val="006C70D0"/>
    <w:rsid w:val="006C7BDF"/>
    <w:rsid w:val="006D29E9"/>
    <w:rsid w:val="006D325E"/>
    <w:rsid w:val="006D5575"/>
    <w:rsid w:val="006E1278"/>
    <w:rsid w:val="006E1CF1"/>
    <w:rsid w:val="006E20C3"/>
    <w:rsid w:val="006E3040"/>
    <w:rsid w:val="006E54AE"/>
    <w:rsid w:val="006E59F2"/>
    <w:rsid w:val="006E7CA3"/>
    <w:rsid w:val="006F0F80"/>
    <w:rsid w:val="006F6719"/>
    <w:rsid w:val="00700319"/>
    <w:rsid w:val="0070102F"/>
    <w:rsid w:val="007029B5"/>
    <w:rsid w:val="007049F5"/>
    <w:rsid w:val="00705B86"/>
    <w:rsid w:val="00714224"/>
    <w:rsid w:val="007166CF"/>
    <w:rsid w:val="007174E1"/>
    <w:rsid w:val="00720446"/>
    <w:rsid w:val="00722B33"/>
    <w:rsid w:val="00725E34"/>
    <w:rsid w:val="00726EFE"/>
    <w:rsid w:val="00731DF0"/>
    <w:rsid w:val="00732A6F"/>
    <w:rsid w:val="00737946"/>
    <w:rsid w:val="00737E21"/>
    <w:rsid w:val="00743959"/>
    <w:rsid w:val="00743AF4"/>
    <w:rsid w:val="00745D32"/>
    <w:rsid w:val="0074633C"/>
    <w:rsid w:val="00747D86"/>
    <w:rsid w:val="00753816"/>
    <w:rsid w:val="0075586D"/>
    <w:rsid w:val="00756BD1"/>
    <w:rsid w:val="00763484"/>
    <w:rsid w:val="007650F9"/>
    <w:rsid w:val="0078521E"/>
    <w:rsid w:val="00785F0F"/>
    <w:rsid w:val="0078689C"/>
    <w:rsid w:val="007947D3"/>
    <w:rsid w:val="00795ABA"/>
    <w:rsid w:val="007A36B1"/>
    <w:rsid w:val="007A60D8"/>
    <w:rsid w:val="007B0B7E"/>
    <w:rsid w:val="007B1777"/>
    <w:rsid w:val="007B49BB"/>
    <w:rsid w:val="007B6783"/>
    <w:rsid w:val="007B740C"/>
    <w:rsid w:val="007C4DEA"/>
    <w:rsid w:val="007C6087"/>
    <w:rsid w:val="007C6ED4"/>
    <w:rsid w:val="007C7749"/>
    <w:rsid w:val="007C795C"/>
    <w:rsid w:val="007D00D7"/>
    <w:rsid w:val="007D15A3"/>
    <w:rsid w:val="007D3683"/>
    <w:rsid w:val="007D4337"/>
    <w:rsid w:val="007D4CB1"/>
    <w:rsid w:val="007E09A5"/>
    <w:rsid w:val="007E1836"/>
    <w:rsid w:val="007E1A67"/>
    <w:rsid w:val="007F1BB2"/>
    <w:rsid w:val="007F6A4D"/>
    <w:rsid w:val="008062D6"/>
    <w:rsid w:val="008143EF"/>
    <w:rsid w:val="008158DB"/>
    <w:rsid w:val="0082033A"/>
    <w:rsid w:val="00820F60"/>
    <w:rsid w:val="0082281B"/>
    <w:rsid w:val="00824BA6"/>
    <w:rsid w:val="00825E77"/>
    <w:rsid w:val="008270FF"/>
    <w:rsid w:val="008271D0"/>
    <w:rsid w:val="00832B37"/>
    <w:rsid w:val="0083591C"/>
    <w:rsid w:val="00837038"/>
    <w:rsid w:val="00840FC0"/>
    <w:rsid w:val="00841859"/>
    <w:rsid w:val="008446A2"/>
    <w:rsid w:val="00850149"/>
    <w:rsid w:val="00850B14"/>
    <w:rsid w:val="008532C2"/>
    <w:rsid w:val="00853ED5"/>
    <w:rsid w:val="00855FBF"/>
    <w:rsid w:val="00861987"/>
    <w:rsid w:val="00864E53"/>
    <w:rsid w:val="008674FB"/>
    <w:rsid w:val="008738F2"/>
    <w:rsid w:val="00876B0C"/>
    <w:rsid w:val="00877F3C"/>
    <w:rsid w:val="00881001"/>
    <w:rsid w:val="00892C24"/>
    <w:rsid w:val="00892F29"/>
    <w:rsid w:val="008936B5"/>
    <w:rsid w:val="00895291"/>
    <w:rsid w:val="0089665E"/>
    <w:rsid w:val="008A0564"/>
    <w:rsid w:val="008A3A75"/>
    <w:rsid w:val="008A3C18"/>
    <w:rsid w:val="008A4266"/>
    <w:rsid w:val="008A6769"/>
    <w:rsid w:val="008A7AF9"/>
    <w:rsid w:val="008B616A"/>
    <w:rsid w:val="008C039C"/>
    <w:rsid w:val="008C1634"/>
    <w:rsid w:val="008C2ED2"/>
    <w:rsid w:val="008C3386"/>
    <w:rsid w:val="008C4B66"/>
    <w:rsid w:val="008C5A8B"/>
    <w:rsid w:val="008C70C9"/>
    <w:rsid w:val="008C7359"/>
    <w:rsid w:val="008E2574"/>
    <w:rsid w:val="008E6A7F"/>
    <w:rsid w:val="008F0146"/>
    <w:rsid w:val="008F091D"/>
    <w:rsid w:val="008F36AF"/>
    <w:rsid w:val="008F4114"/>
    <w:rsid w:val="0090113C"/>
    <w:rsid w:val="00904E3A"/>
    <w:rsid w:val="00905E6A"/>
    <w:rsid w:val="00907A76"/>
    <w:rsid w:val="00914906"/>
    <w:rsid w:val="00916C1F"/>
    <w:rsid w:val="00916FB5"/>
    <w:rsid w:val="009356C2"/>
    <w:rsid w:val="00937F04"/>
    <w:rsid w:val="00941B03"/>
    <w:rsid w:val="009443AF"/>
    <w:rsid w:val="00950233"/>
    <w:rsid w:val="009508B3"/>
    <w:rsid w:val="009518A7"/>
    <w:rsid w:val="00955AE8"/>
    <w:rsid w:val="00964374"/>
    <w:rsid w:val="00964678"/>
    <w:rsid w:val="00965DDD"/>
    <w:rsid w:val="00967BD4"/>
    <w:rsid w:val="009722D0"/>
    <w:rsid w:val="009725A4"/>
    <w:rsid w:val="00974A71"/>
    <w:rsid w:val="009762F2"/>
    <w:rsid w:val="00976FC4"/>
    <w:rsid w:val="00980A0B"/>
    <w:rsid w:val="00981C8B"/>
    <w:rsid w:val="0098666C"/>
    <w:rsid w:val="00990817"/>
    <w:rsid w:val="0099758D"/>
    <w:rsid w:val="009A033C"/>
    <w:rsid w:val="009A24E3"/>
    <w:rsid w:val="009B1749"/>
    <w:rsid w:val="009B24E5"/>
    <w:rsid w:val="009B3933"/>
    <w:rsid w:val="009B433B"/>
    <w:rsid w:val="009B4801"/>
    <w:rsid w:val="009B6516"/>
    <w:rsid w:val="009C29DD"/>
    <w:rsid w:val="009C660B"/>
    <w:rsid w:val="009D440B"/>
    <w:rsid w:val="009E313D"/>
    <w:rsid w:val="009E3187"/>
    <w:rsid w:val="009E38CE"/>
    <w:rsid w:val="009E6086"/>
    <w:rsid w:val="009E637C"/>
    <w:rsid w:val="009E6F75"/>
    <w:rsid w:val="009F4439"/>
    <w:rsid w:val="009F6C92"/>
    <w:rsid w:val="00A0054B"/>
    <w:rsid w:val="00A0074D"/>
    <w:rsid w:val="00A034C5"/>
    <w:rsid w:val="00A03DBB"/>
    <w:rsid w:val="00A05402"/>
    <w:rsid w:val="00A05BF4"/>
    <w:rsid w:val="00A06FCF"/>
    <w:rsid w:val="00A10764"/>
    <w:rsid w:val="00A13D7D"/>
    <w:rsid w:val="00A13FF6"/>
    <w:rsid w:val="00A1413B"/>
    <w:rsid w:val="00A1458F"/>
    <w:rsid w:val="00A16AED"/>
    <w:rsid w:val="00A20E06"/>
    <w:rsid w:val="00A20F1F"/>
    <w:rsid w:val="00A2158E"/>
    <w:rsid w:val="00A23F7D"/>
    <w:rsid w:val="00A2734A"/>
    <w:rsid w:val="00A31F9B"/>
    <w:rsid w:val="00A346B5"/>
    <w:rsid w:val="00A357DC"/>
    <w:rsid w:val="00A440C7"/>
    <w:rsid w:val="00A46CF4"/>
    <w:rsid w:val="00A50766"/>
    <w:rsid w:val="00A5498A"/>
    <w:rsid w:val="00A600F0"/>
    <w:rsid w:val="00A661ED"/>
    <w:rsid w:val="00A67246"/>
    <w:rsid w:val="00A7109F"/>
    <w:rsid w:val="00A738BC"/>
    <w:rsid w:val="00A748B0"/>
    <w:rsid w:val="00A74F24"/>
    <w:rsid w:val="00A7502E"/>
    <w:rsid w:val="00A772D6"/>
    <w:rsid w:val="00A777C2"/>
    <w:rsid w:val="00A82764"/>
    <w:rsid w:val="00A86C5F"/>
    <w:rsid w:val="00A86EF4"/>
    <w:rsid w:val="00A90F1B"/>
    <w:rsid w:val="00AA42B3"/>
    <w:rsid w:val="00AA478D"/>
    <w:rsid w:val="00AA557A"/>
    <w:rsid w:val="00AB0886"/>
    <w:rsid w:val="00AB0E81"/>
    <w:rsid w:val="00AC2445"/>
    <w:rsid w:val="00AC49DF"/>
    <w:rsid w:val="00AC64D7"/>
    <w:rsid w:val="00AC6FF5"/>
    <w:rsid w:val="00AD0F67"/>
    <w:rsid w:val="00AD11E9"/>
    <w:rsid w:val="00AD1F40"/>
    <w:rsid w:val="00AD451F"/>
    <w:rsid w:val="00AD5240"/>
    <w:rsid w:val="00AD7DD4"/>
    <w:rsid w:val="00AD7EEE"/>
    <w:rsid w:val="00AE18D9"/>
    <w:rsid w:val="00AF38A8"/>
    <w:rsid w:val="00AF5273"/>
    <w:rsid w:val="00B03F9C"/>
    <w:rsid w:val="00B04526"/>
    <w:rsid w:val="00B04756"/>
    <w:rsid w:val="00B06E7A"/>
    <w:rsid w:val="00B10DF0"/>
    <w:rsid w:val="00B144C4"/>
    <w:rsid w:val="00B1541F"/>
    <w:rsid w:val="00B23F82"/>
    <w:rsid w:val="00B245DF"/>
    <w:rsid w:val="00B24AA6"/>
    <w:rsid w:val="00B32AFE"/>
    <w:rsid w:val="00B332EC"/>
    <w:rsid w:val="00B419C2"/>
    <w:rsid w:val="00B44B00"/>
    <w:rsid w:val="00B461EF"/>
    <w:rsid w:val="00B4725A"/>
    <w:rsid w:val="00B50A4B"/>
    <w:rsid w:val="00B529B6"/>
    <w:rsid w:val="00B574F1"/>
    <w:rsid w:val="00B57897"/>
    <w:rsid w:val="00B6084B"/>
    <w:rsid w:val="00B6354C"/>
    <w:rsid w:val="00B6423E"/>
    <w:rsid w:val="00B65F73"/>
    <w:rsid w:val="00B67E73"/>
    <w:rsid w:val="00B71A12"/>
    <w:rsid w:val="00B765D6"/>
    <w:rsid w:val="00B775EF"/>
    <w:rsid w:val="00B803DD"/>
    <w:rsid w:val="00B80AC2"/>
    <w:rsid w:val="00B81423"/>
    <w:rsid w:val="00B8319D"/>
    <w:rsid w:val="00B83444"/>
    <w:rsid w:val="00B85D45"/>
    <w:rsid w:val="00B85D91"/>
    <w:rsid w:val="00B87172"/>
    <w:rsid w:val="00B96933"/>
    <w:rsid w:val="00B96DDA"/>
    <w:rsid w:val="00BA050F"/>
    <w:rsid w:val="00BA11F3"/>
    <w:rsid w:val="00BA38C4"/>
    <w:rsid w:val="00BB206D"/>
    <w:rsid w:val="00BB423D"/>
    <w:rsid w:val="00BB7EF1"/>
    <w:rsid w:val="00BC00A8"/>
    <w:rsid w:val="00BC0127"/>
    <w:rsid w:val="00BC36FF"/>
    <w:rsid w:val="00BC58A8"/>
    <w:rsid w:val="00BC7D98"/>
    <w:rsid w:val="00BD240F"/>
    <w:rsid w:val="00BE3536"/>
    <w:rsid w:val="00BE7315"/>
    <w:rsid w:val="00BF50C3"/>
    <w:rsid w:val="00C0099F"/>
    <w:rsid w:val="00C04A32"/>
    <w:rsid w:val="00C10CBE"/>
    <w:rsid w:val="00C138B9"/>
    <w:rsid w:val="00C13F2D"/>
    <w:rsid w:val="00C15C56"/>
    <w:rsid w:val="00C22233"/>
    <w:rsid w:val="00C30057"/>
    <w:rsid w:val="00C31396"/>
    <w:rsid w:val="00C4249D"/>
    <w:rsid w:val="00C53568"/>
    <w:rsid w:val="00C55468"/>
    <w:rsid w:val="00C61021"/>
    <w:rsid w:val="00C61338"/>
    <w:rsid w:val="00C654B6"/>
    <w:rsid w:val="00C663E7"/>
    <w:rsid w:val="00C74E91"/>
    <w:rsid w:val="00C81C0C"/>
    <w:rsid w:val="00C836BB"/>
    <w:rsid w:val="00C90AA6"/>
    <w:rsid w:val="00C94B20"/>
    <w:rsid w:val="00C94DA6"/>
    <w:rsid w:val="00C95068"/>
    <w:rsid w:val="00C95B64"/>
    <w:rsid w:val="00C96124"/>
    <w:rsid w:val="00C969DB"/>
    <w:rsid w:val="00C9764C"/>
    <w:rsid w:val="00CA212A"/>
    <w:rsid w:val="00CA4457"/>
    <w:rsid w:val="00CA5B19"/>
    <w:rsid w:val="00CA681C"/>
    <w:rsid w:val="00CB0806"/>
    <w:rsid w:val="00CB16D7"/>
    <w:rsid w:val="00CB2F2B"/>
    <w:rsid w:val="00CB6E05"/>
    <w:rsid w:val="00CD2D41"/>
    <w:rsid w:val="00CD4820"/>
    <w:rsid w:val="00CD5DEC"/>
    <w:rsid w:val="00CD758D"/>
    <w:rsid w:val="00CD781D"/>
    <w:rsid w:val="00CD7C29"/>
    <w:rsid w:val="00CE0036"/>
    <w:rsid w:val="00CE7261"/>
    <w:rsid w:val="00CE7DC7"/>
    <w:rsid w:val="00CF00A6"/>
    <w:rsid w:val="00D030F4"/>
    <w:rsid w:val="00D04C9A"/>
    <w:rsid w:val="00D10ED4"/>
    <w:rsid w:val="00D122A0"/>
    <w:rsid w:val="00D13213"/>
    <w:rsid w:val="00D15087"/>
    <w:rsid w:val="00D15C0E"/>
    <w:rsid w:val="00D22A02"/>
    <w:rsid w:val="00D258BB"/>
    <w:rsid w:val="00D25CED"/>
    <w:rsid w:val="00D27761"/>
    <w:rsid w:val="00D27F59"/>
    <w:rsid w:val="00D30357"/>
    <w:rsid w:val="00D3086E"/>
    <w:rsid w:val="00D323AE"/>
    <w:rsid w:val="00D323D5"/>
    <w:rsid w:val="00D329A5"/>
    <w:rsid w:val="00D4251B"/>
    <w:rsid w:val="00D43AE7"/>
    <w:rsid w:val="00D50B34"/>
    <w:rsid w:val="00D50F89"/>
    <w:rsid w:val="00D524BC"/>
    <w:rsid w:val="00D52BF9"/>
    <w:rsid w:val="00D55EF2"/>
    <w:rsid w:val="00D565C9"/>
    <w:rsid w:val="00D64F55"/>
    <w:rsid w:val="00D6552A"/>
    <w:rsid w:val="00D6631C"/>
    <w:rsid w:val="00D674B9"/>
    <w:rsid w:val="00D70370"/>
    <w:rsid w:val="00D74326"/>
    <w:rsid w:val="00D77720"/>
    <w:rsid w:val="00D800D1"/>
    <w:rsid w:val="00D81FC7"/>
    <w:rsid w:val="00D8479A"/>
    <w:rsid w:val="00D85328"/>
    <w:rsid w:val="00D85603"/>
    <w:rsid w:val="00D86D5E"/>
    <w:rsid w:val="00D9236D"/>
    <w:rsid w:val="00D93801"/>
    <w:rsid w:val="00D94EB8"/>
    <w:rsid w:val="00D975A8"/>
    <w:rsid w:val="00DA019A"/>
    <w:rsid w:val="00DA0966"/>
    <w:rsid w:val="00DA4A16"/>
    <w:rsid w:val="00DA5666"/>
    <w:rsid w:val="00DB0711"/>
    <w:rsid w:val="00DB2477"/>
    <w:rsid w:val="00DB65AF"/>
    <w:rsid w:val="00DC049B"/>
    <w:rsid w:val="00DC418C"/>
    <w:rsid w:val="00DC56FC"/>
    <w:rsid w:val="00DC696C"/>
    <w:rsid w:val="00DC6D31"/>
    <w:rsid w:val="00DC7B10"/>
    <w:rsid w:val="00DD0409"/>
    <w:rsid w:val="00DD18F0"/>
    <w:rsid w:val="00DD27B0"/>
    <w:rsid w:val="00DD29AF"/>
    <w:rsid w:val="00DD3F40"/>
    <w:rsid w:val="00DD68AC"/>
    <w:rsid w:val="00DE1C07"/>
    <w:rsid w:val="00DE354D"/>
    <w:rsid w:val="00DE46B2"/>
    <w:rsid w:val="00DE6421"/>
    <w:rsid w:val="00DE7001"/>
    <w:rsid w:val="00DF20BF"/>
    <w:rsid w:val="00DF696E"/>
    <w:rsid w:val="00E017D4"/>
    <w:rsid w:val="00E02531"/>
    <w:rsid w:val="00E0423D"/>
    <w:rsid w:val="00E063C9"/>
    <w:rsid w:val="00E10ECA"/>
    <w:rsid w:val="00E14A08"/>
    <w:rsid w:val="00E15165"/>
    <w:rsid w:val="00E153EB"/>
    <w:rsid w:val="00E15A0D"/>
    <w:rsid w:val="00E25660"/>
    <w:rsid w:val="00E35118"/>
    <w:rsid w:val="00E365E6"/>
    <w:rsid w:val="00E37534"/>
    <w:rsid w:val="00E43208"/>
    <w:rsid w:val="00E50280"/>
    <w:rsid w:val="00E5229F"/>
    <w:rsid w:val="00E66AA8"/>
    <w:rsid w:val="00E8240D"/>
    <w:rsid w:val="00E87541"/>
    <w:rsid w:val="00E93CB6"/>
    <w:rsid w:val="00E94874"/>
    <w:rsid w:val="00E956CD"/>
    <w:rsid w:val="00E96C35"/>
    <w:rsid w:val="00E97364"/>
    <w:rsid w:val="00E979F8"/>
    <w:rsid w:val="00E97D89"/>
    <w:rsid w:val="00E97DA2"/>
    <w:rsid w:val="00EA3954"/>
    <w:rsid w:val="00EA3A18"/>
    <w:rsid w:val="00EB0111"/>
    <w:rsid w:val="00EB183F"/>
    <w:rsid w:val="00EB2F76"/>
    <w:rsid w:val="00EC3846"/>
    <w:rsid w:val="00EC3F4F"/>
    <w:rsid w:val="00EC42E5"/>
    <w:rsid w:val="00EC433A"/>
    <w:rsid w:val="00EC52DD"/>
    <w:rsid w:val="00ED17AA"/>
    <w:rsid w:val="00ED3EA3"/>
    <w:rsid w:val="00ED6C0F"/>
    <w:rsid w:val="00ED6F83"/>
    <w:rsid w:val="00EE34BB"/>
    <w:rsid w:val="00EF7F72"/>
    <w:rsid w:val="00F0112B"/>
    <w:rsid w:val="00F02264"/>
    <w:rsid w:val="00F0356F"/>
    <w:rsid w:val="00F13E18"/>
    <w:rsid w:val="00F17160"/>
    <w:rsid w:val="00F26BAD"/>
    <w:rsid w:val="00F26E34"/>
    <w:rsid w:val="00F2708E"/>
    <w:rsid w:val="00F3412E"/>
    <w:rsid w:val="00F35BF3"/>
    <w:rsid w:val="00F36B5E"/>
    <w:rsid w:val="00F54B27"/>
    <w:rsid w:val="00F565FE"/>
    <w:rsid w:val="00F56AC1"/>
    <w:rsid w:val="00F6232C"/>
    <w:rsid w:val="00F655DF"/>
    <w:rsid w:val="00F66D71"/>
    <w:rsid w:val="00F7167D"/>
    <w:rsid w:val="00F80115"/>
    <w:rsid w:val="00F81041"/>
    <w:rsid w:val="00F85015"/>
    <w:rsid w:val="00F8729F"/>
    <w:rsid w:val="00F87D5C"/>
    <w:rsid w:val="00F901DB"/>
    <w:rsid w:val="00F952E4"/>
    <w:rsid w:val="00FA4549"/>
    <w:rsid w:val="00FA6EE1"/>
    <w:rsid w:val="00FB1455"/>
    <w:rsid w:val="00FB4C3A"/>
    <w:rsid w:val="00FB4D31"/>
    <w:rsid w:val="00FB5253"/>
    <w:rsid w:val="00FB59CB"/>
    <w:rsid w:val="00FC1E9A"/>
    <w:rsid w:val="00FD0451"/>
    <w:rsid w:val="00FD2A50"/>
    <w:rsid w:val="00FD719E"/>
    <w:rsid w:val="00FE07A9"/>
    <w:rsid w:val="00FE4C78"/>
    <w:rsid w:val="00FF313C"/>
    <w:rsid w:val="00FF3347"/>
    <w:rsid w:val="050E558B"/>
    <w:rsid w:val="05BD0878"/>
    <w:rsid w:val="2013121D"/>
    <w:rsid w:val="29AA20BF"/>
    <w:rsid w:val="4FAA4F1C"/>
    <w:rsid w:val="6E4111F0"/>
    <w:rsid w:val="738B7A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FFBC9"/>
  <w15:docId w15:val="{956E8C5E-6B37-4CC2-BC05-277FFEF1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iPriority="0"/>
    <w:lsdException w:name="index heading" w:semiHidden="1" w:unhideWhenUsed="1"/>
    <w:lsdException w:name="caption" w:uiPriority="0" w:qFormat="1"/>
    <w:lsdException w:name="table of figures" w:uiPriority="0"/>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paragraph" w:styleId="Heading1">
    <w:name w:val="heading 1"/>
    <w:basedOn w:val="Normal"/>
    <w:next w:val="Normal"/>
    <w:link w:val="Heading1Char"/>
    <w:uiPriority w:val="9"/>
    <w:qFormat/>
    <w:pPr>
      <w:keepNext/>
      <w:spacing w:after="60" w:line="240" w:lineRule="auto"/>
      <w:jc w:val="center"/>
      <w:outlineLvl w:val="0"/>
    </w:pPr>
    <w:rPr>
      <w:rFonts w:ascii="Albertus Extra Bold" w:eastAsia="Times New Roman" w:hAnsi="Albertus Extra Bold"/>
      <w:b/>
      <w:bCs/>
      <w:smallCaps/>
      <w:kern w:val="32"/>
      <w:sz w:val="44"/>
      <w:szCs w:val="44"/>
      <w:lang w:val="en-US" w:bidi="ar-EG"/>
      <w14:ligatures w14:val="none"/>
    </w:rPr>
  </w:style>
  <w:style w:type="paragraph" w:styleId="Heading2">
    <w:name w:val="heading 2"/>
    <w:basedOn w:val="Normal"/>
    <w:next w:val="Normal"/>
    <w:link w:val="Heading2Char"/>
    <w:uiPriority w:val="9"/>
    <w:semiHidden/>
    <w:unhideWhenUsed/>
    <w:qFormat/>
    <w:pPr>
      <w:keepNext/>
      <w:spacing w:before="240" w:after="0" w:line="420" w:lineRule="exact"/>
      <w:outlineLvl w:val="1"/>
    </w:pPr>
    <w:rPr>
      <w:rFonts w:ascii="Albertus Extra Bold" w:eastAsia="Times New Roman" w:hAnsi="Albertus Extra Bold"/>
      <w:b/>
      <w:bCs/>
      <w:kern w:val="0"/>
      <w:sz w:val="30"/>
      <w:szCs w:val="30"/>
      <w:lang w:val="en-US" w:bidi="ar-EG"/>
      <w14:ligatures w14:val="none"/>
    </w:rPr>
  </w:style>
  <w:style w:type="paragraph" w:styleId="Heading3">
    <w:name w:val="heading 3"/>
    <w:basedOn w:val="Normal"/>
    <w:link w:val="Heading3Char"/>
    <w:uiPriority w:val="9"/>
    <w:semiHidden/>
    <w:unhideWhenUsed/>
    <w:qFormat/>
    <w:pPr>
      <w:spacing w:before="100" w:beforeAutospacing="1" w:after="100" w:afterAutospacing="1" w:line="240" w:lineRule="auto"/>
      <w:outlineLvl w:val="2"/>
    </w:pPr>
    <w:rPr>
      <w:rFonts w:ascii="Times New Roman" w:eastAsia="SimSun" w:hAnsi="Times New Roman" w:cs="Times New Roman"/>
      <w:b/>
      <w:bCs/>
      <w:kern w:val="0"/>
      <w:sz w:val="27"/>
      <w:szCs w:val="27"/>
      <w:lang w:val="en-US" w:eastAsia="zh-CN" w:bidi="ar-E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pPr>
      <w:suppressAutoHyphens/>
      <w:bidi/>
      <w:spacing w:after="0" w:line="240" w:lineRule="auto"/>
    </w:pPr>
    <w:rPr>
      <w:rFonts w:ascii="Tahoma" w:eastAsia="Times New Roman" w:hAnsi="Tahoma" w:cs="Tahoma"/>
      <w:kern w:val="0"/>
      <w:sz w:val="16"/>
      <w:szCs w:val="16"/>
      <w:lang w:val="en-US" w:eastAsia="ar-SA"/>
      <w14:ligatures w14:val="none"/>
    </w:rPr>
  </w:style>
  <w:style w:type="paragraph" w:styleId="Caption">
    <w:name w:val="caption"/>
    <w:basedOn w:val="Normal"/>
    <w:next w:val="Normal"/>
    <w:qFormat/>
    <w:pPr>
      <w:bidi/>
      <w:spacing w:after="0" w:line="240" w:lineRule="auto"/>
    </w:pPr>
    <w:rPr>
      <w:rFonts w:ascii="Times New Roman" w:eastAsia="Times New Roman" w:hAnsi="Times New Roman" w:cs="Times New Roman"/>
      <w:b/>
      <w:bCs/>
      <w:kern w:val="0"/>
      <w:sz w:val="20"/>
      <w:szCs w:val="20"/>
      <w:lang w:val="en-US"/>
      <w14:ligatures w14:val="none"/>
    </w:rPr>
  </w:style>
  <w:style w:type="character" w:styleId="CommentReference">
    <w:name w:val="annotation reference"/>
    <w:rPr>
      <w:sz w:val="16"/>
      <w:szCs w:val="16"/>
    </w:rPr>
  </w:style>
  <w:style w:type="paragraph" w:styleId="CommentText">
    <w:name w:val="annotation text"/>
    <w:basedOn w:val="Normal"/>
    <w:link w:val="CommentTextChar"/>
    <w:pPr>
      <w:suppressAutoHyphens/>
      <w:bidi/>
      <w:spacing w:after="0" w:line="240" w:lineRule="auto"/>
    </w:pPr>
    <w:rPr>
      <w:rFonts w:ascii="Times New Roman" w:eastAsia="Times New Roman" w:hAnsi="Times New Roman" w:cs="Times New Roman"/>
      <w:kern w:val="0"/>
      <w:sz w:val="20"/>
      <w:szCs w:val="20"/>
      <w:lang w:val="en-US" w:eastAsia="ar-SA"/>
      <w14:ligatures w14:val="none"/>
    </w:rPr>
  </w:style>
  <w:style w:type="paragraph" w:styleId="CommentSubject">
    <w:name w:val="annotation subject"/>
    <w:basedOn w:val="CommentText"/>
    <w:next w:val="CommentText"/>
    <w:link w:val="CommentSubjectChar"/>
    <w:rPr>
      <w:b/>
      <w:bCs/>
    </w:rPr>
  </w:style>
  <w:style w:type="character" w:styleId="Emphasis">
    <w:name w:val="Emphasis"/>
    <w:uiPriority w:val="20"/>
    <w:qFormat/>
    <w:rPr>
      <w:i/>
    </w:rPr>
  </w:style>
  <w:style w:type="character" w:styleId="FollowedHyperlink">
    <w:name w:val="FollowedHyperlink"/>
    <w:rPr>
      <w:rFonts w:cs="Times New Roman"/>
      <w:color w:val="800080"/>
      <w:u w:val="single"/>
    </w:rPr>
  </w:style>
  <w:style w:type="paragraph" w:styleId="Footer">
    <w:name w:val="footer"/>
    <w:basedOn w:val="Normal"/>
    <w:link w:val="FooterChar"/>
    <w:uiPriority w:val="99"/>
    <w:pPr>
      <w:tabs>
        <w:tab w:val="center" w:pos="4153"/>
        <w:tab w:val="right" w:pos="8306"/>
      </w:tabs>
      <w:bidi/>
      <w:spacing w:after="0" w:line="240" w:lineRule="auto"/>
    </w:pPr>
    <w:rPr>
      <w:rFonts w:ascii="Times New Roman" w:eastAsia="Times New Roman" w:hAnsi="Times New Roman" w:cs="Times New Roman"/>
      <w:kern w:val="0"/>
      <w:sz w:val="24"/>
      <w:szCs w:val="24"/>
      <w:lang w:val="en-US"/>
      <w14:ligatures w14:val="none"/>
    </w:rPr>
  </w:style>
  <w:style w:type="character" w:styleId="FootnoteReference">
    <w:name w:val="footnote reference"/>
    <w:rPr>
      <w:rFonts w:cs="Times New Roman"/>
      <w:vertAlign w:val="superscript"/>
    </w:rPr>
  </w:style>
  <w:style w:type="paragraph" w:styleId="FootnoteText">
    <w:name w:val="footnote text"/>
    <w:basedOn w:val="Normal"/>
    <w:link w:val="FootnoteTextChar"/>
    <w:pPr>
      <w:spacing w:after="0" w:line="240" w:lineRule="auto"/>
    </w:pPr>
    <w:rPr>
      <w:rFonts w:ascii="Times New Roman" w:hAnsi="Times New Roman" w:cs="Times New Roman"/>
      <w:kern w:val="0"/>
      <w:sz w:val="20"/>
      <w:szCs w:val="20"/>
      <w:lang w:val="en-US"/>
      <w14:ligatures w14:val="none"/>
    </w:rPr>
  </w:style>
  <w:style w:type="paragraph" w:styleId="Header">
    <w:name w:val="header"/>
    <w:basedOn w:val="Normal"/>
    <w:link w:val="HeaderChar"/>
    <w:uiPriority w:val="99"/>
    <w:pPr>
      <w:tabs>
        <w:tab w:val="center" w:pos="4153"/>
        <w:tab w:val="right" w:pos="8306"/>
      </w:tabs>
      <w:bidi/>
      <w:spacing w:after="0" w:line="240" w:lineRule="auto"/>
    </w:pPr>
    <w:rPr>
      <w:rFonts w:ascii="Times New Roman" w:eastAsia="Times New Roman" w:hAnsi="Times New Roman" w:cs="Times New Roman"/>
      <w:kern w:val="0"/>
      <w:sz w:val="24"/>
      <w:szCs w:val="24"/>
      <w:lang w:val="en-US"/>
      <w14:ligatures w14:val="none"/>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style>
  <w:style w:type="character" w:styleId="Strong">
    <w:name w:val="Strong"/>
    <w:basedOn w:val="DefaultParagraphFont"/>
    <w:uiPriority w:val="22"/>
    <w:qFormat/>
    <w:rPr>
      <w:b/>
      <w:bCs/>
    </w:rPr>
  </w:style>
  <w:style w:type="table" w:styleId="TableGrid">
    <w:name w:val="Table Grid"/>
    <w:basedOn w:val="TableNormal"/>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pPr>
      <w:bidi/>
      <w:spacing w:after="0" w:line="240" w:lineRule="auto"/>
    </w:pPr>
    <w:rPr>
      <w:rFonts w:ascii="Times New Roman" w:eastAsia="Times New Roman" w:hAnsi="Times New Roman" w:cs="Times New Roman"/>
      <w:kern w:val="0"/>
      <w:sz w:val="24"/>
      <w:szCs w:val="24"/>
      <w:lang w:val="en-US"/>
      <w14:ligatures w14:val="none"/>
    </w:rPr>
  </w:style>
  <w:style w:type="paragraph" w:styleId="TOC1">
    <w:name w:val="toc 1"/>
    <w:basedOn w:val="Normal"/>
    <w:next w:val="Normal"/>
    <w:pPr>
      <w:bidi/>
      <w:spacing w:after="0" w:line="240" w:lineRule="auto"/>
    </w:pPr>
    <w:rPr>
      <w:rFonts w:ascii="Times New Roman" w:eastAsia="Times New Roman" w:hAnsi="Times New Roman" w:cs="Times New Roman"/>
      <w:kern w:val="0"/>
      <w:sz w:val="24"/>
      <w:szCs w:val="24"/>
      <w:lang w:val="en-US"/>
      <w14:ligatures w14:val="none"/>
    </w:rPr>
  </w:style>
  <w:style w:type="character" w:customStyle="1" w:styleId="Heading1Char">
    <w:name w:val="Heading 1 Char"/>
    <w:basedOn w:val="DefaultParagraphFont"/>
    <w:link w:val="Heading1"/>
    <w:uiPriority w:val="9"/>
    <w:rPr>
      <w:rFonts w:ascii="Albertus Extra Bold" w:eastAsia="Times New Roman" w:hAnsi="Albertus Extra Bold" w:cs="Arial"/>
      <w:b/>
      <w:bCs/>
      <w:smallCaps/>
      <w:kern w:val="32"/>
      <w:sz w:val="44"/>
      <w:szCs w:val="44"/>
      <w:lang w:val="en-US" w:bidi="ar-EG"/>
      <w14:ligatures w14:val="none"/>
    </w:rPr>
  </w:style>
  <w:style w:type="character" w:customStyle="1" w:styleId="Heading2Char">
    <w:name w:val="Heading 2 Char"/>
    <w:basedOn w:val="DefaultParagraphFont"/>
    <w:link w:val="Heading2"/>
    <w:uiPriority w:val="9"/>
    <w:rPr>
      <w:rFonts w:ascii="Albertus Extra Bold" w:eastAsia="Times New Roman" w:hAnsi="Albertus Extra Bold" w:cs="Arial"/>
      <w:b/>
      <w:bCs/>
      <w:kern w:val="0"/>
      <w:sz w:val="30"/>
      <w:szCs w:val="30"/>
      <w:lang w:val="en-US" w:bidi="ar-EG"/>
      <w14:ligatures w14:val="none"/>
    </w:rPr>
  </w:style>
  <w:style w:type="character" w:customStyle="1" w:styleId="Heading3Char">
    <w:name w:val="Heading 3 Char"/>
    <w:basedOn w:val="DefaultParagraphFont"/>
    <w:link w:val="Heading3"/>
    <w:rPr>
      <w:rFonts w:ascii="Times New Roman" w:eastAsia="SimSun" w:hAnsi="Times New Roman" w:cs="Times New Roman"/>
      <w:b/>
      <w:bCs/>
      <w:kern w:val="0"/>
      <w:sz w:val="27"/>
      <w:szCs w:val="27"/>
      <w:lang w:val="en-US" w:eastAsia="zh-CN" w:bidi="ar-EG"/>
      <w14:ligatures w14:val="none"/>
    </w:rPr>
  </w:style>
  <w:style w:type="paragraph" w:customStyle="1" w:styleId="Default">
    <w:name w:val="Default"/>
    <w:pPr>
      <w:autoSpaceDE w:val="0"/>
      <w:autoSpaceDN w:val="0"/>
      <w:adjustRightInd w:val="0"/>
    </w:pPr>
    <w:rPr>
      <w:rFonts w:ascii="Myriad Pro" w:hAnsi="Myriad Pro" w:cs="Myriad Pro"/>
      <w:color w:val="000000"/>
      <w:sz w:val="24"/>
      <w:szCs w:val="24"/>
      <w:lang w:eastAsia="en-US"/>
      <w14:ligatures w14:val="standardContextual"/>
    </w:rPr>
  </w:style>
  <w:style w:type="paragraph" w:customStyle="1" w:styleId="Pa14">
    <w:name w:val="Pa14"/>
    <w:basedOn w:val="Default"/>
    <w:next w:val="Default"/>
    <w:uiPriority w:val="99"/>
    <w:pPr>
      <w:spacing w:line="241" w:lineRule="atLeast"/>
    </w:pPr>
    <w:rPr>
      <w:rFonts w:cs="Arial"/>
      <w:color w:val="auto"/>
    </w:rPr>
  </w:style>
  <w:style w:type="character" w:customStyle="1" w:styleId="A13">
    <w:name w:val="A13"/>
    <w:uiPriority w:val="99"/>
    <w:rPr>
      <w:rFonts w:ascii="Myriad Pro SemiCond" w:hAnsi="Myriad Pro SemiCond" w:cs="Myriad Pro SemiCond"/>
      <w:color w:val="221815"/>
      <w:sz w:val="11"/>
      <w:szCs w:val="11"/>
    </w:rPr>
  </w:style>
  <w:style w:type="paragraph" w:customStyle="1" w:styleId="Pa15">
    <w:name w:val="Pa15"/>
    <w:basedOn w:val="Default"/>
    <w:next w:val="Default"/>
    <w:uiPriority w:val="99"/>
    <w:pPr>
      <w:spacing w:line="201" w:lineRule="atLeast"/>
    </w:pPr>
    <w:rPr>
      <w:rFonts w:ascii="Myriad Pro SemiCond" w:hAnsi="Myriad Pro SemiCond" w:cs="Arial"/>
      <w:color w:val="auto"/>
    </w:rPr>
  </w:style>
  <w:style w:type="character" w:customStyle="1" w:styleId="A5">
    <w:name w:val="A5"/>
    <w:rPr>
      <w:rFonts w:ascii="JansonText LT" w:hAnsi="JansonText LT" w:cs="JansonText LT"/>
      <w:b/>
      <w:bCs/>
      <w:color w:val="000000"/>
      <w:sz w:val="12"/>
      <w:szCs w:val="12"/>
    </w:rPr>
  </w:style>
  <w:style w:type="paragraph" w:customStyle="1" w:styleId="Pa2">
    <w:name w:val="Pa2"/>
    <w:basedOn w:val="Default"/>
    <w:next w:val="Default"/>
    <w:pPr>
      <w:spacing w:line="191" w:lineRule="atLeast"/>
    </w:pPr>
    <w:rPr>
      <w:rFonts w:ascii="Helvetica-Black" w:hAnsi="Helvetica-Black" w:cs="Arial"/>
      <w:color w:val="auto"/>
    </w:rPr>
  </w:style>
  <w:style w:type="character" w:customStyle="1" w:styleId="A1">
    <w:name w:val="A1"/>
    <w:rPr>
      <w:rFonts w:ascii="JansonText LT" w:hAnsi="JansonText LT" w:cs="JansonText LT"/>
      <w:color w:val="000000"/>
      <w:sz w:val="19"/>
      <w:szCs w:val="19"/>
    </w:rPr>
  </w:style>
  <w:style w:type="character" w:customStyle="1" w:styleId="A0">
    <w:name w:val="A0"/>
    <w:uiPriority w:val="99"/>
    <w:rPr>
      <w:rFonts w:cs="JansonText LT"/>
      <w:color w:val="000000"/>
      <w:sz w:val="15"/>
      <w:szCs w:val="15"/>
    </w:rPr>
  </w:style>
  <w:style w:type="character" w:customStyle="1" w:styleId="A9">
    <w:name w:val="A9"/>
    <w:uiPriority w:val="99"/>
    <w:rPr>
      <w:rFonts w:cs="Helvetica-Black"/>
      <w:b/>
      <w:bCs/>
      <w:i/>
      <w:iCs/>
      <w:color w:val="000000"/>
      <w:sz w:val="19"/>
      <w:szCs w:val="19"/>
    </w:rPr>
  </w:style>
  <w:style w:type="paragraph" w:customStyle="1" w:styleId="Pa0">
    <w:name w:val="Pa0"/>
    <w:basedOn w:val="Default"/>
    <w:next w:val="Default"/>
    <w:pPr>
      <w:spacing w:line="241" w:lineRule="atLeast"/>
    </w:pPr>
    <w:rPr>
      <w:rFonts w:ascii="Helvetica-Black" w:hAnsi="Helvetica-Black" w:cs="Arial"/>
      <w:color w:val="auto"/>
    </w:rPr>
  </w:style>
  <w:style w:type="paragraph" w:customStyle="1" w:styleId="Pa12">
    <w:name w:val="Pa12"/>
    <w:basedOn w:val="Default"/>
    <w:next w:val="Default"/>
    <w:uiPriority w:val="99"/>
    <w:pPr>
      <w:spacing w:line="241" w:lineRule="atLeast"/>
    </w:pPr>
    <w:rPr>
      <w:rFonts w:ascii="Helvetica-Black" w:hAnsi="Helvetica-Black" w:cs="Arial"/>
      <w:color w:val="auto"/>
    </w:rPr>
  </w:style>
  <w:style w:type="character" w:customStyle="1" w:styleId="A10">
    <w:name w:val="A10"/>
    <w:uiPriority w:val="99"/>
    <w:rPr>
      <w:rFonts w:ascii="JansonText LT" w:hAnsi="JansonText LT" w:cs="JansonText LT"/>
      <w:color w:val="000000"/>
      <w:sz w:val="11"/>
      <w:szCs w:val="11"/>
    </w:rPr>
  </w:style>
  <w:style w:type="paragraph" w:customStyle="1" w:styleId="Pa10">
    <w:name w:val="Pa10"/>
    <w:basedOn w:val="Default"/>
    <w:next w:val="Default"/>
    <w:pPr>
      <w:spacing w:line="241" w:lineRule="atLeast"/>
    </w:pPr>
    <w:rPr>
      <w:rFonts w:ascii="JansonText LT" w:hAnsi="JansonText LT" w:cs="Arial"/>
      <w:color w:val="auto"/>
    </w:rPr>
  </w:style>
  <w:style w:type="paragraph" w:customStyle="1" w:styleId="Pa24">
    <w:name w:val="Pa24"/>
    <w:basedOn w:val="Default"/>
    <w:next w:val="Default"/>
    <w:uiPriority w:val="99"/>
    <w:pPr>
      <w:spacing w:line="181" w:lineRule="atLeast"/>
    </w:pPr>
    <w:rPr>
      <w:rFonts w:ascii="Myriad Pro SemiCond" w:hAnsi="Myriad Pro SemiCond" w:cs="Arial"/>
      <w:color w:val="auto"/>
    </w:rPr>
  </w:style>
  <w:style w:type="paragraph" w:customStyle="1" w:styleId="Pa19">
    <w:name w:val="Pa19"/>
    <w:basedOn w:val="Default"/>
    <w:next w:val="Default"/>
    <w:uiPriority w:val="99"/>
    <w:pPr>
      <w:spacing w:line="241" w:lineRule="atLeast"/>
    </w:pPr>
    <w:rPr>
      <w:rFonts w:ascii="JansonText LT" w:hAnsi="JansonText LT" w:cs="Arial"/>
      <w:color w:val="auto"/>
    </w:rPr>
  </w:style>
  <w:style w:type="character" w:customStyle="1" w:styleId="A2">
    <w:name w:val="A2"/>
    <w:rPr>
      <w:rFonts w:cs="JansonText LT"/>
      <w:color w:val="000000"/>
      <w:sz w:val="18"/>
      <w:szCs w:val="18"/>
    </w:rPr>
  </w:style>
  <w:style w:type="character" w:customStyle="1" w:styleId="HeaderCharccea9225-4a86-4d02-9476-28849c6ed2fa">
    <w:name w:val="Header Char_ccea9225-4a86-4d02-9476-28849c6ed2fa"/>
    <w:basedOn w:val="DefaultParagraphFont"/>
    <w:uiPriority w:val="99"/>
  </w:style>
  <w:style w:type="character" w:customStyle="1" w:styleId="HeaderChar">
    <w:name w:val="Header Char"/>
    <w:link w:val="Header"/>
    <w:uiPriority w:val="99"/>
    <w:rPr>
      <w:rFonts w:ascii="Times New Roman" w:eastAsia="Times New Roman" w:hAnsi="Times New Roman" w:cs="Times New Roman"/>
      <w:kern w:val="0"/>
      <w:sz w:val="24"/>
      <w:szCs w:val="24"/>
      <w:lang w:val="en-US"/>
      <w14:ligatures w14:val="none"/>
    </w:rPr>
  </w:style>
  <w:style w:type="character" w:customStyle="1" w:styleId="FooterCharce823e73-fc45-4bf6-aa74-d045fe39c40c">
    <w:name w:val="Footer Char_ce823e73-fc45-4bf6-aa74-d045fe39c40c"/>
    <w:basedOn w:val="DefaultParagraphFont"/>
    <w:uiPriority w:val="99"/>
  </w:style>
  <w:style w:type="character" w:customStyle="1" w:styleId="FooterChar">
    <w:name w:val="Footer Char"/>
    <w:link w:val="Footer"/>
    <w:uiPriority w:val="99"/>
    <w:rPr>
      <w:rFonts w:ascii="Times New Roman" w:eastAsia="Times New Roman" w:hAnsi="Times New Roman" w:cs="Times New Roman"/>
      <w:kern w:val="0"/>
      <w:sz w:val="24"/>
      <w:szCs w:val="24"/>
      <w:lang w:val="en-US"/>
      <w14:ligatures w14:val="none"/>
    </w:rPr>
  </w:style>
  <w:style w:type="character" w:customStyle="1" w:styleId="HTMLPreformattedChar">
    <w:name w:val="HTML Preformatted Char"/>
    <w:basedOn w:val="DefaultParagraphFont"/>
    <w:link w:val="HTMLPreformatted"/>
    <w:rPr>
      <w:rFonts w:ascii="Courier New" w:eastAsia="Times New Roman" w:hAnsi="Courier New" w:cs="Courier New"/>
      <w:kern w:val="0"/>
      <w:sz w:val="20"/>
      <w:szCs w:val="20"/>
      <w:lang w:val="en-US"/>
      <w14:ligatures w14:val="none"/>
    </w:rPr>
  </w:style>
  <w:style w:type="paragraph" w:styleId="ListParagraph">
    <w:name w:val="List Paragraph"/>
    <w:basedOn w:val="Normal"/>
    <w:uiPriority w:val="34"/>
    <w:qFormat/>
    <w:pPr>
      <w:suppressAutoHyphens/>
      <w:bidi/>
      <w:spacing w:after="0" w:line="240" w:lineRule="auto"/>
      <w:ind w:left="720"/>
    </w:pPr>
    <w:rPr>
      <w:rFonts w:ascii="Times New Roman" w:eastAsia="Times New Roman" w:hAnsi="Times New Roman" w:cs="Times New Roman"/>
      <w:kern w:val="0"/>
      <w:sz w:val="24"/>
      <w:szCs w:val="24"/>
      <w:lang w:val="en-US" w:eastAsia="ar-SA"/>
      <w14:ligatures w14:val="none"/>
    </w:rPr>
  </w:style>
  <w:style w:type="character" w:customStyle="1" w:styleId="CommentTextChar">
    <w:name w:val="Comment Text Char"/>
    <w:basedOn w:val="DefaultParagraphFont"/>
    <w:link w:val="CommentText"/>
    <w:rPr>
      <w:rFonts w:ascii="Times New Roman" w:eastAsia="Times New Roman" w:hAnsi="Times New Roman" w:cs="Times New Roman"/>
      <w:kern w:val="0"/>
      <w:sz w:val="20"/>
      <w:szCs w:val="20"/>
      <w:lang w:val="en-US" w:eastAsia="ar-SA"/>
      <w14:ligatures w14:val="none"/>
    </w:rPr>
  </w:style>
  <w:style w:type="character" w:customStyle="1" w:styleId="CommentSubjectChar">
    <w:name w:val="Comment Subject Char"/>
    <w:basedOn w:val="CommentTextChar"/>
    <w:link w:val="CommentSubject"/>
    <w:rPr>
      <w:rFonts w:ascii="Times New Roman" w:eastAsia="Times New Roman" w:hAnsi="Times New Roman" w:cs="Times New Roman"/>
      <w:b/>
      <w:bCs/>
      <w:kern w:val="0"/>
      <w:sz w:val="20"/>
      <w:szCs w:val="20"/>
      <w:lang w:val="en-US" w:eastAsia="ar-SA"/>
      <w14:ligatures w14:val="none"/>
    </w:rPr>
  </w:style>
  <w:style w:type="character" w:customStyle="1" w:styleId="BalloonTextChar">
    <w:name w:val="Balloon Text Char"/>
    <w:basedOn w:val="DefaultParagraphFont"/>
    <w:rPr>
      <w:rFonts w:ascii="Segoe UI" w:hAnsi="Segoe UI" w:cs="Segoe UI"/>
      <w:sz w:val="18"/>
      <w:szCs w:val="18"/>
    </w:rPr>
  </w:style>
  <w:style w:type="character" w:customStyle="1" w:styleId="BalloonTextChar1">
    <w:name w:val="Balloon Text Char1"/>
    <w:link w:val="BalloonText"/>
    <w:rPr>
      <w:rFonts w:ascii="Tahoma" w:eastAsia="Times New Roman" w:hAnsi="Tahoma" w:cs="Tahoma"/>
      <w:kern w:val="0"/>
      <w:sz w:val="16"/>
      <w:szCs w:val="16"/>
      <w:lang w:val="en-US" w:eastAsia="ar-SA"/>
      <w14:ligatures w14:val="none"/>
    </w:rPr>
  </w:style>
  <w:style w:type="paragraph" w:customStyle="1" w:styleId="citation">
    <w:name w:val="citation"/>
    <w:basedOn w:val="Normal"/>
    <w:pPr>
      <w:spacing w:before="100" w:beforeAutospacing="1" w:after="100" w:afterAutospacing="1" w:line="240" w:lineRule="auto"/>
    </w:pPr>
    <w:rPr>
      <w:rFonts w:ascii="Times New Roman" w:hAnsi="Times New Roman" w:cs="Times New Roman"/>
      <w:kern w:val="0"/>
      <w:sz w:val="24"/>
      <w:szCs w:val="24"/>
      <w:lang w:val="en-US"/>
      <w14:ligatures w14:val="none"/>
    </w:rPr>
  </w:style>
  <w:style w:type="paragraph" w:styleId="NoSpacing">
    <w:name w:val="No Spacing"/>
    <w:qFormat/>
    <w:rPr>
      <w:rFonts w:ascii="Arabic Transparent" w:hAnsi="Arabic Transparent"/>
      <w:sz w:val="22"/>
      <w:szCs w:val="22"/>
      <w:lang w:val="en-US" w:eastAsia="en-US"/>
    </w:rPr>
  </w:style>
  <w:style w:type="character" w:customStyle="1" w:styleId="apple-converted-space">
    <w:name w:val="apple-converted-space"/>
    <w:rPr>
      <w:rFonts w:cs="Times New Roman"/>
    </w:rPr>
  </w:style>
  <w:style w:type="character" w:customStyle="1" w:styleId="reference-text">
    <w:name w:val="reference-text"/>
    <w:rPr>
      <w:rFonts w:cs="Times New Roman"/>
    </w:rPr>
  </w:style>
  <w:style w:type="character" w:customStyle="1" w:styleId="emphasistypeitalic">
    <w:name w:val="emphasistypeitalic"/>
    <w:rPr>
      <w:rFonts w:cs="Times New Roman"/>
    </w:rPr>
  </w:style>
  <w:style w:type="character" w:customStyle="1" w:styleId="FootnoteTextChar">
    <w:name w:val="Footnote Text Char"/>
    <w:basedOn w:val="DefaultParagraphFont"/>
    <w:link w:val="FootnoteText"/>
    <w:rPr>
      <w:rFonts w:ascii="Times New Roman" w:eastAsia="Calibri" w:hAnsi="Times New Roman" w:cs="Times New Roman"/>
      <w:kern w:val="0"/>
      <w:sz w:val="20"/>
      <w:szCs w:val="20"/>
      <w:lang w:val="en-US"/>
      <w14:ligatures w14:val="none"/>
    </w:rPr>
  </w:style>
  <w:style w:type="paragraph" w:customStyle="1" w:styleId="Pa1">
    <w:name w:val="Pa1"/>
    <w:basedOn w:val="Default"/>
    <w:next w:val="Default"/>
    <w:pPr>
      <w:spacing w:line="241" w:lineRule="atLeast"/>
    </w:pPr>
    <w:rPr>
      <w:rFonts w:ascii="DINPro-Light" w:eastAsia="Times New Roman" w:hAnsi="DINPro-Light" w:cs="Arial"/>
      <w:color w:val="auto"/>
      <w:lang w:val="en-US"/>
      <w14:ligatures w14:val="none"/>
    </w:rPr>
  </w:style>
  <w:style w:type="character" w:customStyle="1" w:styleId="A3">
    <w:name w:val="A3"/>
    <w:rPr>
      <w:rFonts w:ascii="NexusSerif-Regular" w:hAnsi="NexusSerif-Regular"/>
      <w:color w:val="000000"/>
      <w:sz w:val="12"/>
    </w:rPr>
  </w:style>
  <w:style w:type="paragraph" w:customStyle="1" w:styleId="Pa13">
    <w:name w:val="Pa13"/>
    <w:basedOn w:val="Default"/>
    <w:next w:val="Default"/>
    <w:pPr>
      <w:spacing w:line="181" w:lineRule="atLeast"/>
    </w:pPr>
    <w:rPr>
      <w:rFonts w:ascii="Times New Roman" w:eastAsia="Times New Roman" w:hAnsi="Times New Roman" w:cs="Times New Roman"/>
      <w:color w:val="auto"/>
      <w:lang w:val="en-US"/>
      <w14:ligatures w14:val="none"/>
    </w:rPr>
  </w:style>
  <w:style w:type="paragraph" w:customStyle="1" w:styleId="Pa3">
    <w:name w:val="Pa3"/>
    <w:basedOn w:val="Default"/>
    <w:next w:val="Default"/>
    <w:pPr>
      <w:spacing w:line="241" w:lineRule="atLeast"/>
    </w:pPr>
    <w:rPr>
      <w:rFonts w:ascii="Times New Roman" w:eastAsia="Times New Roman" w:hAnsi="Times New Roman" w:cs="Times New Roman"/>
      <w:color w:val="auto"/>
      <w:lang w:val="en-US"/>
      <w14:ligatures w14:val="none"/>
    </w:rPr>
  </w:style>
  <w:style w:type="paragraph" w:customStyle="1" w:styleId="authlist">
    <w:name w:val="auth_list"/>
    <w:basedOn w:val="Normal"/>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drf">
    <w:name w:val="drf"/>
    <w:rPr>
      <w:rFonts w:cs="Times New Roman"/>
    </w:rPr>
  </w:style>
  <w:style w:type="paragraph" w:customStyle="1" w:styleId="Pa26">
    <w:name w:val="Pa26"/>
    <w:basedOn w:val="Normal"/>
    <w:next w:val="Normal"/>
    <w:pPr>
      <w:autoSpaceDE w:val="0"/>
      <w:autoSpaceDN w:val="0"/>
      <w:adjustRightInd w:val="0"/>
      <w:spacing w:after="0" w:line="241" w:lineRule="atLeast"/>
    </w:pPr>
    <w:rPr>
      <w:rFonts w:ascii="Futura Std Book" w:eastAsia="Times New Roman" w:hAnsi="Futura Std Book"/>
      <w:kern w:val="0"/>
      <w:sz w:val="24"/>
      <w:szCs w:val="24"/>
      <w:lang w:val="en-US"/>
      <w14:ligatures w14:val="none"/>
    </w:rPr>
  </w:style>
  <w:style w:type="paragraph" w:customStyle="1" w:styleId="Pa28">
    <w:name w:val="Pa28"/>
    <w:basedOn w:val="Normal"/>
    <w:next w:val="Normal"/>
    <w:pPr>
      <w:autoSpaceDE w:val="0"/>
      <w:autoSpaceDN w:val="0"/>
      <w:adjustRightInd w:val="0"/>
      <w:spacing w:after="0" w:line="241" w:lineRule="atLeast"/>
    </w:pPr>
    <w:rPr>
      <w:rFonts w:ascii="Futura Std Book" w:eastAsia="Times New Roman" w:hAnsi="Futura Std Book"/>
      <w:kern w:val="0"/>
      <w:sz w:val="24"/>
      <w:szCs w:val="24"/>
      <w:lang w:val="en-US"/>
      <w14:ligatures w14:val="none"/>
    </w:rPr>
  </w:style>
  <w:style w:type="paragraph" w:customStyle="1" w:styleId="Pa30">
    <w:name w:val="Pa30"/>
    <w:basedOn w:val="Normal"/>
    <w:next w:val="Normal"/>
    <w:pPr>
      <w:autoSpaceDE w:val="0"/>
      <w:autoSpaceDN w:val="0"/>
      <w:adjustRightInd w:val="0"/>
      <w:spacing w:after="0" w:line="241" w:lineRule="atLeast"/>
    </w:pPr>
    <w:rPr>
      <w:rFonts w:ascii="Futura Std Book" w:eastAsia="Times New Roman" w:hAnsi="Futura Std Book"/>
      <w:kern w:val="0"/>
      <w:sz w:val="24"/>
      <w:szCs w:val="24"/>
      <w:lang w:val="en-US"/>
      <w14:ligatures w14:val="none"/>
    </w:rPr>
  </w:style>
  <w:style w:type="character" w:customStyle="1" w:styleId="A6">
    <w:name w:val="A6"/>
    <w:rPr>
      <w:rFonts w:ascii="ITC Garamond Std Book" w:hAnsi="ITC Garamond Std Book"/>
      <w:color w:val="000000"/>
    </w:rPr>
  </w:style>
  <w:style w:type="paragraph" w:customStyle="1" w:styleId="Pa32">
    <w:name w:val="Pa32"/>
    <w:basedOn w:val="Normal"/>
    <w:next w:val="Normal"/>
    <w:pPr>
      <w:autoSpaceDE w:val="0"/>
      <w:autoSpaceDN w:val="0"/>
      <w:adjustRightInd w:val="0"/>
      <w:spacing w:after="0" w:line="241" w:lineRule="atLeast"/>
    </w:pPr>
    <w:rPr>
      <w:rFonts w:ascii="ITC Garamond Std Book" w:eastAsia="Times New Roman" w:hAnsi="ITC Garamond Std Book"/>
      <w:kern w:val="0"/>
      <w:sz w:val="24"/>
      <w:szCs w:val="24"/>
      <w:lang w:val="en-US"/>
      <w14:ligatures w14:val="none"/>
    </w:rPr>
  </w:style>
  <w:style w:type="paragraph" w:customStyle="1" w:styleId="Pa33">
    <w:name w:val="Pa33"/>
    <w:basedOn w:val="Normal"/>
    <w:next w:val="Normal"/>
    <w:pPr>
      <w:autoSpaceDE w:val="0"/>
      <w:autoSpaceDN w:val="0"/>
      <w:adjustRightInd w:val="0"/>
      <w:spacing w:after="0" w:line="241" w:lineRule="atLeast"/>
    </w:pPr>
    <w:rPr>
      <w:rFonts w:ascii="ITC Garamond Std Book" w:eastAsia="Times New Roman" w:hAnsi="ITC Garamond Std Book"/>
      <w:kern w:val="0"/>
      <w:sz w:val="24"/>
      <w:szCs w:val="24"/>
      <w:lang w:val="en-US"/>
      <w14:ligatures w14:val="none"/>
    </w:rPr>
  </w:style>
  <w:style w:type="paragraph" w:customStyle="1" w:styleId="Pa11">
    <w:name w:val="Pa11"/>
    <w:basedOn w:val="Normal"/>
    <w:next w:val="Normal"/>
    <w:pPr>
      <w:autoSpaceDE w:val="0"/>
      <w:autoSpaceDN w:val="0"/>
      <w:adjustRightInd w:val="0"/>
      <w:spacing w:after="0" w:line="201" w:lineRule="atLeast"/>
    </w:pPr>
    <w:rPr>
      <w:rFonts w:ascii="Futura Std Light" w:eastAsia="Times New Roman" w:hAnsi="Futura Std Light"/>
      <w:kern w:val="0"/>
      <w:sz w:val="24"/>
      <w:szCs w:val="24"/>
      <w:lang w:val="en-US"/>
      <w14:ligatures w14:val="none"/>
    </w:rPr>
  </w:style>
  <w:style w:type="character" w:customStyle="1" w:styleId="color">
    <w:name w:val="color"/>
    <w:rPr>
      <w:rFonts w:cs="Times New Roman"/>
    </w:rPr>
  </w:style>
  <w:style w:type="character" w:customStyle="1" w:styleId="mb">
    <w:name w:val="mb"/>
    <w:rPr>
      <w:rFonts w:cs="Times New Roman"/>
    </w:rPr>
  </w:style>
  <w:style w:type="character" w:customStyle="1" w:styleId="caption1">
    <w:name w:val="caption1"/>
    <w:rPr>
      <w:rFonts w:cs="Times New Roman"/>
    </w:rPr>
  </w:style>
  <w:style w:type="character" w:customStyle="1" w:styleId="source">
    <w:name w:val="source"/>
    <w:rPr>
      <w:rFonts w:cs="Times New Roman"/>
    </w:rPr>
  </w:style>
  <w:style w:type="table" w:customStyle="1" w:styleId="LightList-Accent11">
    <w:name w:val="Light List - Accent 11"/>
    <w:rPr>
      <w:rFonts w:eastAsia="Times New Roman"/>
      <w:lang w:val="en-US"/>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1">
    <w:name w:val="Light Shading - Accent 11"/>
    <w:rPr>
      <w:rFonts w:eastAsia="Times New Roman"/>
      <w:color w:val="365F91"/>
      <w:lang w:val="en-US"/>
    </w:rPr>
    <w:tblPr>
      <w:tblBorders>
        <w:top w:val="single" w:sz="8" w:space="0" w:color="4F81BD"/>
        <w:bottom w:val="single" w:sz="8" w:space="0" w:color="4F81BD"/>
      </w:tblBorders>
      <w:tblCellMar>
        <w:top w:w="0" w:type="dxa"/>
        <w:left w:w="108" w:type="dxa"/>
        <w:bottom w:w="0" w:type="dxa"/>
        <w:right w:w="108" w:type="dxa"/>
      </w:tblCellMar>
    </w:tblPr>
  </w:style>
  <w:style w:type="paragraph" w:customStyle="1" w:styleId="body">
    <w:name w:val="body"/>
    <w:basedOn w:val="Normal"/>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headinganchor">
    <w:name w:val="headinganchor"/>
    <w:basedOn w:val="Normal"/>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headingendmark">
    <w:name w:val="headingendmark"/>
  </w:style>
  <w:style w:type="character" w:customStyle="1" w:styleId="h2">
    <w:name w:val="h2"/>
  </w:style>
  <w:style w:type="paragraph" w:customStyle="1" w:styleId="bulletindent1">
    <w:name w:val="bulletindent1"/>
    <w:basedOn w:val="Normal"/>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glyph">
    <w:name w:val="glyph"/>
  </w:style>
  <w:style w:type="character" w:customStyle="1" w:styleId="CharChar7">
    <w:name w:val="Char Char7"/>
    <w:rPr>
      <w:sz w:val="24"/>
      <w:szCs w:val="24"/>
      <w:lang w:val="en-US" w:eastAsia="en-US" w:bidi="ar-SA"/>
    </w:rPr>
  </w:style>
  <w:style w:type="character" w:customStyle="1" w:styleId="CharChar6">
    <w:name w:val="Char Char6"/>
    <w:rPr>
      <w:sz w:val="24"/>
      <w:szCs w:val="24"/>
      <w:lang w:val="en-US" w:eastAsia="en-US" w:bidi="ar-SA"/>
    </w:rPr>
  </w:style>
  <w:style w:type="paragraph" w:customStyle="1" w:styleId="MSGENFONTSTYLENAMETEMPLATEROLELEVELMSGENFONTSTYLENAMEBYROLEHEADING1">
    <w:name w:val="MSG_EN_FONT_STYLE_NAME_TEMPLATE_ROLE_LEVEL MSG_EN_FONT_STYLE_NAME_BY_ROLE_HEADING 1"/>
    <w:basedOn w:val="Normal"/>
    <w:link w:val="MSGENFONTSTYLENAMETEMPLATEROLELEVELMSGENFONTSTYLENAMEBYROLEHEADING10"/>
    <w:pPr>
      <w:widowControl w:val="0"/>
      <w:shd w:val="clear" w:color="auto" w:fill="FFFFFF"/>
      <w:spacing w:after="260" w:line="322" w:lineRule="exact"/>
      <w:ind w:hanging="1380"/>
      <w:outlineLvl w:val="0"/>
    </w:pPr>
    <w:rPr>
      <w:rFonts w:ascii="Times New Roman" w:eastAsia="Times New Roman" w:hAnsi="Times New Roman" w:cs="Times New Roman"/>
      <w:kern w:val="0"/>
      <w:sz w:val="26"/>
      <w:szCs w:val="26"/>
      <w:lang w:val="en-US"/>
      <w14:ligatures w14:val="none"/>
    </w:rPr>
  </w:style>
  <w:style w:type="character" w:customStyle="1" w:styleId="MSGENFONTSTYLENAMETEMPLATEROLELEVELMSGENFONTSTYLENAMEBYROLEHEADING10">
    <w:name w:val="MSG_EN_FONT_STYLE_NAME_TEMPLATE_ROLE_LEVEL MSG_EN_FONT_STYLE_NAME_BY_ROLE_HEADING 1_"/>
    <w:link w:val="MSGENFONTSTYLENAMETEMPLATEROLELEVELMSGENFONTSTYLENAMEBYROLEHEADING1"/>
    <w:rPr>
      <w:rFonts w:ascii="Times New Roman" w:eastAsia="Times New Roman" w:hAnsi="Times New Roman" w:cs="Times New Roman"/>
      <w:kern w:val="0"/>
      <w:sz w:val="26"/>
      <w:szCs w:val="26"/>
      <w:shd w:val="clear" w:color="auto" w:fill="FFFFFF"/>
      <w:lang w:val="en-US"/>
      <w14:ligatures w14:val="none"/>
    </w:rPr>
  </w:style>
  <w:style w:type="paragraph" w:customStyle="1" w:styleId="MSGENFONTSTYLENAMETEMPLATEROLENUMBERMSGENFONTSTYLENAMEBYROLETEXT2">
    <w:name w:val="MSG_EN_FONT_STYLE_NAME_TEMPLATE_ROLE_NUMBER MSG_EN_FONT_STYLE_NAME_BY_ROLE_TEXT 2"/>
    <w:basedOn w:val="Normal"/>
    <w:link w:val="MSGENFONTSTYLENAMETEMPLATEROLENUMBERMSGENFONTSTYLENAMEBYROLETEXT20"/>
    <w:pPr>
      <w:widowControl w:val="0"/>
      <w:shd w:val="clear" w:color="auto" w:fill="FFFFFF"/>
      <w:spacing w:before="260" w:after="260" w:line="266" w:lineRule="exact"/>
      <w:ind w:hanging="200"/>
    </w:pPr>
    <w:rPr>
      <w:rFonts w:ascii="Times New Roman" w:eastAsia="Times New Roman" w:hAnsi="Times New Roman" w:cs="Times New Roman"/>
      <w:b/>
      <w:bCs/>
      <w:kern w:val="0"/>
      <w:sz w:val="20"/>
      <w:szCs w:val="20"/>
      <w:lang w:val="en-US"/>
      <w14:ligatures w14:val="none"/>
    </w:rPr>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
    <w:rPr>
      <w:rFonts w:ascii="Times New Roman" w:eastAsia="Times New Roman" w:hAnsi="Times New Roman" w:cs="Times New Roman"/>
      <w:b/>
      <w:bCs/>
      <w:kern w:val="0"/>
      <w:sz w:val="20"/>
      <w:szCs w:val="20"/>
      <w:shd w:val="clear" w:color="auto" w:fill="FFFFFF"/>
      <w:lang w:val="en-US"/>
      <w14:ligatures w14:val="none"/>
    </w:rPr>
  </w:style>
  <w:style w:type="table" w:customStyle="1" w:styleId="TableGrid1">
    <w:name w:val="Table Grid1"/>
    <w:basedOn w:val="TableNormal"/>
    <w:uiPriority w:val="3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ListParagraph1">
    <w:name w:val="List Paragraph1"/>
    <w:basedOn w:val="Normal"/>
    <w:pPr>
      <w:widowControl w:val="0"/>
      <w:suppressAutoHyphens/>
      <w:spacing w:after="0" w:line="240" w:lineRule="auto"/>
      <w:ind w:left="720"/>
      <w:contextualSpacing/>
    </w:pPr>
    <w:rPr>
      <w:rFonts w:ascii="Times New Roman" w:eastAsia="Times New Roman" w:hAnsi="Times New Roman" w:cs="Times New Roman"/>
      <w:sz w:val="24"/>
      <w:szCs w:val="24"/>
      <w14:ligatures w14:val="none"/>
    </w:rPr>
  </w:style>
  <w:style w:type="table" w:customStyle="1" w:styleId="TableGrid2">
    <w:name w:val="Table Grid2"/>
    <w:basedOn w:val="TableNormal"/>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j-keyword">
    <w:name w:val="ej-keyword"/>
    <w:basedOn w:val="DefaultParagraphFont"/>
  </w:style>
  <w:style w:type="character" w:customStyle="1" w:styleId="ej-journal-name">
    <w:name w:val="ej-journal-name"/>
    <w:basedOn w:val="DefaultParagraphFont"/>
  </w:style>
  <w:style w:type="character" w:customStyle="1" w:styleId="ej-journal-doi">
    <w:name w:val="ej-journal-doi"/>
    <w:basedOn w:val="DefaultParagraphFont"/>
  </w:style>
  <w:style w:type="character" w:customStyle="1" w:styleId="citation-doi">
    <w:name w:val="citation-doi"/>
    <w:basedOn w:val="DefaultParagraphFont"/>
  </w:style>
  <w:style w:type="character" w:customStyle="1" w:styleId="secondary-date">
    <w:name w:val="secondary-date"/>
    <w:basedOn w:val="DefaultParagraphFont"/>
  </w:style>
  <w:style w:type="character" w:customStyle="1" w:styleId="authors-list-item">
    <w:name w:val="authors-list-item"/>
    <w:basedOn w:val="DefaultParagraphFont"/>
  </w:style>
  <w:style w:type="character" w:customStyle="1" w:styleId="author-sup-separator">
    <w:name w:val="author-sup-separator"/>
    <w:basedOn w:val="DefaultParagraphFont"/>
  </w:style>
  <w:style w:type="character" w:customStyle="1" w:styleId="comma">
    <w:name w:val="comma"/>
    <w:basedOn w:val="DefaultParagraphFont"/>
  </w:style>
  <w:style w:type="character" w:customStyle="1" w:styleId="Title1">
    <w:name w:val="Title1"/>
    <w:basedOn w:val="DefaultParagraphFont"/>
  </w:style>
  <w:style w:type="character" w:customStyle="1" w:styleId="identifier">
    <w:name w:val="identifier"/>
    <w:basedOn w:val="DefaultParagraphFont"/>
  </w:style>
  <w:style w:type="character" w:customStyle="1" w:styleId="id-label">
    <w:name w:val="id-label"/>
    <w:basedOn w:val="DefaultParagraphFont"/>
  </w:style>
  <w:style w:type="character" w:customStyle="1" w:styleId="period">
    <w:name w:val="period"/>
    <w:basedOn w:val="DefaultParagraphFont"/>
  </w:style>
  <w:style w:type="character" w:customStyle="1" w:styleId="cit">
    <w:name w:val="cit"/>
    <w:basedOn w:val="DefaultParagraphFont"/>
  </w:style>
  <w:style w:type="character" w:customStyle="1" w:styleId="UnresolvedMention1">
    <w:name w:val="Unresolved Mention1"/>
    <w:basedOn w:val="DefaultParagraphFont"/>
    <w:uiPriority w:val="99"/>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630982"/>
    <w:rPr>
      <w:color w:val="605E5C"/>
      <w:shd w:val="clear" w:color="auto" w:fill="E1DFDD"/>
    </w:rPr>
  </w:style>
  <w:style w:type="paragraph" w:styleId="Title">
    <w:name w:val="Title"/>
    <w:basedOn w:val="Normal"/>
    <w:next w:val="Normal"/>
    <w:link w:val="TitleChar"/>
    <w:uiPriority w:val="10"/>
    <w:qFormat/>
    <w:rsid w:val="000412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2F6"/>
    <w:rPr>
      <w:rFonts w:asciiTheme="majorHAnsi" w:eastAsiaTheme="majorEastAsia" w:hAnsiTheme="majorHAnsi" w:cstheme="majorBidi"/>
      <w:spacing w:val="-10"/>
      <w:kern w:val="28"/>
      <w:sz w:val="56"/>
      <w:szCs w:val="5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2270">
      <w:bodyDiv w:val="1"/>
      <w:marLeft w:val="0"/>
      <w:marRight w:val="0"/>
      <w:marTop w:val="0"/>
      <w:marBottom w:val="0"/>
      <w:divBdr>
        <w:top w:val="none" w:sz="0" w:space="0" w:color="auto"/>
        <w:left w:val="none" w:sz="0" w:space="0" w:color="auto"/>
        <w:bottom w:val="none" w:sz="0" w:space="0" w:color="auto"/>
        <w:right w:val="none" w:sz="0" w:space="0" w:color="auto"/>
      </w:divBdr>
    </w:div>
    <w:div w:id="229508554">
      <w:bodyDiv w:val="1"/>
      <w:marLeft w:val="0"/>
      <w:marRight w:val="0"/>
      <w:marTop w:val="0"/>
      <w:marBottom w:val="0"/>
      <w:divBdr>
        <w:top w:val="none" w:sz="0" w:space="0" w:color="auto"/>
        <w:left w:val="none" w:sz="0" w:space="0" w:color="auto"/>
        <w:bottom w:val="none" w:sz="0" w:space="0" w:color="auto"/>
        <w:right w:val="none" w:sz="0" w:space="0" w:color="auto"/>
      </w:divBdr>
    </w:div>
    <w:div w:id="240724654">
      <w:bodyDiv w:val="1"/>
      <w:marLeft w:val="0"/>
      <w:marRight w:val="0"/>
      <w:marTop w:val="0"/>
      <w:marBottom w:val="0"/>
      <w:divBdr>
        <w:top w:val="none" w:sz="0" w:space="0" w:color="auto"/>
        <w:left w:val="none" w:sz="0" w:space="0" w:color="auto"/>
        <w:bottom w:val="none" w:sz="0" w:space="0" w:color="auto"/>
        <w:right w:val="none" w:sz="0" w:space="0" w:color="auto"/>
      </w:divBdr>
    </w:div>
    <w:div w:id="269438411">
      <w:bodyDiv w:val="1"/>
      <w:marLeft w:val="0"/>
      <w:marRight w:val="0"/>
      <w:marTop w:val="0"/>
      <w:marBottom w:val="0"/>
      <w:divBdr>
        <w:top w:val="none" w:sz="0" w:space="0" w:color="auto"/>
        <w:left w:val="none" w:sz="0" w:space="0" w:color="auto"/>
        <w:bottom w:val="none" w:sz="0" w:space="0" w:color="auto"/>
        <w:right w:val="none" w:sz="0" w:space="0" w:color="auto"/>
      </w:divBdr>
    </w:div>
    <w:div w:id="1955867686">
      <w:bodyDiv w:val="1"/>
      <w:marLeft w:val="0"/>
      <w:marRight w:val="0"/>
      <w:marTop w:val="0"/>
      <w:marBottom w:val="0"/>
      <w:divBdr>
        <w:top w:val="none" w:sz="0" w:space="0" w:color="auto"/>
        <w:left w:val="none" w:sz="0" w:space="0" w:color="auto"/>
        <w:bottom w:val="none" w:sz="0" w:space="0" w:color="auto"/>
        <w:right w:val="none" w:sz="0" w:space="0" w:color="auto"/>
      </w:divBdr>
    </w:div>
    <w:div w:id="2111928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MICROSOFT\Downloads\ghadaabdelrahman@med.asu.edu.e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hadaabdelrahman@med.asu.edu.e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hadaabdelrahman@med.asu.edu.e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18</Pages>
  <Words>4683</Words>
  <Characters>28530</Characters>
  <Application>Microsoft Office Word</Application>
  <DocSecurity>0</DocSecurity>
  <Lines>622</Lines>
  <Paragraphs>384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Considering the distribution of the PNPLA3 gene variant (rs738409 C/G), a gre</vt:lpstr>
      <vt:lpstr>    Enas Mahmoud Foda1, Shereen Abu Bakr Saleh1, Moheb Shoraby Eskandaros2, Nashwa N</vt:lpstr>
      <vt:lpstr>    </vt:lpstr>
      <vt:lpstr>    Enas Mahmoud Foda and Shereen Abu Bakr Saleh conceived the research concept. At </vt:lpstr>
      <vt:lpstr>    </vt:lpstr>
    </vt:vector>
  </TitlesOfParts>
  <Company/>
  <LinksUpToDate>false</LinksUpToDate>
  <CharactersWithSpaces>32891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ghada abdelrahman ahmed mohamed</dc:creator>
  <cp:lastModifiedBy>SYSalem</cp:lastModifiedBy>
  <cp:revision>21</cp:revision>
  <cp:lastPrinted>2024-10-25T18:46:00Z</cp:lastPrinted>
  <dcterms:created xsi:type="dcterms:W3CDTF">2024-10-20T12:24:00Z</dcterms:created>
  <dcterms:modified xsi:type="dcterms:W3CDTF">2024-10-25T18:46:00Z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b1870d5334b74eff8f401cbafe0ed877</vt:lpwstr>
  </property>
  <property fmtid="{D5CDD505-2E9C-101B-9397-08002B2CF9AE}" pid="3" name="KSOProductBuildVer">
    <vt:lpwstr>1033-12.2.0.18586</vt:lpwstr>
  </property>
  <property fmtid="{D5CDD505-2E9C-101B-9397-08002B2CF9AE}" pid="4" name="GrammarlyDocumentId">
    <vt:lpwstr>591b6c4cd676c38221b09c0aaaf35db8313348bcb665e948a774e11f4084d522</vt:lpwstr>
  </property>
</Properties>
</file>