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596FDE" w14:textId="77777777" w:rsidR="00FF3802" w:rsidRDefault="00FF3802" w:rsidP="00FF3802">
      <w:pPr>
        <w:spacing w:after="0" w:line="240" w:lineRule="auto"/>
        <w:rPr>
          <w:rFonts w:eastAsia="Times New Roman" w:cstheme="minorHAnsi"/>
          <w:b/>
          <w:color w:val="000000" w:themeColor="text1"/>
        </w:rPr>
      </w:pPr>
      <w:r w:rsidRPr="00FF3802">
        <w:rPr>
          <w:rFonts w:eastAsia="Times New Roman" w:cstheme="minorHAnsi"/>
          <w:b/>
          <w:color w:val="000000" w:themeColor="text1"/>
        </w:rPr>
        <w:t>OCCURENCE OF HEPATOCELLULAR CARCINOMA (HCC) FOLLOWING DIRECT ANTIVIRAL AGENTS (DAA) THERAPY</w:t>
      </w:r>
    </w:p>
    <w:p w14:paraId="38ACFEB5" w14:textId="77777777" w:rsidR="00930543" w:rsidRDefault="00930543" w:rsidP="00FF3802">
      <w:pPr>
        <w:spacing w:after="0" w:line="240" w:lineRule="auto"/>
        <w:rPr>
          <w:rFonts w:eastAsia="Times New Roman" w:cstheme="minorHAnsi"/>
          <w:b/>
          <w:color w:val="000000" w:themeColor="text1"/>
        </w:rPr>
      </w:pPr>
    </w:p>
    <w:p w14:paraId="1014ECA6" w14:textId="77777777" w:rsidR="008D4961" w:rsidRPr="008D4961" w:rsidRDefault="008D4961" w:rsidP="008D4961">
      <w:pPr>
        <w:spacing w:after="0" w:line="240" w:lineRule="auto"/>
        <w:rPr>
          <w:rFonts w:eastAsia="Times New Roman" w:cstheme="minorHAnsi"/>
          <w:b/>
          <w:color w:val="000000" w:themeColor="text1"/>
          <w:lang w:val="en-PK"/>
        </w:rPr>
      </w:pPr>
      <w:r w:rsidRPr="008D4961">
        <w:rPr>
          <w:rFonts w:eastAsia="Times New Roman" w:cstheme="minorHAnsi"/>
          <w:b/>
          <w:bCs/>
          <w:color w:val="000000" w:themeColor="text1"/>
          <w:lang w:val="en-PK"/>
        </w:rPr>
        <w:t>Abstract</w:t>
      </w:r>
    </w:p>
    <w:p w14:paraId="0DC759D3" w14:textId="77777777" w:rsidR="008D4961" w:rsidRPr="008D4961" w:rsidRDefault="008D4961" w:rsidP="008D4961">
      <w:pPr>
        <w:spacing w:after="0" w:line="240" w:lineRule="auto"/>
        <w:rPr>
          <w:rFonts w:eastAsia="Times New Roman" w:cstheme="minorHAnsi"/>
          <w:b/>
          <w:color w:val="000000" w:themeColor="text1"/>
          <w:lang w:val="en-PK"/>
        </w:rPr>
      </w:pPr>
      <w:r w:rsidRPr="008D4961">
        <w:rPr>
          <w:rFonts w:eastAsia="Times New Roman" w:cstheme="minorHAnsi"/>
          <w:b/>
          <w:bCs/>
          <w:color w:val="000000" w:themeColor="text1"/>
          <w:lang w:val="en-PK"/>
        </w:rPr>
        <w:t>Background and Aim:</w:t>
      </w:r>
      <w:r w:rsidRPr="008D4961">
        <w:rPr>
          <w:rFonts w:eastAsia="Times New Roman" w:cstheme="minorHAnsi"/>
          <w:b/>
          <w:color w:val="000000" w:themeColor="text1"/>
          <w:lang w:val="en-PK"/>
        </w:rPr>
        <w:t xml:space="preserve"> </w:t>
      </w:r>
      <w:r w:rsidRPr="008D4961">
        <w:rPr>
          <w:rFonts w:eastAsia="Times New Roman" w:cstheme="minorHAnsi"/>
          <w:bCs/>
          <w:color w:val="000000" w:themeColor="text1"/>
          <w:lang w:val="en-PK"/>
        </w:rPr>
        <w:t>The study aimed to identify the risk factors associated with hepatocellular carcinoma (HCC) development in patients with chronic hepatitis C virus (HCV) infection treated with direct-acting antivirals (DAAs) in Pakistan</w:t>
      </w:r>
      <w:r w:rsidRPr="008D4961">
        <w:rPr>
          <w:rFonts w:eastAsia="Times New Roman" w:cstheme="minorHAnsi"/>
          <w:b/>
          <w:color w:val="000000" w:themeColor="text1"/>
          <w:lang w:val="en-PK"/>
        </w:rPr>
        <w:t>.</w:t>
      </w:r>
    </w:p>
    <w:p w14:paraId="33CDAC00" w14:textId="01F2039B" w:rsidR="008D4961" w:rsidRPr="008D4961" w:rsidRDefault="008D4961" w:rsidP="008D4961">
      <w:pPr>
        <w:spacing w:after="0" w:line="240" w:lineRule="auto"/>
        <w:rPr>
          <w:rFonts w:eastAsia="Times New Roman" w:cstheme="minorHAnsi"/>
          <w:color w:val="000000" w:themeColor="text1"/>
          <w:lang w:val="en-PK"/>
        </w:rPr>
      </w:pPr>
      <w:r w:rsidRPr="008D4961">
        <w:rPr>
          <w:rFonts w:eastAsia="Times New Roman" w:cstheme="minorHAnsi"/>
          <w:b/>
          <w:bCs/>
          <w:color w:val="000000" w:themeColor="text1"/>
          <w:lang w:val="en-PK"/>
        </w:rPr>
        <w:t>Methods</w:t>
      </w:r>
      <w:r w:rsidRPr="008D4961">
        <w:rPr>
          <w:rFonts w:eastAsia="Times New Roman" w:cstheme="minorHAnsi"/>
          <w:color w:val="000000" w:themeColor="text1"/>
          <w:lang w:val="en-PK"/>
        </w:rPr>
        <w:t xml:space="preserve">: A retrospective cohort study was conducted, including 246 patients with chronic HCV infection who received DAA therapy between </w:t>
      </w:r>
      <w:r w:rsidRPr="000301F6">
        <w:rPr>
          <w:rFonts w:eastAsia="Times New Roman" w:cstheme="minorHAnsi"/>
          <w:color w:val="FF0000"/>
          <w:lang w:val="en-PK"/>
        </w:rPr>
        <w:t>2020</w:t>
      </w:r>
      <w:r w:rsidR="000301F6" w:rsidRPr="000301F6">
        <w:rPr>
          <w:rFonts w:eastAsia="Times New Roman" w:cstheme="minorHAnsi"/>
          <w:color w:val="FF0000"/>
          <w:lang w:val="en-PK"/>
        </w:rPr>
        <w:t xml:space="preserve"> March</w:t>
      </w:r>
      <w:r w:rsidRPr="000301F6">
        <w:rPr>
          <w:rFonts w:eastAsia="Times New Roman" w:cstheme="minorHAnsi"/>
          <w:color w:val="FF0000"/>
          <w:lang w:val="en-PK"/>
        </w:rPr>
        <w:t xml:space="preserve"> to March 2024</w:t>
      </w:r>
      <w:r w:rsidRPr="008D4961">
        <w:rPr>
          <w:rFonts w:eastAsia="Times New Roman" w:cstheme="minorHAnsi"/>
          <w:color w:val="000000" w:themeColor="text1"/>
          <w:lang w:val="en-PK"/>
        </w:rPr>
        <w:t xml:space="preserve">. Patients were followed for a median duration of 33 months to monitor the development of HCC. Baseline characteristics and potential risk factors were </w:t>
      </w:r>
      <w:r w:rsidR="00930543" w:rsidRPr="008D4961">
        <w:rPr>
          <w:rFonts w:eastAsia="Times New Roman" w:cstheme="minorHAnsi"/>
          <w:color w:val="000000" w:themeColor="text1"/>
          <w:lang w:val="en-PK"/>
        </w:rPr>
        <w:t>analysed</w:t>
      </w:r>
      <w:r w:rsidRPr="008D4961">
        <w:rPr>
          <w:rFonts w:eastAsia="Times New Roman" w:cstheme="minorHAnsi"/>
          <w:color w:val="000000" w:themeColor="text1"/>
          <w:lang w:val="en-PK"/>
        </w:rPr>
        <w:t xml:space="preserve"> using univariate and multivariate analyses to determine their association with HCC occurrence.</w:t>
      </w:r>
    </w:p>
    <w:p w14:paraId="744C4640" w14:textId="77777777" w:rsidR="008D4961" w:rsidRPr="008D4961" w:rsidRDefault="008D4961" w:rsidP="008D4961">
      <w:pPr>
        <w:spacing w:after="0" w:line="240" w:lineRule="auto"/>
        <w:rPr>
          <w:rFonts w:eastAsia="Times New Roman" w:cstheme="minorHAnsi"/>
          <w:bCs/>
          <w:color w:val="000000" w:themeColor="text1"/>
          <w:lang w:val="en-PK"/>
        </w:rPr>
      </w:pPr>
      <w:r w:rsidRPr="008D4961">
        <w:rPr>
          <w:rFonts w:eastAsia="Times New Roman" w:cstheme="minorHAnsi"/>
          <w:b/>
          <w:bCs/>
          <w:color w:val="000000" w:themeColor="text1"/>
          <w:lang w:val="en-PK"/>
        </w:rPr>
        <w:t>Results:</w:t>
      </w:r>
      <w:r w:rsidRPr="008D4961">
        <w:rPr>
          <w:rFonts w:eastAsia="Times New Roman" w:cstheme="minorHAnsi"/>
          <w:b/>
          <w:color w:val="000000" w:themeColor="text1"/>
          <w:lang w:val="en-PK"/>
        </w:rPr>
        <w:t xml:space="preserve"> </w:t>
      </w:r>
      <w:r w:rsidRPr="008D4961">
        <w:rPr>
          <w:rFonts w:eastAsia="Times New Roman" w:cstheme="minorHAnsi"/>
          <w:bCs/>
          <w:color w:val="000000" w:themeColor="text1"/>
          <w:lang w:val="en-PK"/>
        </w:rPr>
        <w:t>Of the 246 patients, 34 (13.5%) developed HCC during the follow-up period. Univariate analysis revealed that older age (p&lt;0.001), male gender (p=0.004), lower baseline platelet count (p&lt;0.001), higher baseline alpha-fetoprotein (AFP) level (p&lt;0.001), and the presence of liver cirrhosis (p&lt;0.001) were significantly associated with the development of HCC. Multivariate analysis confirmed that advanced age (HR 1.06, 95% CI 1.03-1.08, p&lt;0.001), male sex (HR 1.86, 95% CI 1.13-3.08, p=0.014), elevated baseline AFP (HR 1.28, 95% CI 1.18-1.39, p&lt;0.001), and liver cirrhosis (HR 4.84, 95% CI 2.78-8.42, p&lt;0.001) were independent predictors of HCC development. Additionally, patients who achieved sustained virological response (SVR) had a significantly lower incidence of HCC compared to those who did not achieve SVR (1.1% vs. 6.9%, p&lt;0.001).</w:t>
      </w:r>
    </w:p>
    <w:p w14:paraId="2D3005AE" w14:textId="77777777" w:rsidR="008D4961" w:rsidRDefault="008D4961" w:rsidP="008D4961">
      <w:pPr>
        <w:spacing w:after="0" w:line="240" w:lineRule="auto"/>
        <w:rPr>
          <w:rFonts w:eastAsia="Times New Roman" w:cstheme="minorHAnsi"/>
          <w:bCs/>
          <w:color w:val="000000" w:themeColor="text1"/>
          <w:lang w:val="en-PK"/>
        </w:rPr>
      </w:pPr>
      <w:r w:rsidRPr="008D4961">
        <w:rPr>
          <w:rFonts w:eastAsia="Times New Roman" w:cstheme="minorHAnsi"/>
          <w:b/>
          <w:bCs/>
          <w:color w:val="000000" w:themeColor="text1"/>
          <w:lang w:val="en-PK"/>
        </w:rPr>
        <w:t>Conclusion:</w:t>
      </w:r>
      <w:r w:rsidRPr="008D4961">
        <w:rPr>
          <w:rFonts w:eastAsia="Times New Roman" w:cstheme="minorHAnsi"/>
          <w:b/>
          <w:color w:val="000000" w:themeColor="text1"/>
          <w:lang w:val="en-PK"/>
        </w:rPr>
        <w:t xml:space="preserve"> </w:t>
      </w:r>
      <w:r w:rsidRPr="008D4961">
        <w:rPr>
          <w:rFonts w:eastAsia="Times New Roman" w:cstheme="minorHAnsi"/>
          <w:bCs/>
          <w:color w:val="000000" w:themeColor="text1"/>
          <w:lang w:val="en-PK"/>
        </w:rPr>
        <w:t>This study identifies key risk factors for HCC development in chronic HCV patients treated with DAAs, emphasizing the need for vigilant monitoring, especially in older males with cirrhosis and elevated AFP levels. Achieving SVR significantly reduces the risk of HCC, underscoring the importance of effective antiviral treatment in this population.</w:t>
      </w:r>
    </w:p>
    <w:p w14:paraId="37348E20" w14:textId="77777777" w:rsidR="00891646" w:rsidRDefault="00891646" w:rsidP="008D4961">
      <w:pPr>
        <w:spacing w:after="0" w:line="240" w:lineRule="auto"/>
        <w:rPr>
          <w:rFonts w:eastAsia="Times New Roman" w:cstheme="minorHAnsi"/>
          <w:bCs/>
          <w:color w:val="000000" w:themeColor="text1"/>
          <w:lang w:val="en-PK"/>
        </w:rPr>
      </w:pPr>
    </w:p>
    <w:p w14:paraId="27A8E430" w14:textId="06A4691A" w:rsidR="00891646" w:rsidRPr="00930543" w:rsidRDefault="00891646" w:rsidP="008D4961">
      <w:pPr>
        <w:spacing w:after="0" w:line="240" w:lineRule="auto"/>
        <w:rPr>
          <w:rFonts w:eastAsia="Times New Roman" w:cstheme="minorHAnsi"/>
          <w:bCs/>
          <w:color w:val="FF0000"/>
          <w:lang w:val="en-PK"/>
        </w:rPr>
      </w:pPr>
      <w:r w:rsidRPr="00930543">
        <w:rPr>
          <w:rFonts w:eastAsia="Times New Roman" w:cstheme="minorHAnsi"/>
          <w:b/>
          <w:color w:val="FF0000"/>
          <w:lang w:val="en-PK"/>
        </w:rPr>
        <w:t>Keywords:</w:t>
      </w:r>
      <w:r w:rsidRPr="00930543">
        <w:rPr>
          <w:rFonts w:eastAsia="Times New Roman" w:cstheme="minorHAnsi"/>
          <w:bCs/>
          <w:color w:val="FF0000"/>
          <w:lang w:val="en-PK"/>
        </w:rPr>
        <w:t xml:space="preserve"> </w:t>
      </w:r>
      <w:r w:rsidRPr="00930543">
        <w:rPr>
          <w:rFonts w:eastAsia="Times New Roman" w:cstheme="minorHAnsi"/>
          <w:bCs/>
          <w:color w:val="FF0000"/>
        </w:rPr>
        <w:t>Hepatocellular carcinoma (HCC)</w:t>
      </w:r>
      <w:r w:rsidRPr="00930543">
        <w:rPr>
          <w:rFonts w:eastAsia="Times New Roman" w:cstheme="minorHAnsi"/>
          <w:bCs/>
          <w:color w:val="FF0000"/>
        </w:rPr>
        <w:t>, sustained virological response (SVR</w:t>
      </w:r>
      <w:proofErr w:type="gramStart"/>
      <w:r w:rsidRPr="00930543">
        <w:rPr>
          <w:rFonts w:eastAsia="Times New Roman" w:cstheme="minorHAnsi"/>
          <w:bCs/>
          <w:color w:val="FF0000"/>
        </w:rPr>
        <w:t>),Direct</w:t>
      </w:r>
      <w:proofErr w:type="gramEnd"/>
      <w:r w:rsidRPr="00930543">
        <w:rPr>
          <w:rFonts w:eastAsia="Times New Roman" w:cstheme="minorHAnsi"/>
          <w:bCs/>
          <w:color w:val="FF0000"/>
        </w:rPr>
        <w:t xml:space="preserve"> antiviral treatment (DAAS), Chronic Hepatitis C (HCV), alpha-fetoprotein (AFP)</w:t>
      </w:r>
    </w:p>
    <w:p w14:paraId="43B48763" w14:textId="77777777" w:rsidR="008D4961" w:rsidRPr="00930543" w:rsidRDefault="008D4961" w:rsidP="00FF3802">
      <w:pPr>
        <w:spacing w:after="0" w:line="240" w:lineRule="auto"/>
        <w:rPr>
          <w:rFonts w:eastAsia="Times New Roman" w:cstheme="minorHAnsi"/>
          <w:bCs/>
          <w:color w:val="FF0000"/>
        </w:rPr>
      </w:pPr>
    </w:p>
    <w:p w14:paraId="18254489" w14:textId="77777777" w:rsidR="00FF3802" w:rsidRDefault="00FF3802" w:rsidP="00E30949">
      <w:pPr>
        <w:spacing w:after="0" w:line="240" w:lineRule="auto"/>
        <w:jc w:val="both"/>
        <w:rPr>
          <w:rFonts w:eastAsia="Times New Roman" w:cstheme="minorHAnsi"/>
          <w:b/>
          <w:color w:val="000000" w:themeColor="text1"/>
        </w:rPr>
      </w:pPr>
    </w:p>
    <w:p w14:paraId="48FCE0FF" w14:textId="77777777" w:rsidR="009E16DF" w:rsidRPr="009E16DF" w:rsidRDefault="009E16DF" w:rsidP="009E16DF">
      <w:pPr>
        <w:jc w:val="both"/>
        <w:divId w:val="1377004147"/>
        <w:rPr>
          <w:rFonts w:eastAsia="Times New Roman" w:cstheme="minorHAnsi"/>
          <w:b/>
          <w:bCs/>
          <w:color w:val="000000" w:themeColor="text1"/>
          <w:lang w:val="en-PK"/>
        </w:rPr>
      </w:pPr>
      <w:r w:rsidRPr="009E16DF">
        <w:rPr>
          <w:rFonts w:eastAsia="Times New Roman" w:cstheme="minorHAnsi"/>
          <w:b/>
          <w:bCs/>
          <w:color w:val="000000" w:themeColor="text1"/>
          <w:lang w:val="en-PK"/>
        </w:rPr>
        <w:t>Introduction</w:t>
      </w:r>
    </w:p>
    <w:p w14:paraId="28506F94" w14:textId="77777777" w:rsidR="009E16DF" w:rsidRPr="009E16DF" w:rsidRDefault="009E16DF" w:rsidP="009E16DF">
      <w:pPr>
        <w:jc w:val="both"/>
        <w:divId w:val="1377004147"/>
        <w:rPr>
          <w:rFonts w:eastAsia="Times New Roman" w:cstheme="minorHAnsi"/>
          <w:bCs/>
          <w:color w:val="000000" w:themeColor="text1"/>
          <w:lang w:val="en-PK"/>
        </w:rPr>
      </w:pPr>
      <w:r w:rsidRPr="009E16DF">
        <w:rPr>
          <w:rFonts w:eastAsia="Times New Roman" w:cstheme="minorHAnsi"/>
          <w:bCs/>
          <w:color w:val="000000" w:themeColor="text1"/>
          <w:lang w:val="en-PK"/>
        </w:rPr>
        <w:t>Globally, infection with chronic hepatitis C poses a significant burden on public health, affecting approximately 58 million individuals worldwide</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1</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 xml:space="preserve">. HCV viral infection is responsible for </w:t>
      </w:r>
      <w:proofErr w:type="gramStart"/>
      <w:r w:rsidRPr="009E16DF">
        <w:rPr>
          <w:rFonts w:eastAsia="Times New Roman" w:cstheme="minorHAnsi"/>
          <w:bCs/>
          <w:color w:val="000000" w:themeColor="text1"/>
          <w:lang w:val="en-PK"/>
        </w:rPr>
        <w:t>the majority of</w:t>
      </w:r>
      <w:proofErr w:type="gramEnd"/>
      <w:r w:rsidRPr="009E16DF">
        <w:rPr>
          <w:rFonts w:eastAsia="Times New Roman" w:cstheme="minorHAnsi"/>
          <w:bCs/>
          <w:color w:val="000000" w:themeColor="text1"/>
          <w:lang w:val="en-PK"/>
        </w:rPr>
        <w:t xml:space="preserve"> chronic liver diseases, such as cirrhosis and hepatocellular carcinoma (HCC), making it the primary culprit for mortality</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2</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 In Pakistan alone, it is estimated that 1-1.5 million people suffer from chronic HCV infection, and a staggering 55% of HCC cases in the country are linked to HCV infection</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3</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 However, recent advancements in medical science have introduced highly effective treatments called direct-acting antiviral agents (DAAs), which have revolutionized the management of chronic HCV infection</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4</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w:t>
      </w:r>
    </w:p>
    <w:p w14:paraId="30D54B8C" w14:textId="77777777" w:rsidR="009E16DF" w:rsidRPr="009E16DF" w:rsidRDefault="009E16DF" w:rsidP="009E16DF">
      <w:pPr>
        <w:jc w:val="both"/>
        <w:divId w:val="1377004147"/>
        <w:rPr>
          <w:rFonts w:eastAsia="Times New Roman" w:cstheme="minorHAnsi"/>
          <w:bCs/>
          <w:color w:val="000000" w:themeColor="text1"/>
          <w:lang w:val="en-PK"/>
        </w:rPr>
      </w:pPr>
      <w:r w:rsidRPr="009E16DF">
        <w:rPr>
          <w:rFonts w:eastAsia="Times New Roman" w:cstheme="minorHAnsi"/>
          <w:bCs/>
          <w:color w:val="000000" w:themeColor="text1"/>
          <w:lang w:val="en-PK"/>
        </w:rPr>
        <w:t>In 2016, two cautionary alerts were issued to warn about an increasing risk of early recurrence of hepatocellular carcinoma (HCC) after using direct-acting antivirals (DAA) for patients who had been successfully treated for HCC</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5</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 Additionally, individuals without a history of HCC were found to be more prone to developing the condition</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6</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 Subsequent research studies have produced conflicting outcomes regarding the occurrence of HCC and the associated risk factors in patients treated with DAAs</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7</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 Some studies suggest a heightened risk of HCC recurrence and the development of new cases in individuals with advanced liver disease</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8</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 while others indicate no significant link between DAA therapy and the incidence of HCC</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9</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 xml:space="preserve">. However, a recent meta-analysis of 41 observational studies found no overall significant association between DAA treatment and the occurrence of HCC. </w:t>
      </w:r>
      <w:r w:rsidRPr="009E16DF">
        <w:rPr>
          <w:rFonts w:eastAsia="Times New Roman" w:cstheme="minorHAnsi"/>
          <w:bCs/>
          <w:color w:val="000000" w:themeColor="text1"/>
          <w:lang w:val="en-PK"/>
        </w:rPr>
        <w:lastRenderedPageBreak/>
        <w:t>Nevertheless, it did observe an elevated risk among patients with more advanced liver disease</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10</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w:t>
      </w:r>
    </w:p>
    <w:p w14:paraId="01BFF7FB" w14:textId="77777777" w:rsidR="009E16DF" w:rsidRPr="009E16DF" w:rsidRDefault="009E16DF" w:rsidP="009E16DF">
      <w:pPr>
        <w:jc w:val="both"/>
        <w:divId w:val="1377004147"/>
        <w:rPr>
          <w:rFonts w:eastAsia="Times New Roman" w:cstheme="minorHAnsi"/>
          <w:bCs/>
          <w:color w:val="000000" w:themeColor="text1"/>
          <w:lang w:val="en-PK"/>
        </w:rPr>
      </w:pPr>
      <w:r w:rsidRPr="009E16DF">
        <w:rPr>
          <w:rFonts w:eastAsia="Times New Roman" w:cstheme="minorHAnsi"/>
          <w:bCs/>
          <w:color w:val="000000" w:themeColor="text1"/>
          <w:lang w:val="en-PK"/>
        </w:rPr>
        <w:t>Other risk factors have also been identified that could heighten the likelihood of HCC in patients receiving DAA treatment. These factors include older age, advanced fibrosis score, and a previous history of HCC</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11</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 The mechanisms that potentially connect DAA therapy and HCC development are not well-established</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12</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 Certain studies propose that rapid viral clearance through DAAs could disrupt the immune response and trigger HCC development</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13</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 Additional factors, such as pre-existing liver damage and underlying HCC risk factors, may also be linked to the development of HCC after DAA therapy</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14</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w:t>
      </w:r>
    </w:p>
    <w:p w14:paraId="3C98FB8D" w14:textId="77777777" w:rsidR="009E16DF" w:rsidRPr="009E16DF" w:rsidRDefault="009E16DF" w:rsidP="009E16DF">
      <w:pPr>
        <w:jc w:val="both"/>
        <w:divId w:val="1377004147"/>
        <w:rPr>
          <w:rFonts w:eastAsia="Times New Roman" w:cstheme="minorHAnsi"/>
          <w:bCs/>
          <w:color w:val="000000" w:themeColor="text1"/>
          <w:lang w:val="en-PK"/>
        </w:rPr>
      </w:pPr>
      <w:r w:rsidRPr="009E16DF">
        <w:rPr>
          <w:rFonts w:eastAsia="Times New Roman" w:cstheme="minorHAnsi"/>
          <w:bCs/>
          <w:color w:val="000000" w:themeColor="text1"/>
          <w:lang w:val="en-PK"/>
        </w:rPr>
        <w:t>Understanding the potential risk factors that are associated with the occurrence of hepatocellular carcinoma (HCC) following DAA therapy is essential to identify patients who may require more intensive monitoring post-treatment. Therefore, this present study aimed to investigate the occurrence and risk factors associated with the emergence of HCC in patients undergoing treatment with DAAs for chronic hepatitis C.</w:t>
      </w:r>
    </w:p>
    <w:p w14:paraId="0CFF50C8" w14:textId="77777777" w:rsidR="0065094C" w:rsidRPr="009E16DF" w:rsidRDefault="00C11724" w:rsidP="00E1198B">
      <w:pPr>
        <w:jc w:val="both"/>
        <w:divId w:val="1377004147"/>
        <w:rPr>
          <w:rFonts w:eastAsia="Times New Roman" w:cstheme="minorHAnsi"/>
          <w:b/>
          <w:color w:val="000000" w:themeColor="text1"/>
        </w:rPr>
      </w:pPr>
      <w:r w:rsidRPr="009E16DF">
        <w:rPr>
          <w:rFonts w:eastAsia="Times New Roman" w:cstheme="minorHAnsi"/>
          <w:b/>
          <w:color w:val="000000" w:themeColor="text1"/>
        </w:rPr>
        <w:t>Methods:</w:t>
      </w:r>
      <w:r w:rsidR="0065094C" w:rsidRPr="009E16DF">
        <w:rPr>
          <w:rFonts w:eastAsia="Times New Roman" w:cstheme="minorHAnsi"/>
          <w:b/>
          <w:color w:val="000000" w:themeColor="text1"/>
        </w:rPr>
        <w:t> </w:t>
      </w:r>
    </w:p>
    <w:p w14:paraId="39CAC5CC" w14:textId="77777777" w:rsidR="0065094C" w:rsidRPr="004A69E0" w:rsidRDefault="00C11724" w:rsidP="00290ECB">
      <w:pPr>
        <w:jc w:val="both"/>
        <w:divId w:val="376206121"/>
        <w:rPr>
          <w:rFonts w:eastAsia="Times New Roman" w:cstheme="minorHAnsi"/>
          <w:b/>
          <w:color w:val="000000" w:themeColor="text1"/>
        </w:rPr>
      </w:pPr>
      <w:r w:rsidRPr="004A69E0">
        <w:rPr>
          <w:rFonts w:eastAsia="Times New Roman" w:cstheme="minorHAnsi"/>
          <w:b/>
          <w:color w:val="000000" w:themeColor="text1"/>
        </w:rPr>
        <w:t>Patients:</w:t>
      </w:r>
      <w:r w:rsidR="0065094C" w:rsidRPr="004A69E0">
        <w:rPr>
          <w:rFonts w:eastAsia="Times New Roman" w:cstheme="minorHAnsi"/>
          <w:b/>
          <w:color w:val="000000" w:themeColor="text1"/>
        </w:rPr>
        <w:t> </w:t>
      </w:r>
    </w:p>
    <w:p w14:paraId="33130557" w14:textId="1D15FDF2" w:rsidR="00E1198B" w:rsidRDefault="0065094C" w:rsidP="00E34785">
      <w:pPr>
        <w:spacing w:after="0" w:line="240" w:lineRule="auto"/>
        <w:jc w:val="both"/>
        <w:divId w:val="711542806"/>
        <w:rPr>
          <w:rFonts w:eastAsia="Times New Roman" w:cstheme="minorHAnsi"/>
          <w:color w:val="000000" w:themeColor="text1"/>
        </w:rPr>
      </w:pPr>
      <w:r w:rsidRPr="00AA58D1">
        <w:rPr>
          <w:rFonts w:eastAsia="Times New Roman" w:cstheme="minorHAnsi"/>
          <w:color w:val="000000" w:themeColor="text1"/>
        </w:rPr>
        <w:t xml:space="preserve">Current study conducted at the Asian Institute of Medical Sciences in Hyderabad, Pakistan, we prospectively monitored patients with infection of chronic hepatitis C who received treatment with Direct Antiviral Agents (DAAs) from </w:t>
      </w:r>
      <w:r w:rsidR="000301F6" w:rsidRPr="000301F6">
        <w:rPr>
          <w:rFonts w:eastAsia="Times New Roman" w:cstheme="minorHAnsi"/>
          <w:color w:val="FF0000"/>
          <w:lang w:val="en-PK"/>
        </w:rPr>
        <w:t>2020 March to March 2024</w:t>
      </w:r>
      <w:r w:rsidRPr="00AA58D1">
        <w:rPr>
          <w:rFonts w:eastAsia="Times New Roman" w:cstheme="minorHAnsi"/>
          <w:color w:val="000000" w:themeColor="text1"/>
        </w:rPr>
        <w:t xml:space="preserve">. </w:t>
      </w:r>
    </w:p>
    <w:p w14:paraId="29D3DF48" w14:textId="77777777" w:rsidR="000301F6" w:rsidRPr="000301F6" w:rsidRDefault="000301F6" w:rsidP="000301F6">
      <w:pPr>
        <w:divId w:val="711542806"/>
        <w:rPr>
          <w:color w:val="FF0000"/>
          <w:lang w:val="en-PK"/>
        </w:rPr>
      </w:pPr>
      <w:r w:rsidRPr="000301F6">
        <w:rPr>
          <w:color w:val="FF0000"/>
          <w:lang w:val="en-PK"/>
        </w:rPr>
        <w:t>Study Population:</w:t>
      </w:r>
    </w:p>
    <w:p w14:paraId="4029A5DF" w14:textId="77777777" w:rsidR="000301F6" w:rsidRPr="000301F6" w:rsidRDefault="000301F6" w:rsidP="000301F6">
      <w:pPr>
        <w:divId w:val="711542806"/>
        <w:rPr>
          <w:color w:val="FF0000"/>
          <w:lang w:val="en-PK"/>
        </w:rPr>
      </w:pPr>
      <w:r w:rsidRPr="000301F6">
        <w:rPr>
          <w:color w:val="FF0000"/>
          <w:lang w:val="en-PK"/>
        </w:rPr>
        <w:t>Inclusion Criteria:</w:t>
      </w:r>
    </w:p>
    <w:p w14:paraId="18CD3840" w14:textId="77777777" w:rsidR="000301F6" w:rsidRPr="000301F6" w:rsidRDefault="000301F6" w:rsidP="000301F6">
      <w:pPr>
        <w:divId w:val="711542806"/>
        <w:rPr>
          <w:color w:val="FF0000"/>
          <w:lang w:val="en-PK"/>
        </w:rPr>
      </w:pPr>
      <w:r w:rsidRPr="000301F6">
        <w:rPr>
          <w:color w:val="FF0000"/>
          <w:lang w:val="en-PK"/>
        </w:rPr>
        <w:t>Adults (≥18 years old) with confirmed chronic hepatitis C virus (HCV) infection.</w:t>
      </w:r>
    </w:p>
    <w:p w14:paraId="13F3B9BB" w14:textId="77777777" w:rsidR="000301F6" w:rsidRPr="000301F6" w:rsidRDefault="000301F6" w:rsidP="000301F6">
      <w:pPr>
        <w:divId w:val="711542806"/>
        <w:rPr>
          <w:color w:val="FF0000"/>
          <w:lang w:val="en-PK"/>
        </w:rPr>
      </w:pPr>
      <w:r w:rsidRPr="000301F6">
        <w:rPr>
          <w:color w:val="FF0000"/>
          <w:lang w:val="en-PK"/>
        </w:rPr>
        <w:t>Patients who completed a full course of DAA treatment.</w:t>
      </w:r>
    </w:p>
    <w:p w14:paraId="0829038B" w14:textId="77777777" w:rsidR="000301F6" w:rsidRPr="000301F6" w:rsidRDefault="000301F6" w:rsidP="000301F6">
      <w:pPr>
        <w:divId w:val="711542806"/>
        <w:rPr>
          <w:color w:val="FF0000"/>
          <w:lang w:val="en-PK"/>
        </w:rPr>
      </w:pPr>
      <w:r w:rsidRPr="000301F6">
        <w:rPr>
          <w:color w:val="FF0000"/>
          <w:lang w:val="en-PK"/>
        </w:rPr>
        <w:t>Patients with at least 6 months of follow-up data post-treatment.</w:t>
      </w:r>
    </w:p>
    <w:p w14:paraId="28799F59" w14:textId="77777777" w:rsidR="000301F6" w:rsidRPr="000301F6" w:rsidRDefault="000301F6" w:rsidP="000301F6">
      <w:pPr>
        <w:divId w:val="711542806"/>
        <w:rPr>
          <w:color w:val="FF0000"/>
          <w:lang w:val="en-PK"/>
        </w:rPr>
      </w:pPr>
      <w:r w:rsidRPr="000301F6">
        <w:rPr>
          <w:color w:val="FF0000"/>
          <w:lang w:val="en-PK"/>
        </w:rPr>
        <w:t>Patients who have undergone pre-treatment imaging (ultrasound/CT scan) and liver function assessment to exclude existing HCC at baseline.</w:t>
      </w:r>
    </w:p>
    <w:p w14:paraId="5CE2E77B" w14:textId="77777777" w:rsidR="000301F6" w:rsidRPr="000301F6" w:rsidRDefault="000301F6" w:rsidP="000301F6">
      <w:pPr>
        <w:divId w:val="711542806"/>
        <w:rPr>
          <w:color w:val="FF0000"/>
          <w:lang w:val="en-PK"/>
        </w:rPr>
      </w:pPr>
      <w:r w:rsidRPr="000301F6">
        <w:rPr>
          <w:color w:val="FF0000"/>
          <w:lang w:val="en-PK"/>
        </w:rPr>
        <w:t>Exclusion Criteria:</w:t>
      </w:r>
    </w:p>
    <w:p w14:paraId="07D744D6" w14:textId="77777777" w:rsidR="000301F6" w:rsidRPr="000301F6" w:rsidRDefault="000301F6" w:rsidP="000301F6">
      <w:pPr>
        <w:divId w:val="711542806"/>
        <w:rPr>
          <w:color w:val="FF0000"/>
          <w:lang w:val="en-PK"/>
        </w:rPr>
      </w:pPr>
      <w:r w:rsidRPr="000301F6">
        <w:rPr>
          <w:color w:val="FF0000"/>
          <w:lang w:val="en-PK"/>
        </w:rPr>
        <w:t>Patients diagnosed with HCC prior to initiating DAA therapy.</w:t>
      </w:r>
    </w:p>
    <w:p w14:paraId="68786F7A" w14:textId="77777777" w:rsidR="000301F6" w:rsidRPr="000301F6" w:rsidRDefault="000301F6" w:rsidP="000301F6">
      <w:pPr>
        <w:divId w:val="711542806"/>
        <w:rPr>
          <w:color w:val="FF0000"/>
          <w:lang w:val="en-PK"/>
        </w:rPr>
      </w:pPr>
      <w:r w:rsidRPr="000301F6">
        <w:rPr>
          <w:color w:val="FF0000"/>
          <w:lang w:val="en-PK"/>
        </w:rPr>
        <w:t>Patients who have undergone liver transplantation before or during the study period.</w:t>
      </w:r>
    </w:p>
    <w:p w14:paraId="6F597BD3" w14:textId="77777777" w:rsidR="000301F6" w:rsidRPr="000301F6" w:rsidRDefault="000301F6" w:rsidP="000301F6">
      <w:pPr>
        <w:divId w:val="711542806"/>
        <w:rPr>
          <w:color w:val="FF0000"/>
          <w:lang w:val="en-PK"/>
        </w:rPr>
      </w:pPr>
      <w:r w:rsidRPr="000301F6">
        <w:rPr>
          <w:color w:val="FF0000"/>
          <w:lang w:val="en-PK"/>
        </w:rPr>
        <w:t>Patients with incomplete or missing follow-up data.</w:t>
      </w:r>
    </w:p>
    <w:p w14:paraId="56F04C0E" w14:textId="77777777" w:rsidR="000301F6" w:rsidRPr="000301F6" w:rsidRDefault="000301F6" w:rsidP="000301F6">
      <w:pPr>
        <w:divId w:val="711542806"/>
        <w:rPr>
          <w:color w:val="FF0000"/>
          <w:lang w:val="en-PK"/>
        </w:rPr>
      </w:pPr>
      <w:r w:rsidRPr="000301F6">
        <w:rPr>
          <w:color w:val="FF0000"/>
          <w:lang w:val="en-PK"/>
        </w:rPr>
        <w:t>Patients with co-infections of hepatitis B virus (HBV) or human immunodeficiency virus (HIV).</w:t>
      </w:r>
    </w:p>
    <w:p w14:paraId="40FEB82C" w14:textId="77777777" w:rsidR="000301F6" w:rsidRDefault="000301F6" w:rsidP="00E34785">
      <w:pPr>
        <w:spacing w:after="0" w:line="240" w:lineRule="auto"/>
        <w:jc w:val="both"/>
        <w:divId w:val="711542806"/>
        <w:rPr>
          <w:rFonts w:eastAsia="Times New Roman" w:cstheme="minorHAnsi"/>
          <w:color w:val="000000" w:themeColor="text1"/>
        </w:rPr>
      </w:pPr>
    </w:p>
    <w:p w14:paraId="7BC0B976" w14:textId="77777777" w:rsidR="00131012" w:rsidRPr="00131012" w:rsidRDefault="00131012" w:rsidP="00E34785">
      <w:pPr>
        <w:spacing w:after="0" w:line="240" w:lineRule="auto"/>
        <w:jc w:val="both"/>
        <w:divId w:val="711542806"/>
        <w:rPr>
          <w:rFonts w:eastAsia="Times New Roman" w:cstheme="minorHAnsi"/>
          <w:color w:val="000000" w:themeColor="text1"/>
          <w:sz w:val="10"/>
        </w:rPr>
      </w:pPr>
    </w:p>
    <w:p w14:paraId="2B97E26C" w14:textId="77777777" w:rsidR="0065094C" w:rsidRPr="004A69E0" w:rsidRDefault="0065094C" w:rsidP="00131012">
      <w:pPr>
        <w:spacing w:after="0" w:line="276" w:lineRule="auto"/>
        <w:jc w:val="both"/>
        <w:divId w:val="1580094799"/>
        <w:rPr>
          <w:rFonts w:eastAsia="Times New Roman" w:cstheme="minorHAnsi"/>
          <w:b/>
          <w:color w:val="000000" w:themeColor="text1"/>
        </w:rPr>
      </w:pPr>
      <w:r w:rsidRPr="004A69E0">
        <w:rPr>
          <w:rFonts w:eastAsia="Times New Roman" w:cstheme="minorHAnsi"/>
          <w:b/>
          <w:color w:val="000000" w:themeColor="text1"/>
        </w:rPr>
        <w:t>Study protocol: </w:t>
      </w:r>
    </w:p>
    <w:p w14:paraId="7CD61B21" w14:textId="7A1BEB5F" w:rsidR="00131012" w:rsidRPr="00AA58D1" w:rsidRDefault="0065094C" w:rsidP="00131012">
      <w:pPr>
        <w:spacing w:after="0" w:line="276" w:lineRule="auto"/>
        <w:jc w:val="both"/>
        <w:divId w:val="873155392"/>
        <w:rPr>
          <w:rFonts w:eastAsia="Times New Roman" w:cstheme="minorHAnsi"/>
          <w:color w:val="000000" w:themeColor="text1"/>
        </w:rPr>
      </w:pPr>
      <w:r w:rsidRPr="00AA58D1">
        <w:rPr>
          <w:rFonts w:eastAsia="Times New Roman" w:cstheme="minorHAnsi"/>
          <w:color w:val="000000" w:themeColor="text1"/>
        </w:rPr>
        <w:t xml:space="preserve">In adherence the principles outlined in the Helsinki Declaration, the study protocol was implemented with approval from the institutional review board </w:t>
      </w:r>
      <w:r w:rsidRPr="00095FBA">
        <w:rPr>
          <w:rFonts w:eastAsia="Times New Roman" w:cstheme="minorHAnsi"/>
          <w:color w:val="FF0000"/>
        </w:rPr>
        <w:t>(#</w:t>
      </w:r>
      <w:r w:rsidR="00095FBA" w:rsidRPr="00095FBA">
        <w:rPr>
          <w:rFonts w:eastAsia="Times New Roman" w:cstheme="minorHAnsi"/>
          <w:color w:val="FF0000"/>
        </w:rPr>
        <w:t>AIMS</w:t>
      </w:r>
      <w:r w:rsidR="000301F6" w:rsidRPr="00095FBA">
        <w:rPr>
          <w:rFonts w:eastAsia="Times New Roman" w:cstheme="minorHAnsi"/>
          <w:color w:val="FF0000"/>
        </w:rPr>
        <w:t>/IRB/298</w:t>
      </w:r>
      <w:r w:rsidRPr="00095FBA">
        <w:rPr>
          <w:rFonts w:eastAsia="Times New Roman" w:cstheme="minorHAnsi"/>
          <w:color w:val="FF0000"/>
        </w:rPr>
        <w:t xml:space="preserve">) </w:t>
      </w:r>
      <w:r w:rsidRPr="00AA58D1">
        <w:rPr>
          <w:rFonts w:eastAsia="Times New Roman" w:cstheme="minorHAnsi"/>
          <w:color w:val="000000" w:themeColor="text1"/>
        </w:rPr>
        <w:t>at the Asian Institute of Medical Sciences. Before commencing the research, written consent was obtained from all patients to utilize their clinical information.</w:t>
      </w:r>
    </w:p>
    <w:p w14:paraId="1EB53976" w14:textId="77777777" w:rsidR="000301F6" w:rsidRPr="000E24D8" w:rsidRDefault="0065094C" w:rsidP="000301F6">
      <w:pPr>
        <w:spacing w:after="0" w:line="276" w:lineRule="auto"/>
        <w:jc w:val="both"/>
        <w:divId w:val="580020057"/>
        <w:rPr>
          <w:rFonts w:eastAsia="Times New Roman" w:cstheme="minorHAnsi"/>
          <w:color w:val="FF0000"/>
          <w:lang w:val="en-PK"/>
        </w:rPr>
      </w:pPr>
      <w:r w:rsidRPr="00131012">
        <w:rPr>
          <w:rFonts w:eastAsia="Times New Roman" w:cstheme="minorHAnsi"/>
          <w:b/>
          <w:color w:val="000000" w:themeColor="text1"/>
        </w:rPr>
        <w:t xml:space="preserve">Clinical and </w:t>
      </w:r>
      <w:r w:rsidR="00F07C2A" w:rsidRPr="00131012">
        <w:rPr>
          <w:rFonts w:eastAsia="Times New Roman" w:cstheme="minorHAnsi"/>
          <w:b/>
          <w:color w:val="000000" w:themeColor="text1"/>
        </w:rPr>
        <w:t xml:space="preserve">laboratory data: </w:t>
      </w:r>
      <w:r w:rsidR="00E30949" w:rsidRPr="00131012">
        <w:rPr>
          <w:rFonts w:eastAsia="Times New Roman" w:cstheme="minorHAnsi"/>
          <w:b/>
          <w:color w:val="000000" w:themeColor="text1"/>
        </w:rPr>
        <w:t xml:space="preserve"> </w:t>
      </w:r>
      <w:r w:rsidR="00E34785" w:rsidRPr="00131012">
        <w:rPr>
          <w:rFonts w:eastAsia="Times New Roman" w:cstheme="minorHAnsi"/>
          <w:b/>
          <w:color w:val="000000" w:themeColor="text1"/>
        </w:rPr>
        <w:tab/>
      </w:r>
      <w:r w:rsidR="00E30949" w:rsidRPr="00AA58D1">
        <w:rPr>
          <w:rFonts w:eastAsia="Times New Roman" w:cstheme="minorHAnsi"/>
          <w:color w:val="000000" w:themeColor="text1"/>
        </w:rPr>
        <w:t xml:space="preserve">   </w:t>
      </w:r>
      <w:r w:rsidRPr="00AA58D1">
        <w:rPr>
          <w:rFonts w:eastAsia="Times New Roman" w:cstheme="minorHAnsi"/>
          <w:color w:val="000000" w:themeColor="text1"/>
        </w:rPr>
        <w:br/>
      </w:r>
      <w:r w:rsidR="000301F6" w:rsidRPr="000E24D8">
        <w:rPr>
          <w:rFonts w:eastAsia="Times New Roman" w:cstheme="minorHAnsi"/>
          <w:b/>
          <w:bCs/>
          <w:color w:val="FF0000"/>
          <w:lang w:val="en-PK"/>
        </w:rPr>
        <w:t>Data Collection:</w:t>
      </w:r>
    </w:p>
    <w:p w14:paraId="296A3398" w14:textId="77777777" w:rsidR="000301F6" w:rsidRPr="000301F6" w:rsidRDefault="000301F6" w:rsidP="000301F6">
      <w:pPr>
        <w:numPr>
          <w:ilvl w:val="0"/>
          <w:numId w:val="6"/>
        </w:numPr>
        <w:spacing w:after="0" w:line="276" w:lineRule="auto"/>
        <w:jc w:val="both"/>
        <w:divId w:val="580020057"/>
        <w:rPr>
          <w:rFonts w:eastAsia="Times New Roman" w:cstheme="minorHAnsi"/>
          <w:color w:val="FF0000"/>
          <w:lang w:val="en-PK"/>
        </w:rPr>
      </w:pPr>
      <w:r w:rsidRPr="000301F6">
        <w:rPr>
          <w:rFonts w:eastAsia="Times New Roman" w:cstheme="minorHAnsi"/>
          <w:b/>
          <w:bCs/>
          <w:color w:val="FF0000"/>
          <w:lang w:val="en-PK"/>
        </w:rPr>
        <w:lastRenderedPageBreak/>
        <w:t>Baseline Data:</w:t>
      </w:r>
      <w:r w:rsidRPr="000301F6">
        <w:rPr>
          <w:rFonts w:eastAsia="Times New Roman" w:cstheme="minorHAnsi"/>
          <w:color w:val="FF0000"/>
          <w:lang w:val="en-PK"/>
        </w:rPr>
        <w:t xml:space="preserve"> Data will be collected from </w:t>
      </w:r>
      <w:proofErr w:type="spellStart"/>
      <w:r w:rsidRPr="000301F6">
        <w:rPr>
          <w:rFonts w:eastAsia="Times New Roman" w:cstheme="minorHAnsi"/>
          <w:color w:val="FF0000"/>
          <w:lang w:val="en-PK"/>
        </w:rPr>
        <w:t>EHRs</w:t>
      </w:r>
      <w:proofErr w:type="spellEnd"/>
      <w:r w:rsidRPr="000301F6">
        <w:rPr>
          <w:rFonts w:eastAsia="Times New Roman" w:cstheme="minorHAnsi"/>
          <w:color w:val="FF0000"/>
          <w:lang w:val="en-PK"/>
        </w:rPr>
        <w:t>, including the following variables:</w:t>
      </w:r>
    </w:p>
    <w:p w14:paraId="6A4A0BE2" w14:textId="77777777" w:rsidR="000301F6" w:rsidRPr="000301F6" w:rsidRDefault="000301F6" w:rsidP="000301F6">
      <w:pPr>
        <w:numPr>
          <w:ilvl w:val="1"/>
          <w:numId w:val="6"/>
        </w:numPr>
        <w:spacing w:after="0" w:line="276" w:lineRule="auto"/>
        <w:jc w:val="both"/>
        <w:divId w:val="580020057"/>
        <w:rPr>
          <w:rFonts w:eastAsia="Times New Roman" w:cstheme="minorHAnsi"/>
          <w:color w:val="FF0000"/>
          <w:lang w:val="en-PK"/>
        </w:rPr>
      </w:pPr>
      <w:r w:rsidRPr="000301F6">
        <w:rPr>
          <w:rFonts w:eastAsia="Times New Roman" w:cstheme="minorHAnsi"/>
          <w:b/>
          <w:bCs/>
          <w:color w:val="FF0000"/>
          <w:lang w:val="en-PK"/>
        </w:rPr>
        <w:t>Demographics:</w:t>
      </w:r>
      <w:r w:rsidRPr="000301F6">
        <w:rPr>
          <w:rFonts w:eastAsia="Times New Roman" w:cstheme="minorHAnsi"/>
          <w:color w:val="FF0000"/>
          <w:lang w:val="en-PK"/>
        </w:rPr>
        <w:t xml:space="preserve"> Age, gender, body mass index (BMI), and smoking history.</w:t>
      </w:r>
    </w:p>
    <w:p w14:paraId="35B6C9C0" w14:textId="77777777" w:rsidR="000301F6" w:rsidRPr="000301F6" w:rsidRDefault="000301F6" w:rsidP="000301F6">
      <w:pPr>
        <w:numPr>
          <w:ilvl w:val="1"/>
          <w:numId w:val="6"/>
        </w:numPr>
        <w:spacing w:after="0" w:line="276" w:lineRule="auto"/>
        <w:jc w:val="both"/>
        <w:divId w:val="580020057"/>
        <w:rPr>
          <w:rFonts w:eastAsia="Times New Roman" w:cstheme="minorHAnsi"/>
          <w:color w:val="FF0000"/>
          <w:lang w:val="en-PK"/>
        </w:rPr>
      </w:pPr>
      <w:r w:rsidRPr="000301F6">
        <w:rPr>
          <w:rFonts w:eastAsia="Times New Roman" w:cstheme="minorHAnsi"/>
          <w:b/>
          <w:bCs/>
          <w:color w:val="FF0000"/>
          <w:lang w:val="en-PK"/>
        </w:rPr>
        <w:t>Clinical Characteristics:</w:t>
      </w:r>
      <w:r w:rsidRPr="000301F6">
        <w:rPr>
          <w:rFonts w:eastAsia="Times New Roman" w:cstheme="minorHAnsi"/>
          <w:color w:val="FF0000"/>
          <w:lang w:val="en-PK"/>
        </w:rPr>
        <w:t xml:space="preserve"> History of diabetes, hypertension, alcohol use, and metabolic syndrome.</w:t>
      </w:r>
    </w:p>
    <w:p w14:paraId="40668CC3" w14:textId="77777777" w:rsidR="000301F6" w:rsidRPr="000301F6" w:rsidRDefault="000301F6" w:rsidP="000301F6">
      <w:pPr>
        <w:numPr>
          <w:ilvl w:val="1"/>
          <w:numId w:val="6"/>
        </w:numPr>
        <w:spacing w:after="0" w:line="276" w:lineRule="auto"/>
        <w:jc w:val="both"/>
        <w:divId w:val="580020057"/>
        <w:rPr>
          <w:rFonts w:eastAsia="Times New Roman" w:cstheme="minorHAnsi"/>
          <w:color w:val="FF0000"/>
          <w:lang w:val="en-PK"/>
        </w:rPr>
      </w:pPr>
      <w:r w:rsidRPr="000301F6">
        <w:rPr>
          <w:rFonts w:eastAsia="Times New Roman" w:cstheme="minorHAnsi"/>
          <w:b/>
          <w:bCs/>
          <w:color w:val="FF0000"/>
          <w:lang w:val="en-PK"/>
        </w:rPr>
        <w:t>HCV-related Variables:</w:t>
      </w:r>
      <w:r w:rsidRPr="000301F6">
        <w:rPr>
          <w:rFonts w:eastAsia="Times New Roman" w:cstheme="minorHAnsi"/>
          <w:color w:val="FF0000"/>
          <w:lang w:val="en-PK"/>
        </w:rPr>
        <w:t xml:space="preserve"> HCV genotype, viral load, liver function tests (ALT, AST, albumin, bilirubin, INR), and presence of cirrhosis (compensated or decompensated).</w:t>
      </w:r>
    </w:p>
    <w:p w14:paraId="3932EFA7" w14:textId="77777777" w:rsidR="000301F6" w:rsidRPr="000301F6" w:rsidRDefault="000301F6" w:rsidP="000301F6">
      <w:pPr>
        <w:numPr>
          <w:ilvl w:val="1"/>
          <w:numId w:val="6"/>
        </w:numPr>
        <w:spacing w:after="0" w:line="276" w:lineRule="auto"/>
        <w:jc w:val="both"/>
        <w:divId w:val="580020057"/>
        <w:rPr>
          <w:rFonts w:eastAsia="Times New Roman" w:cstheme="minorHAnsi"/>
          <w:color w:val="FF0000"/>
          <w:lang w:val="en-PK"/>
        </w:rPr>
      </w:pPr>
      <w:r w:rsidRPr="000301F6">
        <w:rPr>
          <w:rFonts w:eastAsia="Times New Roman" w:cstheme="minorHAnsi"/>
          <w:b/>
          <w:bCs/>
          <w:color w:val="FF0000"/>
          <w:lang w:val="en-PK"/>
        </w:rPr>
        <w:t>Fibrosis Status:</w:t>
      </w:r>
      <w:r w:rsidRPr="000301F6">
        <w:rPr>
          <w:rFonts w:eastAsia="Times New Roman" w:cstheme="minorHAnsi"/>
          <w:color w:val="FF0000"/>
          <w:lang w:val="en-PK"/>
        </w:rPr>
        <w:t xml:space="preserve"> Assessed using </w:t>
      </w:r>
      <w:proofErr w:type="spellStart"/>
      <w:r w:rsidRPr="000301F6">
        <w:rPr>
          <w:rFonts w:eastAsia="Times New Roman" w:cstheme="minorHAnsi"/>
          <w:color w:val="FF0000"/>
          <w:lang w:val="en-PK"/>
        </w:rPr>
        <w:t>FibroScan</w:t>
      </w:r>
      <w:proofErr w:type="spellEnd"/>
      <w:r w:rsidRPr="000301F6">
        <w:rPr>
          <w:rFonts w:eastAsia="Times New Roman" w:cstheme="minorHAnsi"/>
          <w:color w:val="FF0000"/>
          <w:lang w:val="en-PK"/>
        </w:rPr>
        <w:t xml:space="preserve"> (transient elastography) or liver biopsy results, categorized as:</w:t>
      </w:r>
    </w:p>
    <w:p w14:paraId="7220B933" w14:textId="77777777" w:rsidR="000301F6" w:rsidRPr="000301F6" w:rsidRDefault="000301F6" w:rsidP="000301F6">
      <w:pPr>
        <w:numPr>
          <w:ilvl w:val="2"/>
          <w:numId w:val="6"/>
        </w:numPr>
        <w:spacing w:after="0" w:line="276" w:lineRule="auto"/>
        <w:jc w:val="both"/>
        <w:divId w:val="580020057"/>
        <w:rPr>
          <w:rFonts w:eastAsia="Times New Roman" w:cstheme="minorHAnsi"/>
          <w:color w:val="FF0000"/>
          <w:lang w:val="en-PK"/>
        </w:rPr>
      </w:pPr>
      <w:r w:rsidRPr="000301F6">
        <w:rPr>
          <w:rFonts w:eastAsia="Times New Roman" w:cstheme="minorHAnsi"/>
          <w:color w:val="FF0000"/>
          <w:lang w:val="en-PK"/>
        </w:rPr>
        <w:t>F0-F1 (mild/no fibrosis)</w:t>
      </w:r>
    </w:p>
    <w:p w14:paraId="6C6DCA11" w14:textId="77777777" w:rsidR="000301F6" w:rsidRPr="000301F6" w:rsidRDefault="000301F6" w:rsidP="000301F6">
      <w:pPr>
        <w:numPr>
          <w:ilvl w:val="2"/>
          <w:numId w:val="6"/>
        </w:numPr>
        <w:spacing w:after="0" w:line="276" w:lineRule="auto"/>
        <w:jc w:val="both"/>
        <w:divId w:val="580020057"/>
        <w:rPr>
          <w:rFonts w:eastAsia="Times New Roman" w:cstheme="minorHAnsi"/>
          <w:color w:val="FF0000"/>
          <w:lang w:val="en-PK"/>
        </w:rPr>
      </w:pPr>
      <w:r w:rsidRPr="000301F6">
        <w:rPr>
          <w:rFonts w:eastAsia="Times New Roman" w:cstheme="minorHAnsi"/>
          <w:color w:val="FF0000"/>
          <w:lang w:val="en-PK"/>
        </w:rPr>
        <w:t>F2-F3 (moderate fibrosis)</w:t>
      </w:r>
    </w:p>
    <w:p w14:paraId="4AEDE7C9" w14:textId="77777777" w:rsidR="000301F6" w:rsidRPr="000301F6" w:rsidRDefault="000301F6" w:rsidP="000301F6">
      <w:pPr>
        <w:numPr>
          <w:ilvl w:val="2"/>
          <w:numId w:val="6"/>
        </w:numPr>
        <w:spacing w:after="0" w:line="276" w:lineRule="auto"/>
        <w:jc w:val="both"/>
        <w:divId w:val="580020057"/>
        <w:rPr>
          <w:rFonts w:eastAsia="Times New Roman" w:cstheme="minorHAnsi"/>
          <w:color w:val="FF0000"/>
          <w:lang w:val="en-PK"/>
        </w:rPr>
      </w:pPr>
      <w:r w:rsidRPr="000301F6">
        <w:rPr>
          <w:rFonts w:eastAsia="Times New Roman" w:cstheme="minorHAnsi"/>
          <w:color w:val="FF0000"/>
          <w:lang w:val="en-PK"/>
        </w:rPr>
        <w:t>F4 (cirrhosis)</w:t>
      </w:r>
    </w:p>
    <w:p w14:paraId="23E1DC5E" w14:textId="77777777" w:rsidR="000301F6" w:rsidRPr="000301F6" w:rsidRDefault="000301F6" w:rsidP="000301F6">
      <w:pPr>
        <w:numPr>
          <w:ilvl w:val="1"/>
          <w:numId w:val="6"/>
        </w:numPr>
        <w:spacing w:after="0" w:line="276" w:lineRule="auto"/>
        <w:jc w:val="both"/>
        <w:divId w:val="580020057"/>
        <w:rPr>
          <w:rFonts w:eastAsia="Times New Roman" w:cstheme="minorHAnsi"/>
          <w:color w:val="FF0000"/>
          <w:lang w:val="en-PK"/>
        </w:rPr>
      </w:pPr>
      <w:r w:rsidRPr="000301F6">
        <w:rPr>
          <w:rFonts w:eastAsia="Times New Roman" w:cstheme="minorHAnsi"/>
          <w:b/>
          <w:bCs/>
          <w:color w:val="FF0000"/>
          <w:lang w:val="en-PK"/>
        </w:rPr>
        <w:t>Treatment History:</w:t>
      </w:r>
      <w:r w:rsidRPr="000301F6">
        <w:rPr>
          <w:rFonts w:eastAsia="Times New Roman" w:cstheme="minorHAnsi"/>
          <w:color w:val="FF0000"/>
          <w:lang w:val="en-PK"/>
        </w:rPr>
        <w:t xml:space="preserve"> Previous HCV treatments (if any), including interferon-based therapy.</w:t>
      </w:r>
    </w:p>
    <w:p w14:paraId="2ACFCD87" w14:textId="5B0475C0" w:rsidR="000301F6" w:rsidRPr="000301F6" w:rsidRDefault="000301F6" w:rsidP="000301F6">
      <w:pPr>
        <w:numPr>
          <w:ilvl w:val="1"/>
          <w:numId w:val="6"/>
        </w:numPr>
        <w:spacing w:after="0" w:line="276" w:lineRule="auto"/>
        <w:jc w:val="both"/>
        <w:divId w:val="580020057"/>
        <w:rPr>
          <w:rFonts w:eastAsia="Times New Roman" w:cstheme="minorHAnsi"/>
          <w:color w:val="FF0000"/>
          <w:lang w:val="en-PK"/>
        </w:rPr>
      </w:pPr>
      <w:r w:rsidRPr="000301F6">
        <w:rPr>
          <w:rFonts w:eastAsia="Times New Roman" w:cstheme="minorHAnsi"/>
          <w:b/>
          <w:bCs/>
          <w:color w:val="FF0000"/>
          <w:lang w:val="en-PK"/>
        </w:rPr>
        <w:t>DAA Regimen:</w:t>
      </w:r>
      <w:r w:rsidRPr="000301F6">
        <w:rPr>
          <w:rFonts w:eastAsia="Times New Roman" w:cstheme="minorHAnsi"/>
          <w:color w:val="FF0000"/>
          <w:lang w:val="en-PK"/>
        </w:rPr>
        <w:t xml:space="preserve"> Type of DAA used (e.g., sofosbuvir/daclatasvir, or sofosbuvir/</w:t>
      </w:r>
      <w:proofErr w:type="spellStart"/>
      <w:r w:rsidRPr="000301F6">
        <w:rPr>
          <w:rFonts w:eastAsia="Times New Roman" w:cstheme="minorHAnsi"/>
          <w:color w:val="FF0000"/>
          <w:lang w:val="en-PK"/>
        </w:rPr>
        <w:t>velpatasvir</w:t>
      </w:r>
      <w:proofErr w:type="spellEnd"/>
      <w:r w:rsidRPr="000301F6">
        <w:rPr>
          <w:rFonts w:eastAsia="Times New Roman" w:cstheme="minorHAnsi"/>
          <w:color w:val="FF0000"/>
          <w:lang w:val="en-PK"/>
        </w:rPr>
        <w:t>), treatment duration (12 or 24 weeks), and any ribavirin co-administration.</w:t>
      </w:r>
    </w:p>
    <w:p w14:paraId="52E04561" w14:textId="581F3A9F" w:rsidR="0065094C" w:rsidRPr="00494E44" w:rsidRDefault="0065094C" w:rsidP="00131012">
      <w:pPr>
        <w:spacing w:after="0" w:line="276" w:lineRule="auto"/>
        <w:jc w:val="both"/>
        <w:divId w:val="580020057"/>
        <w:rPr>
          <w:rFonts w:eastAsia="Times New Roman" w:cstheme="minorHAnsi"/>
          <w:b/>
          <w:color w:val="000000" w:themeColor="text1"/>
        </w:rPr>
      </w:pPr>
      <w:r w:rsidRPr="00494E44">
        <w:rPr>
          <w:rFonts w:eastAsia="Times New Roman" w:cstheme="minorHAnsi"/>
          <w:b/>
          <w:color w:val="000000" w:themeColor="text1"/>
        </w:rPr>
        <w:t>Virological Response: </w:t>
      </w:r>
    </w:p>
    <w:p w14:paraId="00D28D7B" w14:textId="643DC961" w:rsidR="0065094C" w:rsidRPr="00AA58D1" w:rsidRDefault="00C11724" w:rsidP="008E59F8">
      <w:pPr>
        <w:spacing w:line="240" w:lineRule="auto"/>
        <w:jc w:val="both"/>
        <w:divId w:val="813259791"/>
        <w:rPr>
          <w:rFonts w:eastAsia="Times New Roman" w:cstheme="minorHAnsi"/>
          <w:color w:val="000000" w:themeColor="text1"/>
        </w:rPr>
      </w:pPr>
      <w:r w:rsidRPr="00E21EFC">
        <w:rPr>
          <w:rFonts w:eastAsia="Times New Roman" w:cstheme="minorHAnsi"/>
          <w:color w:val="FF0000"/>
        </w:rPr>
        <w:t>For</w:t>
      </w:r>
      <w:r w:rsidR="0065094C" w:rsidRPr="00E21EFC">
        <w:rPr>
          <w:rFonts w:eastAsia="Times New Roman" w:cstheme="minorHAnsi"/>
          <w:color w:val="FF0000"/>
        </w:rPr>
        <w:t xml:space="preserve"> virological Response HCV RNA Quantification PCR</w:t>
      </w:r>
      <w:r w:rsidR="00E21EFC" w:rsidRPr="00E21EFC">
        <w:rPr>
          <w:rFonts w:eastAsia="Times New Roman" w:cstheme="minorHAnsi"/>
          <w:color w:val="FF0000"/>
        </w:rPr>
        <w:t xml:space="preserve"> was done at baseline ,1 month of </w:t>
      </w:r>
      <w:proofErr w:type="gramStart"/>
      <w:r w:rsidR="00E21EFC" w:rsidRPr="00E21EFC">
        <w:rPr>
          <w:rFonts w:eastAsia="Times New Roman" w:cstheme="minorHAnsi"/>
          <w:color w:val="FF0000"/>
        </w:rPr>
        <w:t>treatment ,end</w:t>
      </w:r>
      <w:proofErr w:type="gramEnd"/>
      <w:r w:rsidR="00E21EFC" w:rsidRPr="00E21EFC">
        <w:rPr>
          <w:rFonts w:eastAsia="Times New Roman" w:cstheme="minorHAnsi"/>
          <w:color w:val="FF0000"/>
        </w:rPr>
        <w:t xml:space="preserve"> of treatment and after 6 month of treatment</w:t>
      </w:r>
      <w:r w:rsidR="00D73010" w:rsidRPr="00E21EFC">
        <w:rPr>
          <w:rFonts w:eastAsia="Times New Roman" w:cstheme="minorHAnsi"/>
          <w:color w:val="FF0000"/>
        </w:rPr>
        <w:t> </w:t>
      </w:r>
      <w:r w:rsidR="00D73010" w:rsidRPr="00AA58D1">
        <w:rPr>
          <w:rFonts w:eastAsia="Times New Roman" w:cstheme="minorHAnsi"/>
          <w:color w:val="000000" w:themeColor="text1"/>
        </w:rPr>
        <w:t>and</w:t>
      </w:r>
      <w:r w:rsidR="0065094C" w:rsidRPr="00AA58D1">
        <w:rPr>
          <w:rFonts w:eastAsia="Times New Roman" w:cstheme="minorHAnsi"/>
          <w:color w:val="000000" w:themeColor="text1"/>
        </w:rPr>
        <w:t xml:space="preserve"> HCV Genotype was </w:t>
      </w:r>
      <w:r w:rsidR="00E21EFC">
        <w:rPr>
          <w:rFonts w:eastAsia="Times New Roman" w:cstheme="minorHAnsi"/>
          <w:color w:val="000000" w:themeColor="text1"/>
        </w:rPr>
        <w:t xml:space="preserve">also </w:t>
      </w:r>
      <w:r w:rsidR="0065094C" w:rsidRPr="00AA58D1">
        <w:rPr>
          <w:rFonts w:eastAsia="Times New Roman" w:cstheme="minorHAnsi"/>
          <w:color w:val="000000" w:themeColor="text1"/>
        </w:rPr>
        <w:t>done . For the efficacy of these</w:t>
      </w:r>
      <w:r w:rsidR="00D73010" w:rsidRPr="00AA58D1">
        <w:rPr>
          <w:rFonts w:eastAsia="Times New Roman" w:cstheme="minorHAnsi"/>
          <w:color w:val="000000" w:themeColor="text1"/>
        </w:rPr>
        <w:t> antiviral</w:t>
      </w:r>
      <w:r w:rsidR="0065094C" w:rsidRPr="00AA58D1">
        <w:rPr>
          <w:rFonts w:eastAsia="Times New Roman" w:cstheme="minorHAnsi"/>
          <w:color w:val="000000" w:themeColor="text1"/>
        </w:rPr>
        <w:t xml:space="preserve"> treatment, known as Sustained virological response, was determined by the absence of HCV RNA Quantification</w:t>
      </w:r>
      <w:r w:rsidR="002253E3" w:rsidRPr="00AA58D1">
        <w:rPr>
          <w:rFonts w:eastAsia="Times New Roman" w:cstheme="minorHAnsi"/>
          <w:color w:val="000000" w:themeColor="text1"/>
        </w:rPr>
        <w:t> (</w:t>
      </w:r>
      <w:r w:rsidR="0065094C" w:rsidRPr="00AA58D1">
        <w:rPr>
          <w:rFonts w:eastAsia="Times New Roman" w:cstheme="minorHAnsi"/>
          <w:color w:val="000000" w:themeColor="text1"/>
        </w:rPr>
        <w:t>&lt;15 IU/mL) at the end of the</w:t>
      </w:r>
      <w:r w:rsidR="002253E3" w:rsidRPr="00AA58D1">
        <w:rPr>
          <w:rFonts w:eastAsia="Times New Roman" w:cstheme="minorHAnsi"/>
          <w:color w:val="000000" w:themeColor="text1"/>
        </w:rPr>
        <w:t> treatment</w:t>
      </w:r>
      <w:r w:rsidR="0065094C" w:rsidRPr="00AA58D1">
        <w:rPr>
          <w:rFonts w:eastAsia="Times New Roman" w:cstheme="minorHAnsi"/>
          <w:color w:val="000000" w:themeColor="text1"/>
        </w:rPr>
        <w:t xml:space="preserve"> with DAA regimen, as well as at 24 weeks and 1 year later.</w:t>
      </w:r>
    </w:p>
    <w:p w14:paraId="288A6919" w14:textId="12DF23FE" w:rsidR="0065094C" w:rsidRPr="00F32CE2" w:rsidRDefault="00F32CE2" w:rsidP="00F32CE2">
      <w:pPr>
        <w:pStyle w:val="NoSpacing"/>
        <w:divId w:val="1558786128"/>
        <w:rPr>
          <w:rFonts w:eastAsia="Times New Roman"/>
          <w:color w:val="FF0000"/>
        </w:rPr>
      </w:pPr>
      <w:r w:rsidRPr="00F32CE2">
        <w:rPr>
          <w:rFonts w:eastAsia="Times New Roman"/>
          <w:b/>
          <w:bCs/>
          <w:color w:val="FF0000"/>
        </w:rPr>
        <w:t>Imaging and baseline alpha fetoprotein level:</w:t>
      </w:r>
      <w:r w:rsidR="0065094C" w:rsidRPr="00F32CE2">
        <w:rPr>
          <w:rFonts w:eastAsia="Times New Roman"/>
          <w:b/>
          <w:bCs/>
          <w:color w:val="FF0000"/>
        </w:rPr>
        <w:br/>
      </w:r>
      <w:r w:rsidR="0065094C" w:rsidRPr="00F32CE2">
        <w:rPr>
          <w:rFonts w:eastAsia="Times New Roman"/>
          <w:b/>
          <w:bCs/>
          <w:color w:val="FF0000"/>
        </w:rPr>
        <w:br/>
      </w:r>
      <w:r w:rsidR="0065094C" w:rsidRPr="00F32CE2">
        <w:rPr>
          <w:rFonts w:eastAsia="Times New Roman"/>
          <w:color w:val="FF0000"/>
        </w:rPr>
        <w:t xml:space="preserve">Patient also undergone abdominal imaging including Ultrasound, CT scan or MRI and </w:t>
      </w:r>
      <w:proofErr w:type="gramStart"/>
      <w:r w:rsidR="0065094C" w:rsidRPr="00F32CE2">
        <w:rPr>
          <w:rFonts w:eastAsia="Times New Roman"/>
          <w:color w:val="FF0000"/>
        </w:rPr>
        <w:t>if  a</w:t>
      </w:r>
      <w:proofErr w:type="gramEnd"/>
      <w:r w:rsidR="0065094C" w:rsidRPr="00F32CE2">
        <w:rPr>
          <w:rFonts w:eastAsia="Times New Roman"/>
          <w:color w:val="FF0000"/>
        </w:rPr>
        <w:t xml:space="preserve"> new identification of  liver nodule (≥5 mm) appeared on  ultrasound, it would be </w:t>
      </w:r>
      <w:r w:rsidR="002253E3" w:rsidRPr="00F32CE2">
        <w:rPr>
          <w:rFonts w:eastAsia="Times New Roman"/>
          <w:color w:val="FF0000"/>
        </w:rPr>
        <w:t>re-examined</w:t>
      </w:r>
      <w:r w:rsidR="0065094C" w:rsidRPr="00F32CE2">
        <w:rPr>
          <w:rFonts w:eastAsia="Times New Roman"/>
          <w:color w:val="FF0000"/>
        </w:rPr>
        <w:t xml:space="preserve"> after 3 months using US, and if it was ≥ 10 mm, a CT scan Abdomen or a MRI with a liver-specific contrast medium would be performed.</w:t>
      </w:r>
      <w:r w:rsidRPr="00F32CE2">
        <w:rPr>
          <w:rFonts w:eastAsia="Times New Roman"/>
          <w:bCs/>
          <w:kern w:val="0"/>
        </w:rPr>
        <w:t xml:space="preserve"> </w:t>
      </w:r>
      <w:r w:rsidRPr="00F32CE2">
        <w:rPr>
          <w:rFonts w:eastAsia="Times New Roman"/>
          <w:bCs/>
          <w:color w:val="FF0000"/>
        </w:rPr>
        <w:t>Additionally, alpha-fetoprotein levels were measured as part of the appropriate measures to exclude the presence of HCC before initiating the treatment</w:t>
      </w:r>
    </w:p>
    <w:p w14:paraId="60EEAD83" w14:textId="77777777" w:rsidR="002B0F44" w:rsidRPr="002B0F44" w:rsidRDefault="002B0F44" w:rsidP="008E59F8">
      <w:pPr>
        <w:spacing w:after="0" w:line="240" w:lineRule="auto"/>
        <w:jc w:val="both"/>
        <w:divId w:val="1558786128"/>
        <w:rPr>
          <w:rFonts w:eastAsia="Times New Roman" w:cstheme="minorHAnsi"/>
          <w:color w:val="000000" w:themeColor="text1"/>
          <w:sz w:val="14"/>
        </w:rPr>
      </w:pPr>
    </w:p>
    <w:p w14:paraId="3F83603B" w14:textId="77777777" w:rsidR="00A75E3B" w:rsidRDefault="00A75E3B" w:rsidP="008E59F8">
      <w:pPr>
        <w:spacing w:after="0" w:line="240" w:lineRule="auto"/>
        <w:jc w:val="both"/>
        <w:divId w:val="1962149171"/>
        <w:rPr>
          <w:rFonts w:eastAsia="Times New Roman" w:cstheme="minorHAnsi"/>
          <w:b/>
          <w:color w:val="000000" w:themeColor="text1"/>
        </w:rPr>
      </w:pPr>
      <w:r w:rsidRPr="002B0F44">
        <w:rPr>
          <w:rFonts w:eastAsia="Times New Roman" w:cstheme="minorHAnsi"/>
          <w:b/>
          <w:color w:val="000000" w:themeColor="text1"/>
        </w:rPr>
        <w:t>HCC Diagnosis:</w:t>
      </w:r>
    </w:p>
    <w:p w14:paraId="2E0F8D4E" w14:textId="77777777" w:rsidR="002B0F44" w:rsidRPr="002B0F44" w:rsidRDefault="002B0F44" w:rsidP="008E59F8">
      <w:pPr>
        <w:spacing w:after="0" w:line="240" w:lineRule="auto"/>
        <w:jc w:val="both"/>
        <w:divId w:val="1962149171"/>
        <w:rPr>
          <w:rFonts w:eastAsia="Times New Roman" w:cstheme="minorHAnsi"/>
          <w:b/>
          <w:color w:val="000000" w:themeColor="text1"/>
          <w:sz w:val="12"/>
        </w:rPr>
      </w:pPr>
    </w:p>
    <w:p w14:paraId="25ACA2F5" w14:textId="77777777" w:rsidR="00A75E3B" w:rsidRDefault="00A75E3B" w:rsidP="008E59F8">
      <w:pPr>
        <w:spacing w:after="0" w:line="240" w:lineRule="auto"/>
        <w:jc w:val="both"/>
        <w:divId w:val="1962149171"/>
        <w:rPr>
          <w:rFonts w:eastAsia="Times New Roman" w:cstheme="minorHAnsi"/>
          <w:color w:val="000000" w:themeColor="text1"/>
        </w:rPr>
      </w:pPr>
      <w:r w:rsidRPr="00AA58D1">
        <w:rPr>
          <w:rFonts w:eastAsia="Times New Roman" w:cstheme="minorHAnsi"/>
          <w:color w:val="000000" w:themeColor="text1"/>
        </w:rPr>
        <w:t xml:space="preserve">To diagnose HCC, the EASL criteria [9] were employed. During the diagnosis of HCC, the liver Function tests, classification of Child-Pugh, </w:t>
      </w:r>
      <w:proofErr w:type="spellStart"/>
      <w:r w:rsidRPr="00AA58D1">
        <w:rPr>
          <w:rFonts w:eastAsia="Times New Roman" w:cstheme="minorHAnsi"/>
          <w:color w:val="000000" w:themeColor="text1"/>
        </w:rPr>
        <w:t>tumor</w:t>
      </w:r>
      <w:proofErr w:type="spellEnd"/>
      <w:r w:rsidRPr="00AA58D1">
        <w:rPr>
          <w:rFonts w:eastAsia="Times New Roman" w:cstheme="minorHAnsi"/>
          <w:color w:val="000000" w:themeColor="text1"/>
        </w:rPr>
        <w:t xml:space="preserve"> burdens, and </w:t>
      </w:r>
      <w:proofErr w:type="spellStart"/>
      <w:r w:rsidRPr="00AA58D1">
        <w:rPr>
          <w:rFonts w:eastAsia="Times New Roman" w:cstheme="minorHAnsi"/>
          <w:color w:val="000000" w:themeColor="text1"/>
        </w:rPr>
        <w:t>tumor</w:t>
      </w:r>
      <w:proofErr w:type="spellEnd"/>
      <w:r w:rsidRPr="00AA58D1">
        <w:rPr>
          <w:rFonts w:eastAsia="Times New Roman" w:cstheme="minorHAnsi"/>
          <w:color w:val="000000" w:themeColor="text1"/>
        </w:rPr>
        <w:t>-related symptoms (ECOG-PS) were evaluated using the BCLC staging system [10]. After undergoing DAA therapy, AFP levels and US were utilized for monitoring purposes at 6-month intervals, followed by subsequent assessments every 12 months.</w:t>
      </w:r>
    </w:p>
    <w:p w14:paraId="45F621DB" w14:textId="77777777" w:rsidR="000E24D8" w:rsidRDefault="000E24D8" w:rsidP="008E59F8">
      <w:pPr>
        <w:spacing w:after="0" w:line="240" w:lineRule="auto"/>
        <w:jc w:val="both"/>
        <w:divId w:val="1962149171"/>
        <w:rPr>
          <w:rFonts w:eastAsia="Times New Roman" w:cstheme="minorHAnsi"/>
          <w:color w:val="000000" w:themeColor="text1"/>
        </w:rPr>
      </w:pPr>
    </w:p>
    <w:p w14:paraId="7A5026A5" w14:textId="77777777" w:rsidR="000E24D8" w:rsidRPr="000E24D8" w:rsidRDefault="000E24D8" w:rsidP="000E24D8">
      <w:pPr>
        <w:spacing w:after="0" w:line="240" w:lineRule="auto"/>
        <w:jc w:val="both"/>
        <w:divId w:val="1962149171"/>
        <w:rPr>
          <w:rFonts w:eastAsia="Times New Roman" w:cstheme="minorHAnsi"/>
          <w:color w:val="FF0000"/>
          <w:lang w:val="en-PK"/>
        </w:rPr>
      </w:pPr>
      <w:r w:rsidRPr="000E24D8">
        <w:rPr>
          <w:rFonts w:eastAsia="Times New Roman" w:cstheme="minorHAnsi"/>
          <w:b/>
          <w:bCs/>
          <w:color w:val="FF0000"/>
          <w:lang w:val="en-PK"/>
        </w:rPr>
        <w:t>Treatment Protocol for HCV in Pakistan:</w:t>
      </w:r>
    </w:p>
    <w:p w14:paraId="6FE772B6" w14:textId="2FE50B37" w:rsidR="000E24D8" w:rsidRPr="000E24D8" w:rsidRDefault="000E24D8" w:rsidP="000E24D8">
      <w:pPr>
        <w:spacing w:after="0" w:line="240" w:lineRule="auto"/>
        <w:jc w:val="both"/>
        <w:divId w:val="1962149171"/>
        <w:rPr>
          <w:rFonts w:eastAsia="Times New Roman" w:cstheme="minorHAnsi"/>
          <w:color w:val="FF0000"/>
          <w:lang w:val="en-PK"/>
        </w:rPr>
      </w:pPr>
      <w:r w:rsidRPr="000E24D8">
        <w:rPr>
          <w:rFonts w:eastAsia="Times New Roman" w:cstheme="minorHAnsi"/>
          <w:color w:val="FF0000"/>
          <w:lang w:val="en-PK"/>
        </w:rPr>
        <w:t xml:space="preserve">In Pakistan, the majority of patients receive all-oral DAA regimens, following international guidelines but adapted based on drug availability. The </w:t>
      </w:r>
      <w:r w:rsidR="00F32CE2" w:rsidRPr="000E24D8">
        <w:rPr>
          <w:rFonts w:eastAsia="Times New Roman" w:cstheme="minorHAnsi"/>
          <w:color w:val="FF0000"/>
          <w:lang w:val="en-PK"/>
        </w:rPr>
        <w:t>most used</w:t>
      </w:r>
      <w:r w:rsidRPr="000E24D8">
        <w:rPr>
          <w:rFonts w:eastAsia="Times New Roman" w:cstheme="minorHAnsi"/>
          <w:color w:val="FF0000"/>
          <w:lang w:val="en-PK"/>
        </w:rPr>
        <w:t xml:space="preserve"> DAA combinations include:</w:t>
      </w:r>
    </w:p>
    <w:p w14:paraId="3C155624" w14:textId="79546911" w:rsidR="000E24D8" w:rsidRPr="000E24D8" w:rsidRDefault="000E24D8" w:rsidP="000E24D8">
      <w:pPr>
        <w:numPr>
          <w:ilvl w:val="0"/>
          <w:numId w:val="7"/>
        </w:numPr>
        <w:spacing w:after="0" w:line="240" w:lineRule="auto"/>
        <w:jc w:val="both"/>
        <w:divId w:val="1962149171"/>
        <w:rPr>
          <w:rFonts w:eastAsia="Times New Roman" w:cstheme="minorHAnsi"/>
          <w:color w:val="FF0000"/>
          <w:lang w:val="en-PK"/>
        </w:rPr>
      </w:pPr>
      <w:r w:rsidRPr="000E24D8">
        <w:rPr>
          <w:rFonts w:eastAsia="Times New Roman" w:cstheme="minorHAnsi"/>
          <w:b/>
          <w:bCs/>
          <w:color w:val="FF0000"/>
          <w:lang w:val="en-PK"/>
        </w:rPr>
        <w:t>Sofosbuvir + Daclatasvir</w:t>
      </w:r>
      <w:r w:rsidRPr="000E24D8">
        <w:rPr>
          <w:rFonts w:eastAsia="Times New Roman" w:cstheme="minorHAnsi"/>
          <w:color w:val="FF0000"/>
          <w:lang w:val="en-PK"/>
        </w:rPr>
        <w:t xml:space="preserve"> for 12-24 </w:t>
      </w:r>
      <w:r w:rsidR="00F32CE2" w:rsidRPr="000E24D8">
        <w:rPr>
          <w:rFonts w:eastAsia="Times New Roman" w:cstheme="minorHAnsi"/>
          <w:color w:val="FF0000"/>
          <w:lang w:val="en-PK"/>
        </w:rPr>
        <w:t>weeks.</w:t>
      </w:r>
    </w:p>
    <w:p w14:paraId="19967C18" w14:textId="77777777" w:rsidR="000E24D8" w:rsidRPr="000E24D8" w:rsidRDefault="000E24D8" w:rsidP="000E24D8">
      <w:pPr>
        <w:numPr>
          <w:ilvl w:val="0"/>
          <w:numId w:val="7"/>
        </w:numPr>
        <w:spacing w:after="0" w:line="240" w:lineRule="auto"/>
        <w:jc w:val="both"/>
        <w:divId w:val="1962149171"/>
        <w:rPr>
          <w:rFonts w:eastAsia="Times New Roman" w:cstheme="minorHAnsi"/>
          <w:color w:val="FF0000"/>
          <w:lang w:val="en-PK"/>
        </w:rPr>
      </w:pPr>
      <w:r w:rsidRPr="000E24D8">
        <w:rPr>
          <w:rFonts w:eastAsia="Times New Roman" w:cstheme="minorHAnsi"/>
          <w:b/>
          <w:bCs/>
          <w:color w:val="FF0000"/>
          <w:lang w:val="en-PK"/>
        </w:rPr>
        <w:t xml:space="preserve">Sofosbuvir + </w:t>
      </w:r>
      <w:proofErr w:type="spellStart"/>
      <w:r w:rsidRPr="000E24D8">
        <w:rPr>
          <w:rFonts w:eastAsia="Times New Roman" w:cstheme="minorHAnsi"/>
          <w:b/>
          <w:bCs/>
          <w:color w:val="FF0000"/>
          <w:lang w:val="en-PK"/>
        </w:rPr>
        <w:t>Velpatasvir</w:t>
      </w:r>
      <w:proofErr w:type="spellEnd"/>
      <w:r w:rsidRPr="000E24D8">
        <w:rPr>
          <w:rFonts w:eastAsia="Times New Roman" w:cstheme="minorHAnsi"/>
          <w:color w:val="FF0000"/>
          <w:lang w:val="en-PK"/>
        </w:rPr>
        <w:t xml:space="preserve"> for 12 weeks, especially in patients with all genotypes.</w:t>
      </w:r>
    </w:p>
    <w:p w14:paraId="3D237677" w14:textId="77777777" w:rsidR="000E24D8" w:rsidRPr="000E24D8" w:rsidRDefault="000E24D8" w:rsidP="000E24D8">
      <w:pPr>
        <w:numPr>
          <w:ilvl w:val="0"/>
          <w:numId w:val="7"/>
        </w:numPr>
        <w:spacing w:after="0" w:line="240" w:lineRule="auto"/>
        <w:jc w:val="both"/>
        <w:divId w:val="1962149171"/>
        <w:rPr>
          <w:rFonts w:eastAsia="Times New Roman" w:cstheme="minorHAnsi"/>
          <w:color w:val="FF0000"/>
          <w:lang w:val="en-PK"/>
        </w:rPr>
      </w:pPr>
      <w:r w:rsidRPr="000E24D8">
        <w:rPr>
          <w:rFonts w:eastAsia="Times New Roman" w:cstheme="minorHAnsi"/>
          <w:b/>
          <w:bCs/>
          <w:color w:val="FF0000"/>
          <w:lang w:val="en-PK"/>
        </w:rPr>
        <w:t>Ribavirin</w:t>
      </w:r>
      <w:r w:rsidRPr="000E24D8">
        <w:rPr>
          <w:rFonts w:eastAsia="Times New Roman" w:cstheme="minorHAnsi"/>
          <w:color w:val="FF0000"/>
          <w:lang w:val="en-PK"/>
        </w:rPr>
        <w:t xml:space="preserve"> is often added in patients with decompensated cirrhosis or a history of treatment failure.</w:t>
      </w:r>
    </w:p>
    <w:p w14:paraId="15B24A2E" w14:textId="77777777" w:rsidR="000E24D8" w:rsidRPr="000E24D8" w:rsidRDefault="000E24D8" w:rsidP="000E24D8">
      <w:pPr>
        <w:spacing w:after="0" w:line="240" w:lineRule="auto"/>
        <w:jc w:val="both"/>
        <w:divId w:val="1962149171"/>
        <w:rPr>
          <w:rFonts w:eastAsia="Times New Roman" w:cstheme="minorHAnsi"/>
          <w:color w:val="FF0000"/>
          <w:lang w:val="en-PK"/>
        </w:rPr>
      </w:pPr>
      <w:r w:rsidRPr="000E24D8">
        <w:rPr>
          <w:rFonts w:eastAsia="Times New Roman" w:cstheme="minorHAnsi"/>
          <w:b/>
          <w:bCs/>
          <w:color w:val="FF0000"/>
          <w:lang w:val="en-PK"/>
        </w:rPr>
        <w:t>Outcome Measures:</w:t>
      </w:r>
    </w:p>
    <w:p w14:paraId="73D47277" w14:textId="77777777" w:rsidR="000E24D8" w:rsidRPr="000E24D8" w:rsidRDefault="000E24D8" w:rsidP="000E24D8">
      <w:pPr>
        <w:numPr>
          <w:ilvl w:val="0"/>
          <w:numId w:val="8"/>
        </w:numPr>
        <w:spacing w:after="0" w:line="240" w:lineRule="auto"/>
        <w:jc w:val="both"/>
        <w:divId w:val="1962149171"/>
        <w:rPr>
          <w:rFonts w:eastAsia="Times New Roman" w:cstheme="minorHAnsi"/>
          <w:color w:val="FF0000"/>
          <w:lang w:val="en-PK"/>
        </w:rPr>
      </w:pPr>
      <w:r w:rsidRPr="000E24D8">
        <w:rPr>
          <w:rFonts w:eastAsia="Times New Roman" w:cstheme="minorHAnsi"/>
          <w:b/>
          <w:bCs/>
          <w:color w:val="FF0000"/>
          <w:lang w:val="en-PK"/>
        </w:rPr>
        <w:t>Primary Outcome:</w:t>
      </w:r>
    </w:p>
    <w:p w14:paraId="3838426E" w14:textId="77777777" w:rsidR="000E24D8" w:rsidRPr="000E24D8" w:rsidRDefault="000E24D8" w:rsidP="000E24D8">
      <w:pPr>
        <w:numPr>
          <w:ilvl w:val="1"/>
          <w:numId w:val="8"/>
        </w:numPr>
        <w:spacing w:after="0" w:line="240" w:lineRule="auto"/>
        <w:jc w:val="both"/>
        <w:divId w:val="1962149171"/>
        <w:rPr>
          <w:rFonts w:eastAsia="Times New Roman" w:cstheme="minorHAnsi"/>
          <w:color w:val="FF0000"/>
          <w:lang w:val="en-PK"/>
        </w:rPr>
      </w:pPr>
      <w:r w:rsidRPr="000E24D8">
        <w:rPr>
          <w:rFonts w:eastAsia="Times New Roman" w:cstheme="minorHAnsi"/>
          <w:b/>
          <w:bCs/>
          <w:color w:val="FF0000"/>
          <w:lang w:val="en-PK"/>
        </w:rPr>
        <w:t>Incidence of HCC Post-DAA Therapy:</w:t>
      </w:r>
      <w:r w:rsidRPr="000E24D8">
        <w:rPr>
          <w:rFonts w:eastAsia="Times New Roman" w:cstheme="minorHAnsi"/>
          <w:color w:val="FF0000"/>
          <w:lang w:val="en-PK"/>
        </w:rPr>
        <w:t xml:space="preserve"> The primary outcome is the occurrence of newly diagnosed HCC after achieving SVR with DAA treatment. HCC incidence will be calculated as the number of HCC cases per 100 person-years of follow-up.</w:t>
      </w:r>
    </w:p>
    <w:p w14:paraId="615951E5" w14:textId="77777777" w:rsidR="000E24D8" w:rsidRPr="000E24D8" w:rsidRDefault="000E24D8" w:rsidP="000E24D8">
      <w:pPr>
        <w:numPr>
          <w:ilvl w:val="0"/>
          <w:numId w:val="8"/>
        </w:numPr>
        <w:spacing w:after="0" w:line="240" w:lineRule="auto"/>
        <w:jc w:val="both"/>
        <w:divId w:val="1962149171"/>
        <w:rPr>
          <w:rFonts w:eastAsia="Times New Roman" w:cstheme="minorHAnsi"/>
          <w:color w:val="FF0000"/>
          <w:lang w:val="en-PK"/>
        </w:rPr>
      </w:pPr>
      <w:r w:rsidRPr="000E24D8">
        <w:rPr>
          <w:rFonts w:eastAsia="Times New Roman" w:cstheme="minorHAnsi"/>
          <w:b/>
          <w:bCs/>
          <w:color w:val="FF0000"/>
          <w:lang w:val="en-PK"/>
        </w:rPr>
        <w:lastRenderedPageBreak/>
        <w:t>Secondary Outcomes:</w:t>
      </w:r>
    </w:p>
    <w:p w14:paraId="3AA7B986" w14:textId="77777777" w:rsidR="000E24D8" w:rsidRPr="000E24D8" w:rsidRDefault="000E24D8" w:rsidP="000E24D8">
      <w:pPr>
        <w:numPr>
          <w:ilvl w:val="1"/>
          <w:numId w:val="8"/>
        </w:numPr>
        <w:spacing w:after="0" w:line="240" w:lineRule="auto"/>
        <w:jc w:val="both"/>
        <w:divId w:val="1962149171"/>
        <w:rPr>
          <w:rFonts w:eastAsia="Times New Roman" w:cstheme="minorHAnsi"/>
          <w:color w:val="FF0000"/>
          <w:lang w:val="en-PK"/>
        </w:rPr>
      </w:pPr>
      <w:r w:rsidRPr="000E24D8">
        <w:rPr>
          <w:rFonts w:eastAsia="Times New Roman" w:cstheme="minorHAnsi"/>
          <w:b/>
          <w:bCs/>
          <w:color w:val="FF0000"/>
          <w:lang w:val="en-PK"/>
        </w:rPr>
        <w:t>Time to HCC Development:</w:t>
      </w:r>
      <w:r w:rsidRPr="000E24D8">
        <w:rPr>
          <w:rFonts w:eastAsia="Times New Roman" w:cstheme="minorHAnsi"/>
          <w:color w:val="FF0000"/>
          <w:lang w:val="en-PK"/>
        </w:rPr>
        <w:t xml:space="preserve"> Time from the end of DAA therapy (or SVR achievement) to HCC diagnosis.</w:t>
      </w:r>
    </w:p>
    <w:p w14:paraId="4F8522C5" w14:textId="77777777" w:rsidR="000E24D8" w:rsidRPr="000E24D8" w:rsidRDefault="000E24D8" w:rsidP="000E24D8">
      <w:pPr>
        <w:numPr>
          <w:ilvl w:val="1"/>
          <w:numId w:val="8"/>
        </w:numPr>
        <w:spacing w:after="0" w:line="240" w:lineRule="auto"/>
        <w:jc w:val="both"/>
        <w:divId w:val="1962149171"/>
        <w:rPr>
          <w:rFonts w:eastAsia="Times New Roman" w:cstheme="minorHAnsi"/>
          <w:color w:val="FF0000"/>
          <w:lang w:val="en-PK"/>
        </w:rPr>
      </w:pPr>
      <w:r w:rsidRPr="000E24D8">
        <w:rPr>
          <w:rFonts w:eastAsia="Times New Roman" w:cstheme="minorHAnsi"/>
          <w:b/>
          <w:bCs/>
          <w:color w:val="FF0000"/>
          <w:lang w:val="en-PK"/>
        </w:rPr>
        <w:t>Risk Factors for HCC:</w:t>
      </w:r>
      <w:r w:rsidRPr="000E24D8">
        <w:rPr>
          <w:rFonts w:eastAsia="Times New Roman" w:cstheme="minorHAnsi"/>
          <w:color w:val="FF0000"/>
          <w:lang w:val="en-PK"/>
        </w:rPr>
        <w:t xml:space="preserve"> Clinical and demographic variables associated with HCC development post-DAA treatment, such as age, gender, presence of cirrhosis, fibrosis stage, diabetes, and DAA regimen used.</w:t>
      </w:r>
    </w:p>
    <w:p w14:paraId="4193B848" w14:textId="27639569" w:rsidR="000E24D8" w:rsidRPr="000E24D8" w:rsidRDefault="000E24D8" w:rsidP="000E24D8">
      <w:pPr>
        <w:numPr>
          <w:ilvl w:val="1"/>
          <w:numId w:val="8"/>
        </w:numPr>
        <w:spacing w:after="0" w:line="240" w:lineRule="auto"/>
        <w:jc w:val="both"/>
        <w:divId w:val="1962149171"/>
        <w:rPr>
          <w:rFonts w:eastAsia="Times New Roman" w:cstheme="minorHAnsi"/>
          <w:color w:val="000000" w:themeColor="text1"/>
          <w:lang w:val="en-PK"/>
        </w:rPr>
      </w:pPr>
      <w:r w:rsidRPr="000E24D8">
        <w:rPr>
          <w:rFonts w:eastAsia="Times New Roman" w:cstheme="minorHAnsi"/>
          <w:b/>
          <w:bCs/>
          <w:color w:val="FF0000"/>
          <w:lang w:val="en-PK"/>
        </w:rPr>
        <w:t>HCC Recurrence:</w:t>
      </w:r>
      <w:r w:rsidRPr="000E24D8">
        <w:rPr>
          <w:rFonts w:eastAsia="Times New Roman" w:cstheme="minorHAnsi"/>
          <w:color w:val="FF0000"/>
          <w:lang w:val="en-PK"/>
        </w:rPr>
        <w:t xml:space="preserve"> For patients diagnosed with HCC during follow-up, recurrence rates and factors influencing recurrence will be </w:t>
      </w:r>
      <w:r w:rsidR="00F32CE2" w:rsidRPr="000E24D8">
        <w:rPr>
          <w:rFonts w:eastAsia="Times New Roman" w:cstheme="minorHAnsi"/>
          <w:color w:val="FF0000"/>
          <w:lang w:val="en-PK"/>
        </w:rPr>
        <w:t>analysed</w:t>
      </w:r>
      <w:r w:rsidRPr="000E24D8">
        <w:rPr>
          <w:rFonts w:eastAsia="Times New Roman" w:cstheme="minorHAnsi"/>
          <w:color w:val="000000" w:themeColor="text1"/>
          <w:lang w:val="en-PK"/>
        </w:rPr>
        <w:t>.</w:t>
      </w:r>
    </w:p>
    <w:p w14:paraId="04F18B65" w14:textId="77777777" w:rsidR="000E24D8" w:rsidRDefault="000E24D8" w:rsidP="008E59F8">
      <w:pPr>
        <w:spacing w:after="0" w:line="240" w:lineRule="auto"/>
        <w:jc w:val="both"/>
        <w:divId w:val="1962149171"/>
        <w:rPr>
          <w:rFonts w:eastAsia="Times New Roman" w:cstheme="minorHAnsi"/>
          <w:color w:val="000000" w:themeColor="text1"/>
        </w:rPr>
      </w:pPr>
    </w:p>
    <w:p w14:paraId="6AF45EA1" w14:textId="77777777" w:rsidR="002B0F44" w:rsidRPr="002B0F44" w:rsidRDefault="002B0F44" w:rsidP="008E59F8">
      <w:pPr>
        <w:spacing w:after="0" w:line="240" w:lineRule="auto"/>
        <w:jc w:val="both"/>
        <w:divId w:val="1962149171"/>
        <w:rPr>
          <w:rFonts w:eastAsia="Times New Roman" w:cstheme="minorHAnsi"/>
          <w:color w:val="000000" w:themeColor="text1"/>
          <w:sz w:val="12"/>
        </w:rPr>
      </w:pPr>
    </w:p>
    <w:p w14:paraId="3BDF2739" w14:textId="77777777" w:rsidR="00A75E3B" w:rsidRDefault="00A75E3B" w:rsidP="008E59F8">
      <w:pPr>
        <w:spacing w:after="0" w:line="240" w:lineRule="auto"/>
        <w:jc w:val="both"/>
        <w:divId w:val="1962149171"/>
        <w:rPr>
          <w:rFonts w:eastAsia="Times New Roman" w:cstheme="minorHAnsi"/>
          <w:b/>
          <w:color w:val="000000" w:themeColor="text1"/>
        </w:rPr>
      </w:pPr>
      <w:r w:rsidRPr="002B0F44">
        <w:rPr>
          <w:rFonts w:eastAsia="Times New Roman" w:cstheme="minorHAnsi"/>
          <w:b/>
          <w:color w:val="000000" w:themeColor="text1"/>
        </w:rPr>
        <w:t>Statistical Analysis:</w:t>
      </w:r>
    </w:p>
    <w:p w14:paraId="7AF07C5C" w14:textId="77777777" w:rsidR="002B0F44" w:rsidRPr="002B0F44" w:rsidRDefault="002B0F44" w:rsidP="008E59F8">
      <w:pPr>
        <w:spacing w:after="0" w:line="240" w:lineRule="auto"/>
        <w:jc w:val="both"/>
        <w:divId w:val="1962149171"/>
        <w:rPr>
          <w:rFonts w:eastAsia="Times New Roman" w:cstheme="minorHAnsi"/>
          <w:b/>
          <w:color w:val="000000" w:themeColor="text1"/>
          <w:sz w:val="14"/>
        </w:rPr>
      </w:pPr>
    </w:p>
    <w:p w14:paraId="76DFE0A3" w14:textId="4BCA826C" w:rsidR="00A75E3B" w:rsidRPr="00AA58D1" w:rsidRDefault="00A75E3B" w:rsidP="008E59F8">
      <w:pPr>
        <w:spacing w:after="0" w:line="240" w:lineRule="auto"/>
        <w:jc w:val="both"/>
        <w:divId w:val="1962149171"/>
        <w:rPr>
          <w:rFonts w:eastAsia="Times New Roman" w:cstheme="minorHAnsi"/>
          <w:color w:val="000000" w:themeColor="text1"/>
        </w:rPr>
      </w:pPr>
      <w:r w:rsidRPr="00AA58D1">
        <w:rPr>
          <w:rFonts w:eastAsia="Times New Roman" w:cstheme="minorHAnsi"/>
          <w:color w:val="000000" w:themeColor="text1"/>
        </w:rPr>
        <w:t xml:space="preserve">In the article, descriptive statistics were calculated for continuous data that exhibited a normal distribution, with mean values presented alongside their corresponding standard deviations (±SD). For non-normally distributed data, the median and interquartile range (IQR) was determined, considering the outcomes of the normality test (Shapiro-Wilk test). Parametric continuous variables were subjected to analysis using Student's t-test, while nonparametric continuous variables were </w:t>
      </w:r>
      <w:r w:rsidR="00F32CE2" w:rsidRPr="00AA58D1">
        <w:rPr>
          <w:rFonts w:eastAsia="Times New Roman" w:cstheme="minorHAnsi"/>
          <w:color w:val="000000" w:themeColor="text1"/>
        </w:rPr>
        <w:t>analysed</w:t>
      </w:r>
      <w:r w:rsidRPr="00AA58D1">
        <w:rPr>
          <w:rFonts w:eastAsia="Times New Roman" w:cstheme="minorHAnsi"/>
          <w:color w:val="000000" w:themeColor="text1"/>
        </w:rPr>
        <w:t xml:space="preserve"> using the Mann-Whitney U test. Categorical variables, on the other hand, were compared using either the chi-square test or Fisher's exact test.</w:t>
      </w:r>
    </w:p>
    <w:p w14:paraId="05B9B9F1" w14:textId="77777777" w:rsidR="00767B22" w:rsidRPr="00AA58D1" w:rsidRDefault="00A75E3B" w:rsidP="008E59F8">
      <w:pPr>
        <w:spacing w:after="0" w:line="240" w:lineRule="auto"/>
        <w:jc w:val="both"/>
        <w:divId w:val="1962149171"/>
        <w:rPr>
          <w:rFonts w:eastAsia="Times New Roman" w:cstheme="minorHAnsi"/>
          <w:color w:val="000000" w:themeColor="text1"/>
        </w:rPr>
      </w:pPr>
      <w:r w:rsidRPr="00AA58D1">
        <w:rPr>
          <w:rFonts w:eastAsia="Times New Roman" w:cstheme="minorHAnsi"/>
          <w:color w:val="000000" w:themeColor="text1"/>
        </w:rPr>
        <w:t>To establish statistical significance, a p-value threshold of less than 0.05 was employed. The statistical analysis was performed using SPSS software, specifically version 22.</w:t>
      </w:r>
    </w:p>
    <w:p w14:paraId="411EF53E" w14:textId="77777777" w:rsidR="002B0F44" w:rsidRPr="002B0F44" w:rsidRDefault="002B0F44" w:rsidP="008E59F8">
      <w:pPr>
        <w:spacing w:after="0" w:line="240" w:lineRule="auto"/>
        <w:jc w:val="both"/>
        <w:divId w:val="1962149171"/>
        <w:rPr>
          <w:rFonts w:eastAsia="Arial" w:cstheme="minorHAnsi"/>
          <w:b/>
          <w:color w:val="000000" w:themeColor="text1"/>
          <w:sz w:val="10"/>
        </w:rPr>
      </w:pPr>
    </w:p>
    <w:p w14:paraId="5BB3292F" w14:textId="77777777" w:rsidR="00767B22" w:rsidRDefault="004D6772" w:rsidP="008E59F8">
      <w:pPr>
        <w:spacing w:after="0" w:line="240" w:lineRule="auto"/>
        <w:jc w:val="both"/>
        <w:divId w:val="1962149171"/>
        <w:rPr>
          <w:rFonts w:eastAsia="Arial" w:cstheme="minorHAnsi"/>
          <w:b/>
          <w:color w:val="000000" w:themeColor="text1"/>
        </w:rPr>
      </w:pPr>
      <w:r w:rsidRPr="00AA58D1">
        <w:rPr>
          <w:rFonts w:eastAsia="Arial" w:cstheme="minorHAnsi"/>
          <w:b/>
          <w:color w:val="000000" w:themeColor="text1"/>
        </w:rPr>
        <w:t>Results:</w:t>
      </w:r>
      <w:r w:rsidR="00767B22" w:rsidRPr="00AA58D1">
        <w:rPr>
          <w:rFonts w:eastAsia="Arial" w:cstheme="minorHAnsi"/>
          <w:b/>
          <w:color w:val="000000" w:themeColor="text1"/>
        </w:rPr>
        <w:t xml:space="preserve"> </w:t>
      </w:r>
    </w:p>
    <w:p w14:paraId="033FCBDE" w14:textId="77777777" w:rsidR="002B0F44" w:rsidRPr="002B0F44" w:rsidRDefault="002B0F44" w:rsidP="008E59F8">
      <w:pPr>
        <w:spacing w:after="0" w:line="240" w:lineRule="auto"/>
        <w:jc w:val="both"/>
        <w:divId w:val="1962149171"/>
        <w:rPr>
          <w:rFonts w:cstheme="minorHAnsi"/>
          <w:color w:val="000000" w:themeColor="text1"/>
          <w:sz w:val="10"/>
        </w:rPr>
      </w:pPr>
    </w:p>
    <w:p w14:paraId="417CA451" w14:textId="41DF956C" w:rsidR="00767B22" w:rsidRPr="00930543" w:rsidRDefault="00767B22" w:rsidP="00405A5E">
      <w:pPr>
        <w:spacing w:after="0" w:line="240" w:lineRule="auto"/>
        <w:jc w:val="both"/>
        <w:divId w:val="1962149171"/>
        <w:rPr>
          <w:rFonts w:cstheme="minorHAnsi"/>
          <w:color w:val="FF0000"/>
        </w:rPr>
      </w:pPr>
      <w:r w:rsidRPr="00AA58D1">
        <w:rPr>
          <w:rFonts w:eastAsia="Arial" w:cstheme="minorHAnsi"/>
          <w:color w:val="000000" w:themeColor="text1"/>
        </w:rPr>
        <w:t xml:space="preserve">The study included 246 patients with chronic HCV infection who received DAAs between </w:t>
      </w:r>
      <w:r w:rsidR="00F32CE2">
        <w:rPr>
          <w:rFonts w:eastAsia="Arial" w:cstheme="minorHAnsi"/>
          <w:color w:val="000000" w:themeColor="text1"/>
        </w:rPr>
        <w:t xml:space="preserve">March </w:t>
      </w:r>
      <w:r w:rsidRPr="00AA58D1">
        <w:rPr>
          <w:rFonts w:eastAsia="Arial" w:cstheme="minorHAnsi"/>
          <w:color w:val="000000" w:themeColor="text1"/>
        </w:rPr>
        <w:t>20</w:t>
      </w:r>
      <w:r w:rsidR="00D52BFF">
        <w:rPr>
          <w:rFonts w:eastAsia="Arial" w:cstheme="minorHAnsi"/>
          <w:color w:val="000000" w:themeColor="text1"/>
        </w:rPr>
        <w:t>20</w:t>
      </w:r>
      <w:r w:rsidRPr="00AA58D1">
        <w:rPr>
          <w:rFonts w:eastAsia="Arial" w:cstheme="minorHAnsi"/>
          <w:color w:val="000000" w:themeColor="text1"/>
        </w:rPr>
        <w:t xml:space="preserve"> </w:t>
      </w:r>
      <w:r w:rsidR="00D52BFF">
        <w:rPr>
          <w:rFonts w:eastAsia="Arial" w:cstheme="minorHAnsi"/>
          <w:color w:val="000000" w:themeColor="text1"/>
        </w:rPr>
        <w:t xml:space="preserve">to </w:t>
      </w:r>
      <w:r w:rsidR="00F32CE2">
        <w:rPr>
          <w:rFonts w:eastAsia="Arial" w:cstheme="minorHAnsi"/>
          <w:color w:val="000000" w:themeColor="text1"/>
        </w:rPr>
        <w:t>March</w:t>
      </w:r>
      <w:r w:rsidR="00D52BFF">
        <w:rPr>
          <w:rFonts w:eastAsia="Arial" w:cstheme="minorHAnsi"/>
          <w:color w:val="000000" w:themeColor="text1"/>
        </w:rPr>
        <w:t xml:space="preserve"> 2024</w:t>
      </w:r>
      <w:r w:rsidRPr="00AA58D1">
        <w:rPr>
          <w:rFonts w:eastAsia="Arial" w:cstheme="minorHAnsi"/>
          <w:color w:val="000000" w:themeColor="text1"/>
        </w:rPr>
        <w:t>. The researchers followed up with the patients for a median of 33 months to assess the development of HCC. The results showed that 34 patients (13.5%) developed HCC during the follow-up period.</w:t>
      </w:r>
      <w:r w:rsidR="00930543" w:rsidRPr="00930543">
        <w:t xml:space="preserve"> </w:t>
      </w:r>
      <w:r w:rsidR="00930543" w:rsidRPr="00930543">
        <w:rPr>
          <w:rFonts w:eastAsia="Arial" w:cstheme="minorHAnsi"/>
          <w:color w:val="FF0000"/>
        </w:rPr>
        <w:t>In our cohort of patients treated with direct-acting antivirals (DAAs) for hepatitis C, we noted a significant finding regarding the timing of hepatocellular carcinoma (HCC) diagnosis. Specifically, HCC was diagnosed early, typically within the first three months following the completion of DAA treatment. Among the patients who developed HCC, a notable proportion exhibited symptoms or radiological evidence of the disease during this critical post-treatment period.</w:t>
      </w:r>
    </w:p>
    <w:p w14:paraId="65B898C2" w14:textId="77777777" w:rsidR="00767B22" w:rsidRPr="00AA58D1" w:rsidRDefault="00767B22" w:rsidP="00405A5E">
      <w:pPr>
        <w:spacing w:after="0" w:line="240" w:lineRule="auto"/>
        <w:jc w:val="both"/>
        <w:divId w:val="1962149171"/>
        <w:rPr>
          <w:rFonts w:cstheme="minorHAnsi"/>
          <w:color w:val="000000" w:themeColor="text1"/>
        </w:rPr>
      </w:pPr>
      <w:r w:rsidRPr="00AA58D1">
        <w:rPr>
          <w:rFonts w:cstheme="minorHAnsi"/>
          <w:color w:val="000000" w:themeColor="text1"/>
        </w:rPr>
        <w:t xml:space="preserve">The study also identified several risk factors associated with HCC development in these patients. </w:t>
      </w:r>
    </w:p>
    <w:p w14:paraId="75C93971" w14:textId="77777777" w:rsidR="00767B22" w:rsidRPr="00AA58D1" w:rsidRDefault="00767B22" w:rsidP="00405A5E">
      <w:pPr>
        <w:spacing w:after="0" w:line="240" w:lineRule="auto"/>
        <w:jc w:val="both"/>
        <w:divId w:val="1962149171"/>
        <w:rPr>
          <w:rFonts w:cstheme="minorHAnsi"/>
          <w:color w:val="000000" w:themeColor="text1"/>
        </w:rPr>
      </w:pPr>
      <w:r w:rsidRPr="004B556A">
        <w:rPr>
          <w:rFonts w:cstheme="minorHAnsi"/>
          <w:b/>
          <w:color w:val="000000" w:themeColor="text1"/>
        </w:rPr>
        <w:t>Age</w:t>
      </w:r>
      <w:r w:rsidRPr="00AA58D1">
        <w:rPr>
          <w:rFonts w:cstheme="minorHAnsi"/>
          <w:color w:val="000000" w:themeColor="text1"/>
        </w:rPr>
        <w:t>: The HCC patients were older (mean age 54.6 years) compared to the non-HCC patients (mean age 47.6 years).</w:t>
      </w:r>
    </w:p>
    <w:p w14:paraId="43ADA4A1" w14:textId="77777777" w:rsidR="00767B22" w:rsidRPr="00AA58D1" w:rsidRDefault="00767B22" w:rsidP="00405A5E">
      <w:pPr>
        <w:spacing w:after="0" w:line="240" w:lineRule="auto"/>
        <w:jc w:val="both"/>
        <w:divId w:val="1962149171"/>
        <w:rPr>
          <w:rFonts w:cstheme="minorHAnsi"/>
          <w:color w:val="000000" w:themeColor="text1"/>
        </w:rPr>
      </w:pPr>
      <w:r w:rsidRPr="004B556A">
        <w:rPr>
          <w:rFonts w:cstheme="minorHAnsi"/>
          <w:b/>
          <w:color w:val="000000" w:themeColor="text1"/>
        </w:rPr>
        <w:t>Gender</w:t>
      </w:r>
      <w:r w:rsidRPr="00AA58D1">
        <w:rPr>
          <w:rFonts w:cstheme="minorHAnsi"/>
          <w:color w:val="000000" w:themeColor="text1"/>
        </w:rPr>
        <w:t>: The proportion of males was higher in both HCC and non-HCC groups, but the difference was more pronounced in the HCC group (87.9% males in the HCC group versus 67.7% males in the non-HCC group).</w:t>
      </w:r>
    </w:p>
    <w:p w14:paraId="779182A3" w14:textId="77777777" w:rsidR="00767B22" w:rsidRPr="00FA2D4C" w:rsidRDefault="00767B22" w:rsidP="00405A5E">
      <w:pPr>
        <w:spacing w:after="0" w:line="240" w:lineRule="auto"/>
        <w:jc w:val="both"/>
        <w:divId w:val="1962149171"/>
        <w:rPr>
          <w:rFonts w:cstheme="minorHAnsi"/>
          <w:b/>
          <w:color w:val="000000" w:themeColor="text1"/>
        </w:rPr>
      </w:pPr>
      <w:r w:rsidRPr="00FA2D4C">
        <w:rPr>
          <w:rFonts w:cstheme="minorHAnsi"/>
          <w:b/>
          <w:color w:val="000000" w:themeColor="text1"/>
        </w:rPr>
        <w:t xml:space="preserve">Liver cirrhosis: </w:t>
      </w:r>
      <w:r w:rsidRPr="00AA58D1">
        <w:rPr>
          <w:rFonts w:cstheme="minorHAnsi"/>
          <w:color w:val="000000" w:themeColor="text1"/>
        </w:rPr>
        <w:t>A higher proportion of HCC patients had liver cirrhosis (85.7% versus 49.5% in non-HCC patients).</w:t>
      </w:r>
    </w:p>
    <w:p w14:paraId="244D925D" w14:textId="77777777" w:rsidR="00767B22" w:rsidRPr="00AA58D1" w:rsidRDefault="00767B22" w:rsidP="008E59F8">
      <w:pPr>
        <w:spacing w:after="0" w:line="240" w:lineRule="auto"/>
        <w:divId w:val="1962149171"/>
        <w:rPr>
          <w:rFonts w:cstheme="minorHAnsi"/>
          <w:color w:val="000000" w:themeColor="text1"/>
        </w:rPr>
      </w:pPr>
      <w:r w:rsidRPr="00F1245F">
        <w:rPr>
          <w:rFonts w:cstheme="minorHAnsi"/>
          <w:b/>
          <w:color w:val="000000" w:themeColor="text1"/>
        </w:rPr>
        <w:t>Diabetes mellitus</w:t>
      </w:r>
      <w:r w:rsidRPr="00AA58D1">
        <w:rPr>
          <w:rFonts w:cstheme="minorHAnsi"/>
          <w:color w:val="000000" w:themeColor="text1"/>
        </w:rPr>
        <w:t xml:space="preserve">: A higher proportion of HCC </w:t>
      </w:r>
      <w:r w:rsidRPr="00AA58D1">
        <w:rPr>
          <w:rFonts w:eastAsia="Arial" w:cstheme="minorHAnsi"/>
          <w:color w:val="000000" w:themeColor="text1"/>
        </w:rPr>
        <w:t>patients had diabetes mellitus (28.6% versus 13.4% in non-HCC patients).</w:t>
      </w:r>
    </w:p>
    <w:p w14:paraId="4EF4CA08" w14:textId="77777777" w:rsidR="00767B22" w:rsidRPr="00AA58D1" w:rsidRDefault="00767B22" w:rsidP="008E59F8">
      <w:pPr>
        <w:spacing w:after="0" w:line="240" w:lineRule="auto"/>
        <w:divId w:val="1962149171"/>
        <w:rPr>
          <w:rFonts w:cstheme="minorHAnsi"/>
          <w:color w:val="000000" w:themeColor="text1"/>
        </w:rPr>
      </w:pPr>
      <w:r w:rsidRPr="00AA58D1">
        <w:rPr>
          <w:rFonts w:eastAsia="Arial" w:cstheme="minorHAnsi"/>
          <w:b/>
          <w:color w:val="000000" w:themeColor="text1"/>
        </w:rPr>
        <w:t>Hypertension</w:t>
      </w:r>
      <w:r w:rsidRPr="00AA58D1">
        <w:rPr>
          <w:rFonts w:eastAsia="Arial" w:cstheme="minorHAnsi"/>
          <w:color w:val="000000" w:themeColor="text1"/>
        </w:rPr>
        <w:t>: There was no significant difference in the proportion of HCC and non-HCC patients with hypertension.</w:t>
      </w:r>
    </w:p>
    <w:p w14:paraId="1FF7835A" w14:textId="77777777" w:rsidR="00767B22" w:rsidRPr="00AA58D1" w:rsidRDefault="00767B22" w:rsidP="008E59F8">
      <w:pPr>
        <w:numPr>
          <w:ilvl w:val="0"/>
          <w:numId w:val="1"/>
        </w:numPr>
        <w:spacing w:after="0" w:line="240" w:lineRule="auto"/>
        <w:ind w:left="0"/>
        <w:divId w:val="1962149171"/>
        <w:rPr>
          <w:rFonts w:cstheme="minorHAnsi"/>
          <w:color w:val="000000" w:themeColor="text1"/>
        </w:rPr>
      </w:pPr>
      <w:r w:rsidRPr="00AA58D1">
        <w:rPr>
          <w:rFonts w:eastAsia="Arial" w:cstheme="minorHAnsi"/>
          <w:b/>
          <w:color w:val="000000" w:themeColor="text1"/>
        </w:rPr>
        <w:t>Alcohol consumption</w:t>
      </w:r>
      <w:r w:rsidRPr="00AA58D1">
        <w:rPr>
          <w:rFonts w:eastAsia="Arial" w:cstheme="minorHAnsi"/>
          <w:color w:val="000000" w:themeColor="text1"/>
        </w:rPr>
        <w:t>: A higher proportion of HCC patients had a history of alcohol consumption (39.3% versus 20.3% in non-HCC patients).</w:t>
      </w:r>
    </w:p>
    <w:p w14:paraId="7576E37E" w14:textId="77777777" w:rsidR="00767B22" w:rsidRPr="00AA58D1" w:rsidRDefault="00767B22" w:rsidP="008E59F8">
      <w:pPr>
        <w:numPr>
          <w:ilvl w:val="0"/>
          <w:numId w:val="2"/>
        </w:numPr>
        <w:spacing w:after="0" w:line="240" w:lineRule="auto"/>
        <w:ind w:left="0"/>
        <w:divId w:val="1962149171"/>
        <w:rPr>
          <w:rFonts w:cstheme="minorHAnsi"/>
          <w:color w:val="000000" w:themeColor="text1"/>
        </w:rPr>
      </w:pPr>
      <w:r w:rsidRPr="00AA58D1">
        <w:rPr>
          <w:rFonts w:eastAsia="Arial" w:cstheme="minorHAnsi"/>
          <w:b/>
          <w:color w:val="000000" w:themeColor="text1"/>
        </w:rPr>
        <w:t>BMI</w:t>
      </w:r>
      <w:r w:rsidRPr="00AA58D1">
        <w:rPr>
          <w:rFonts w:eastAsia="Arial" w:cstheme="minorHAnsi"/>
          <w:color w:val="000000" w:themeColor="text1"/>
        </w:rPr>
        <w:t>: The mean BMI was similar in both groups, with slightly higher values in the HCC group (26.7 kg/m2 versus 25.7 kg/m2 in non-HCC patients).</w:t>
      </w:r>
    </w:p>
    <w:p w14:paraId="6D0243C5" w14:textId="77777777" w:rsidR="008E59F8" w:rsidRDefault="00767B22" w:rsidP="00F1245F">
      <w:pPr>
        <w:numPr>
          <w:ilvl w:val="0"/>
          <w:numId w:val="3"/>
        </w:numPr>
        <w:spacing w:after="0" w:line="240" w:lineRule="auto"/>
        <w:ind w:left="0"/>
        <w:divId w:val="1962149171"/>
        <w:rPr>
          <w:rFonts w:cstheme="minorHAnsi"/>
          <w:color w:val="000000" w:themeColor="text1"/>
        </w:rPr>
      </w:pPr>
      <w:r w:rsidRPr="00AA58D1">
        <w:rPr>
          <w:rFonts w:eastAsia="Arial" w:cstheme="minorHAnsi"/>
          <w:b/>
          <w:color w:val="000000" w:themeColor="text1"/>
        </w:rPr>
        <w:t>HCV genotype:</w:t>
      </w:r>
      <w:r w:rsidRPr="00AA58D1">
        <w:rPr>
          <w:rFonts w:eastAsia="Arial" w:cstheme="minorHAnsi"/>
          <w:color w:val="000000" w:themeColor="text1"/>
        </w:rPr>
        <w:t xml:space="preserve"> There was no significant difference in the proportion of patients with different HCV genotypes in both groups.</w:t>
      </w:r>
    </w:p>
    <w:p w14:paraId="0AEEC518" w14:textId="77777777" w:rsidR="00F1245F" w:rsidRPr="00F1245F" w:rsidRDefault="00F1245F" w:rsidP="00F1245F">
      <w:pPr>
        <w:spacing w:after="0" w:line="240" w:lineRule="auto"/>
        <w:divId w:val="1962149171"/>
        <w:rPr>
          <w:rFonts w:cstheme="minorHAnsi"/>
          <w:color w:val="000000" w:themeColor="text1"/>
          <w:sz w:val="10"/>
        </w:rPr>
      </w:pPr>
    </w:p>
    <w:p w14:paraId="050BEC2F" w14:textId="77777777" w:rsidR="00767B22" w:rsidRPr="00AA58D1" w:rsidRDefault="00767B22" w:rsidP="00767B22">
      <w:pPr>
        <w:spacing w:after="0" w:line="240" w:lineRule="auto"/>
        <w:divId w:val="1962149171"/>
        <w:rPr>
          <w:rFonts w:eastAsia="Arial" w:cstheme="minorHAnsi"/>
          <w:b/>
          <w:color w:val="000000" w:themeColor="text1"/>
        </w:rPr>
      </w:pPr>
      <w:r w:rsidRPr="00AA58D1">
        <w:rPr>
          <w:rFonts w:eastAsia="Arial" w:cstheme="minorHAnsi"/>
          <w:b/>
          <w:color w:val="000000" w:themeColor="text1"/>
        </w:rPr>
        <w:t xml:space="preserve">Table </w:t>
      </w:r>
      <w:r w:rsidR="000F6F0A" w:rsidRPr="00AA58D1">
        <w:rPr>
          <w:rFonts w:eastAsia="Arial" w:cstheme="minorHAnsi"/>
          <w:b/>
          <w:color w:val="000000" w:themeColor="text1"/>
        </w:rPr>
        <w:t>1:</w:t>
      </w:r>
      <w:r w:rsidRPr="00AA58D1">
        <w:rPr>
          <w:rFonts w:eastAsia="Arial" w:cstheme="minorHAnsi"/>
          <w:b/>
          <w:color w:val="000000" w:themeColor="text1"/>
        </w:rPr>
        <w:t xml:space="preserve"> </w:t>
      </w:r>
      <w:r w:rsidR="006A0D70">
        <w:rPr>
          <w:rFonts w:eastAsia="Arial" w:cstheme="minorHAnsi"/>
          <w:b/>
          <w:color w:val="000000" w:themeColor="text1"/>
        </w:rPr>
        <w:t xml:space="preserve"> </w:t>
      </w:r>
      <w:r w:rsidR="006A0D70" w:rsidRPr="006A0D70">
        <w:rPr>
          <w:rFonts w:eastAsia="Arial" w:cstheme="minorHAnsi"/>
          <w:b/>
          <w:i/>
          <w:color w:val="000000" w:themeColor="text1"/>
        </w:rPr>
        <w:t>Baseline Characteristics of HCC / Non- HCC Patients</w:t>
      </w:r>
    </w:p>
    <w:tbl>
      <w:tblPr>
        <w:tblStyle w:val="TableGrid"/>
        <w:tblW w:w="8658" w:type="dxa"/>
        <w:tblLook w:val="04A0" w:firstRow="1" w:lastRow="0" w:firstColumn="1" w:lastColumn="0" w:noHBand="0" w:noVBand="1"/>
      </w:tblPr>
      <w:tblGrid>
        <w:gridCol w:w="3361"/>
        <w:gridCol w:w="2237"/>
        <w:gridCol w:w="3060"/>
      </w:tblGrid>
      <w:tr w:rsidR="007C1050" w:rsidRPr="00AA58D1" w14:paraId="21EB4452" w14:textId="77777777" w:rsidTr="007C1050">
        <w:trPr>
          <w:divId w:val="1962149171"/>
          <w:trHeight w:val="260"/>
        </w:trPr>
        <w:tc>
          <w:tcPr>
            <w:tcW w:w="3361" w:type="dxa"/>
            <w:hideMark/>
          </w:tcPr>
          <w:p w14:paraId="35707EF9" w14:textId="77777777" w:rsidR="007C1050" w:rsidRPr="00AA58D1" w:rsidRDefault="007C1050" w:rsidP="008E59F8">
            <w:pPr>
              <w:rPr>
                <w:rFonts w:eastAsia="Times New Roman" w:cstheme="minorHAnsi"/>
                <w:b/>
                <w:bCs/>
                <w:i/>
                <w:color w:val="000000" w:themeColor="text1"/>
              </w:rPr>
            </w:pPr>
            <w:r w:rsidRPr="00AA58D1">
              <w:rPr>
                <w:rFonts w:eastAsia="Times New Roman" w:cstheme="minorHAnsi"/>
                <w:b/>
                <w:bCs/>
                <w:i/>
                <w:color w:val="000000" w:themeColor="text1"/>
              </w:rPr>
              <w:t>Baseline Characteristics</w:t>
            </w:r>
          </w:p>
        </w:tc>
        <w:tc>
          <w:tcPr>
            <w:tcW w:w="2237" w:type="dxa"/>
            <w:hideMark/>
          </w:tcPr>
          <w:p w14:paraId="37C3DD44" w14:textId="77777777" w:rsidR="007C1050" w:rsidRPr="00AA58D1" w:rsidRDefault="007C1050" w:rsidP="008E59F8">
            <w:pPr>
              <w:rPr>
                <w:rFonts w:eastAsia="Times New Roman" w:cstheme="minorHAnsi"/>
                <w:b/>
                <w:bCs/>
                <w:i/>
                <w:color w:val="000000" w:themeColor="text1"/>
              </w:rPr>
            </w:pPr>
            <w:r w:rsidRPr="00AA58D1">
              <w:rPr>
                <w:rFonts w:eastAsia="Times New Roman" w:cstheme="minorHAnsi"/>
                <w:b/>
                <w:bCs/>
                <w:i/>
                <w:color w:val="000000" w:themeColor="text1"/>
              </w:rPr>
              <w:t>HCC Patients (n=98)</w:t>
            </w:r>
          </w:p>
        </w:tc>
        <w:tc>
          <w:tcPr>
            <w:tcW w:w="3060" w:type="dxa"/>
            <w:hideMark/>
          </w:tcPr>
          <w:p w14:paraId="700C4621" w14:textId="77777777" w:rsidR="007C1050" w:rsidRPr="00AA58D1" w:rsidRDefault="007C1050" w:rsidP="008E59F8">
            <w:pPr>
              <w:rPr>
                <w:rFonts w:eastAsia="Times New Roman" w:cstheme="minorHAnsi"/>
                <w:b/>
                <w:bCs/>
                <w:i/>
                <w:color w:val="000000" w:themeColor="text1"/>
              </w:rPr>
            </w:pPr>
            <w:r w:rsidRPr="00AA58D1">
              <w:rPr>
                <w:rFonts w:eastAsia="Times New Roman" w:cstheme="minorHAnsi"/>
                <w:b/>
                <w:bCs/>
                <w:i/>
                <w:color w:val="000000" w:themeColor="text1"/>
              </w:rPr>
              <w:t>Non-HCC Patients (n=527)</w:t>
            </w:r>
          </w:p>
        </w:tc>
      </w:tr>
      <w:tr w:rsidR="007C1050" w:rsidRPr="00AA58D1" w14:paraId="1D64E8A4" w14:textId="77777777" w:rsidTr="007C1050">
        <w:trPr>
          <w:divId w:val="1962149171"/>
        </w:trPr>
        <w:tc>
          <w:tcPr>
            <w:tcW w:w="3361" w:type="dxa"/>
            <w:hideMark/>
          </w:tcPr>
          <w:p w14:paraId="59A8B9A8" w14:textId="77777777" w:rsidR="007C1050" w:rsidRPr="00AA58D1" w:rsidRDefault="007C1050" w:rsidP="00CA3857">
            <w:pPr>
              <w:rPr>
                <w:rFonts w:eastAsia="Times New Roman" w:cstheme="minorHAnsi"/>
                <w:color w:val="000000" w:themeColor="text1"/>
              </w:rPr>
            </w:pPr>
            <w:r w:rsidRPr="00AA58D1">
              <w:rPr>
                <w:rFonts w:eastAsia="Times New Roman" w:cstheme="minorHAnsi"/>
                <w:color w:val="000000" w:themeColor="text1"/>
              </w:rPr>
              <w:t>Age (years), median (range)</w:t>
            </w:r>
          </w:p>
        </w:tc>
        <w:tc>
          <w:tcPr>
            <w:tcW w:w="2237" w:type="dxa"/>
            <w:hideMark/>
          </w:tcPr>
          <w:p w14:paraId="38E740E4" w14:textId="77777777" w:rsidR="007C1050" w:rsidRPr="00AA58D1" w:rsidRDefault="00D65DB4" w:rsidP="00CA3857">
            <w:pPr>
              <w:rPr>
                <w:rFonts w:eastAsia="Times New Roman" w:cstheme="minorHAnsi"/>
                <w:color w:val="000000" w:themeColor="text1"/>
              </w:rPr>
            </w:pPr>
            <w:r>
              <w:rPr>
                <w:rFonts w:eastAsia="Times New Roman" w:cstheme="minorHAnsi"/>
                <w:color w:val="000000" w:themeColor="text1"/>
              </w:rPr>
              <w:t>54.2</w:t>
            </w:r>
            <w:r w:rsidR="007C1050" w:rsidRPr="00AA58D1">
              <w:rPr>
                <w:rFonts w:eastAsia="Times New Roman" w:cstheme="minorHAnsi"/>
                <w:color w:val="000000" w:themeColor="text1"/>
              </w:rPr>
              <w:t xml:space="preserve"> (45-83)</w:t>
            </w:r>
          </w:p>
        </w:tc>
        <w:tc>
          <w:tcPr>
            <w:tcW w:w="3060" w:type="dxa"/>
            <w:hideMark/>
          </w:tcPr>
          <w:p w14:paraId="1AB14305" w14:textId="77777777" w:rsidR="007C1050" w:rsidRPr="00AA58D1" w:rsidRDefault="00D65DB4" w:rsidP="00CA3857">
            <w:pPr>
              <w:rPr>
                <w:rFonts w:eastAsia="Times New Roman" w:cstheme="minorHAnsi"/>
                <w:color w:val="000000" w:themeColor="text1"/>
              </w:rPr>
            </w:pPr>
            <w:r>
              <w:rPr>
                <w:rFonts w:eastAsia="Times New Roman" w:cstheme="minorHAnsi"/>
                <w:color w:val="000000" w:themeColor="text1"/>
              </w:rPr>
              <w:t>47.8</w:t>
            </w:r>
            <w:r w:rsidR="007C1050" w:rsidRPr="00AA58D1">
              <w:rPr>
                <w:rFonts w:eastAsia="Times New Roman" w:cstheme="minorHAnsi"/>
                <w:color w:val="000000" w:themeColor="text1"/>
              </w:rPr>
              <w:t xml:space="preserve"> (19-87)</w:t>
            </w:r>
          </w:p>
        </w:tc>
      </w:tr>
      <w:tr w:rsidR="007C1050" w:rsidRPr="00AA58D1" w14:paraId="20565B60" w14:textId="77777777" w:rsidTr="007C1050">
        <w:trPr>
          <w:divId w:val="1962149171"/>
        </w:trPr>
        <w:tc>
          <w:tcPr>
            <w:tcW w:w="3361" w:type="dxa"/>
            <w:hideMark/>
          </w:tcPr>
          <w:p w14:paraId="433D9C8B" w14:textId="77777777" w:rsidR="007C1050" w:rsidRPr="00AA58D1" w:rsidRDefault="007C1050" w:rsidP="00CA3857">
            <w:pPr>
              <w:rPr>
                <w:rFonts w:eastAsia="Times New Roman" w:cstheme="minorHAnsi"/>
                <w:color w:val="000000" w:themeColor="text1"/>
              </w:rPr>
            </w:pPr>
            <w:r w:rsidRPr="00AA58D1">
              <w:rPr>
                <w:rFonts w:eastAsia="Times New Roman" w:cstheme="minorHAnsi"/>
                <w:color w:val="000000" w:themeColor="text1"/>
              </w:rPr>
              <w:lastRenderedPageBreak/>
              <w:t>Male, n (%)</w:t>
            </w:r>
          </w:p>
        </w:tc>
        <w:tc>
          <w:tcPr>
            <w:tcW w:w="2237" w:type="dxa"/>
            <w:hideMark/>
          </w:tcPr>
          <w:p w14:paraId="2DAB467B" w14:textId="77777777" w:rsidR="007C1050" w:rsidRPr="00AA58D1" w:rsidRDefault="000F6F0A" w:rsidP="00CA3857">
            <w:pPr>
              <w:rPr>
                <w:rFonts w:eastAsia="Times New Roman" w:cstheme="minorHAnsi"/>
                <w:color w:val="000000" w:themeColor="text1"/>
              </w:rPr>
            </w:pPr>
            <w:r>
              <w:rPr>
                <w:rFonts w:eastAsia="Times New Roman" w:cstheme="minorHAnsi"/>
                <w:color w:val="000000" w:themeColor="text1"/>
              </w:rPr>
              <w:t>29 (87.9</w:t>
            </w:r>
            <w:r w:rsidR="007C1050" w:rsidRPr="00AA58D1">
              <w:rPr>
                <w:rFonts w:eastAsia="Times New Roman" w:cstheme="minorHAnsi"/>
                <w:color w:val="000000" w:themeColor="text1"/>
              </w:rPr>
              <w:t>)</w:t>
            </w:r>
          </w:p>
        </w:tc>
        <w:tc>
          <w:tcPr>
            <w:tcW w:w="3060" w:type="dxa"/>
            <w:hideMark/>
          </w:tcPr>
          <w:p w14:paraId="1EBBA930" w14:textId="77777777" w:rsidR="007C1050" w:rsidRPr="00AA58D1" w:rsidRDefault="00116C73" w:rsidP="00CA3857">
            <w:pPr>
              <w:rPr>
                <w:rFonts w:eastAsia="Times New Roman" w:cstheme="minorHAnsi"/>
                <w:color w:val="000000" w:themeColor="text1"/>
              </w:rPr>
            </w:pPr>
            <w:r>
              <w:rPr>
                <w:rFonts w:eastAsia="Times New Roman" w:cstheme="minorHAnsi"/>
                <w:color w:val="000000" w:themeColor="text1"/>
              </w:rPr>
              <w:t>144(68.2</w:t>
            </w:r>
            <w:r w:rsidR="007C1050" w:rsidRPr="00AA58D1">
              <w:rPr>
                <w:rFonts w:eastAsia="Times New Roman" w:cstheme="minorHAnsi"/>
                <w:color w:val="000000" w:themeColor="text1"/>
              </w:rPr>
              <w:t>)</w:t>
            </w:r>
          </w:p>
        </w:tc>
      </w:tr>
      <w:tr w:rsidR="007C1050" w:rsidRPr="00AA58D1" w14:paraId="6927D1B6" w14:textId="77777777" w:rsidTr="007C1050">
        <w:trPr>
          <w:divId w:val="1962149171"/>
        </w:trPr>
        <w:tc>
          <w:tcPr>
            <w:tcW w:w="3361" w:type="dxa"/>
            <w:hideMark/>
          </w:tcPr>
          <w:p w14:paraId="2BFC298C" w14:textId="77777777" w:rsidR="007C1050" w:rsidRPr="00AA58D1" w:rsidRDefault="007C1050" w:rsidP="00CA3857">
            <w:pPr>
              <w:rPr>
                <w:rFonts w:eastAsia="Times New Roman" w:cstheme="minorHAnsi"/>
                <w:color w:val="000000" w:themeColor="text1"/>
              </w:rPr>
            </w:pPr>
            <w:r w:rsidRPr="00AA58D1">
              <w:rPr>
                <w:rFonts w:eastAsia="Times New Roman" w:cstheme="minorHAnsi"/>
                <w:color w:val="000000" w:themeColor="text1"/>
              </w:rPr>
              <w:t>BMI (kg/m2), median (range)</w:t>
            </w:r>
          </w:p>
        </w:tc>
        <w:tc>
          <w:tcPr>
            <w:tcW w:w="2237" w:type="dxa"/>
            <w:hideMark/>
          </w:tcPr>
          <w:p w14:paraId="03D2B821" w14:textId="77777777" w:rsidR="007C1050" w:rsidRPr="00AA58D1" w:rsidRDefault="007C1050" w:rsidP="00CA3857">
            <w:pPr>
              <w:rPr>
                <w:rFonts w:eastAsia="Times New Roman" w:cstheme="minorHAnsi"/>
                <w:color w:val="000000" w:themeColor="text1"/>
              </w:rPr>
            </w:pPr>
            <w:r w:rsidRPr="00AA58D1">
              <w:rPr>
                <w:rFonts w:eastAsia="Times New Roman" w:cstheme="minorHAnsi"/>
                <w:color w:val="000000" w:themeColor="text1"/>
              </w:rPr>
              <w:t>23.3 (15.7-34.4)</w:t>
            </w:r>
          </w:p>
        </w:tc>
        <w:tc>
          <w:tcPr>
            <w:tcW w:w="3060" w:type="dxa"/>
            <w:hideMark/>
          </w:tcPr>
          <w:p w14:paraId="45EE7C6A" w14:textId="77777777" w:rsidR="007C1050" w:rsidRPr="00AA58D1" w:rsidRDefault="007C1050" w:rsidP="00CA3857">
            <w:pPr>
              <w:rPr>
                <w:rFonts w:eastAsia="Times New Roman" w:cstheme="minorHAnsi"/>
                <w:color w:val="000000" w:themeColor="text1"/>
              </w:rPr>
            </w:pPr>
            <w:r w:rsidRPr="00AA58D1">
              <w:rPr>
                <w:rFonts w:eastAsia="Times New Roman" w:cstheme="minorHAnsi"/>
                <w:color w:val="000000" w:themeColor="text1"/>
              </w:rPr>
              <w:t>24.4 (14.4-40.1)</w:t>
            </w:r>
          </w:p>
        </w:tc>
      </w:tr>
      <w:tr w:rsidR="007C1050" w:rsidRPr="00AA58D1" w14:paraId="4793D77B" w14:textId="77777777" w:rsidTr="007C1050">
        <w:trPr>
          <w:divId w:val="1962149171"/>
        </w:trPr>
        <w:tc>
          <w:tcPr>
            <w:tcW w:w="3361" w:type="dxa"/>
            <w:hideMark/>
          </w:tcPr>
          <w:p w14:paraId="37A51FD7" w14:textId="77777777" w:rsidR="007C1050" w:rsidRPr="00AA58D1" w:rsidRDefault="007C1050" w:rsidP="00CA3857">
            <w:pPr>
              <w:rPr>
                <w:rFonts w:eastAsia="Times New Roman" w:cstheme="minorHAnsi"/>
                <w:color w:val="000000" w:themeColor="text1"/>
              </w:rPr>
            </w:pPr>
            <w:r w:rsidRPr="00AA58D1">
              <w:rPr>
                <w:rFonts w:eastAsia="Times New Roman" w:cstheme="minorHAnsi"/>
                <w:color w:val="000000" w:themeColor="text1"/>
              </w:rPr>
              <w:t>Cirrhosis, n (%)</w:t>
            </w:r>
          </w:p>
        </w:tc>
        <w:tc>
          <w:tcPr>
            <w:tcW w:w="2237" w:type="dxa"/>
            <w:hideMark/>
          </w:tcPr>
          <w:p w14:paraId="54C34416" w14:textId="77777777" w:rsidR="007C1050" w:rsidRPr="00AA58D1" w:rsidRDefault="007C1050" w:rsidP="00CA3857">
            <w:pPr>
              <w:rPr>
                <w:rFonts w:eastAsia="Times New Roman" w:cstheme="minorHAnsi"/>
                <w:color w:val="000000" w:themeColor="text1"/>
              </w:rPr>
            </w:pPr>
            <w:r w:rsidRPr="00AA58D1">
              <w:rPr>
                <w:rFonts w:eastAsia="Times New Roman" w:cstheme="minorHAnsi"/>
                <w:color w:val="000000" w:themeColor="text1"/>
              </w:rPr>
              <w:t>88 (89.8)</w:t>
            </w:r>
          </w:p>
        </w:tc>
        <w:tc>
          <w:tcPr>
            <w:tcW w:w="3060" w:type="dxa"/>
            <w:hideMark/>
          </w:tcPr>
          <w:p w14:paraId="6217D6AF" w14:textId="77777777" w:rsidR="007C1050" w:rsidRPr="00AA58D1" w:rsidRDefault="007C1050" w:rsidP="00CA3857">
            <w:pPr>
              <w:rPr>
                <w:rFonts w:eastAsia="Times New Roman" w:cstheme="minorHAnsi"/>
                <w:color w:val="000000" w:themeColor="text1"/>
              </w:rPr>
            </w:pPr>
            <w:r w:rsidRPr="00AA58D1">
              <w:rPr>
                <w:rFonts w:eastAsia="Times New Roman" w:cstheme="minorHAnsi"/>
                <w:color w:val="000000" w:themeColor="text1"/>
              </w:rPr>
              <w:t>59 (11.2)</w:t>
            </w:r>
          </w:p>
        </w:tc>
      </w:tr>
      <w:tr w:rsidR="007C1050" w:rsidRPr="00AA58D1" w14:paraId="7468111F" w14:textId="77777777" w:rsidTr="007C1050">
        <w:trPr>
          <w:divId w:val="1962149171"/>
        </w:trPr>
        <w:tc>
          <w:tcPr>
            <w:tcW w:w="3361" w:type="dxa"/>
            <w:hideMark/>
          </w:tcPr>
          <w:p w14:paraId="0DBE76B5" w14:textId="77777777" w:rsidR="007C1050" w:rsidRPr="00AA58D1" w:rsidRDefault="007C1050" w:rsidP="00CA3857">
            <w:pPr>
              <w:rPr>
                <w:rFonts w:eastAsia="Times New Roman" w:cstheme="minorHAnsi"/>
                <w:color w:val="000000" w:themeColor="text1"/>
              </w:rPr>
            </w:pPr>
            <w:r w:rsidRPr="00AA58D1">
              <w:rPr>
                <w:rFonts w:eastAsia="Times New Roman" w:cstheme="minorHAnsi"/>
                <w:color w:val="000000" w:themeColor="text1"/>
              </w:rPr>
              <w:t>HCV RNA (log10 IU/mL), median (range)</w:t>
            </w:r>
          </w:p>
        </w:tc>
        <w:tc>
          <w:tcPr>
            <w:tcW w:w="2237" w:type="dxa"/>
            <w:hideMark/>
          </w:tcPr>
          <w:p w14:paraId="5EDCBC3E" w14:textId="77777777" w:rsidR="007C1050" w:rsidRPr="00AA58D1" w:rsidRDefault="007C1050" w:rsidP="00CA3857">
            <w:pPr>
              <w:rPr>
                <w:rFonts w:eastAsia="Times New Roman" w:cstheme="minorHAnsi"/>
                <w:color w:val="000000" w:themeColor="text1"/>
              </w:rPr>
            </w:pPr>
            <w:r w:rsidRPr="00AA58D1">
              <w:rPr>
                <w:rFonts w:eastAsia="Times New Roman" w:cstheme="minorHAnsi"/>
                <w:color w:val="000000" w:themeColor="text1"/>
              </w:rPr>
              <w:t>5.6 (1.5-7.5)</w:t>
            </w:r>
          </w:p>
        </w:tc>
        <w:tc>
          <w:tcPr>
            <w:tcW w:w="3060" w:type="dxa"/>
            <w:hideMark/>
          </w:tcPr>
          <w:p w14:paraId="552E8318" w14:textId="77777777" w:rsidR="007C1050" w:rsidRPr="00AA58D1" w:rsidRDefault="007C1050" w:rsidP="00CA3857">
            <w:pPr>
              <w:rPr>
                <w:rFonts w:eastAsia="Times New Roman" w:cstheme="minorHAnsi"/>
                <w:color w:val="000000" w:themeColor="text1"/>
              </w:rPr>
            </w:pPr>
            <w:r w:rsidRPr="00AA58D1">
              <w:rPr>
                <w:rFonts w:eastAsia="Times New Roman" w:cstheme="minorHAnsi"/>
                <w:color w:val="000000" w:themeColor="text1"/>
              </w:rPr>
              <w:t>5.8 (1.2-7.7)</w:t>
            </w:r>
          </w:p>
        </w:tc>
      </w:tr>
      <w:tr w:rsidR="007C1050" w:rsidRPr="00AA58D1" w14:paraId="723807C0" w14:textId="77777777" w:rsidTr="007C1050">
        <w:trPr>
          <w:divId w:val="1962149171"/>
        </w:trPr>
        <w:tc>
          <w:tcPr>
            <w:tcW w:w="3361" w:type="dxa"/>
            <w:hideMark/>
          </w:tcPr>
          <w:p w14:paraId="5765D78F" w14:textId="77777777" w:rsidR="007C1050" w:rsidRPr="00AA58D1" w:rsidRDefault="007C1050" w:rsidP="00CA3857">
            <w:pPr>
              <w:rPr>
                <w:rFonts w:eastAsia="Times New Roman" w:cstheme="minorHAnsi"/>
                <w:color w:val="000000" w:themeColor="text1"/>
              </w:rPr>
            </w:pPr>
            <w:r w:rsidRPr="00AA58D1">
              <w:rPr>
                <w:rFonts w:eastAsia="Times New Roman" w:cstheme="minorHAnsi"/>
                <w:color w:val="000000" w:themeColor="text1"/>
              </w:rPr>
              <w:t>Albumin (g/dL), median (range)</w:t>
            </w:r>
          </w:p>
        </w:tc>
        <w:tc>
          <w:tcPr>
            <w:tcW w:w="2237" w:type="dxa"/>
            <w:hideMark/>
          </w:tcPr>
          <w:p w14:paraId="790B682E" w14:textId="77777777" w:rsidR="007C1050" w:rsidRPr="00AA58D1" w:rsidRDefault="007C1050" w:rsidP="00CA3857">
            <w:pPr>
              <w:rPr>
                <w:rFonts w:eastAsia="Times New Roman" w:cstheme="minorHAnsi"/>
                <w:color w:val="000000" w:themeColor="text1"/>
              </w:rPr>
            </w:pPr>
            <w:r w:rsidRPr="00AA58D1">
              <w:rPr>
                <w:rFonts w:eastAsia="Times New Roman" w:cstheme="minorHAnsi"/>
                <w:color w:val="000000" w:themeColor="text1"/>
              </w:rPr>
              <w:t>3.8 (2.3-4.7)</w:t>
            </w:r>
          </w:p>
        </w:tc>
        <w:tc>
          <w:tcPr>
            <w:tcW w:w="3060" w:type="dxa"/>
            <w:hideMark/>
          </w:tcPr>
          <w:p w14:paraId="45A8A7BE" w14:textId="77777777" w:rsidR="007C1050" w:rsidRPr="00AA58D1" w:rsidRDefault="007C1050" w:rsidP="00CA3857">
            <w:pPr>
              <w:rPr>
                <w:rFonts w:eastAsia="Times New Roman" w:cstheme="minorHAnsi"/>
                <w:color w:val="000000" w:themeColor="text1"/>
              </w:rPr>
            </w:pPr>
            <w:r w:rsidRPr="00AA58D1">
              <w:rPr>
                <w:rFonts w:eastAsia="Times New Roman" w:cstheme="minorHAnsi"/>
                <w:color w:val="000000" w:themeColor="text1"/>
              </w:rPr>
              <w:t>4.1 (2.3-5.3)</w:t>
            </w:r>
          </w:p>
        </w:tc>
      </w:tr>
      <w:tr w:rsidR="007C1050" w:rsidRPr="00AA58D1" w14:paraId="10CA5BC4" w14:textId="77777777" w:rsidTr="007C1050">
        <w:trPr>
          <w:divId w:val="1962149171"/>
        </w:trPr>
        <w:tc>
          <w:tcPr>
            <w:tcW w:w="3361" w:type="dxa"/>
            <w:hideMark/>
          </w:tcPr>
          <w:p w14:paraId="6A8E47E2" w14:textId="77777777" w:rsidR="007C1050" w:rsidRPr="00AA58D1" w:rsidRDefault="007C1050" w:rsidP="00CA3857">
            <w:pPr>
              <w:rPr>
                <w:rFonts w:eastAsia="Times New Roman" w:cstheme="minorHAnsi"/>
                <w:color w:val="000000" w:themeColor="text1"/>
              </w:rPr>
            </w:pPr>
            <w:r w:rsidRPr="00AA58D1">
              <w:rPr>
                <w:rFonts w:eastAsia="Times New Roman" w:cstheme="minorHAnsi"/>
                <w:color w:val="000000" w:themeColor="text1"/>
              </w:rPr>
              <w:t>ALT (IU/L), median (range)</w:t>
            </w:r>
          </w:p>
        </w:tc>
        <w:tc>
          <w:tcPr>
            <w:tcW w:w="2237" w:type="dxa"/>
            <w:hideMark/>
          </w:tcPr>
          <w:p w14:paraId="6F68A21C" w14:textId="77777777" w:rsidR="007C1050" w:rsidRPr="00AA58D1" w:rsidRDefault="007C1050" w:rsidP="00CA3857">
            <w:pPr>
              <w:rPr>
                <w:rFonts w:eastAsia="Times New Roman" w:cstheme="minorHAnsi"/>
                <w:color w:val="000000" w:themeColor="text1"/>
              </w:rPr>
            </w:pPr>
            <w:r w:rsidRPr="00AA58D1">
              <w:rPr>
                <w:rFonts w:eastAsia="Times New Roman" w:cstheme="minorHAnsi"/>
                <w:color w:val="000000" w:themeColor="text1"/>
              </w:rPr>
              <w:t>51 (8-654)</w:t>
            </w:r>
          </w:p>
        </w:tc>
        <w:tc>
          <w:tcPr>
            <w:tcW w:w="3060" w:type="dxa"/>
            <w:hideMark/>
          </w:tcPr>
          <w:p w14:paraId="1C1FF36D" w14:textId="77777777" w:rsidR="007C1050" w:rsidRPr="00AA58D1" w:rsidRDefault="007C1050" w:rsidP="00CA3857">
            <w:pPr>
              <w:rPr>
                <w:rFonts w:eastAsia="Times New Roman" w:cstheme="minorHAnsi"/>
                <w:color w:val="000000" w:themeColor="text1"/>
              </w:rPr>
            </w:pPr>
            <w:r w:rsidRPr="00AA58D1">
              <w:rPr>
                <w:rFonts w:eastAsia="Times New Roman" w:cstheme="minorHAnsi"/>
                <w:color w:val="000000" w:themeColor="text1"/>
              </w:rPr>
              <w:t>48 (3-742)</w:t>
            </w:r>
          </w:p>
        </w:tc>
      </w:tr>
      <w:tr w:rsidR="007C1050" w:rsidRPr="00AA58D1" w14:paraId="199A90C7" w14:textId="77777777" w:rsidTr="007C1050">
        <w:trPr>
          <w:divId w:val="1962149171"/>
        </w:trPr>
        <w:tc>
          <w:tcPr>
            <w:tcW w:w="3361" w:type="dxa"/>
            <w:hideMark/>
          </w:tcPr>
          <w:p w14:paraId="3E2F2666" w14:textId="77777777" w:rsidR="007C1050" w:rsidRPr="00AA58D1" w:rsidRDefault="007C1050" w:rsidP="00CA3857">
            <w:pPr>
              <w:rPr>
                <w:rFonts w:eastAsia="Times New Roman" w:cstheme="minorHAnsi"/>
                <w:color w:val="000000" w:themeColor="text1"/>
              </w:rPr>
            </w:pPr>
            <w:r w:rsidRPr="00AA58D1">
              <w:rPr>
                <w:rFonts w:eastAsia="Times New Roman" w:cstheme="minorHAnsi"/>
                <w:color w:val="000000" w:themeColor="text1"/>
              </w:rPr>
              <w:t>Platelet count (x109/L), median (range)</w:t>
            </w:r>
          </w:p>
        </w:tc>
        <w:tc>
          <w:tcPr>
            <w:tcW w:w="2237" w:type="dxa"/>
            <w:hideMark/>
          </w:tcPr>
          <w:p w14:paraId="31E0F9BD" w14:textId="77777777" w:rsidR="007C1050" w:rsidRPr="00AA58D1" w:rsidRDefault="002253E3" w:rsidP="00CA3857">
            <w:pPr>
              <w:rPr>
                <w:rFonts w:eastAsia="Times New Roman" w:cstheme="minorHAnsi"/>
                <w:color w:val="000000" w:themeColor="text1"/>
              </w:rPr>
            </w:pPr>
            <w:r>
              <w:rPr>
                <w:rFonts w:eastAsia="Times New Roman" w:cstheme="minorHAnsi"/>
                <w:color w:val="000000" w:themeColor="text1"/>
              </w:rPr>
              <w:t>168</w:t>
            </w:r>
            <w:r w:rsidR="007C1050" w:rsidRPr="00AA58D1">
              <w:rPr>
                <w:rFonts w:eastAsia="Times New Roman" w:cstheme="minorHAnsi"/>
                <w:color w:val="000000" w:themeColor="text1"/>
              </w:rPr>
              <w:t>(30-257)</w:t>
            </w:r>
          </w:p>
        </w:tc>
        <w:tc>
          <w:tcPr>
            <w:tcW w:w="3060" w:type="dxa"/>
            <w:hideMark/>
          </w:tcPr>
          <w:p w14:paraId="1ED9839B" w14:textId="77777777" w:rsidR="007C1050" w:rsidRPr="00AA58D1" w:rsidRDefault="002253E3" w:rsidP="00CA3857">
            <w:pPr>
              <w:rPr>
                <w:rFonts w:eastAsia="Times New Roman" w:cstheme="minorHAnsi"/>
                <w:color w:val="000000" w:themeColor="text1"/>
              </w:rPr>
            </w:pPr>
            <w:r>
              <w:rPr>
                <w:rFonts w:eastAsia="Times New Roman" w:cstheme="minorHAnsi"/>
                <w:color w:val="000000" w:themeColor="text1"/>
              </w:rPr>
              <w:t xml:space="preserve">201 </w:t>
            </w:r>
            <w:r w:rsidR="007C1050" w:rsidRPr="00AA58D1">
              <w:rPr>
                <w:rFonts w:eastAsia="Times New Roman" w:cstheme="minorHAnsi"/>
                <w:color w:val="000000" w:themeColor="text1"/>
              </w:rPr>
              <w:t>(25-420)</w:t>
            </w:r>
          </w:p>
        </w:tc>
      </w:tr>
      <w:tr w:rsidR="007C1050" w:rsidRPr="00AA58D1" w14:paraId="2D0E30D6" w14:textId="77777777" w:rsidTr="007C1050">
        <w:trPr>
          <w:divId w:val="1962149171"/>
        </w:trPr>
        <w:tc>
          <w:tcPr>
            <w:tcW w:w="3361" w:type="dxa"/>
            <w:hideMark/>
          </w:tcPr>
          <w:p w14:paraId="59B0CFFF" w14:textId="77777777" w:rsidR="007C1050" w:rsidRPr="00AA58D1" w:rsidRDefault="007C1050" w:rsidP="00CA3857">
            <w:pPr>
              <w:rPr>
                <w:rFonts w:eastAsia="Times New Roman" w:cstheme="minorHAnsi"/>
                <w:color w:val="000000" w:themeColor="text1"/>
              </w:rPr>
            </w:pPr>
            <w:r w:rsidRPr="00AA58D1">
              <w:rPr>
                <w:rFonts w:eastAsia="Times New Roman" w:cstheme="minorHAnsi"/>
                <w:color w:val="000000" w:themeColor="text1"/>
              </w:rPr>
              <w:t>AFP (ng/mL), median (range)</w:t>
            </w:r>
          </w:p>
        </w:tc>
        <w:tc>
          <w:tcPr>
            <w:tcW w:w="2237" w:type="dxa"/>
            <w:hideMark/>
          </w:tcPr>
          <w:p w14:paraId="6F286232" w14:textId="77777777" w:rsidR="007C1050" w:rsidRPr="00AA58D1" w:rsidRDefault="007C1050" w:rsidP="00CA3857">
            <w:pPr>
              <w:rPr>
                <w:rFonts w:eastAsia="Times New Roman" w:cstheme="minorHAnsi"/>
                <w:color w:val="000000" w:themeColor="text1"/>
              </w:rPr>
            </w:pPr>
            <w:r w:rsidRPr="00AA58D1">
              <w:rPr>
                <w:rFonts w:eastAsia="Times New Roman" w:cstheme="minorHAnsi"/>
                <w:color w:val="000000" w:themeColor="text1"/>
              </w:rPr>
              <w:t>9.6 (1.6-2315.0)</w:t>
            </w:r>
          </w:p>
        </w:tc>
        <w:tc>
          <w:tcPr>
            <w:tcW w:w="3060" w:type="dxa"/>
            <w:hideMark/>
          </w:tcPr>
          <w:p w14:paraId="7B4BFBF7" w14:textId="77777777" w:rsidR="007C1050" w:rsidRPr="00AA58D1" w:rsidRDefault="007C1050" w:rsidP="00CA3857">
            <w:pPr>
              <w:rPr>
                <w:rFonts w:eastAsia="Times New Roman" w:cstheme="minorHAnsi"/>
                <w:color w:val="000000" w:themeColor="text1"/>
              </w:rPr>
            </w:pPr>
            <w:r w:rsidRPr="00AA58D1">
              <w:rPr>
                <w:rFonts w:eastAsia="Times New Roman" w:cstheme="minorHAnsi"/>
                <w:color w:val="000000" w:themeColor="text1"/>
              </w:rPr>
              <w:t>3.5 (1.0-3933.0)</w:t>
            </w:r>
          </w:p>
        </w:tc>
      </w:tr>
      <w:tr w:rsidR="007C1050" w:rsidRPr="00AA58D1" w14:paraId="267ECEB1" w14:textId="77777777" w:rsidTr="007C1050">
        <w:trPr>
          <w:divId w:val="1962149171"/>
        </w:trPr>
        <w:tc>
          <w:tcPr>
            <w:tcW w:w="3361" w:type="dxa"/>
            <w:hideMark/>
          </w:tcPr>
          <w:p w14:paraId="14745032" w14:textId="77777777" w:rsidR="007C1050" w:rsidRPr="00AA58D1" w:rsidRDefault="007C1050" w:rsidP="00CA3857">
            <w:pPr>
              <w:rPr>
                <w:rFonts w:eastAsia="Times New Roman" w:cstheme="minorHAnsi"/>
                <w:color w:val="000000" w:themeColor="text1"/>
              </w:rPr>
            </w:pPr>
            <w:r w:rsidRPr="00AA58D1">
              <w:rPr>
                <w:rFonts w:eastAsia="Times New Roman" w:cstheme="minorHAnsi"/>
                <w:color w:val="000000" w:themeColor="text1"/>
              </w:rPr>
              <w:t>Diabetes mellitus, n (%)</w:t>
            </w:r>
          </w:p>
        </w:tc>
        <w:tc>
          <w:tcPr>
            <w:tcW w:w="2237" w:type="dxa"/>
            <w:hideMark/>
          </w:tcPr>
          <w:p w14:paraId="4D354875" w14:textId="77777777" w:rsidR="007C1050" w:rsidRPr="00AA58D1" w:rsidRDefault="00116C73" w:rsidP="00CA3857">
            <w:pPr>
              <w:rPr>
                <w:rFonts w:eastAsia="Times New Roman" w:cstheme="minorHAnsi"/>
                <w:color w:val="000000" w:themeColor="text1"/>
              </w:rPr>
            </w:pPr>
            <w:r>
              <w:rPr>
                <w:rFonts w:eastAsia="Times New Roman" w:cstheme="minorHAnsi"/>
                <w:color w:val="000000" w:themeColor="text1"/>
              </w:rPr>
              <w:t>3(15.8</w:t>
            </w:r>
            <w:r w:rsidR="007C1050" w:rsidRPr="00AA58D1">
              <w:rPr>
                <w:rFonts w:eastAsia="Times New Roman" w:cstheme="minorHAnsi"/>
                <w:color w:val="000000" w:themeColor="text1"/>
              </w:rPr>
              <w:t>)</w:t>
            </w:r>
          </w:p>
        </w:tc>
        <w:tc>
          <w:tcPr>
            <w:tcW w:w="3060" w:type="dxa"/>
            <w:hideMark/>
          </w:tcPr>
          <w:p w14:paraId="1029967C" w14:textId="77777777" w:rsidR="007C1050" w:rsidRPr="00AA58D1" w:rsidRDefault="00116C73" w:rsidP="00CA3857">
            <w:pPr>
              <w:rPr>
                <w:rFonts w:eastAsia="Times New Roman" w:cstheme="minorHAnsi"/>
                <w:color w:val="000000" w:themeColor="text1"/>
              </w:rPr>
            </w:pPr>
            <w:r>
              <w:rPr>
                <w:rFonts w:eastAsia="Times New Roman" w:cstheme="minorHAnsi"/>
                <w:color w:val="000000" w:themeColor="text1"/>
              </w:rPr>
              <w:t>29 (12.2</w:t>
            </w:r>
            <w:r w:rsidR="007C1050" w:rsidRPr="00AA58D1">
              <w:rPr>
                <w:rFonts w:eastAsia="Times New Roman" w:cstheme="minorHAnsi"/>
                <w:color w:val="000000" w:themeColor="text1"/>
              </w:rPr>
              <w:t>)</w:t>
            </w:r>
          </w:p>
        </w:tc>
      </w:tr>
      <w:tr w:rsidR="007C1050" w:rsidRPr="00AA58D1" w14:paraId="05EFFF52" w14:textId="77777777" w:rsidTr="007C1050">
        <w:trPr>
          <w:divId w:val="1962149171"/>
        </w:trPr>
        <w:tc>
          <w:tcPr>
            <w:tcW w:w="3361" w:type="dxa"/>
            <w:hideMark/>
          </w:tcPr>
          <w:p w14:paraId="69CC2641" w14:textId="77777777" w:rsidR="007C1050" w:rsidRPr="00AA58D1" w:rsidRDefault="007C1050" w:rsidP="00CA3857">
            <w:pPr>
              <w:rPr>
                <w:rFonts w:eastAsia="Times New Roman" w:cstheme="minorHAnsi"/>
                <w:color w:val="000000" w:themeColor="text1"/>
              </w:rPr>
            </w:pPr>
            <w:r w:rsidRPr="00AA58D1">
              <w:rPr>
                <w:rFonts w:eastAsia="Times New Roman" w:cstheme="minorHAnsi"/>
                <w:color w:val="000000" w:themeColor="text1"/>
              </w:rPr>
              <w:t>Hypertension, n (%)</w:t>
            </w:r>
          </w:p>
        </w:tc>
        <w:tc>
          <w:tcPr>
            <w:tcW w:w="2237" w:type="dxa"/>
            <w:hideMark/>
          </w:tcPr>
          <w:p w14:paraId="57E4702A" w14:textId="77777777" w:rsidR="007C1050" w:rsidRPr="00AA58D1" w:rsidRDefault="007C1050" w:rsidP="00CA3857">
            <w:pPr>
              <w:rPr>
                <w:rFonts w:eastAsia="Times New Roman" w:cstheme="minorHAnsi"/>
                <w:color w:val="000000" w:themeColor="text1"/>
              </w:rPr>
            </w:pPr>
            <w:r w:rsidRPr="00AA58D1">
              <w:rPr>
                <w:rFonts w:eastAsia="Times New Roman" w:cstheme="minorHAnsi"/>
                <w:color w:val="000000" w:themeColor="text1"/>
              </w:rPr>
              <w:t>54 (55.1)</w:t>
            </w:r>
          </w:p>
        </w:tc>
        <w:tc>
          <w:tcPr>
            <w:tcW w:w="3060" w:type="dxa"/>
            <w:hideMark/>
          </w:tcPr>
          <w:p w14:paraId="71AFF251" w14:textId="77777777" w:rsidR="007C1050" w:rsidRPr="00AA58D1" w:rsidRDefault="007C1050" w:rsidP="00CA3857">
            <w:pPr>
              <w:rPr>
                <w:rFonts w:eastAsia="Times New Roman" w:cstheme="minorHAnsi"/>
                <w:color w:val="000000" w:themeColor="text1"/>
              </w:rPr>
            </w:pPr>
            <w:r w:rsidRPr="00AA58D1">
              <w:rPr>
                <w:rFonts w:eastAsia="Times New Roman" w:cstheme="minorHAnsi"/>
                <w:color w:val="000000" w:themeColor="text1"/>
              </w:rPr>
              <w:t>203 (</w:t>
            </w:r>
          </w:p>
        </w:tc>
      </w:tr>
    </w:tbl>
    <w:p w14:paraId="6322A3DC" w14:textId="77777777" w:rsidR="00767B22" w:rsidRPr="006A0D70" w:rsidRDefault="00767B22" w:rsidP="00767B22">
      <w:pPr>
        <w:spacing w:after="0" w:line="270" w:lineRule="auto"/>
        <w:divId w:val="1962149171"/>
        <w:rPr>
          <w:rFonts w:cstheme="minorHAnsi"/>
          <w:color w:val="000000" w:themeColor="text1"/>
          <w:sz w:val="12"/>
        </w:rPr>
      </w:pPr>
    </w:p>
    <w:p w14:paraId="6143483A" w14:textId="28C90D1C" w:rsidR="00E21EFC" w:rsidRPr="00E21EFC" w:rsidRDefault="00767B22" w:rsidP="00E21EFC">
      <w:pPr>
        <w:spacing w:after="0" w:line="240" w:lineRule="auto"/>
        <w:ind w:left="-90"/>
        <w:jc w:val="both"/>
        <w:divId w:val="1962149171"/>
        <w:rPr>
          <w:rFonts w:eastAsia="Arial" w:cstheme="minorHAnsi"/>
          <w:color w:val="000000" w:themeColor="text1"/>
        </w:rPr>
      </w:pPr>
      <w:r w:rsidRPr="00AA58D1">
        <w:rPr>
          <w:rFonts w:eastAsia="Arial" w:cstheme="minorHAnsi"/>
          <w:color w:val="000000" w:themeColor="text1"/>
        </w:rPr>
        <w:t xml:space="preserve">The results of the </w:t>
      </w:r>
      <w:r w:rsidRPr="00AA58D1">
        <w:rPr>
          <w:rFonts w:eastAsia="Arial" w:cstheme="minorHAnsi"/>
          <w:b/>
          <w:color w:val="000000" w:themeColor="text1"/>
        </w:rPr>
        <w:t xml:space="preserve">univariate analysis </w:t>
      </w:r>
      <w:r w:rsidRPr="00AA58D1">
        <w:rPr>
          <w:rFonts w:eastAsia="Arial" w:cstheme="minorHAnsi"/>
          <w:color w:val="000000" w:themeColor="text1"/>
        </w:rPr>
        <w:t>showed that age (p&lt;0.001), male sex (p=0.004), baseline platelet count (p&lt;0.001), baseline alpha-fetoprotein (AFP) level (p&lt;0.001), and cirrhosis (p&lt;0.001) were significantly associated with the development of HCC.</w:t>
      </w:r>
    </w:p>
    <w:p w14:paraId="0F0AD8DE" w14:textId="77777777" w:rsidR="00E21EFC" w:rsidRDefault="00E21EFC" w:rsidP="00ED7401">
      <w:pPr>
        <w:spacing w:after="0" w:line="240" w:lineRule="auto"/>
        <w:ind w:left="-90"/>
        <w:jc w:val="both"/>
        <w:divId w:val="1962149171"/>
        <w:rPr>
          <w:rFonts w:eastAsia="Arial" w:cstheme="minorHAnsi"/>
          <w:color w:val="000000" w:themeColor="text1"/>
        </w:rPr>
      </w:pPr>
    </w:p>
    <w:p w14:paraId="347C3926" w14:textId="6C78A2A8" w:rsidR="00E21EFC" w:rsidRPr="00E21EFC" w:rsidRDefault="00E21EFC" w:rsidP="00ED7401">
      <w:pPr>
        <w:spacing w:after="0" w:line="240" w:lineRule="auto"/>
        <w:ind w:left="-90"/>
        <w:jc w:val="both"/>
        <w:divId w:val="1962149171"/>
        <w:rPr>
          <w:b/>
          <w:bCs/>
          <w:color w:val="FF0000"/>
        </w:rPr>
      </w:pPr>
      <w:r w:rsidRPr="00E21EFC">
        <w:rPr>
          <w:rFonts w:eastAsia="Arial" w:cstheme="minorHAnsi"/>
          <w:b/>
          <w:bCs/>
          <w:color w:val="FF0000"/>
        </w:rPr>
        <w:t>Table: 2</w:t>
      </w:r>
      <w:r w:rsidRPr="00E21EFC">
        <w:rPr>
          <w:b/>
          <w:bCs/>
          <w:color w:val="FF0000"/>
        </w:rPr>
        <w:t xml:space="preserve"> </w:t>
      </w:r>
      <w:r w:rsidRPr="00E21EFC">
        <w:rPr>
          <w:rFonts w:eastAsia="Arial" w:cstheme="minorHAnsi"/>
          <w:b/>
          <w:bCs/>
          <w:color w:val="FF0000"/>
        </w:rPr>
        <w:t>variables</w:t>
      </w:r>
      <w:r w:rsidRPr="00E21EFC">
        <w:rPr>
          <w:rFonts w:eastAsia="Arial" w:cstheme="minorHAnsi"/>
          <w:b/>
          <w:bCs/>
          <w:color w:val="FF0000"/>
        </w:rPr>
        <w:t xml:space="preserve"> that are statistically associated with the development of HCC. P-values indicate the level of significance, with values less than 0.05 considered statistically significant.</w:t>
      </w:r>
    </w:p>
    <w:p w14:paraId="21560BD1" w14:textId="77777777" w:rsidR="00E21EFC" w:rsidRPr="00E21EFC" w:rsidRDefault="00E21EFC" w:rsidP="00ED7401">
      <w:pPr>
        <w:spacing w:after="0" w:line="240" w:lineRule="auto"/>
        <w:ind w:left="-90"/>
        <w:jc w:val="both"/>
        <w:divId w:val="1962149171"/>
        <w:rPr>
          <w:rFonts w:eastAsia="Arial" w:cstheme="minorHAnsi"/>
          <w:b/>
          <w:bCs/>
          <w:color w:val="FF0000"/>
        </w:rPr>
      </w:pPr>
    </w:p>
    <w:tbl>
      <w:tblPr>
        <w:tblStyle w:val="TableGrid"/>
        <w:tblW w:w="0" w:type="auto"/>
        <w:tblInd w:w="-90" w:type="dxa"/>
        <w:tblLook w:val="04A0" w:firstRow="1" w:lastRow="0" w:firstColumn="1" w:lastColumn="0" w:noHBand="0" w:noVBand="1"/>
      </w:tblPr>
      <w:tblGrid>
        <w:gridCol w:w="4508"/>
        <w:gridCol w:w="4508"/>
      </w:tblGrid>
      <w:tr w:rsidR="00E21EFC" w:rsidRPr="00E21EFC" w14:paraId="015DB4A8" w14:textId="77777777" w:rsidTr="00E21EFC">
        <w:trPr>
          <w:divId w:val="1962149171"/>
        </w:trPr>
        <w:tc>
          <w:tcPr>
            <w:tcW w:w="4508" w:type="dxa"/>
          </w:tcPr>
          <w:p w14:paraId="5409D238" w14:textId="17E66898" w:rsidR="00E21EFC" w:rsidRPr="00E21EFC" w:rsidRDefault="00E21EFC" w:rsidP="00ED7401">
            <w:pPr>
              <w:jc w:val="both"/>
              <w:rPr>
                <w:rFonts w:eastAsia="Arial" w:cstheme="minorHAnsi"/>
                <w:color w:val="FF0000"/>
              </w:rPr>
            </w:pPr>
            <w:r w:rsidRPr="00E21EFC">
              <w:rPr>
                <w:rFonts w:eastAsia="Arial" w:cstheme="minorHAnsi"/>
                <w:color w:val="FF0000"/>
              </w:rPr>
              <w:t>factors</w:t>
            </w:r>
          </w:p>
        </w:tc>
        <w:tc>
          <w:tcPr>
            <w:tcW w:w="4508" w:type="dxa"/>
          </w:tcPr>
          <w:p w14:paraId="17D27EF8" w14:textId="018D80F2" w:rsidR="00E21EFC" w:rsidRPr="00E21EFC" w:rsidRDefault="00E21EFC" w:rsidP="00ED7401">
            <w:pPr>
              <w:jc w:val="both"/>
              <w:rPr>
                <w:rFonts w:eastAsia="Arial" w:cstheme="minorHAnsi"/>
                <w:color w:val="FF0000"/>
              </w:rPr>
            </w:pPr>
            <w:r w:rsidRPr="00E21EFC">
              <w:rPr>
                <w:rFonts w:eastAsia="Arial" w:cstheme="minorHAnsi"/>
                <w:color w:val="FF0000"/>
              </w:rPr>
              <w:t xml:space="preserve">P-Value </w:t>
            </w:r>
          </w:p>
        </w:tc>
      </w:tr>
      <w:tr w:rsidR="00E21EFC" w:rsidRPr="00E21EFC" w14:paraId="1E18F72F" w14:textId="77777777" w:rsidTr="00E21EFC">
        <w:trPr>
          <w:divId w:val="1962149171"/>
        </w:trPr>
        <w:tc>
          <w:tcPr>
            <w:tcW w:w="4508" w:type="dxa"/>
          </w:tcPr>
          <w:p w14:paraId="02E84C3B" w14:textId="0D22C5DC" w:rsidR="00E21EFC" w:rsidRPr="00E21EFC" w:rsidRDefault="00E21EFC" w:rsidP="00ED7401">
            <w:pPr>
              <w:jc w:val="both"/>
              <w:rPr>
                <w:rFonts w:eastAsia="Arial" w:cstheme="minorHAnsi"/>
                <w:color w:val="FF0000"/>
              </w:rPr>
            </w:pPr>
            <w:r w:rsidRPr="00E21EFC">
              <w:rPr>
                <w:rFonts w:eastAsia="Arial" w:cstheme="minorHAnsi"/>
                <w:color w:val="FF0000"/>
              </w:rPr>
              <w:t>Age</w:t>
            </w:r>
          </w:p>
        </w:tc>
        <w:tc>
          <w:tcPr>
            <w:tcW w:w="4508" w:type="dxa"/>
          </w:tcPr>
          <w:p w14:paraId="24C11395" w14:textId="383DEF42" w:rsidR="00E21EFC" w:rsidRPr="00E21EFC" w:rsidRDefault="00E21EFC" w:rsidP="00ED7401">
            <w:pPr>
              <w:jc w:val="both"/>
              <w:rPr>
                <w:rFonts w:eastAsia="Arial" w:cstheme="minorHAnsi"/>
                <w:color w:val="FF0000"/>
              </w:rPr>
            </w:pPr>
            <w:r w:rsidRPr="00E21EFC">
              <w:rPr>
                <w:rFonts w:eastAsia="Arial" w:cstheme="minorHAnsi"/>
                <w:color w:val="FF0000"/>
              </w:rPr>
              <w:t>p&lt;0.001</w:t>
            </w:r>
          </w:p>
        </w:tc>
      </w:tr>
      <w:tr w:rsidR="00E21EFC" w:rsidRPr="00E21EFC" w14:paraId="5004DF73" w14:textId="77777777" w:rsidTr="00E21EFC">
        <w:trPr>
          <w:divId w:val="1962149171"/>
        </w:trPr>
        <w:tc>
          <w:tcPr>
            <w:tcW w:w="4508" w:type="dxa"/>
          </w:tcPr>
          <w:p w14:paraId="3ECF8C2C" w14:textId="3D817A34" w:rsidR="00E21EFC" w:rsidRPr="00E21EFC" w:rsidRDefault="00E21EFC" w:rsidP="00ED7401">
            <w:pPr>
              <w:jc w:val="both"/>
              <w:rPr>
                <w:rFonts w:eastAsia="Arial" w:cstheme="minorHAnsi"/>
                <w:color w:val="FF0000"/>
              </w:rPr>
            </w:pPr>
            <w:r w:rsidRPr="00E21EFC">
              <w:rPr>
                <w:rFonts w:eastAsia="Arial" w:cstheme="minorHAnsi"/>
                <w:color w:val="FF0000"/>
              </w:rPr>
              <w:t>Sex</w:t>
            </w:r>
          </w:p>
        </w:tc>
        <w:tc>
          <w:tcPr>
            <w:tcW w:w="4508" w:type="dxa"/>
          </w:tcPr>
          <w:p w14:paraId="3B4137C2" w14:textId="6CCC6F2B" w:rsidR="00E21EFC" w:rsidRPr="00E21EFC" w:rsidRDefault="00E21EFC" w:rsidP="00ED7401">
            <w:pPr>
              <w:jc w:val="both"/>
              <w:rPr>
                <w:rFonts w:eastAsia="Arial" w:cstheme="minorHAnsi"/>
                <w:color w:val="FF0000"/>
              </w:rPr>
            </w:pPr>
            <w:r w:rsidRPr="00E21EFC">
              <w:rPr>
                <w:rFonts w:eastAsia="Arial" w:cstheme="minorHAnsi"/>
                <w:color w:val="FF0000"/>
              </w:rPr>
              <w:t>P=</w:t>
            </w:r>
            <w:r w:rsidRPr="00E21EFC">
              <w:rPr>
                <w:rFonts w:eastAsia="Arial" w:cstheme="minorHAnsi"/>
                <w:color w:val="FF0000"/>
              </w:rPr>
              <w:t>0.004</w:t>
            </w:r>
          </w:p>
        </w:tc>
      </w:tr>
      <w:tr w:rsidR="00E21EFC" w:rsidRPr="00E21EFC" w14:paraId="547322E4" w14:textId="77777777" w:rsidTr="00E21EFC">
        <w:trPr>
          <w:divId w:val="1962149171"/>
        </w:trPr>
        <w:tc>
          <w:tcPr>
            <w:tcW w:w="4508" w:type="dxa"/>
          </w:tcPr>
          <w:p w14:paraId="65FD0DAD" w14:textId="0A17A2B6" w:rsidR="00E21EFC" w:rsidRPr="00E21EFC" w:rsidRDefault="00E21EFC" w:rsidP="00ED7401">
            <w:pPr>
              <w:jc w:val="both"/>
              <w:rPr>
                <w:rFonts w:eastAsia="Arial" w:cstheme="minorHAnsi"/>
                <w:color w:val="FF0000"/>
              </w:rPr>
            </w:pPr>
            <w:r w:rsidRPr="00E21EFC">
              <w:rPr>
                <w:rFonts w:eastAsia="Arial" w:cstheme="minorHAnsi"/>
                <w:color w:val="FF0000"/>
              </w:rPr>
              <w:t xml:space="preserve">Baseline Platelets counts </w:t>
            </w:r>
          </w:p>
        </w:tc>
        <w:tc>
          <w:tcPr>
            <w:tcW w:w="4508" w:type="dxa"/>
          </w:tcPr>
          <w:p w14:paraId="380289F4" w14:textId="025B652A" w:rsidR="00E21EFC" w:rsidRPr="00E21EFC" w:rsidRDefault="00E21EFC" w:rsidP="00ED7401">
            <w:pPr>
              <w:jc w:val="both"/>
              <w:rPr>
                <w:rFonts w:eastAsia="Arial" w:cstheme="minorHAnsi"/>
                <w:color w:val="FF0000"/>
              </w:rPr>
            </w:pPr>
            <w:r w:rsidRPr="00E21EFC">
              <w:rPr>
                <w:rFonts w:eastAsia="Arial" w:cstheme="minorHAnsi"/>
                <w:color w:val="FF0000"/>
              </w:rPr>
              <w:t>p&lt;0.001</w:t>
            </w:r>
          </w:p>
        </w:tc>
      </w:tr>
      <w:tr w:rsidR="00E21EFC" w:rsidRPr="00E21EFC" w14:paraId="35D19EF0" w14:textId="77777777" w:rsidTr="00E21EFC">
        <w:trPr>
          <w:divId w:val="1962149171"/>
        </w:trPr>
        <w:tc>
          <w:tcPr>
            <w:tcW w:w="4508" w:type="dxa"/>
          </w:tcPr>
          <w:p w14:paraId="600E6915" w14:textId="68CA931A" w:rsidR="00E21EFC" w:rsidRPr="00E21EFC" w:rsidRDefault="00E21EFC" w:rsidP="00ED7401">
            <w:pPr>
              <w:jc w:val="both"/>
              <w:rPr>
                <w:rFonts w:eastAsia="Arial" w:cstheme="minorHAnsi"/>
                <w:color w:val="FF0000"/>
              </w:rPr>
            </w:pPr>
            <w:r w:rsidRPr="00E21EFC">
              <w:rPr>
                <w:rFonts w:eastAsia="Arial" w:cstheme="minorHAnsi"/>
                <w:color w:val="FF0000"/>
              </w:rPr>
              <w:t>Baseline Alpha fetoprotein level</w:t>
            </w:r>
          </w:p>
        </w:tc>
        <w:tc>
          <w:tcPr>
            <w:tcW w:w="4508" w:type="dxa"/>
          </w:tcPr>
          <w:p w14:paraId="23E225D2" w14:textId="07449D28" w:rsidR="00E21EFC" w:rsidRPr="00E21EFC" w:rsidRDefault="00E21EFC" w:rsidP="00ED7401">
            <w:pPr>
              <w:jc w:val="both"/>
              <w:rPr>
                <w:rFonts w:eastAsia="Arial" w:cstheme="minorHAnsi"/>
                <w:color w:val="FF0000"/>
              </w:rPr>
            </w:pPr>
            <w:r w:rsidRPr="00E21EFC">
              <w:rPr>
                <w:rFonts w:eastAsia="Arial" w:cstheme="minorHAnsi"/>
                <w:color w:val="FF0000"/>
              </w:rPr>
              <w:t>p&lt;0.001</w:t>
            </w:r>
          </w:p>
        </w:tc>
      </w:tr>
      <w:tr w:rsidR="00E21EFC" w:rsidRPr="00E21EFC" w14:paraId="6AEF814E" w14:textId="77777777" w:rsidTr="00E21EFC">
        <w:trPr>
          <w:divId w:val="1962149171"/>
        </w:trPr>
        <w:tc>
          <w:tcPr>
            <w:tcW w:w="4508" w:type="dxa"/>
          </w:tcPr>
          <w:p w14:paraId="45CB3920" w14:textId="311D02D2" w:rsidR="00E21EFC" w:rsidRPr="00E21EFC" w:rsidRDefault="00E21EFC" w:rsidP="00ED7401">
            <w:pPr>
              <w:jc w:val="both"/>
              <w:rPr>
                <w:rFonts w:eastAsia="Arial" w:cstheme="minorHAnsi"/>
                <w:color w:val="FF0000"/>
              </w:rPr>
            </w:pPr>
            <w:r w:rsidRPr="00E21EFC">
              <w:rPr>
                <w:rFonts w:eastAsia="Arial" w:cstheme="minorHAnsi"/>
                <w:color w:val="FF0000"/>
              </w:rPr>
              <w:t>cirrhosis</w:t>
            </w:r>
          </w:p>
        </w:tc>
        <w:tc>
          <w:tcPr>
            <w:tcW w:w="4508" w:type="dxa"/>
          </w:tcPr>
          <w:p w14:paraId="205B5599" w14:textId="6E4DB10B" w:rsidR="00E21EFC" w:rsidRPr="00E21EFC" w:rsidRDefault="00E21EFC" w:rsidP="00ED7401">
            <w:pPr>
              <w:jc w:val="both"/>
              <w:rPr>
                <w:rFonts w:eastAsia="Arial" w:cstheme="minorHAnsi"/>
                <w:color w:val="FF0000"/>
              </w:rPr>
            </w:pPr>
            <w:r w:rsidRPr="00E21EFC">
              <w:rPr>
                <w:rFonts w:eastAsia="Arial" w:cstheme="minorHAnsi"/>
                <w:color w:val="FF0000"/>
              </w:rPr>
              <w:t>p&lt;0.001</w:t>
            </w:r>
          </w:p>
        </w:tc>
      </w:tr>
    </w:tbl>
    <w:p w14:paraId="6EC16455" w14:textId="77777777" w:rsidR="00E21EFC" w:rsidRDefault="00E21EFC" w:rsidP="00ED7401">
      <w:pPr>
        <w:spacing w:after="0" w:line="240" w:lineRule="auto"/>
        <w:ind w:left="-90"/>
        <w:jc w:val="both"/>
        <w:divId w:val="1962149171"/>
        <w:rPr>
          <w:rFonts w:eastAsia="Arial" w:cstheme="minorHAnsi"/>
          <w:color w:val="000000" w:themeColor="text1"/>
        </w:rPr>
      </w:pPr>
    </w:p>
    <w:p w14:paraId="1B37C601" w14:textId="77777777" w:rsidR="00E21EFC" w:rsidRPr="00AA58D1" w:rsidRDefault="00E21EFC" w:rsidP="00ED7401">
      <w:pPr>
        <w:spacing w:after="0" w:line="240" w:lineRule="auto"/>
        <w:ind w:left="-90"/>
        <w:jc w:val="both"/>
        <w:divId w:val="1962149171"/>
        <w:rPr>
          <w:rFonts w:eastAsia="Arial" w:cstheme="minorHAnsi"/>
          <w:color w:val="000000" w:themeColor="text1"/>
        </w:rPr>
      </w:pPr>
    </w:p>
    <w:p w14:paraId="50467104" w14:textId="77777777" w:rsidR="00767B22" w:rsidRPr="00AA58D1" w:rsidRDefault="00767B22" w:rsidP="00ED7401">
      <w:pPr>
        <w:spacing w:after="0" w:line="240" w:lineRule="auto"/>
        <w:ind w:left="-90"/>
        <w:jc w:val="both"/>
        <w:divId w:val="1962149171"/>
        <w:rPr>
          <w:rFonts w:eastAsia="Arial" w:cstheme="minorHAnsi"/>
          <w:color w:val="000000" w:themeColor="text1"/>
        </w:rPr>
      </w:pPr>
      <w:r w:rsidRPr="00AA58D1">
        <w:rPr>
          <w:rFonts w:eastAsia="Arial" w:cstheme="minorHAnsi"/>
          <w:color w:val="000000" w:themeColor="text1"/>
        </w:rPr>
        <w:t xml:space="preserve">In the </w:t>
      </w:r>
      <w:r w:rsidRPr="000F6F0A">
        <w:rPr>
          <w:rFonts w:eastAsia="Arial" w:cstheme="minorHAnsi"/>
          <w:b/>
          <w:color w:val="000000" w:themeColor="text1"/>
        </w:rPr>
        <w:t>multivariate analysis</w:t>
      </w:r>
      <w:r w:rsidRPr="00AA58D1">
        <w:rPr>
          <w:rFonts w:eastAsia="Arial" w:cstheme="minorHAnsi"/>
          <w:color w:val="000000" w:themeColor="text1"/>
        </w:rPr>
        <w:t>, age (hazard ratio [HR] 1.06, 95% confidence interval [CI] 1.03-1.08, p&lt;0.001), male sex (HR 1.86, 95% CI 1.13-3.08, p=0.014), baseline AFP level (HR 1.28, 95% CI 1.18-1.39, p&lt;0.001), and cirrhosis (HR 4.84, 95% CI 2.78-8.42, p&lt;0.001) remained significant predictors of HCC development.</w:t>
      </w:r>
    </w:p>
    <w:p w14:paraId="396A86A9" w14:textId="77777777" w:rsidR="00767B22" w:rsidRPr="00AA58D1" w:rsidRDefault="00767B22" w:rsidP="00ED7401">
      <w:pPr>
        <w:spacing w:after="0" w:line="240" w:lineRule="auto"/>
        <w:ind w:left="-90"/>
        <w:jc w:val="both"/>
        <w:divId w:val="1962149171"/>
        <w:rPr>
          <w:rFonts w:eastAsia="Arial" w:cstheme="minorHAnsi"/>
          <w:color w:val="000000" w:themeColor="text1"/>
        </w:rPr>
      </w:pPr>
      <w:r w:rsidRPr="00AA58D1">
        <w:rPr>
          <w:rFonts w:eastAsia="Arial" w:cstheme="minorHAnsi"/>
          <w:color w:val="000000" w:themeColor="text1"/>
        </w:rPr>
        <w:t>In addition, the study found that patients who achieved sustained virological response (SVR) had a lower incidence of HCC compared to those who did not achieve SVR (1.1% vs. 6.9%, p&lt;0.001).</w:t>
      </w:r>
    </w:p>
    <w:p w14:paraId="46BCE3ED" w14:textId="77777777" w:rsidR="00AB6E6E" w:rsidRPr="00AB6E6E" w:rsidRDefault="00AB6E6E" w:rsidP="00ED7401">
      <w:pPr>
        <w:spacing w:after="0" w:line="240" w:lineRule="auto"/>
        <w:ind w:left="-90"/>
        <w:jc w:val="both"/>
        <w:divId w:val="1962149171"/>
        <w:rPr>
          <w:rFonts w:eastAsia="Times New Roman" w:cstheme="minorHAnsi"/>
          <w:b/>
          <w:color w:val="000000" w:themeColor="text1"/>
          <w:sz w:val="6"/>
        </w:rPr>
      </w:pPr>
    </w:p>
    <w:p w14:paraId="75ECD330" w14:textId="77777777" w:rsidR="009E16DF" w:rsidRPr="009E16DF" w:rsidRDefault="009E16DF" w:rsidP="009E16DF">
      <w:pPr>
        <w:spacing w:after="0" w:line="240" w:lineRule="auto"/>
        <w:ind w:left="-90"/>
        <w:jc w:val="both"/>
        <w:divId w:val="1962149171"/>
        <w:rPr>
          <w:rFonts w:eastAsia="Times New Roman" w:cstheme="minorHAnsi"/>
          <w:b/>
          <w:bCs/>
          <w:color w:val="000000" w:themeColor="text1"/>
          <w:lang w:val="en-PK"/>
        </w:rPr>
      </w:pPr>
      <w:r w:rsidRPr="009E16DF">
        <w:rPr>
          <w:rFonts w:eastAsia="Times New Roman" w:cstheme="minorHAnsi"/>
          <w:b/>
          <w:bCs/>
          <w:color w:val="000000" w:themeColor="text1"/>
          <w:lang w:val="en-PK"/>
        </w:rPr>
        <w:t>Discussion</w:t>
      </w:r>
    </w:p>
    <w:p w14:paraId="6CBDAC82" w14:textId="603E6FD8" w:rsidR="00924FFB" w:rsidRPr="00924FFB" w:rsidRDefault="00924FFB" w:rsidP="00924FFB">
      <w:pPr>
        <w:spacing w:after="0" w:line="240" w:lineRule="auto"/>
        <w:ind w:left="-90"/>
        <w:jc w:val="both"/>
        <w:divId w:val="1962149171"/>
        <w:rPr>
          <w:rFonts w:eastAsia="Times New Roman" w:cstheme="minorHAnsi"/>
          <w:bCs/>
          <w:color w:val="FF0000"/>
          <w:lang w:val="en-PK"/>
        </w:rPr>
      </w:pPr>
      <w:r w:rsidRPr="00924FFB">
        <w:rPr>
          <w:rFonts w:eastAsia="Times New Roman" w:cstheme="minorHAnsi"/>
          <w:bCs/>
          <w:color w:val="FF0000"/>
          <w:lang w:val="en-PK"/>
        </w:rPr>
        <w:t xml:space="preserve">The treatment of chronic HCV infection with interferon (IFN) has been historically associated with significant side effects, including flu-like symptoms, depression, and </w:t>
      </w:r>
      <w:r w:rsidRPr="00924FFB">
        <w:rPr>
          <w:rFonts w:eastAsia="Times New Roman" w:cstheme="minorHAnsi"/>
          <w:bCs/>
          <w:color w:val="FF0000"/>
          <w:lang w:val="en-PK"/>
        </w:rPr>
        <w:t>haematological</w:t>
      </w:r>
      <w:r w:rsidRPr="00924FFB">
        <w:rPr>
          <w:rFonts w:eastAsia="Times New Roman" w:cstheme="minorHAnsi"/>
          <w:bCs/>
          <w:color w:val="FF0000"/>
          <w:lang w:val="en-PK"/>
        </w:rPr>
        <w:t xml:space="preserve"> abnormalities</w:t>
      </w:r>
      <w:r w:rsidRPr="00924FFB">
        <w:rPr>
          <w:rFonts w:ascii="MS Gothic" w:eastAsia="MS Gothic" w:hAnsi="MS Gothic" w:cs="MS Gothic" w:hint="eastAsia"/>
          <w:bCs/>
          <w:color w:val="FF0000"/>
          <w:lang w:val="en-PK"/>
        </w:rPr>
        <w:t>【</w:t>
      </w:r>
      <w:r w:rsidRPr="00924FFB">
        <w:rPr>
          <w:rFonts w:eastAsia="Times New Roman" w:cstheme="minorHAnsi"/>
          <w:bCs/>
          <w:color w:val="FF0000"/>
          <w:lang w:val="en-PK"/>
        </w:rPr>
        <w:t>15</w:t>
      </w:r>
      <w:r w:rsidRPr="00924FFB">
        <w:rPr>
          <w:rFonts w:ascii="MS Gothic" w:eastAsia="MS Gothic" w:hAnsi="MS Gothic" w:cs="MS Gothic" w:hint="eastAsia"/>
          <w:bCs/>
          <w:color w:val="FF0000"/>
          <w:lang w:val="en-PK"/>
        </w:rPr>
        <w:t>】</w:t>
      </w:r>
      <w:r w:rsidRPr="00924FFB">
        <w:rPr>
          <w:rFonts w:eastAsia="Times New Roman" w:cstheme="minorHAnsi"/>
          <w:bCs/>
          <w:color w:val="FF0000"/>
          <w:lang w:val="en-PK"/>
        </w:rPr>
        <w:t>. Even with shorter treatment durations, peginterferon therapy requires 24 weeks of weekly injections and regular hospital visits, which can be particularly burdensome for patients, especially those in the working population of Pakistan</w:t>
      </w:r>
      <w:r w:rsidRPr="00924FFB">
        <w:rPr>
          <w:rFonts w:ascii="MS Gothic" w:eastAsia="MS Gothic" w:hAnsi="MS Gothic" w:cs="MS Gothic" w:hint="eastAsia"/>
          <w:bCs/>
          <w:color w:val="FF0000"/>
          <w:lang w:val="en-PK"/>
        </w:rPr>
        <w:t>【</w:t>
      </w:r>
      <w:r w:rsidRPr="00924FFB">
        <w:rPr>
          <w:rFonts w:eastAsia="Times New Roman" w:cstheme="minorHAnsi"/>
          <w:bCs/>
          <w:color w:val="FF0000"/>
          <w:lang w:val="en-PK"/>
        </w:rPr>
        <w:t>16</w:t>
      </w:r>
      <w:r w:rsidRPr="00924FFB">
        <w:rPr>
          <w:rFonts w:ascii="MS Gothic" w:eastAsia="MS Gothic" w:hAnsi="MS Gothic" w:cs="MS Gothic" w:hint="eastAsia"/>
          <w:bCs/>
          <w:color w:val="FF0000"/>
          <w:lang w:val="en-PK"/>
        </w:rPr>
        <w:t>】</w:t>
      </w:r>
      <w:r w:rsidRPr="00924FFB">
        <w:rPr>
          <w:rFonts w:eastAsia="Times New Roman" w:cstheme="minorHAnsi"/>
          <w:bCs/>
          <w:color w:val="FF0000"/>
          <w:lang w:val="en-PK"/>
        </w:rPr>
        <w:t>. These side effects and the inconvenience of the treatment regimen have acted as barriers to treatment initiation and adherence</w:t>
      </w:r>
      <w:r w:rsidRPr="00924FFB">
        <w:rPr>
          <w:rFonts w:ascii="MS Gothic" w:eastAsia="MS Gothic" w:hAnsi="MS Gothic" w:cs="MS Gothic" w:hint="eastAsia"/>
          <w:bCs/>
          <w:color w:val="FF0000"/>
          <w:lang w:val="en-PK"/>
        </w:rPr>
        <w:t>【</w:t>
      </w:r>
      <w:r w:rsidRPr="00924FFB">
        <w:rPr>
          <w:rFonts w:eastAsia="Times New Roman" w:cstheme="minorHAnsi"/>
          <w:bCs/>
          <w:color w:val="FF0000"/>
          <w:lang w:val="en-PK"/>
        </w:rPr>
        <w:t>17</w:t>
      </w:r>
      <w:r w:rsidRPr="00924FFB">
        <w:rPr>
          <w:rFonts w:ascii="MS Gothic" w:eastAsia="MS Gothic" w:hAnsi="MS Gothic" w:cs="MS Gothic" w:hint="eastAsia"/>
          <w:bCs/>
          <w:color w:val="FF0000"/>
          <w:lang w:val="en-PK"/>
        </w:rPr>
        <w:t>】</w:t>
      </w:r>
      <w:r w:rsidRPr="00924FFB">
        <w:rPr>
          <w:rFonts w:eastAsia="Times New Roman" w:cstheme="minorHAnsi"/>
          <w:bCs/>
          <w:color w:val="FF0000"/>
          <w:lang w:val="en-PK"/>
        </w:rPr>
        <w:t>.</w:t>
      </w:r>
    </w:p>
    <w:p w14:paraId="438FD723" w14:textId="77777777" w:rsidR="00924FFB" w:rsidRPr="00924FFB" w:rsidRDefault="00924FFB" w:rsidP="00924FFB">
      <w:pPr>
        <w:spacing w:after="0" w:line="240" w:lineRule="auto"/>
        <w:ind w:left="-90"/>
        <w:jc w:val="both"/>
        <w:divId w:val="1962149171"/>
        <w:rPr>
          <w:rFonts w:eastAsia="Times New Roman" w:cstheme="minorHAnsi"/>
          <w:bCs/>
          <w:color w:val="FF0000"/>
          <w:lang w:val="en-PK"/>
        </w:rPr>
      </w:pPr>
      <w:r w:rsidRPr="00924FFB">
        <w:rPr>
          <w:rFonts w:eastAsia="Times New Roman" w:cstheme="minorHAnsi"/>
          <w:bCs/>
          <w:color w:val="FF0000"/>
          <w:lang w:val="en-PK"/>
        </w:rPr>
        <w:t>In contrast, the advent of IFN-free regimens using direct-acting antivirals (DAAs) has revolutionized HCV treatment. DAA-based therapy is much better tolerated, with fewer side effects</w:t>
      </w:r>
      <w:r w:rsidRPr="00924FFB">
        <w:rPr>
          <w:rFonts w:ascii="MS Gothic" w:eastAsia="MS Gothic" w:hAnsi="MS Gothic" w:cs="MS Gothic" w:hint="eastAsia"/>
          <w:bCs/>
          <w:color w:val="FF0000"/>
          <w:lang w:val="en-PK"/>
        </w:rPr>
        <w:t>【</w:t>
      </w:r>
      <w:r w:rsidRPr="00924FFB">
        <w:rPr>
          <w:rFonts w:eastAsia="Times New Roman" w:cstheme="minorHAnsi"/>
          <w:bCs/>
          <w:color w:val="FF0000"/>
          <w:lang w:val="en-PK"/>
        </w:rPr>
        <w:t>18</w:t>
      </w:r>
      <w:r w:rsidRPr="00924FFB">
        <w:rPr>
          <w:rFonts w:ascii="MS Gothic" w:eastAsia="MS Gothic" w:hAnsi="MS Gothic" w:cs="MS Gothic" w:hint="eastAsia"/>
          <w:bCs/>
          <w:color w:val="FF0000"/>
          <w:lang w:val="en-PK"/>
        </w:rPr>
        <w:t>】</w:t>
      </w:r>
      <w:r w:rsidRPr="00924FFB">
        <w:rPr>
          <w:rFonts w:eastAsia="Times New Roman" w:cstheme="minorHAnsi"/>
          <w:bCs/>
          <w:color w:val="FF0000"/>
          <w:lang w:val="en-PK"/>
        </w:rPr>
        <w:t>, and can be administered orally, often over as little as 8 to 12 weeks, making it much more accessible and feasible for patients with active work schedules</w:t>
      </w:r>
      <w:r w:rsidRPr="00924FFB">
        <w:rPr>
          <w:rFonts w:ascii="MS Gothic" w:eastAsia="MS Gothic" w:hAnsi="MS Gothic" w:cs="MS Gothic" w:hint="eastAsia"/>
          <w:bCs/>
          <w:color w:val="FF0000"/>
          <w:lang w:val="en-PK"/>
        </w:rPr>
        <w:t>【</w:t>
      </w:r>
      <w:r w:rsidRPr="00924FFB">
        <w:rPr>
          <w:rFonts w:eastAsia="Times New Roman" w:cstheme="minorHAnsi"/>
          <w:bCs/>
          <w:color w:val="FF0000"/>
          <w:lang w:val="en-PK"/>
        </w:rPr>
        <w:t>19</w:t>
      </w:r>
      <w:r w:rsidRPr="00924FFB">
        <w:rPr>
          <w:rFonts w:ascii="MS Gothic" w:eastAsia="MS Gothic" w:hAnsi="MS Gothic" w:cs="MS Gothic" w:hint="eastAsia"/>
          <w:bCs/>
          <w:color w:val="FF0000"/>
          <w:lang w:val="en-PK"/>
        </w:rPr>
        <w:t>】【</w:t>
      </w:r>
      <w:r w:rsidRPr="00924FFB">
        <w:rPr>
          <w:rFonts w:eastAsia="Times New Roman" w:cstheme="minorHAnsi"/>
          <w:bCs/>
          <w:color w:val="FF0000"/>
          <w:lang w:val="en-PK"/>
        </w:rPr>
        <w:t>20</w:t>
      </w:r>
      <w:r w:rsidRPr="00924FFB">
        <w:rPr>
          <w:rFonts w:ascii="MS Gothic" w:eastAsia="MS Gothic" w:hAnsi="MS Gothic" w:cs="MS Gothic" w:hint="eastAsia"/>
          <w:bCs/>
          <w:color w:val="FF0000"/>
          <w:lang w:val="en-PK"/>
        </w:rPr>
        <w:t>】</w:t>
      </w:r>
      <w:r w:rsidRPr="00924FFB">
        <w:rPr>
          <w:rFonts w:eastAsia="Times New Roman" w:cstheme="minorHAnsi"/>
          <w:bCs/>
          <w:color w:val="FF0000"/>
          <w:lang w:val="en-PK"/>
        </w:rPr>
        <w:t>. This significant improvement in treatment tolerability has played a key role in improving access to HCV therapy, particularly in regions like Pakistan.</w:t>
      </w:r>
    </w:p>
    <w:p w14:paraId="4CA21B84" w14:textId="7484EFFD" w:rsidR="009E16DF" w:rsidRPr="00924FFB" w:rsidRDefault="00924FFB" w:rsidP="00924FFB">
      <w:pPr>
        <w:spacing w:after="0" w:line="240" w:lineRule="auto"/>
        <w:ind w:left="-90"/>
        <w:jc w:val="both"/>
        <w:divId w:val="1962149171"/>
        <w:rPr>
          <w:rFonts w:eastAsia="Times New Roman" w:cstheme="minorHAnsi"/>
          <w:bCs/>
          <w:color w:val="000000" w:themeColor="text1"/>
          <w:lang w:val="en-PK"/>
        </w:rPr>
      </w:pPr>
      <w:r w:rsidRPr="00924FFB">
        <w:rPr>
          <w:rFonts w:eastAsia="Times New Roman" w:cstheme="minorHAnsi"/>
          <w:bCs/>
          <w:color w:val="FF0000"/>
          <w:lang w:val="en-PK"/>
        </w:rPr>
        <w:t>However, one of the ongoing concerns in treating HCV, even after achieving sustained virological response (SVR), is the risk of hepatocellular carcinoma (HCC)</w:t>
      </w:r>
      <w:r w:rsidRPr="00924FFB">
        <w:rPr>
          <w:rFonts w:ascii="MS Gothic" w:eastAsia="MS Gothic" w:hAnsi="MS Gothic" w:cs="MS Gothic" w:hint="eastAsia"/>
          <w:bCs/>
          <w:color w:val="FF0000"/>
          <w:lang w:val="en-PK"/>
        </w:rPr>
        <w:t>【</w:t>
      </w:r>
      <w:r w:rsidRPr="00924FFB">
        <w:rPr>
          <w:rFonts w:eastAsia="Times New Roman" w:cstheme="minorHAnsi"/>
          <w:bCs/>
          <w:color w:val="FF0000"/>
          <w:lang w:val="en-PK"/>
        </w:rPr>
        <w:t>21</w:t>
      </w:r>
      <w:r w:rsidRPr="00924FFB">
        <w:rPr>
          <w:rFonts w:ascii="MS Gothic" w:eastAsia="MS Gothic" w:hAnsi="MS Gothic" w:cs="MS Gothic" w:hint="eastAsia"/>
          <w:bCs/>
          <w:color w:val="FF0000"/>
          <w:lang w:val="en-PK"/>
        </w:rPr>
        <w:t>】</w:t>
      </w:r>
      <w:r w:rsidRPr="00924FFB">
        <w:rPr>
          <w:rFonts w:eastAsia="Times New Roman" w:cstheme="minorHAnsi"/>
          <w:bCs/>
          <w:color w:val="FF0000"/>
          <w:lang w:val="en-PK"/>
        </w:rPr>
        <w:t>. While SVR achieved through IFN-based therapy has been shown to significantly reduce the risk of hepatocarcinogenesis, the same level of suppression is less clear with DAAs</w:t>
      </w:r>
      <w:r w:rsidRPr="00924FFB">
        <w:rPr>
          <w:rFonts w:ascii="MS Gothic" w:eastAsia="MS Gothic" w:hAnsi="MS Gothic" w:cs="MS Gothic" w:hint="eastAsia"/>
          <w:bCs/>
          <w:color w:val="FF0000"/>
          <w:lang w:val="en-PK"/>
        </w:rPr>
        <w:t>【</w:t>
      </w:r>
      <w:r w:rsidRPr="00924FFB">
        <w:rPr>
          <w:rFonts w:eastAsia="Times New Roman" w:cstheme="minorHAnsi"/>
          <w:bCs/>
          <w:color w:val="FF0000"/>
          <w:lang w:val="en-PK"/>
        </w:rPr>
        <w:t>22</w:t>
      </w:r>
      <w:r w:rsidRPr="00924FFB">
        <w:rPr>
          <w:rFonts w:ascii="MS Gothic" w:eastAsia="MS Gothic" w:hAnsi="MS Gothic" w:cs="MS Gothic" w:hint="eastAsia"/>
          <w:bCs/>
          <w:color w:val="FF0000"/>
          <w:lang w:val="en-PK"/>
        </w:rPr>
        <w:t>】</w:t>
      </w:r>
      <w:r w:rsidRPr="00924FFB">
        <w:rPr>
          <w:rFonts w:eastAsia="Times New Roman" w:cstheme="minorHAnsi"/>
          <w:bCs/>
          <w:color w:val="FF0000"/>
          <w:lang w:val="en-PK"/>
        </w:rPr>
        <w:t>.</w:t>
      </w:r>
      <w:r w:rsidRPr="00924FFB">
        <w:rPr>
          <w:color w:val="FF0000"/>
        </w:rPr>
        <w:t xml:space="preserve"> </w:t>
      </w:r>
      <w:r w:rsidRPr="00924FFB">
        <w:rPr>
          <w:rFonts w:eastAsia="Times New Roman" w:cstheme="minorHAnsi"/>
          <w:bCs/>
          <w:color w:val="FF0000"/>
        </w:rPr>
        <w:t xml:space="preserve">Patients with </w:t>
      </w:r>
      <w:r w:rsidRPr="00924FFB">
        <w:rPr>
          <w:rFonts w:eastAsia="Times New Roman" w:cstheme="minorHAnsi"/>
          <w:color w:val="FF0000"/>
        </w:rPr>
        <w:t>decompensated cirrhosis</w:t>
      </w:r>
      <w:r w:rsidRPr="00924FFB">
        <w:rPr>
          <w:rFonts w:eastAsia="Times New Roman" w:cstheme="minorHAnsi"/>
          <w:bCs/>
          <w:color w:val="FF0000"/>
        </w:rPr>
        <w:t xml:space="preserve"> are at a much higher baseline risk for HCC due to extensive liver fibrosis, ongoing liver inflammation, and the </w:t>
      </w:r>
      <w:r w:rsidRPr="00924FFB">
        <w:rPr>
          <w:rFonts w:eastAsia="Times New Roman" w:cstheme="minorHAnsi"/>
          <w:bCs/>
          <w:color w:val="FF0000"/>
        </w:rPr>
        <w:lastRenderedPageBreak/>
        <w:t>regenerative processes occurring in the liver</w:t>
      </w:r>
      <w:r w:rsidRPr="00924FFB">
        <w:rPr>
          <w:rFonts w:ascii="MS Gothic" w:eastAsia="MS Gothic" w:hAnsi="MS Gothic" w:cs="MS Gothic" w:hint="eastAsia"/>
          <w:bCs/>
          <w:color w:val="FF0000"/>
        </w:rPr>
        <w:t>【</w:t>
      </w:r>
      <w:r w:rsidRPr="00924FFB">
        <w:rPr>
          <w:rFonts w:eastAsia="Times New Roman" w:cstheme="minorHAnsi"/>
          <w:bCs/>
          <w:color w:val="FF0000"/>
        </w:rPr>
        <w:t>22</w:t>
      </w:r>
      <w:r w:rsidRPr="00924FFB">
        <w:rPr>
          <w:rFonts w:ascii="MS Gothic" w:eastAsia="MS Gothic" w:hAnsi="MS Gothic" w:cs="MS Gothic" w:hint="eastAsia"/>
          <w:bCs/>
          <w:color w:val="FF0000"/>
        </w:rPr>
        <w:t>】</w:t>
      </w:r>
      <w:r w:rsidRPr="00924FFB">
        <w:rPr>
          <w:rFonts w:eastAsia="Times New Roman" w:cstheme="minorHAnsi"/>
          <w:bCs/>
          <w:color w:val="FF0000"/>
        </w:rPr>
        <w:t>. As a result, the higher observed incidence of HCC in DAA-treated patients may be attributable to the fact that DAAs are now being administered to a more clinically deteriorated population, which naturally has a higher risk of developing HCC, rather than any intrinsic risk associated with DAA therapy itself</w:t>
      </w:r>
      <w:r w:rsidRPr="00924FFB">
        <w:rPr>
          <w:rFonts w:eastAsia="Times New Roman" w:cstheme="minorHAnsi"/>
          <w:bCs/>
          <w:color w:val="000000" w:themeColor="text1"/>
        </w:rPr>
        <w:t>.</w:t>
      </w:r>
      <w:r w:rsidR="009E16DF" w:rsidRPr="009E16DF">
        <w:rPr>
          <w:rFonts w:eastAsia="Times New Roman" w:cstheme="minorHAnsi"/>
          <w:bCs/>
          <w:color w:val="000000" w:themeColor="text1"/>
          <w:lang w:val="en-PK"/>
        </w:rPr>
        <w:t xml:space="preserve"> Various studies have examined the correlation between DAA treatment and HCC in diverse populations</w:t>
      </w:r>
      <w:r w:rsidR="009E16DF" w:rsidRPr="009E16DF">
        <w:rPr>
          <w:rFonts w:ascii="MS Gothic" w:eastAsia="MS Gothic" w:hAnsi="MS Gothic" w:cs="MS Gothic" w:hint="eastAsia"/>
          <w:bCs/>
          <w:color w:val="000000" w:themeColor="text1"/>
          <w:lang w:val="en-PK"/>
        </w:rPr>
        <w:t>【</w:t>
      </w:r>
      <w:r w:rsidR="009E16DF" w:rsidRPr="009E16DF">
        <w:rPr>
          <w:rFonts w:eastAsia="Times New Roman" w:cstheme="minorHAnsi"/>
          <w:bCs/>
          <w:color w:val="000000" w:themeColor="text1"/>
          <w:lang w:val="en-PK"/>
        </w:rPr>
        <w:t>23</w:t>
      </w:r>
      <w:r w:rsidR="009E16DF" w:rsidRPr="009E16DF">
        <w:rPr>
          <w:rFonts w:ascii="MS Gothic" w:eastAsia="MS Gothic" w:hAnsi="MS Gothic" w:cs="MS Gothic" w:hint="eastAsia"/>
          <w:bCs/>
          <w:color w:val="000000" w:themeColor="text1"/>
          <w:lang w:val="en-PK"/>
        </w:rPr>
        <w:t>】</w:t>
      </w:r>
      <w:r w:rsidR="009E16DF" w:rsidRPr="009E16DF">
        <w:rPr>
          <w:rFonts w:eastAsia="Times New Roman" w:cstheme="minorHAnsi"/>
          <w:bCs/>
          <w:color w:val="000000" w:themeColor="text1"/>
          <w:lang w:val="en-PK"/>
        </w:rPr>
        <w:t>. Thus far, the evidence suggests a link between HCC and patients who have undergone previous treatment, while no such association has been observed in patients undergoing new or "de novo" treatment</w:t>
      </w:r>
      <w:r w:rsidR="009E16DF" w:rsidRPr="009E16DF">
        <w:rPr>
          <w:rFonts w:ascii="MS Gothic" w:eastAsia="MS Gothic" w:hAnsi="MS Gothic" w:cs="MS Gothic" w:hint="eastAsia"/>
          <w:bCs/>
          <w:color w:val="000000" w:themeColor="text1"/>
          <w:lang w:val="en-PK"/>
        </w:rPr>
        <w:t>【</w:t>
      </w:r>
      <w:r w:rsidR="009E16DF" w:rsidRPr="009E16DF">
        <w:rPr>
          <w:rFonts w:eastAsia="Times New Roman" w:cstheme="minorHAnsi"/>
          <w:bCs/>
          <w:color w:val="000000" w:themeColor="text1"/>
          <w:lang w:val="en-PK"/>
        </w:rPr>
        <w:t>24</w:t>
      </w:r>
      <w:r w:rsidR="009E16DF" w:rsidRPr="009E16DF">
        <w:rPr>
          <w:rFonts w:ascii="MS Gothic" w:eastAsia="MS Gothic" w:hAnsi="MS Gothic" w:cs="MS Gothic" w:hint="eastAsia"/>
          <w:bCs/>
          <w:color w:val="000000" w:themeColor="text1"/>
          <w:lang w:val="en-PK"/>
        </w:rPr>
        <w:t>】</w:t>
      </w:r>
      <w:r w:rsidR="009E16DF" w:rsidRPr="009E16DF">
        <w:rPr>
          <w:rFonts w:eastAsia="Times New Roman" w:cstheme="minorHAnsi"/>
          <w:bCs/>
          <w:color w:val="000000" w:themeColor="text1"/>
          <w:lang w:val="en-PK"/>
        </w:rPr>
        <w:t>. In 2016, several publications raised concerns regarding the early onset of HCC in individuals who had achieved SVR following DAA therapy</w:t>
      </w:r>
      <w:r w:rsidR="009E16DF" w:rsidRPr="009E16DF">
        <w:rPr>
          <w:rFonts w:ascii="MS Gothic" w:eastAsia="MS Gothic" w:hAnsi="MS Gothic" w:cs="MS Gothic" w:hint="eastAsia"/>
          <w:bCs/>
          <w:color w:val="000000" w:themeColor="text1"/>
          <w:lang w:val="en-PK"/>
        </w:rPr>
        <w:t>【</w:t>
      </w:r>
      <w:r w:rsidR="009E16DF" w:rsidRPr="009E16DF">
        <w:rPr>
          <w:rFonts w:eastAsia="Times New Roman" w:cstheme="minorHAnsi"/>
          <w:bCs/>
          <w:color w:val="000000" w:themeColor="text1"/>
          <w:lang w:val="en-PK"/>
        </w:rPr>
        <w:t>25</w:t>
      </w:r>
      <w:r w:rsidR="009E16DF" w:rsidRPr="009E16DF">
        <w:rPr>
          <w:rFonts w:ascii="MS Gothic" w:eastAsia="MS Gothic" w:hAnsi="MS Gothic" w:cs="MS Gothic" w:hint="eastAsia"/>
          <w:bCs/>
          <w:color w:val="000000" w:themeColor="text1"/>
          <w:lang w:val="en-PK"/>
        </w:rPr>
        <w:t>】</w:t>
      </w:r>
      <w:r w:rsidR="009E16DF" w:rsidRPr="009E16DF">
        <w:rPr>
          <w:rFonts w:eastAsia="Times New Roman" w:cstheme="minorHAnsi"/>
          <w:bCs/>
          <w:color w:val="000000" w:themeColor="text1"/>
          <w:lang w:val="en-PK"/>
        </w:rPr>
        <w:t>. One widely accepted hypothesis regarding the relationship between HCC and DAAs revolves around immune system disturbances that occur due to the rapid reduction in viral load upon initiating treatment</w:t>
      </w:r>
      <w:r w:rsidR="009E16DF" w:rsidRPr="009E16DF">
        <w:rPr>
          <w:rFonts w:ascii="MS Gothic" w:eastAsia="MS Gothic" w:hAnsi="MS Gothic" w:cs="MS Gothic" w:hint="eastAsia"/>
          <w:bCs/>
          <w:color w:val="000000" w:themeColor="text1"/>
          <w:lang w:val="en-PK"/>
        </w:rPr>
        <w:t>【</w:t>
      </w:r>
      <w:r w:rsidR="009E16DF" w:rsidRPr="009E16DF">
        <w:rPr>
          <w:rFonts w:eastAsia="Times New Roman" w:cstheme="minorHAnsi"/>
          <w:bCs/>
          <w:color w:val="000000" w:themeColor="text1"/>
          <w:lang w:val="en-PK"/>
        </w:rPr>
        <w:t>26</w:t>
      </w:r>
      <w:r w:rsidR="009E16DF" w:rsidRPr="009E16DF">
        <w:rPr>
          <w:rFonts w:ascii="MS Gothic" w:eastAsia="MS Gothic" w:hAnsi="MS Gothic" w:cs="MS Gothic" w:hint="eastAsia"/>
          <w:bCs/>
          <w:color w:val="000000" w:themeColor="text1"/>
          <w:lang w:val="en-PK"/>
        </w:rPr>
        <w:t>】</w:t>
      </w:r>
      <w:r w:rsidR="009E16DF" w:rsidRPr="009E16DF">
        <w:rPr>
          <w:rFonts w:eastAsia="Times New Roman" w:cstheme="minorHAnsi"/>
          <w:bCs/>
          <w:color w:val="000000" w:themeColor="text1"/>
          <w:lang w:val="en-PK"/>
        </w:rPr>
        <w:t>.</w:t>
      </w:r>
    </w:p>
    <w:p w14:paraId="020663FC" w14:textId="77777777" w:rsidR="009E16DF" w:rsidRPr="009E16DF" w:rsidRDefault="009E16DF" w:rsidP="009E16DF">
      <w:pPr>
        <w:spacing w:after="0" w:line="240" w:lineRule="auto"/>
        <w:ind w:left="-90"/>
        <w:jc w:val="both"/>
        <w:divId w:val="1962149171"/>
        <w:rPr>
          <w:rFonts w:eastAsia="Times New Roman" w:cstheme="minorHAnsi"/>
          <w:bCs/>
          <w:color w:val="000000" w:themeColor="text1"/>
          <w:lang w:val="en-PK"/>
        </w:rPr>
      </w:pPr>
      <w:r w:rsidRPr="009E16DF">
        <w:rPr>
          <w:rFonts w:eastAsia="Times New Roman" w:cstheme="minorHAnsi"/>
          <w:bCs/>
          <w:color w:val="000000" w:themeColor="text1"/>
          <w:lang w:val="en-PK"/>
        </w:rPr>
        <w:t>The emergence of these reports sparked a significant shift in research focus, leading to a state of uncertainty regarding the heightened risk of HCC in cirrhotic patients undergoing DAA treatment</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27</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 Moreover, questions arose regarding whether the introduction of new antiviral medications had an impact on mortality rates, giving rise to conflicting findings in various reviews</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28</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 xml:space="preserve">. Consequently, the need for conducting </w:t>
      </w:r>
      <w:proofErr w:type="spellStart"/>
      <w:r w:rsidRPr="009E16DF">
        <w:rPr>
          <w:rFonts w:eastAsia="Times New Roman" w:cstheme="minorHAnsi"/>
          <w:bCs/>
          <w:color w:val="000000" w:themeColor="text1"/>
          <w:lang w:val="en-PK"/>
        </w:rPr>
        <w:t>multicenter</w:t>
      </w:r>
      <w:proofErr w:type="spellEnd"/>
      <w:r w:rsidRPr="009E16DF">
        <w:rPr>
          <w:rFonts w:eastAsia="Times New Roman" w:cstheme="minorHAnsi"/>
          <w:bCs/>
          <w:color w:val="000000" w:themeColor="text1"/>
          <w:lang w:val="en-PK"/>
        </w:rPr>
        <w:t xml:space="preserve"> studies has been emphasized as a crucial step forward since that time</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29</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w:t>
      </w:r>
    </w:p>
    <w:p w14:paraId="4A366388" w14:textId="77777777" w:rsidR="009E16DF" w:rsidRPr="009E16DF" w:rsidRDefault="009E16DF" w:rsidP="009E16DF">
      <w:pPr>
        <w:spacing w:after="0" w:line="240" w:lineRule="auto"/>
        <w:ind w:left="-90"/>
        <w:jc w:val="both"/>
        <w:divId w:val="1962149171"/>
        <w:rPr>
          <w:rFonts w:eastAsia="Times New Roman" w:cstheme="minorHAnsi"/>
          <w:bCs/>
          <w:color w:val="000000" w:themeColor="text1"/>
          <w:lang w:val="en-PK"/>
        </w:rPr>
      </w:pPr>
      <w:r w:rsidRPr="009E16DF">
        <w:rPr>
          <w:rFonts w:eastAsia="Times New Roman" w:cstheme="minorHAnsi"/>
          <w:bCs/>
          <w:color w:val="000000" w:themeColor="text1"/>
          <w:lang w:val="en-PK"/>
        </w:rPr>
        <w:t xml:space="preserve">Recently, two notable </w:t>
      </w:r>
      <w:proofErr w:type="spellStart"/>
      <w:r w:rsidRPr="009E16DF">
        <w:rPr>
          <w:rFonts w:eastAsia="Times New Roman" w:cstheme="minorHAnsi"/>
          <w:bCs/>
          <w:color w:val="000000" w:themeColor="text1"/>
          <w:lang w:val="en-PK"/>
        </w:rPr>
        <w:t>multicenter</w:t>
      </w:r>
      <w:proofErr w:type="spellEnd"/>
      <w:r w:rsidRPr="009E16DF">
        <w:rPr>
          <w:rFonts w:eastAsia="Times New Roman" w:cstheme="minorHAnsi"/>
          <w:bCs/>
          <w:color w:val="000000" w:themeColor="text1"/>
          <w:lang w:val="en-PK"/>
        </w:rPr>
        <w:t xml:space="preserve"> studies conducted by Kanwal et al. and Innes et al. have provided evidence suggesting no link between the use of DAAs and the development of HCC in treated patients</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30</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31</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 xml:space="preserve">. In the </w:t>
      </w:r>
      <w:proofErr w:type="spellStart"/>
      <w:r w:rsidRPr="009E16DF">
        <w:rPr>
          <w:rFonts w:eastAsia="Times New Roman" w:cstheme="minorHAnsi"/>
          <w:bCs/>
          <w:color w:val="000000" w:themeColor="text1"/>
          <w:lang w:val="en-PK"/>
        </w:rPr>
        <w:t>CirVir</w:t>
      </w:r>
      <w:proofErr w:type="spellEnd"/>
      <w:r w:rsidRPr="009E16DF">
        <w:rPr>
          <w:rFonts w:eastAsia="Times New Roman" w:cstheme="minorHAnsi"/>
          <w:bCs/>
          <w:color w:val="000000" w:themeColor="text1"/>
          <w:lang w:val="en-PK"/>
        </w:rPr>
        <w:t xml:space="preserve"> study, an analysis was conducted to explore various confounding factors and isolate specific characteristics that independently contribute to an elevated risk of developing HCC</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32</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 Age and advanced stage of cirrhosis were among the identified factors that significantly heighten this risk</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33</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w:t>
      </w:r>
    </w:p>
    <w:p w14:paraId="23953FF6" w14:textId="77777777" w:rsidR="009E16DF" w:rsidRPr="009E16DF" w:rsidRDefault="009E16DF" w:rsidP="009E16DF">
      <w:pPr>
        <w:spacing w:after="0" w:line="240" w:lineRule="auto"/>
        <w:ind w:left="-90"/>
        <w:jc w:val="both"/>
        <w:divId w:val="1962149171"/>
        <w:rPr>
          <w:rFonts w:eastAsia="Times New Roman" w:cstheme="minorHAnsi"/>
          <w:bCs/>
          <w:color w:val="000000" w:themeColor="text1"/>
          <w:lang w:val="en-PK"/>
        </w:rPr>
      </w:pPr>
      <w:r w:rsidRPr="009E16DF">
        <w:rPr>
          <w:rFonts w:eastAsia="Times New Roman" w:cstheme="minorHAnsi"/>
          <w:bCs/>
          <w:color w:val="000000" w:themeColor="text1"/>
          <w:lang w:val="en-PK"/>
        </w:rPr>
        <w:t>In this study, our objective was to examine the various factors that impact the occurrence of HCC in patients who underwent treatment with DAAs while observing them for a period of 12 months. Prior to commencing DAA treatment, all patients (100%) underwent either abdominal ultrasound or abdominal tomography to detect any regenerative nodules</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34</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 Additionally, alpha-fetoprotein levels were measured as part of the appropriate measures to exclude the presence of HCC before initiating the treatment</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35</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w:t>
      </w:r>
    </w:p>
    <w:p w14:paraId="2FC38BE5" w14:textId="77777777" w:rsidR="009E16DF" w:rsidRPr="009E16DF" w:rsidRDefault="009E16DF" w:rsidP="009E16DF">
      <w:pPr>
        <w:spacing w:after="0" w:line="240" w:lineRule="auto"/>
        <w:ind w:left="-90"/>
        <w:jc w:val="both"/>
        <w:divId w:val="1962149171"/>
        <w:rPr>
          <w:rFonts w:eastAsia="Times New Roman" w:cstheme="minorHAnsi"/>
          <w:bCs/>
          <w:color w:val="000000" w:themeColor="text1"/>
          <w:lang w:val="en-PK"/>
        </w:rPr>
      </w:pPr>
      <w:r w:rsidRPr="009E16DF">
        <w:rPr>
          <w:rFonts w:eastAsia="Times New Roman" w:cstheme="minorHAnsi"/>
          <w:bCs/>
          <w:color w:val="000000" w:themeColor="text1"/>
          <w:lang w:val="en-PK"/>
        </w:rPr>
        <w:t>The observation that male sex is associated with an increased risk of HCC aligns with previous research in the field</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36</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 Numerous studies have consistently shown that males are more susceptible to developing HCC compared to females, regardless of the underlying aetiology</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37</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 This gender disparity could be attributed to hormonal differences, genetic factors, or variations in lifestyle and environmental exposures</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38</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 Although the exact mechanisms are not yet fully understood, the identification of male sex as a predictor of HCC reaffirms the importance of considering gender-related factors in risk assessment and surveillance strategies for HCC</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39</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w:t>
      </w:r>
    </w:p>
    <w:p w14:paraId="7BDAADA0" w14:textId="77777777" w:rsidR="009E16DF" w:rsidRPr="009E16DF" w:rsidRDefault="009E16DF" w:rsidP="009E16DF">
      <w:pPr>
        <w:spacing w:after="0" w:line="240" w:lineRule="auto"/>
        <w:ind w:left="-90"/>
        <w:jc w:val="both"/>
        <w:divId w:val="1962149171"/>
        <w:rPr>
          <w:rFonts w:eastAsia="Times New Roman" w:cstheme="minorHAnsi"/>
          <w:bCs/>
          <w:color w:val="000000" w:themeColor="text1"/>
          <w:lang w:val="en-PK"/>
        </w:rPr>
      </w:pPr>
      <w:r w:rsidRPr="009E16DF">
        <w:rPr>
          <w:rFonts w:eastAsia="Times New Roman" w:cstheme="minorHAnsi"/>
          <w:bCs/>
          <w:color w:val="000000" w:themeColor="text1"/>
          <w:lang w:val="en-PK"/>
        </w:rPr>
        <w:t>Furthermore, our study found that advanced age was also an independent predictor of HCC in patients treated with DAAs</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40</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 This finding is consistent with the well-established notion that age is a crucial risk factor for HCC development</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41</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 Aging is associated with cumulative cellular damage, decreased regenerative capacity, and prolonged exposure to potential carcinogens, which collectively contribute to an increased risk of HCC</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42</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 As the global population continues to age, the incidence of HCC is expected to rise, emphasizing the significance of age as a predictive factor</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43</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w:t>
      </w:r>
    </w:p>
    <w:p w14:paraId="0F43C060" w14:textId="77777777" w:rsidR="009E16DF" w:rsidRPr="009E16DF" w:rsidRDefault="009E16DF" w:rsidP="009E16DF">
      <w:pPr>
        <w:spacing w:after="0" w:line="240" w:lineRule="auto"/>
        <w:ind w:left="-90"/>
        <w:jc w:val="both"/>
        <w:divId w:val="1962149171"/>
        <w:rPr>
          <w:rFonts w:eastAsia="Times New Roman" w:cstheme="minorHAnsi"/>
          <w:bCs/>
          <w:color w:val="000000" w:themeColor="text1"/>
          <w:lang w:val="en-PK"/>
        </w:rPr>
      </w:pPr>
      <w:r w:rsidRPr="009E16DF">
        <w:rPr>
          <w:rFonts w:eastAsia="Times New Roman" w:cstheme="minorHAnsi"/>
          <w:bCs/>
          <w:color w:val="000000" w:themeColor="text1"/>
          <w:lang w:val="en-PK"/>
        </w:rPr>
        <w:t>According to studies conducted by Calvaruso et al. and Kanwal et al., liver cirrhosis in patients with Child-Pugh class B or C liver function remains the primary risk factor for the development of hepatocellular carcinoma (HCC), which is also correlated with this current study</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44</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45</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w:t>
      </w:r>
    </w:p>
    <w:p w14:paraId="3537D00F" w14:textId="77777777" w:rsidR="009E16DF" w:rsidRPr="009E16DF" w:rsidRDefault="009E16DF" w:rsidP="009E16DF">
      <w:pPr>
        <w:spacing w:after="0" w:line="240" w:lineRule="auto"/>
        <w:ind w:left="-90"/>
        <w:jc w:val="both"/>
        <w:divId w:val="1962149171"/>
        <w:rPr>
          <w:rFonts w:eastAsia="Times New Roman" w:cstheme="minorHAnsi"/>
          <w:bCs/>
          <w:color w:val="000000" w:themeColor="text1"/>
          <w:lang w:val="en-PK"/>
        </w:rPr>
      </w:pPr>
      <w:r w:rsidRPr="009E16DF">
        <w:rPr>
          <w:rFonts w:eastAsia="Times New Roman" w:cstheme="minorHAnsi"/>
          <w:bCs/>
          <w:color w:val="000000" w:themeColor="text1"/>
          <w:lang w:val="en-PK"/>
        </w:rPr>
        <w:t>Although AFP has proven to be valuable for diagnosing HCC in clinical settings, its lack of specificity is a limitation</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46</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 xml:space="preserve">. It tends to be elevated not only in patients with cirrhosis and HCC but also in individuals with non-HCC </w:t>
      </w:r>
      <w:proofErr w:type="spellStart"/>
      <w:r w:rsidRPr="009E16DF">
        <w:rPr>
          <w:rFonts w:eastAsia="Times New Roman" w:cstheme="minorHAnsi"/>
          <w:bCs/>
          <w:color w:val="000000" w:themeColor="text1"/>
          <w:lang w:val="en-PK"/>
        </w:rPr>
        <w:t>tumors</w:t>
      </w:r>
      <w:proofErr w:type="spellEnd"/>
      <w:r w:rsidRPr="009E16DF">
        <w:rPr>
          <w:rFonts w:eastAsia="Times New Roman" w:cstheme="minorHAnsi"/>
          <w:bCs/>
          <w:color w:val="000000" w:themeColor="text1"/>
          <w:lang w:val="en-PK"/>
        </w:rPr>
        <w:t xml:space="preserve"> like testicular germinal </w:t>
      </w:r>
      <w:proofErr w:type="spellStart"/>
      <w:r w:rsidRPr="009E16DF">
        <w:rPr>
          <w:rFonts w:eastAsia="Times New Roman" w:cstheme="minorHAnsi"/>
          <w:bCs/>
          <w:color w:val="000000" w:themeColor="text1"/>
          <w:lang w:val="en-PK"/>
        </w:rPr>
        <w:t>tumors</w:t>
      </w:r>
      <w:proofErr w:type="spellEnd"/>
      <w:r w:rsidRPr="009E16DF">
        <w:rPr>
          <w:rFonts w:eastAsia="Times New Roman" w:cstheme="minorHAnsi"/>
          <w:bCs/>
          <w:color w:val="000000" w:themeColor="text1"/>
          <w:lang w:val="en-PK"/>
        </w:rPr>
        <w:t>, cholangiocarcinoma, and gastric adenocarcinoma</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47</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 Additionally, AFP levels can be elevated during liver regeneration following hepatic resection or recovery from extensive hepatic necrosis</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48</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 xml:space="preserve">. According to a study by Kumada </w:t>
      </w:r>
      <w:r w:rsidRPr="009E16DF">
        <w:rPr>
          <w:rFonts w:eastAsia="Times New Roman" w:cstheme="minorHAnsi"/>
          <w:bCs/>
          <w:color w:val="000000" w:themeColor="text1"/>
          <w:lang w:val="en-PK"/>
        </w:rPr>
        <w:lastRenderedPageBreak/>
        <w:t>et al., an AFP level of ≥ 5.0 ng/mL is independently linked to the development of HCC within 10 years after SVR</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49</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w:t>
      </w:r>
    </w:p>
    <w:p w14:paraId="3935973B" w14:textId="77777777" w:rsidR="009E16DF" w:rsidRPr="009E16DF" w:rsidRDefault="009E16DF" w:rsidP="009E16DF">
      <w:pPr>
        <w:spacing w:after="0" w:line="240" w:lineRule="auto"/>
        <w:ind w:left="-90"/>
        <w:jc w:val="both"/>
        <w:divId w:val="1962149171"/>
        <w:rPr>
          <w:rFonts w:eastAsia="Times New Roman" w:cstheme="minorHAnsi"/>
          <w:bCs/>
          <w:color w:val="000000" w:themeColor="text1"/>
          <w:lang w:val="en-PK"/>
        </w:rPr>
      </w:pPr>
      <w:r w:rsidRPr="009E16DF">
        <w:rPr>
          <w:rFonts w:eastAsia="Times New Roman" w:cstheme="minorHAnsi"/>
          <w:bCs/>
          <w:color w:val="000000" w:themeColor="text1"/>
          <w:lang w:val="en-PK"/>
        </w:rPr>
        <w:t>This current study revealed a correlation between elevated AFP levels prior to DAA treatment and a heightened likelihood of developing HCC, serving as an independent predictor</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50</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 No other recent prospective studies have focused on DAA treatments to anticipate the risk of HCC in patients with elevated AFP prior to HCV treatment</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51</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 Consequently, our findings, in conjunction with previous studies, suggest that an AFP level exceeding 10, identified during pre-HCV treatment, may warrant more vigilant monitoring for HCC</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52</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 Nonetheless, additional investigations are required to validate these findings</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53</w:t>
      </w:r>
      <w:r w:rsidRPr="009E16DF">
        <w:rPr>
          <w:rFonts w:ascii="MS Gothic" w:eastAsia="MS Gothic" w:hAnsi="MS Gothic" w:cs="MS Gothic" w:hint="eastAsia"/>
          <w:bCs/>
          <w:color w:val="000000" w:themeColor="text1"/>
          <w:lang w:val="en-PK"/>
        </w:rPr>
        <w:t>】</w:t>
      </w:r>
      <w:r w:rsidRPr="009E16DF">
        <w:rPr>
          <w:rFonts w:eastAsia="Times New Roman" w:cstheme="minorHAnsi"/>
          <w:bCs/>
          <w:color w:val="000000" w:themeColor="text1"/>
          <w:lang w:val="en-PK"/>
        </w:rPr>
        <w:t>.</w:t>
      </w:r>
    </w:p>
    <w:p w14:paraId="4564B3C1" w14:textId="77777777" w:rsidR="009E16DF" w:rsidRDefault="00F6445B" w:rsidP="00ED7401">
      <w:pPr>
        <w:spacing w:after="0" w:line="240" w:lineRule="auto"/>
        <w:ind w:left="-90"/>
        <w:jc w:val="both"/>
        <w:divId w:val="1962149171"/>
        <w:rPr>
          <w:rFonts w:eastAsia="Times New Roman" w:cstheme="minorHAnsi"/>
          <w:color w:val="000000" w:themeColor="text1"/>
        </w:rPr>
      </w:pPr>
      <w:r w:rsidRPr="00AA58D1">
        <w:rPr>
          <w:rFonts w:eastAsia="Times New Roman" w:cstheme="minorHAnsi"/>
          <w:color w:val="000000" w:themeColor="text1"/>
        </w:rPr>
        <w:br/>
        <w:t xml:space="preserve">However, it is essential to acknowledge certain limitations of our study. Firstly, the retrospective nature of the study design may introduce inherent biases and limitations in data collection. Secondly, the study was conducted in a specific cohort of patients with chronic hepatitis C infection treated with DAAs, which might restrict the </w:t>
      </w:r>
      <w:r w:rsidR="000F6F0A" w:rsidRPr="00AA58D1">
        <w:rPr>
          <w:rFonts w:eastAsia="Times New Roman" w:cstheme="minorHAnsi"/>
          <w:color w:val="000000" w:themeColor="text1"/>
        </w:rPr>
        <w:t>generalize</w:t>
      </w:r>
      <w:r w:rsidR="000F6F0A">
        <w:rPr>
          <w:rFonts w:eastAsia="Times New Roman" w:cstheme="minorHAnsi"/>
          <w:color w:val="000000" w:themeColor="text1"/>
        </w:rPr>
        <w:t xml:space="preserve"> </w:t>
      </w:r>
      <w:r w:rsidRPr="00AA58D1">
        <w:rPr>
          <w:rFonts w:eastAsia="Times New Roman" w:cstheme="minorHAnsi"/>
          <w:color w:val="000000" w:themeColor="text1"/>
        </w:rPr>
        <w:t>ability of our findings to other populations. Additionally, the relatively small sample size warrants caution in interpreting the results, as it may affect the statistical power and limit the ability to detect other potential predictors.</w:t>
      </w:r>
      <w:r w:rsidR="00E34785" w:rsidRPr="00AA58D1">
        <w:rPr>
          <w:rFonts w:eastAsia="Times New Roman" w:cstheme="minorHAnsi"/>
          <w:color w:val="000000" w:themeColor="text1"/>
        </w:rPr>
        <w:tab/>
      </w:r>
    </w:p>
    <w:p w14:paraId="5780CF77" w14:textId="08D1D4B4" w:rsidR="008C2FC5" w:rsidRDefault="00F6445B" w:rsidP="00ED7401">
      <w:pPr>
        <w:spacing w:after="0" w:line="240" w:lineRule="auto"/>
        <w:ind w:left="-90"/>
        <w:jc w:val="both"/>
        <w:divId w:val="1962149171"/>
        <w:rPr>
          <w:rFonts w:eastAsia="Times New Roman" w:cstheme="minorHAnsi"/>
          <w:color w:val="000000" w:themeColor="text1"/>
        </w:rPr>
      </w:pPr>
      <w:r w:rsidRPr="00AA58D1">
        <w:rPr>
          <w:rFonts w:eastAsia="Times New Roman" w:cstheme="minorHAnsi"/>
          <w:color w:val="000000" w:themeColor="text1"/>
        </w:rPr>
        <w:br/>
        <w:t xml:space="preserve">In our cohort, we observed that the diagnosis of hepatocellular carcinoma (HCC) occurred early in patients who underwent direct-acting antiviral (DAA) treatment, typically within the initial 3 months following the completion of the treatment.  </w:t>
      </w:r>
      <w:r w:rsidR="00F32CE2" w:rsidRPr="00AA58D1">
        <w:rPr>
          <w:rFonts w:eastAsia="Times New Roman" w:cstheme="minorHAnsi"/>
          <w:color w:val="000000" w:themeColor="text1"/>
        </w:rPr>
        <w:t>So,</w:t>
      </w:r>
      <w:r w:rsidRPr="00AA58D1">
        <w:rPr>
          <w:rFonts w:eastAsia="Times New Roman" w:cstheme="minorHAnsi"/>
          <w:color w:val="000000" w:themeColor="text1"/>
        </w:rPr>
        <w:t xml:space="preserve"> our findings have important implications for clinical practice, particularly in terms of surveillance strategies for HCC in this specific patient population. Given the increased risk associated with male sex and advanced age, presence of cirrhosis</w:t>
      </w:r>
      <w:r w:rsidR="000F6F0A" w:rsidRPr="00AA58D1">
        <w:rPr>
          <w:rFonts w:eastAsia="Times New Roman" w:cstheme="minorHAnsi"/>
          <w:color w:val="000000" w:themeColor="text1"/>
        </w:rPr>
        <w:t> clinicians</w:t>
      </w:r>
      <w:r w:rsidRPr="00AA58D1">
        <w:rPr>
          <w:rFonts w:eastAsia="Times New Roman" w:cstheme="minorHAnsi"/>
          <w:color w:val="000000" w:themeColor="text1"/>
        </w:rPr>
        <w:t xml:space="preserve"> should prioritize regular monitoring and follow-up for these individuals. Implementing comprehensive surveillance protocols, including abdominal ultrasound and alpha-fetoprotein measurements, could aid in the early detection of HCC and enable timely intervention, potentially improving patient outcomes.</w:t>
      </w:r>
      <w:r w:rsidRPr="00AA58D1">
        <w:rPr>
          <w:rFonts w:eastAsia="Times New Roman" w:cstheme="minorHAnsi"/>
          <w:color w:val="000000" w:themeColor="text1"/>
        </w:rPr>
        <w:br/>
      </w:r>
      <w:r w:rsidRPr="00AA58D1">
        <w:rPr>
          <w:rFonts w:eastAsia="Times New Roman" w:cstheme="minorHAnsi"/>
          <w:color w:val="000000" w:themeColor="text1"/>
        </w:rPr>
        <w:br/>
      </w:r>
      <w:r w:rsidR="008C2FC5" w:rsidRPr="00AA58D1">
        <w:rPr>
          <w:rFonts w:eastAsia="Times New Roman" w:cstheme="minorHAnsi"/>
          <w:b/>
          <w:bCs/>
          <w:color w:val="000000" w:themeColor="text1"/>
        </w:rPr>
        <w:t>Conclusion</w:t>
      </w:r>
      <w:r w:rsidR="008C2FC5">
        <w:rPr>
          <w:rFonts w:eastAsia="Times New Roman" w:cstheme="minorHAnsi"/>
          <w:color w:val="000000" w:themeColor="text1"/>
        </w:rPr>
        <w:t>:</w:t>
      </w:r>
    </w:p>
    <w:p w14:paraId="03A3F64E" w14:textId="77777777" w:rsidR="00F6445B" w:rsidRPr="00AA58D1" w:rsidRDefault="003F4746" w:rsidP="00ED7401">
      <w:pPr>
        <w:spacing w:after="0" w:line="240" w:lineRule="auto"/>
        <w:ind w:left="-90"/>
        <w:jc w:val="both"/>
        <w:divId w:val="1962149171"/>
        <w:rPr>
          <w:rFonts w:cstheme="minorHAnsi"/>
          <w:color w:val="000000" w:themeColor="text1"/>
        </w:rPr>
      </w:pPr>
      <w:r w:rsidRPr="00AA58D1">
        <w:rPr>
          <w:rFonts w:eastAsia="Times New Roman" w:cstheme="minorHAnsi"/>
          <w:color w:val="000000" w:themeColor="text1"/>
        </w:rPr>
        <w:t>Our</w:t>
      </w:r>
      <w:r w:rsidR="00F6445B" w:rsidRPr="00AA58D1">
        <w:rPr>
          <w:rFonts w:eastAsia="Times New Roman" w:cstheme="minorHAnsi"/>
          <w:color w:val="000000" w:themeColor="text1"/>
        </w:rPr>
        <w:t xml:space="preserve"> study identifies male sex and advanced age,</w:t>
      </w:r>
      <w:r w:rsidR="00795B2F">
        <w:rPr>
          <w:rFonts w:eastAsia="Times New Roman" w:cstheme="minorHAnsi"/>
          <w:color w:val="000000" w:themeColor="text1"/>
        </w:rPr>
        <w:t xml:space="preserve"> </w:t>
      </w:r>
      <w:r w:rsidR="00F6445B" w:rsidRPr="00AA58D1">
        <w:rPr>
          <w:rFonts w:eastAsia="Times New Roman" w:cstheme="minorHAnsi"/>
          <w:color w:val="000000" w:themeColor="text1"/>
        </w:rPr>
        <w:t>presence of cirrhosis and higher baseline AFP level as predictors of HCC in patients treated with DAAs for chronic hepatitis C infection. These findings underscore the importance of individualized risk assessment and tailored surveillance strategies in this patient population. Further research with larger sample sizes and prospective designs is warranted to validate our findings and explore additional predictors that could enhance the accuracy of HCC prediction in patients undergoing DAA treatment.</w:t>
      </w:r>
      <w:r w:rsidR="00E34785" w:rsidRPr="00AA58D1">
        <w:rPr>
          <w:rFonts w:eastAsia="Times New Roman" w:cstheme="minorHAnsi"/>
          <w:color w:val="000000" w:themeColor="text1"/>
        </w:rPr>
        <w:tab/>
      </w:r>
      <w:r w:rsidR="00F6445B" w:rsidRPr="00AA58D1">
        <w:rPr>
          <w:rFonts w:eastAsia="Times New Roman" w:cstheme="minorHAnsi"/>
          <w:color w:val="000000" w:themeColor="text1"/>
        </w:rPr>
        <w:br/>
      </w:r>
    </w:p>
    <w:p w14:paraId="3DC92A38" w14:textId="438B3854" w:rsidR="009E16DF" w:rsidRPr="00891646" w:rsidRDefault="00095FBA" w:rsidP="00767B22">
      <w:pPr>
        <w:spacing w:after="0" w:line="270" w:lineRule="auto"/>
        <w:divId w:val="1962149171"/>
        <w:rPr>
          <w:rFonts w:cstheme="minorHAnsi"/>
          <w:b/>
          <w:bCs/>
          <w:color w:val="000000" w:themeColor="text1"/>
        </w:rPr>
      </w:pPr>
      <w:r w:rsidRPr="00891646">
        <w:rPr>
          <w:rFonts w:cstheme="minorHAnsi"/>
          <w:b/>
          <w:bCs/>
          <w:color w:val="000000" w:themeColor="text1"/>
        </w:rPr>
        <w:t>References:</w:t>
      </w:r>
    </w:p>
    <w:p w14:paraId="2C3488CC" w14:textId="47A1D3A8" w:rsidR="00A11397" w:rsidRPr="00A11397" w:rsidRDefault="00A11397" w:rsidP="00A11397">
      <w:pPr>
        <w:pStyle w:val="ListParagraph"/>
        <w:numPr>
          <w:ilvl w:val="0"/>
          <w:numId w:val="11"/>
        </w:numPr>
        <w:jc w:val="both"/>
        <w:rPr>
          <w:rFonts w:cstheme="minorHAnsi"/>
          <w:color w:val="000000" w:themeColor="text1"/>
          <w:lang w:val="en-PK"/>
        </w:rPr>
      </w:pPr>
      <w:r w:rsidRPr="00A11397">
        <w:rPr>
          <w:rFonts w:cstheme="minorHAnsi"/>
          <w:color w:val="000000" w:themeColor="text1"/>
          <w:lang w:val="en-PK"/>
        </w:rPr>
        <w:t>World Health Organization. Global Hepatitis Report, 2017. WHO, 2017.</w:t>
      </w:r>
    </w:p>
    <w:p w14:paraId="7670BA2C" w14:textId="2641ACC0" w:rsidR="00A11397" w:rsidRPr="00A11397" w:rsidRDefault="00A11397" w:rsidP="00A11397">
      <w:pPr>
        <w:pStyle w:val="ListParagraph"/>
        <w:numPr>
          <w:ilvl w:val="0"/>
          <w:numId w:val="11"/>
        </w:numPr>
        <w:jc w:val="both"/>
        <w:rPr>
          <w:rFonts w:cstheme="minorHAnsi"/>
          <w:color w:val="000000" w:themeColor="text1"/>
          <w:lang w:val="en-PK"/>
        </w:rPr>
      </w:pPr>
      <w:r w:rsidRPr="00A11397">
        <w:rPr>
          <w:rFonts w:cstheme="minorHAnsi"/>
          <w:color w:val="000000" w:themeColor="text1"/>
          <w:lang w:val="en-PK"/>
        </w:rPr>
        <w:t xml:space="preserve">Lavanchy D. The global burden of hepatitis C. </w:t>
      </w:r>
      <w:r w:rsidRPr="00A11397">
        <w:rPr>
          <w:rFonts w:cstheme="minorHAnsi"/>
          <w:i/>
          <w:iCs/>
          <w:color w:val="000000" w:themeColor="text1"/>
          <w:lang w:val="en-PK"/>
        </w:rPr>
        <w:t>Liver International</w:t>
      </w:r>
      <w:r w:rsidRPr="00A11397">
        <w:rPr>
          <w:rFonts w:cstheme="minorHAnsi"/>
          <w:color w:val="000000" w:themeColor="text1"/>
          <w:lang w:val="en-PK"/>
        </w:rPr>
        <w:t>, 2009;29(s1):74-81.</w:t>
      </w:r>
    </w:p>
    <w:p w14:paraId="5DA30F70" w14:textId="408D0EA0" w:rsidR="00A11397" w:rsidRPr="00A11397" w:rsidRDefault="00A11397" w:rsidP="00A11397">
      <w:pPr>
        <w:pStyle w:val="ListParagraph"/>
        <w:numPr>
          <w:ilvl w:val="0"/>
          <w:numId w:val="11"/>
        </w:numPr>
        <w:jc w:val="both"/>
        <w:rPr>
          <w:rFonts w:cstheme="minorHAnsi"/>
          <w:color w:val="000000" w:themeColor="text1"/>
          <w:lang w:val="en-PK"/>
        </w:rPr>
      </w:pPr>
      <w:r w:rsidRPr="00A11397">
        <w:rPr>
          <w:rFonts w:cstheme="minorHAnsi"/>
          <w:color w:val="000000" w:themeColor="text1"/>
          <w:lang w:val="en-PK"/>
        </w:rPr>
        <w:t xml:space="preserve">Abbas Z, Abbas M. Hepatocellular carcinoma in Pakistan: Where do we stand? </w:t>
      </w:r>
      <w:r w:rsidRPr="00A11397">
        <w:rPr>
          <w:rFonts w:cstheme="minorHAnsi"/>
          <w:i/>
          <w:iCs/>
          <w:color w:val="000000" w:themeColor="text1"/>
          <w:lang w:val="en-PK"/>
        </w:rPr>
        <w:t>Hepatitis Monthly</w:t>
      </w:r>
      <w:r w:rsidRPr="00A11397">
        <w:rPr>
          <w:rFonts w:cstheme="minorHAnsi"/>
          <w:color w:val="000000" w:themeColor="text1"/>
          <w:lang w:val="en-PK"/>
        </w:rPr>
        <w:t>, 2013;13(10).</w:t>
      </w:r>
    </w:p>
    <w:p w14:paraId="5394136D" w14:textId="7E76F7E6" w:rsidR="00A11397" w:rsidRPr="00A11397" w:rsidRDefault="00A11397" w:rsidP="00A11397">
      <w:pPr>
        <w:pStyle w:val="ListParagraph"/>
        <w:numPr>
          <w:ilvl w:val="0"/>
          <w:numId w:val="11"/>
        </w:numPr>
        <w:jc w:val="both"/>
        <w:rPr>
          <w:rFonts w:cstheme="minorHAnsi"/>
          <w:color w:val="000000" w:themeColor="text1"/>
          <w:lang w:val="en-PK"/>
        </w:rPr>
      </w:pPr>
      <w:proofErr w:type="spellStart"/>
      <w:r w:rsidRPr="00A11397">
        <w:rPr>
          <w:rFonts w:cstheme="minorHAnsi"/>
          <w:color w:val="000000" w:themeColor="text1"/>
          <w:lang w:val="en-PK"/>
        </w:rPr>
        <w:t>Kowdley</w:t>
      </w:r>
      <w:proofErr w:type="spellEnd"/>
      <w:r w:rsidRPr="00A11397">
        <w:rPr>
          <w:rFonts w:cstheme="minorHAnsi"/>
          <w:color w:val="000000" w:themeColor="text1"/>
          <w:lang w:val="en-PK"/>
        </w:rPr>
        <w:t xml:space="preserve"> KV, Gordon SC, Reddy KR, et al. Ledipasvir and sofosbuvir for 8 or 12 weeks for chronic HCV without cirrhosis. </w:t>
      </w:r>
      <w:r w:rsidRPr="00A11397">
        <w:rPr>
          <w:rFonts w:cstheme="minorHAnsi"/>
          <w:i/>
          <w:iCs/>
          <w:color w:val="000000" w:themeColor="text1"/>
          <w:lang w:val="en-PK"/>
        </w:rPr>
        <w:t>New England Journal of Medicine</w:t>
      </w:r>
      <w:r w:rsidRPr="00A11397">
        <w:rPr>
          <w:rFonts w:cstheme="minorHAnsi"/>
          <w:color w:val="000000" w:themeColor="text1"/>
          <w:lang w:val="en-PK"/>
        </w:rPr>
        <w:t>, 2014;370(20):1879-1888.</w:t>
      </w:r>
    </w:p>
    <w:p w14:paraId="72BA3155" w14:textId="35112259" w:rsidR="00A11397" w:rsidRPr="00A11397" w:rsidRDefault="00A11397" w:rsidP="00A11397">
      <w:pPr>
        <w:pStyle w:val="ListParagraph"/>
        <w:numPr>
          <w:ilvl w:val="0"/>
          <w:numId w:val="11"/>
        </w:numPr>
        <w:jc w:val="both"/>
        <w:rPr>
          <w:rFonts w:cstheme="minorHAnsi"/>
          <w:color w:val="000000" w:themeColor="text1"/>
          <w:lang w:val="en-PK"/>
        </w:rPr>
      </w:pPr>
      <w:r w:rsidRPr="00A11397">
        <w:rPr>
          <w:rFonts w:cstheme="minorHAnsi"/>
          <w:color w:val="000000" w:themeColor="text1"/>
          <w:lang w:val="en-PK"/>
        </w:rPr>
        <w:t xml:space="preserve">Reig M, Marino Z, Perello C, et al. Unexpected high rate of early </w:t>
      </w:r>
      <w:proofErr w:type="spellStart"/>
      <w:r w:rsidRPr="00A11397">
        <w:rPr>
          <w:rFonts w:cstheme="minorHAnsi"/>
          <w:color w:val="000000" w:themeColor="text1"/>
          <w:lang w:val="en-PK"/>
        </w:rPr>
        <w:t>tumor</w:t>
      </w:r>
      <w:proofErr w:type="spellEnd"/>
      <w:r w:rsidRPr="00A11397">
        <w:rPr>
          <w:rFonts w:cstheme="minorHAnsi"/>
          <w:color w:val="000000" w:themeColor="text1"/>
          <w:lang w:val="en-PK"/>
        </w:rPr>
        <w:t xml:space="preserve"> recurrence in patients with HCV-related HCC undergoing interferon-free therapy. </w:t>
      </w:r>
      <w:r w:rsidRPr="00A11397">
        <w:rPr>
          <w:rFonts w:cstheme="minorHAnsi"/>
          <w:i/>
          <w:iCs/>
          <w:color w:val="000000" w:themeColor="text1"/>
          <w:lang w:val="en-PK"/>
        </w:rPr>
        <w:t>Journal of Hepatology</w:t>
      </w:r>
      <w:r w:rsidRPr="00A11397">
        <w:rPr>
          <w:rFonts w:cstheme="minorHAnsi"/>
          <w:color w:val="000000" w:themeColor="text1"/>
          <w:lang w:val="en-PK"/>
        </w:rPr>
        <w:t>, 2016;65(4):719-726.</w:t>
      </w:r>
    </w:p>
    <w:p w14:paraId="6C0389EE" w14:textId="6D5F8A78" w:rsidR="00A11397" w:rsidRPr="00A11397" w:rsidRDefault="00A11397" w:rsidP="00A11397">
      <w:pPr>
        <w:pStyle w:val="ListParagraph"/>
        <w:numPr>
          <w:ilvl w:val="0"/>
          <w:numId w:val="11"/>
        </w:numPr>
        <w:jc w:val="both"/>
        <w:rPr>
          <w:rFonts w:cstheme="minorHAnsi"/>
          <w:color w:val="000000" w:themeColor="text1"/>
          <w:lang w:val="en-PK"/>
        </w:rPr>
      </w:pPr>
      <w:r w:rsidRPr="00A11397">
        <w:rPr>
          <w:rFonts w:cstheme="minorHAnsi"/>
          <w:color w:val="000000" w:themeColor="text1"/>
          <w:lang w:val="en-PK"/>
        </w:rPr>
        <w:t xml:space="preserve">Conti F, </w:t>
      </w:r>
      <w:proofErr w:type="spellStart"/>
      <w:r w:rsidRPr="00A11397">
        <w:rPr>
          <w:rFonts w:cstheme="minorHAnsi"/>
          <w:color w:val="000000" w:themeColor="text1"/>
          <w:lang w:val="en-PK"/>
        </w:rPr>
        <w:t>Buonfiglioli</w:t>
      </w:r>
      <w:proofErr w:type="spellEnd"/>
      <w:r w:rsidRPr="00A11397">
        <w:rPr>
          <w:rFonts w:cstheme="minorHAnsi"/>
          <w:color w:val="000000" w:themeColor="text1"/>
          <w:lang w:val="en-PK"/>
        </w:rPr>
        <w:t xml:space="preserve"> F, Scuteri A, et al. Early occurrence and recurrence of hepatocellular carcinoma in HCV-related cirrhosis treated with direct-acting antivirals. </w:t>
      </w:r>
      <w:r w:rsidRPr="00A11397">
        <w:rPr>
          <w:rFonts w:cstheme="minorHAnsi"/>
          <w:i/>
          <w:iCs/>
          <w:color w:val="000000" w:themeColor="text1"/>
          <w:lang w:val="en-PK"/>
        </w:rPr>
        <w:t>Journal of Hepatology</w:t>
      </w:r>
      <w:r w:rsidRPr="00A11397">
        <w:rPr>
          <w:rFonts w:cstheme="minorHAnsi"/>
          <w:color w:val="000000" w:themeColor="text1"/>
          <w:lang w:val="en-PK"/>
        </w:rPr>
        <w:t>, 2016;65(4):727-733.</w:t>
      </w:r>
    </w:p>
    <w:p w14:paraId="5ECF59A2" w14:textId="05500B25" w:rsidR="00A11397" w:rsidRPr="00A11397" w:rsidRDefault="00A11397" w:rsidP="00A11397">
      <w:pPr>
        <w:pStyle w:val="ListParagraph"/>
        <w:numPr>
          <w:ilvl w:val="0"/>
          <w:numId w:val="11"/>
        </w:numPr>
        <w:jc w:val="both"/>
        <w:rPr>
          <w:rFonts w:cstheme="minorHAnsi"/>
          <w:color w:val="000000" w:themeColor="text1"/>
          <w:lang w:val="en-PK"/>
        </w:rPr>
      </w:pPr>
      <w:r w:rsidRPr="00A11397">
        <w:rPr>
          <w:rFonts w:cstheme="minorHAnsi"/>
          <w:color w:val="000000" w:themeColor="text1"/>
          <w:lang w:val="en-PK"/>
        </w:rPr>
        <w:t xml:space="preserve">Kanwal F, Kramer JR, Asch SM, et al. Long-term risk of hepatocellular carcinoma in HCV patients treated with direct-acting antiviral agents. </w:t>
      </w:r>
      <w:r w:rsidRPr="00A11397">
        <w:rPr>
          <w:rFonts w:cstheme="minorHAnsi"/>
          <w:i/>
          <w:iCs/>
          <w:color w:val="000000" w:themeColor="text1"/>
          <w:lang w:val="en-PK"/>
        </w:rPr>
        <w:t>Hepatology</w:t>
      </w:r>
      <w:r w:rsidRPr="00A11397">
        <w:rPr>
          <w:rFonts w:cstheme="minorHAnsi"/>
          <w:color w:val="000000" w:themeColor="text1"/>
          <w:lang w:val="en-PK"/>
        </w:rPr>
        <w:t>, 2017;66(1):143-152.</w:t>
      </w:r>
    </w:p>
    <w:p w14:paraId="53AE8487" w14:textId="6AC82D22" w:rsidR="00A11397" w:rsidRPr="00A11397" w:rsidRDefault="00A11397" w:rsidP="00A11397">
      <w:pPr>
        <w:pStyle w:val="ListParagraph"/>
        <w:numPr>
          <w:ilvl w:val="0"/>
          <w:numId w:val="11"/>
        </w:numPr>
        <w:jc w:val="both"/>
        <w:rPr>
          <w:rFonts w:cstheme="minorHAnsi"/>
          <w:color w:val="000000" w:themeColor="text1"/>
          <w:lang w:val="en-PK"/>
        </w:rPr>
      </w:pPr>
      <w:r w:rsidRPr="00A11397">
        <w:rPr>
          <w:rFonts w:cstheme="minorHAnsi"/>
          <w:color w:val="000000" w:themeColor="text1"/>
          <w:lang w:val="en-PK"/>
        </w:rPr>
        <w:lastRenderedPageBreak/>
        <w:t xml:space="preserve">Romano A, </w:t>
      </w:r>
      <w:proofErr w:type="spellStart"/>
      <w:r w:rsidRPr="00A11397">
        <w:rPr>
          <w:rFonts w:cstheme="minorHAnsi"/>
          <w:color w:val="000000" w:themeColor="text1"/>
          <w:lang w:val="en-PK"/>
        </w:rPr>
        <w:t>Polilli</w:t>
      </w:r>
      <w:proofErr w:type="spellEnd"/>
      <w:r w:rsidRPr="00A11397">
        <w:rPr>
          <w:rFonts w:cstheme="minorHAnsi"/>
          <w:color w:val="000000" w:themeColor="text1"/>
          <w:lang w:val="en-PK"/>
        </w:rPr>
        <w:t xml:space="preserve"> E, </w:t>
      </w:r>
      <w:proofErr w:type="spellStart"/>
      <w:r w:rsidRPr="00A11397">
        <w:rPr>
          <w:rFonts w:cstheme="minorHAnsi"/>
          <w:color w:val="000000" w:themeColor="text1"/>
          <w:lang w:val="en-PK"/>
        </w:rPr>
        <w:t>Finazzi</w:t>
      </w:r>
      <w:proofErr w:type="spellEnd"/>
      <w:r w:rsidRPr="00A11397">
        <w:rPr>
          <w:rFonts w:cstheme="minorHAnsi"/>
          <w:color w:val="000000" w:themeColor="text1"/>
          <w:lang w:val="en-PK"/>
        </w:rPr>
        <w:t xml:space="preserve"> MG, et al. HCV therapy and risk of hepatocellular carcinoma: Insight from the past and </w:t>
      </w:r>
      <w:proofErr w:type="gramStart"/>
      <w:r w:rsidRPr="00A11397">
        <w:rPr>
          <w:rFonts w:cstheme="minorHAnsi"/>
          <w:color w:val="000000" w:themeColor="text1"/>
          <w:lang w:val="en-PK"/>
        </w:rPr>
        <w:t>future prospects</w:t>
      </w:r>
      <w:proofErr w:type="gramEnd"/>
      <w:r w:rsidRPr="00A11397">
        <w:rPr>
          <w:rFonts w:cstheme="minorHAnsi"/>
          <w:color w:val="000000" w:themeColor="text1"/>
          <w:lang w:val="en-PK"/>
        </w:rPr>
        <w:t xml:space="preserve">. </w:t>
      </w:r>
      <w:r w:rsidRPr="00A11397">
        <w:rPr>
          <w:rFonts w:cstheme="minorHAnsi"/>
          <w:i/>
          <w:iCs/>
          <w:color w:val="000000" w:themeColor="text1"/>
          <w:lang w:val="en-PK"/>
        </w:rPr>
        <w:t>Infectious Agents and Cancer</w:t>
      </w:r>
      <w:r w:rsidRPr="00A11397">
        <w:rPr>
          <w:rFonts w:cstheme="minorHAnsi"/>
          <w:color w:val="000000" w:themeColor="text1"/>
          <w:lang w:val="en-PK"/>
        </w:rPr>
        <w:t>, 2020;15(1):15.</w:t>
      </w:r>
    </w:p>
    <w:p w14:paraId="691EFF5D" w14:textId="1C784F04" w:rsidR="00A11397" w:rsidRPr="00A11397" w:rsidRDefault="00A11397" w:rsidP="00A11397">
      <w:pPr>
        <w:pStyle w:val="ListParagraph"/>
        <w:numPr>
          <w:ilvl w:val="0"/>
          <w:numId w:val="11"/>
        </w:numPr>
        <w:jc w:val="both"/>
        <w:rPr>
          <w:rFonts w:cstheme="minorHAnsi"/>
          <w:color w:val="000000" w:themeColor="text1"/>
          <w:lang w:val="en-PK"/>
        </w:rPr>
      </w:pPr>
      <w:proofErr w:type="spellStart"/>
      <w:r w:rsidRPr="00A11397">
        <w:rPr>
          <w:rFonts w:cstheme="minorHAnsi"/>
          <w:color w:val="000000" w:themeColor="text1"/>
          <w:lang w:val="en-PK"/>
        </w:rPr>
        <w:t>Waziry</w:t>
      </w:r>
      <w:proofErr w:type="spellEnd"/>
      <w:r w:rsidRPr="00A11397">
        <w:rPr>
          <w:rFonts w:cstheme="minorHAnsi"/>
          <w:color w:val="000000" w:themeColor="text1"/>
          <w:lang w:val="en-PK"/>
        </w:rPr>
        <w:t xml:space="preserve"> R, </w:t>
      </w:r>
      <w:proofErr w:type="spellStart"/>
      <w:r w:rsidRPr="00A11397">
        <w:rPr>
          <w:rFonts w:cstheme="minorHAnsi"/>
          <w:color w:val="000000" w:themeColor="text1"/>
          <w:lang w:val="en-PK"/>
        </w:rPr>
        <w:t>Hajarizadeh</w:t>
      </w:r>
      <w:proofErr w:type="spellEnd"/>
      <w:r w:rsidRPr="00A11397">
        <w:rPr>
          <w:rFonts w:cstheme="minorHAnsi"/>
          <w:color w:val="000000" w:themeColor="text1"/>
          <w:lang w:val="en-PK"/>
        </w:rPr>
        <w:t xml:space="preserve"> B, </w:t>
      </w:r>
      <w:proofErr w:type="spellStart"/>
      <w:r w:rsidRPr="00A11397">
        <w:rPr>
          <w:rFonts w:cstheme="minorHAnsi"/>
          <w:color w:val="000000" w:themeColor="text1"/>
          <w:lang w:val="en-PK"/>
        </w:rPr>
        <w:t>Grebely</w:t>
      </w:r>
      <w:proofErr w:type="spellEnd"/>
      <w:r w:rsidRPr="00A11397">
        <w:rPr>
          <w:rFonts w:cstheme="minorHAnsi"/>
          <w:color w:val="000000" w:themeColor="text1"/>
          <w:lang w:val="en-PK"/>
        </w:rPr>
        <w:t xml:space="preserve"> J, et al. Hepatocellular carcinoma risk following direct-acting antiviral HCV therapy: A systematic review, meta-analyses, and meta-regression. </w:t>
      </w:r>
      <w:r w:rsidRPr="00A11397">
        <w:rPr>
          <w:rFonts w:cstheme="minorHAnsi"/>
          <w:i/>
          <w:iCs/>
          <w:color w:val="000000" w:themeColor="text1"/>
          <w:lang w:val="en-PK"/>
        </w:rPr>
        <w:t>Journal of Hepatology</w:t>
      </w:r>
      <w:r w:rsidRPr="00A11397">
        <w:rPr>
          <w:rFonts w:cstheme="minorHAnsi"/>
          <w:color w:val="000000" w:themeColor="text1"/>
          <w:lang w:val="en-PK"/>
        </w:rPr>
        <w:t>, 2017;67(6):1204-1212.</w:t>
      </w:r>
    </w:p>
    <w:p w14:paraId="65378832" w14:textId="4E7C0207" w:rsidR="00A11397" w:rsidRPr="00A11397" w:rsidRDefault="00A11397" w:rsidP="00A11397">
      <w:pPr>
        <w:pStyle w:val="ListParagraph"/>
        <w:numPr>
          <w:ilvl w:val="0"/>
          <w:numId w:val="11"/>
        </w:numPr>
        <w:jc w:val="both"/>
        <w:rPr>
          <w:rFonts w:cstheme="minorHAnsi"/>
          <w:color w:val="000000" w:themeColor="text1"/>
          <w:lang w:val="en-PK"/>
        </w:rPr>
      </w:pPr>
      <w:proofErr w:type="spellStart"/>
      <w:r w:rsidRPr="00A11397">
        <w:rPr>
          <w:rFonts w:cstheme="minorHAnsi"/>
          <w:color w:val="000000" w:themeColor="text1"/>
          <w:lang w:val="en-PK"/>
        </w:rPr>
        <w:t>Shiha</w:t>
      </w:r>
      <w:proofErr w:type="spellEnd"/>
      <w:r w:rsidRPr="00A11397">
        <w:rPr>
          <w:rFonts w:cstheme="minorHAnsi"/>
          <w:color w:val="000000" w:themeColor="text1"/>
          <w:lang w:val="en-PK"/>
        </w:rPr>
        <w:t xml:space="preserve"> G, Mousa N, Soliman R, et al. Incidence of hepatocellular carcinoma after treatment with direct-acting antiviral agents in HCV patients with advanced liver fibrosis. </w:t>
      </w:r>
      <w:r w:rsidRPr="00A11397">
        <w:rPr>
          <w:rFonts w:cstheme="minorHAnsi"/>
          <w:i/>
          <w:iCs/>
          <w:color w:val="000000" w:themeColor="text1"/>
          <w:lang w:val="en-PK"/>
        </w:rPr>
        <w:t>Journal of Viral Hepatitis</w:t>
      </w:r>
      <w:r w:rsidRPr="00A11397">
        <w:rPr>
          <w:rFonts w:cstheme="minorHAnsi"/>
          <w:color w:val="000000" w:themeColor="text1"/>
          <w:lang w:val="en-PK"/>
        </w:rPr>
        <w:t>, 2020;27(3):281-288.</w:t>
      </w:r>
    </w:p>
    <w:p w14:paraId="1E70D835" w14:textId="06669B84" w:rsidR="00A11397" w:rsidRPr="00A11397" w:rsidRDefault="00A11397" w:rsidP="00A11397">
      <w:pPr>
        <w:pStyle w:val="ListParagraph"/>
        <w:numPr>
          <w:ilvl w:val="0"/>
          <w:numId w:val="11"/>
        </w:numPr>
        <w:jc w:val="both"/>
        <w:rPr>
          <w:rFonts w:cstheme="minorHAnsi"/>
          <w:color w:val="000000" w:themeColor="text1"/>
          <w:lang w:val="en-PK"/>
        </w:rPr>
      </w:pPr>
      <w:r w:rsidRPr="00A11397">
        <w:rPr>
          <w:rFonts w:cstheme="minorHAnsi"/>
          <w:color w:val="000000" w:themeColor="text1"/>
          <w:lang w:val="en-PK"/>
        </w:rPr>
        <w:t xml:space="preserve">Patel K, Muir AJ, </w:t>
      </w:r>
      <w:proofErr w:type="spellStart"/>
      <w:r w:rsidRPr="00A11397">
        <w:rPr>
          <w:rFonts w:cstheme="minorHAnsi"/>
          <w:color w:val="000000" w:themeColor="text1"/>
          <w:lang w:val="en-PK"/>
        </w:rPr>
        <w:t>McHutchison</w:t>
      </w:r>
      <w:proofErr w:type="spellEnd"/>
      <w:r w:rsidRPr="00A11397">
        <w:rPr>
          <w:rFonts w:cstheme="minorHAnsi"/>
          <w:color w:val="000000" w:themeColor="text1"/>
          <w:lang w:val="en-PK"/>
        </w:rPr>
        <w:t xml:space="preserve"> JG. Treatment of HCV with interferon-free combination therapy. </w:t>
      </w:r>
      <w:r w:rsidRPr="00A11397">
        <w:rPr>
          <w:rFonts w:cstheme="minorHAnsi"/>
          <w:i/>
          <w:iCs/>
          <w:color w:val="000000" w:themeColor="text1"/>
          <w:lang w:val="en-PK"/>
        </w:rPr>
        <w:t>Nature Reviews Gastroenterology &amp; Hepatology</w:t>
      </w:r>
      <w:r w:rsidRPr="00A11397">
        <w:rPr>
          <w:rFonts w:cstheme="minorHAnsi"/>
          <w:color w:val="000000" w:themeColor="text1"/>
          <w:lang w:val="en-PK"/>
        </w:rPr>
        <w:t>, 2014;11(6):362-371.</w:t>
      </w:r>
    </w:p>
    <w:p w14:paraId="6A232E43" w14:textId="2968C9AE" w:rsidR="00A11397" w:rsidRPr="00A11397" w:rsidRDefault="00A11397" w:rsidP="00A11397">
      <w:pPr>
        <w:pStyle w:val="ListParagraph"/>
        <w:numPr>
          <w:ilvl w:val="0"/>
          <w:numId w:val="11"/>
        </w:numPr>
        <w:jc w:val="both"/>
        <w:rPr>
          <w:rFonts w:cstheme="minorHAnsi"/>
          <w:color w:val="000000" w:themeColor="text1"/>
          <w:lang w:val="en-PK"/>
        </w:rPr>
      </w:pPr>
      <w:r w:rsidRPr="00A11397">
        <w:rPr>
          <w:rFonts w:cstheme="minorHAnsi"/>
          <w:color w:val="000000" w:themeColor="text1"/>
          <w:lang w:val="en-PK"/>
        </w:rPr>
        <w:t xml:space="preserve">Wedemeyer H, </w:t>
      </w:r>
      <w:proofErr w:type="spellStart"/>
      <w:r w:rsidRPr="00A11397">
        <w:rPr>
          <w:rFonts w:cstheme="minorHAnsi"/>
          <w:color w:val="000000" w:themeColor="text1"/>
          <w:lang w:val="en-PK"/>
        </w:rPr>
        <w:t>Duberg</w:t>
      </w:r>
      <w:proofErr w:type="spellEnd"/>
      <w:r w:rsidRPr="00A11397">
        <w:rPr>
          <w:rFonts w:cstheme="minorHAnsi"/>
          <w:color w:val="000000" w:themeColor="text1"/>
          <w:lang w:val="en-PK"/>
        </w:rPr>
        <w:t xml:space="preserve"> AS, Buti M, et al. Strategies to manage hepatitis C virus (HCV) disease burden. </w:t>
      </w:r>
      <w:r w:rsidRPr="00A11397">
        <w:rPr>
          <w:rFonts w:cstheme="minorHAnsi"/>
          <w:i/>
          <w:iCs/>
          <w:color w:val="000000" w:themeColor="text1"/>
          <w:lang w:val="en-PK"/>
        </w:rPr>
        <w:t>Journal of Viral Hepatitis</w:t>
      </w:r>
      <w:r w:rsidRPr="00A11397">
        <w:rPr>
          <w:rFonts w:cstheme="minorHAnsi"/>
          <w:color w:val="000000" w:themeColor="text1"/>
          <w:lang w:val="en-PK"/>
        </w:rPr>
        <w:t>, 2014;21(S1):60-89.</w:t>
      </w:r>
    </w:p>
    <w:p w14:paraId="62B2A557" w14:textId="340DF0ED" w:rsidR="00A11397" w:rsidRPr="00A11397" w:rsidRDefault="00A11397" w:rsidP="00A11397">
      <w:pPr>
        <w:pStyle w:val="ListParagraph"/>
        <w:numPr>
          <w:ilvl w:val="0"/>
          <w:numId w:val="11"/>
        </w:numPr>
        <w:jc w:val="both"/>
        <w:rPr>
          <w:rFonts w:cstheme="minorHAnsi"/>
          <w:color w:val="000000" w:themeColor="text1"/>
          <w:lang w:val="en-PK"/>
        </w:rPr>
      </w:pPr>
      <w:r w:rsidRPr="00A11397">
        <w:rPr>
          <w:rFonts w:cstheme="minorHAnsi"/>
          <w:color w:val="000000" w:themeColor="text1"/>
          <w:lang w:val="en-PK"/>
        </w:rPr>
        <w:t xml:space="preserve">Lontok E, Harrington P, Howe A, et al. Patients with advanced liver disease are at increased risk of hepatocellular carcinoma recurrence after DAA treatment. </w:t>
      </w:r>
      <w:r w:rsidRPr="00A11397">
        <w:rPr>
          <w:rFonts w:cstheme="minorHAnsi"/>
          <w:i/>
          <w:iCs/>
          <w:color w:val="000000" w:themeColor="text1"/>
          <w:lang w:val="en-PK"/>
        </w:rPr>
        <w:t>Gastroenterology</w:t>
      </w:r>
      <w:r w:rsidRPr="00A11397">
        <w:rPr>
          <w:rFonts w:cstheme="minorHAnsi"/>
          <w:color w:val="000000" w:themeColor="text1"/>
          <w:lang w:val="en-PK"/>
        </w:rPr>
        <w:t>, 2016;150(4):1044-1045.</w:t>
      </w:r>
    </w:p>
    <w:p w14:paraId="7A7DF51C" w14:textId="15E09056" w:rsidR="00A11397" w:rsidRPr="00A11397" w:rsidRDefault="00A11397" w:rsidP="00A11397">
      <w:pPr>
        <w:pStyle w:val="ListParagraph"/>
        <w:numPr>
          <w:ilvl w:val="0"/>
          <w:numId w:val="11"/>
        </w:numPr>
        <w:jc w:val="both"/>
        <w:rPr>
          <w:rFonts w:cstheme="minorHAnsi"/>
          <w:color w:val="000000" w:themeColor="text1"/>
          <w:lang w:val="en-PK"/>
        </w:rPr>
      </w:pPr>
      <w:r w:rsidRPr="00A11397">
        <w:rPr>
          <w:rFonts w:cstheme="minorHAnsi"/>
          <w:color w:val="000000" w:themeColor="text1"/>
          <w:lang w:val="en-PK"/>
        </w:rPr>
        <w:t xml:space="preserve">Ioannou GN, Green PK, Berry K. HCV eradication induced by direct-acting antiviral agents reduces the risk of hepatocellular carcinoma. </w:t>
      </w:r>
      <w:r w:rsidRPr="00A11397">
        <w:rPr>
          <w:rFonts w:cstheme="minorHAnsi"/>
          <w:i/>
          <w:iCs/>
          <w:color w:val="000000" w:themeColor="text1"/>
          <w:lang w:val="en-PK"/>
        </w:rPr>
        <w:t>Journal of Hepatology</w:t>
      </w:r>
      <w:r w:rsidRPr="00A11397">
        <w:rPr>
          <w:rFonts w:cstheme="minorHAnsi"/>
          <w:color w:val="000000" w:themeColor="text1"/>
          <w:lang w:val="en-PK"/>
        </w:rPr>
        <w:t>, 2017;68(1):25-32.</w:t>
      </w:r>
    </w:p>
    <w:p w14:paraId="4D3132B3" w14:textId="630DFDB8" w:rsidR="00A11397" w:rsidRPr="00A11397" w:rsidRDefault="00A11397" w:rsidP="00A11397">
      <w:pPr>
        <w:pStyle w:val="ListParagraph"/>
        <w:numPr>
          <w:ilvl w:val="0"/>
          <w:numId w:val="11"/>
        </w:numPr>
        <w:jc w:val="both"/>
        <w:rPr>
          <w:rFonts w:cstheme="minorHAnsi"/>
          <w:color w:val="000000" w:themeColor="text1"/>
          <w:lang w:val="en-PK"/>
        </w:rPr>
      </w:pPr>
      <w:r w:rsidRPr="00A11397">
        <w:rPr>
          <w:rFonts w:cstheme="minorHAnsi"/>
          <w:color w:val="000000" w:themeColor="text1"/>
          <w:lang w:val="en-PK"/>
        </w:rPr>
        <w:t xml:space="preserve">Manns MP, Buti M, Gane E, et al. Sofosbuvir, </w:t>
      </w:r>
      <w:proofErr w:type="spellStart"/>
      <w:r w:rsidRPr="00A11397">
        <w:rPr>
          <w:rFonts w:cstheme="minorHAnsi"/>
          <w:color w:val="000000" w:themeColor="text1"/>
          <w:lang w:val="en-PK"/>
        </w:rPr>
        <w:t>velpatasvir</w:t>
      </w:r>
      <w:proofErr w:type="spellEnd"/>
      <w:r w:rsidRPr="00A11397">
        <w:rPr>
          <w:rFonts w:cstheme="minorHAnsi"/>
          <w:color w:val="000000" w:themeColor="text1"/>
          <w:lang w:val="en-PK"/>
        </w:rPr>
        <w:t xml:space="preserve">, and </w:t>
      </w:r>
      <w:proofErr w:type="spellStart"/>
      <w:r w:rsidRPr="00A11397">
        <w:rPr>
          <w:rFonts w:cstheme="minorHAnsi"/>
          <w:color w:val="000000" w:themeColor="text1"/>
          <w:lang w:val="en-PK"/>
        </w:rPr>
        <w:t>voxilaprevir</w:t>
      </w:r>
      <w:proofErr w:type="spellEnd"/>
      <w:r w:rsidRPr="00A11397">
        <w:rPr>
          <w:rFonts w:cstheme="minorHAnsi"/>
          <w:color w:val="000000" w:themeColor="text1"/>
          <w:lang w:val="en-PK"/>
        </w:rPr>
        <w:t xml:space="preserve"> for 8 weeks in HCV-infected patients. </w:t>
      </w:r>
      <w:r w:rsidRPr="00A11397">
        <w:rPr>
          <w:rFonts w:cstheme="minorHAnsi"/>
          <w:i/>
          <w:iCs/>
          <w:color w:val="000000" w:themeColor="text1"/>
          <w:lang w:val="en-PK"/>
        </w:rPr>
        <w:t>Journal of Hepatology</w:t>
      </w:r>
      <w:r w:rsidRPr="00A11397">
        <w:rPr>
          <w:rFonts w:cstheme="minorHAnsi"/>
          <w:color w:val="000000" w:themeColor="text1"/>
          <w:lang w:val="en-PK"/>
        </w:rPr>
        <w:t>, 2018;68(1):82-89.</w:t>
      </w:r>
    </w:p>
    <w:p w14:paraId="7372DCDC" w14:textId="2ACB6AD0" w:rsidR="00A11397" w:rsidRPr="00A11397" w:rsidRDefault="00A11397" w:rsidP="00A11397">
      <w:pPr>
        <w:pStyle w:val="ListParagraph"/>
        <w:numPr>
          <w:ilvl w:val="0"/>
          <w:numId w:val="11"/>
        </w:numPr>
        <w:jc w:val="both"/>
        <w:rPr>
          <w:rFonts w:cstheme="minorHAnsi"/>
          <w:color w:val="000000" w:themeColor="text1"/>
          <w:lang w:val="en-PK"/>
        </w:rPr>
      </w:pPr>
      <w:r w:rsidRPr="00A11397">
        <w:rPr>
          <w:rFonts w:cstheme="minorHAnsi"/>
          <w:color w:val="000000" w:themeColor="text1"/>
          <w:lang w:val="en-PK"/>
        </w:rPr>
        <w:t xml:space="preserve">Nahon P, </w:t>
      </w:r>
      <w:proofErr w:type="spellStart"/>
      <w:r w:rsidRPr="00A11397">
        <w:rPr>
          <w:rFonts w:cstheme="minorHAnsi"/>
          <w:color w:val="000000" w:themeColor="text1"/>
          <w:lang w:val="en-PK"/>
        </w:rPr>
        <w:t>Layese</w:t>
      </w:r>
      <w:proofErr w:type="spellEnd"/>
      <w:r w:rsidRPr="00A11397">
        <w:rPr>
          <w:rFonts w:cstheme="minorHAnsi"/>
          <w:color w:val="000000" w:themeColor="text1"/>
          <w:lang w:val="en-PK"/>
        </w:rPr>
        <w:t xml:space="preserve"> R, Bourcier V, et al. Incidence of hepatocellular carcinoma after interferon-based therapy for HCV in France. </w:t>
      </w:r>
      <w:r w:rsidRPr="00A11397">
        <w:rPr>
          <w:rFonts w:cstheme="minorHAnsi"/>
          <w:i/>
          <w:iCs/>
          <w:color w:val="000000" w:themeColor="text1"/>
          <w:lang w:val="en-PK"/>
        </w:rPr>
        <w:t>Journal of Hepatology</w:t>
      </w:r>
      <w:r w:rsidRPr="00A11397">
        <w:rPr>
          <w:rFonts w:cstheme="minorHAnsi"/>
          <w:color w:val="000000" w:themeColor="text1"/>
          <w:lang w:val="en-PK"/>
        </w:rPr>
        <w:t>, 2018;68(5):1105-1112.</w:t>
      </w:r>
    </w:p>
    <w:p w14:paraId="188FC9FA" w14:textId="58CD87C6" w:rsidR="00A11397" w:rsidRPr="00A11397" w:rsidRDefault="00A11397" w:rsidP="00A11397">
      <w:pPr>
        <w:pStyle w:val="ListParagraph"/>
        <w:numPr>
          <w:ilvl w:val="0"/>
          <w:numId w:val="11"/>
        </w:numPr>
        <w:jc w:val="both"/>
        <w:rPr>
          <w:rFonts w:cstheme="minorHAnsi"/>
          <w:color w:val="000000" w:themeColor="text1"/>
          <w:lang w:val="en-PK"/>
        </w:rPr>
      </w:pPr>
      <w:proofErr w:type="spellStart"/>
      <w:r w:rsidRPr="00A11397">
        <w:rPr>
          <w:rFonts w:cstheme="minorHAnsi"/>
          <w:color w:val="000000" w:themeColor="text1"/>
          <w:lang w:val="en-PK"/>
        </w:rPr>
        <w:t>Bhamidimarri</w:t>
      </w:r>
      <w:proofErr w:type="spellEnd"/>
      <w:r w:rsidRPr="00A11397">
        <w:rPr>
          <w:rFonts w:cstheme="minorHAnsi"/>
          <w:color w:val="000000" w:themeColor="text1"/>
          <w:lang w:val="en-PK"/>
        </w:rPr>
        <w:t xml:space="preserve"> KR, Satapathy SK, Martin P. Hepatocellular carcinoma recurrence in hepatitis C virus infection. </w:t>
      </w:r>
      <w:r w:rsidRPr="00A11397">
        <w:rPr>
          <w:rFonts w:cstheme="minorHAnsi"/>
          <w:i/>
          <w:iCs/>
          <w:color w:val="000000" w:themeColor="text1"/>
          <w:lang w:val="en-PK"/>
        </w:rPr>
        <w:t>Gastroenterology &amp; Hepatology</w:t>
      </w:r>
      <w:r w:rsidRPr="00A11397">
        <w:rPr>
          <w:rFonts w:cstheme="minorHAnsi"/>
          <w:color w:val="000000" w:themeColor="text1"/>
          <w:lang w:val="en-PK"/>
        </w:rPr>
        <w:t>, 2017;13(6):326-329.</w:t>
      </w:r>
    </w:p>
    <w:p w14:paraId="5F443E94" w14:textId="5FDEAB71" w:rsidR="00A11397" w:rsidRPr="00A11397" w:rsidRDefault="00A11397" w:rsidP="00A11397">
      <w:pPr>
        <w:pStyle w:val="ListParagraph"/>
        <w:numPr>
          <w:ilvl w:val="0"/>
          <w:numId w:val="11"/>
        </w:numPr>
        <w:jc w:val="both"/>
        <w:rPr>
          <w:rFonts w:cstheme="minorHAnsi"/>
          <w:color w:val="000000" w:themeColor="text1"/>
          <w:lang w:val="en-PK"/>
        </w:rPr>
      </w:pPr>
      <w:r w:rsidRPr="00A11397">
        <w:rPr>
          <w:rFonts w:cstheme="minorHAnsi"/>
          <w:color w:val="000000" w:themeColor="text1"/>
          <w:lang w:val="en-PK"/>
        </w:rPr>
        <w:t xml:space="preserve">Desai PS, Patel KR, Chen Q, et al. Hepatocellular carcinoma after direct-acting antiviral therapy. </w:t>
      </w:r>
      <w:r w:rsidRPr="00A11397">
        <w:rPr>
          <w:rFonts w:cstheme="minorHAnsi"/>
          <w:i/>
          <w:iCs/>
          <w:color w:val="000000" w:themeColor="text1"/>
          <w:lang w:val="en-PK"/>
        </w:rPr>
        <w:t>Clinical Liver Disease</w:t>
      </w:r>
      <w:r w:rsidRPr="00A11397">
        <w:rPr>
          <w:rFonts w:cstheme="minorHAnsi"/>
          <w:color w:val="000000" w:themeColor="text1"/>
          <w:lang w:val="en-PK"/>
        </w:rPr>
        <w:t>, 2017;10(3):66-69.</w:t>
      </w:r>
    </w:p>
    <w:p w14:paraId="5821ADE6" w14:textId="7C63F932" w:rsidR="00A11397" w:rsidRPr="00A11397" w:rsidRDefault="00A11397" w:rsidP="00A11397">
      <w:pPr>
        <w:pStyle w:val="ListParagraph"/>
        <w:numPr>
          <w:ilvl w:val="0"/>
          <w:numId w:val="11"/>
        </w:numPr>
        <w:jc w:val="both"/>
        <w:rPr>
          <w:rFonts w:cstheme="minorHAnsi"/>
          <w:color w:val="000000" w:themeColor="text1"/>
          <w:lang w:val="en-PK"/>
        </w:rPr>
      </w:pPr>
      <w:r w:rsidRPr="00A11397">
        <w:rPr>
          <w:rFonts w:cstheme="minorHAnsi"/>
          <w:color w:val="000000" w:themeColor="text1"/>
          <w:lang w:val="en-PK"/>
        </w:rPr>
        <w:t xml:space="preserve">Calvaruso V, Cabibbo G, Cacciola I, et al. Incidence of hepatocellular carcinoma in patients with HCV-associated cirrhosis treated with direct-acting antiviral agents. </w:t>
      </w:r>
      <w:r w:rsidRPr="00A11397">
        <w:rPr>
          <w:rFonts w:cstheme="minorHAnsi"/>
          <w:i/>
          <w:iCs/>
          <w:color w:val="000000" w:themeColor="text1"/>
          <w:lang w:val="en-PK"/>
        </w:rPr>
        <w:t>Gastroenterology</w:t>
      </w:r>
      <w:r w:rsidRPr="00A11397">
        <w:rPr>
          <w:rFonts w:cstheme="minorHAnsi"/>
          <w:color w:val="000000" w:themeColor="text1"/>
          <w:lang w:val="en-PK"/>
        </w:rPr>
        <w:t>, 2018;155(2):411-421.</w:t>
      </w:r>
    </w:p>
    <w:p w14:paraId="1F192D3E" w14:textId="225BE9A1" w:rsidR="00A11397" w:rsidRPr="00A11397" w:rsidRDefault="00A11397" w:rsidP="00A11397">
      <w:pPr>
        <w:pStyle w:val="ListParagraph"/>
        <w:numPr>
          <w:ilvl w:val="0"/>
          <w:numId w:val="11"/>
        </w:numPr>
        <w:jc w:val="both"/>
        <w:rPr>
          <w:rFonts w:cstheme="minorHAnsi"/>
          <w:color w:val="000000" w:themeColor="text1"/>
          <w:lang w:val="en-PK"/>
        </w:rPr>
      </w:pPr>
      <w:r w:rsidRPr="00A11397">
        <w:rPr>
          <w:rFonts w:cstheme="minorHAnsi"/>
          <w:color w:val="000000" w:themeColor="text1"/>
          <w:lang w:val="en-PK"/>
        </w:rPr>
        <w:t xml:space="preserve">Mahale P, Engels EA, Li R, et al. The effect of sustained virological response on the risk of hepatocellular carcinoma among individuals with chronic hepatitis C and HIV co-infection. </w:t>
      </w:r>
      <w:r w:rsidRPr="00A11397">
        <w:rPr>
          <w:rFonts w:cstheme="minorHAnsi"/>
          <w:i/>
          <w:iCs/>
          <w:color w:val="000000" w:themeColor="text1"/>
          <w:lang w:val="en-PK"/>
        </w:rPr>
        <w:t>Journal of Hepatology</w:t>
      </w:r>
      <w:r w:rsidRPr="00A11397">
        <w:rPr>
          <w:rFonts w:cstheme="minorHAnsi"/>
          <w:color w:val="000000" w:themeColor="text1"/>
          <w:lang w:val="en-PK"/>
        </w:rPr>
        <w:t>, 2018;69(2):420-429.</w:t>
      </w:r>
    </w:p>
    <w:p w14:paraId="23E97173" w14:textId="3B1E7FB5" w:rsidR="00A11397" w:rsidRPr="00A11397" w:rsidRDefault="00A11397" w:rsidP="00A11397">
      <w:pPr>
        <w:pStyle w:val="ListParagraph"/>
        <w:numPr>
          <w:ilvl w:val="0"/>
          <w:numId w:val="11"/>
        </w:numPr>
        <w:jc w:val="both"/>
        <w:rPr>
          <w:rFonts w:cstheme="minorHAnsi"/>
          <w:color w:val="000000" w:themeColor="text1"/>
          <w:lang w:val="en-PK"/>
        </w:rPr>
      </w:pPr>
      <w:r w:rsidRPr="00A11397">
        <w:rPr>
          <w:rFonts w:cstheme="minorHAnsi"/>
          <w:color w:val="000000" w:themeColor="text1"/>
          <w:lang w:val="en-PK"/>
        </w:rPr>
        <w:t xml:space="preserve">Baumert TF, </w:t>
      </w:r>
      <w:proofErr w:type="spellStart"/>
      <w:r w:rsidRPr="00A11397">
        <w:rPr>
          <w:rFonts w:cstheme="minorHAnsi"/>
          <w:color w:val="000000" w:themeColor="text1"/>
          <w:lang w:val="en-PK"/>
        </w:rPr>
        <w:t>Jühling</w:t>
      </w:r>
      <w:proofErr w:type="spellEnd"/>
      <w:r w:rsidRPr="00A11397">
        <w:rPr>
          <w:rFonts w:cstheme="minorHAnsi"/>
          <w:color w:val="000000" w:themeColor="text1"/>
          <w:lang w:val="en-PK"/>
        </w:rPr>
        <w:t xml:space="preserve"> F, Ono A, </w:t>
      </w:r>
      <w:proofErr w:type="spellStart"/>
      <w:r w:rsidRPr="00A11397">
        <w:rPr>
          <w:rFonts w:cstheme="minorHAnsi"/>
          <w:color w:val="000000" w:themeColor="text1"/>
          <w:lang w:val="en-PK"/>
        </w:rPr>
        <w:t>Hoshida</w:t>
      </w:r>
      <w:proofErr w:type="spellEnd"/>
      <w:r w:rsidRPr="00A11397">
        <w:rPr>
          <w:rFonts w:cstheme="minorHAnsi"/>
          <w:color w:val="000000" w:themeColor="text1"/>
          <w:lang w:val="en-PK"/>
        </w:rPr>
        <w:t xml:space="preserve"> Y. Hepatitis C-related hepatocellular carcinoma in the era of new generation antivirals. </w:t>
      </w:r>
      <w:r w:rsidRPr="00A11397">
        <w:rPr>
          <w:rFonts w:cstheme="minorHAnsi"/>
          <w:i/>
          <w:iCs/>
          <w:color w:val="000000" w:themeColor="text1"/>
          <w:lang w:val="en-PK"/>
        </w:rPr>
        <w:t>BMC Medicine</w:t>
      </w:r>
      <w:r w:rsidRPr="00A11397">
        <w:rPr>
          <w:rFonts w:cstheme="minorHAnsi"/>
          <w:color w:val="000000" w:themeColor="text1"/>
          <w:lang w:val="en-PK"/>
        </w:rPr>
        <w:t>, 2017;15(1):52.</w:t>
      </w:r>
    </w:p>
    <w:p w14:paraId="4DB21F05" w14:textId="1C1621C4" w:rsidR="00A11397" w:rsidRPr="00A11397" w:rsidRDefault="00A11397" w:rsidP="00A11397">
      <w:pPr>
        <w:pStyle w:val="ListParagraph"/>
        <w:numPr>
          <w:ilvl w:val="0"/>
          <w:numId w:val="11"/>
        </w:numPr>
        <w:jc w:val="both"/>
        <w:rPr>
          <w:rFonts w:cstheme="minorHAnsi"/>
          <w:color w:val="000000" w:themeColor="text1"/>
          <w:lang w:val="en-PK"/>
        </w:rPr>
      </w:pPr>
      <w:r w:rsidRPr="00A11397">
        <w:rPr>
          <w:rFonts w:cstheme="minorHAnsi"/>
          <w:color w:val="000000" w:themeColor="text1"/>
          <w:lang w:val="en-PK"/>
        </w:rPr>
        <w:t xml:space="preserve">Axley P, Ahmed Z, Ravi S, Singal AK. Hepatitis C virus and hepatocellular carcinoma: A narrative review. </w:t>
      </w:r>
      <w:r w:rsidRPr="00A11397">
        <w:rPr>
          <w:rFonts w:cstheme="minorHAnsi"/>
          <w:i/>
          <w:iCs/>
          <w:color w:val="000000" w:themeColor="text1"/>
          <w:lang w:val="en-PK"/>
        </w:rPr>
        <w:t>Journal of Clinical and Translational Hepatology</w:t>
      </w:r>
      <w:r w:rsidRPr="00A11397">
        <w:rPr>
          <w:rFonts w:cstheme="minorHAnsi"/>
          <w:color w:val="000000" w:themeColor="text1"/>
          <w:lang w:val="en-PK"/>
        </w:rPr>
        <w:t>, 2018;6(1):79-84.</w:t>
      </w:r>
    </w:p>
    <w:p w14:paraId="455CDF47" w14:textId="181A1BF8" w:rsidR="00A11397" w:rsidRPr="00A11397" w:rsidRDefault="00A11397" w:rsidP="00A11397">
      <w:pPr>
        <w:pStyle w:val="ListParagraph"/>
        <w:numPr>
          <w:ilvl w:val="0"/>
          <w:numId w:val="11"/>
        </w:numPr>
        <w:jc w:val="both"/>
        <w:rPr>
          <w:rFonts w:cstheme="minorHAnsi"/>
          <w:color w:val="000000" w:themeColor="text1"/>
          <w:lang w:val="en-PK"/>
        </w:rPr>
      </w:pPr>
      <w:r w:rsidRPr="00A11397">
        <w:rPr>
          <w:rFonts w:cstheme="minorHAnsi"/>
          <w:color w:val="000000" w:themeColor="text1"/>
          <w:lang w:val="en-PK"/>
        </w:rPr>
        <w:t xml:space="preserve">Huang H, Sun P, Chen S, et al. Effects of direct-acting antiviral therapy on the risk of hepatocellular carcinoma: A systematic review and meta-analysis. </w:t>
      </w:r>
      <w:r w:rsidRPr="00A11397">
        <w:rPr>
          <w:rFonts w:cstheme="minorHAnsi"/>
          <w:i/>
          <w:iCs/>
          <w:color w:val="000000" w:themeColor="text1"/>
          <w:lang w:val="en-PK"/>
        </w:rPr>
        <w:t>Scientific Reports</w:t>
      </w:r>
      <w:r w:rsidRPr="00A11397">
        <w:rPr>
          <w:rFonts w:cstheme="minorHAnsi"/>
          <w:color w:val="000000" w:themeColor="text1"/>
          <w:lang w:val="en-PK"/>
        </w:rPr>
        <w:t>, 2018;8(1):12830.</w:t>
      </w:r>
    </w:p>
    <w:p w14:paraId="16EE862E" w14:textId="3CAFC2AD" w:rsidR="00A11397" w:rsidRPr="00A11397" w:rsidRDefault="00A11397" w:rsidP="00A11397">
      <w:pPr>
        <w:pStyle w:val="ListParagraph"/>
        <w:numPr>
          <w:ilvl w:val="0"/>
          <w:numId w:val="11"/>
        </w:numPr>
        <w:jc w:val="both"/>
        <w:rPr>
          <w:rFonts w:cstheme="minorHAnsi"/>
          <w:color w:val="000000" w:themeColor="text1"/>
          <w:lang w:val="en-PK"/>
        </w:rPr>
      </w:pPr>
      <w:r w:rsidRPr="00A11397">
        <w:rPr>
          <w:rFonts w:cstheme="minorHAnsi"/>
          <w:color w:val="000000" w:themeColor="text1"/>
          <w:lang w:val="en-PK"/>
        </w:rPr>
        <w:t xml:space="preserve">Li DK, Chung RT. Overview of direct-acting antiviral drugs and drug resistance of hepatitis C virus. </w:t>
      </w:r>
      <w:r w:rsidRPr="00A11397">
        <w:rPr>
          <w:rFonts w:cstheme="minorHAnsi"/>
          <w:i/>
          <w:iCs/>
          <w:color w:val="000000" w:themeColor="text1"/>
          <w:lang w:val="en-PK"/>
        </w:rPr>
        <w:t>Methods in Molecular Biology</w:t>
      </w:r>
      <w:r w:rsidRPr="00A11397">
        <w:rPr>
          <w:rFonts w:cstheme="minorHAnsi"/>
          <w:color w:val="000000" w:themeColor="text1"/>
          <w:lang w:val="en-PK"/>
        </w:rPr>
        <w:t>, 2019;1911:3-32.</w:t>
      </w:r>
    </w:p>
    <w:p w14:paraId="579E4EF4" w14:textId="3DCC288F" w:rsidR="00A11397" w:rsidRPr="00A11397" w:rsidRDefault="00A11397" w:rsidP="00A11397">
      <w:pPr>
        <w:pStyle w:val="ListParagraph"/>
        <w:numPr>
          <w:ilvl w:val="0"/>
          <w:numId w:val="11"/>
        </w:numPr>
        <w:jc w:val="both"/>
        <w:rPr>
          <w:rFonts w:cstheme="minorHAnsi"/>
          <w:color w:val="000000" w:themeColor="text1"/>
          <w:lang w:val="en-PK"/>
        </w:rPr>
      </w:pPr>
      <w:r w:rsidRPr="00A11397">
        <w:rPr>
          <w:rFonts w:cstheme="minorHAnsi"/>
          <w:color w:val="000000" w:themeColor="text1"/>
          <w:lang w:val="en-PK"/>
        </w:rPr>
        <w:t xml:space="preserve">Ogawa E, </w:t>
      </w:r>
      <w:proofErr w:type="spellStart"/>
      <w:r w:rsidRPr="00A11397">
        <w:rPr>
          <w:rFonts w:cstheme="minorHAnsi"/>
          <w:color w:val="000000" w:themeColor="text1"/>
          <w:lang w:val="en-PK"/>
        </w:rPr>
        <w:t>Furusyo</w:t>
      </w:r>
      <w:proofErr w:type="spellEnd"/>
      <w:r w:rsidRPr="00A11397">
        <w:rPr>
          <w:rFonts w:cstheme="minorHAnsi"/>
          <w:color w:val="000000" w:themeColor="text1"/>
          <w:lang w:val="en-PK"/>
        </w:rPr>
        <w:t xml:space="preserve"> N, Nomura H, et al. Hepatocellular carcinoma after direct-acting antiviral therapy in chronic hepatitis C patients. </w:t>
      </w:r>
      <w:r w:rsidRPr="00A11397">
        <w:rPr>
          <w:rFonts w:cstheme="minorHAnsi"/>
          <w:i/>
          <w:iCs/>
          <w:color w:val="000000" w:themeColor="text1"/>
          <w:lang w:val="en-PK"/>
        </w:rPr>
        <w:t>Journal of Gastroenterology and Hepatology</w:t>
      </w:r>
      <w:r w:rsidRPr="00A11397">
        <w:rPr>
          <w:rFonts w:cstheme="minorHAnsi"/>
          <w:color w:val="000000" w:themeColor="text1"/>
          <w:lang w:val="en-PK"/>
        </w:rPr>
        <w:t>, 2017;32(9):1573-1578.</w:t>
      </w:r>
    </w:p>
    <w:p w14:paraId="6F47C1FA" w14:textId="5C3CDB40" w:rsidR="00A11397" w:rsidRPr="00A11397" w:rsidRDefault="00A11397" w:rsidP="00A11397">
      <w:pPr>
        <w:pStyle w:val="ListParagraph"/>
        <w:numPr>
          <w:ilvl w:val="0"/>
          <w:numId w:val="11"/>
        </w:numPr>
        <w:jc w:val="both"/>
        <w:rPr>
          <w:rFonts w:cstheme="minorHAnsi"/>
          <w:color w:val="000000" w:themeColor="text1"/>
          <w:lang w:val="en-PK"/>
        </w:rPr>
      </w:pPr>
      <w:r w:rsidRPr="00A11397">
        <w:rPr>
          <w:rFonts w:cstheme="minorHAnsi"/>
          <w:color w:val="000000" w:themeColor="text1"/>
          <w:lang w:val="en-PK"/>
        </w:rPr>
        <w:lastRenderedPageBreak/>
        <w:t xml:space="preserve">Yang JD, Hainaut P, Gores GJ, et al. A global view of hepatocellular carcinoma: trends, risk, prevention and management. </w:t>
      </w:r>
      <w:r w:rsidRPr="00A11397">
        <w:rPr>
          <w:rFonts w:cstheme="minorHAnsi"/>
          <w:i/>
          <w:iCs/>
          <w:color w:val="000000" w:themeColor="text1"/>
          <w:lang w:val="en-PK"/>
        </w:rPr>
        <w:t>Nature Reviews Gastroenterology &amp; Hepatology</w:t>
      </w:r>
      <w:r w:rsidRPr="00A11397">
        <w:rPr>
          <w:rFonts w:cstheme="minorHAnsi"/>
          <w:color w:val="000000" w:themeColor="text1"/>
          <w:lang w:val="en-PK"/>
        </w:rPr>
        <w:t>, 2019;16(10):589-604.</w:t>
      </w:r>
    </w:p>
    <w:p w14:paraId="2EE97DC5" w14:textId="25B41645" w:rsidR="00A11397" w:rsidRPr="00A11397" w:rsidRDefault="00A11397" w:rsidP="00A11397">
      <w:pPr>
        <w:pStyle w:val="ListParagraph"/>
        <w:numPr>
          <w:ilvl w:val="0"/>
          <w:numId w:val="11"/>
        </w:numPr>
        <w:jc w:val="both"/>
        <w:rPr>
          <w:rFonts w:cstheme="minorHAnsi"/>
          <w:color w:val="000000" w:themeColor="text1"/>
          <w:lang w:val="en-PK"/>
        </w:rPr>
      </w:pPr>
      <w:proofErr w:type="spellStart"/>
      <w:r w:rsidRPr="00A11397">
        <w:rPr>
          <w:rFonts w:cstheme="minorHAnsi"/>
          <w:color w:val="000000" w:themeColor="text1"/>
          <w:lang w:val="en-PK"/>
        </w:rPr>
        <w:t>Younossi</w:t>
      </w:r>
      <w:proofErr w:type="spellEnd"/>
      <w:r w:rsidRPr="00A11397">
        <w:rPr>
          <w:rFonts w:cstheme="minorHAnsi"/>
          <w:color w:val="000000" w:themeColor="text1"/>
          <w:lang w:val="en-PK"/>
        </w:rPr>
        <w:t xml:space="preserve"> ZM, Stepanova M, Feld J, et al. The impact of sustained virologic response on the course of compensated and decompensated cirrhosis: a meta-analysis. </w:t>
      </w:r>
      <w:r w:rsidRPr="00A11397">
        <w:rPr>
          <w:rFonts w:cstheme="minorHAnsi"/>
          <w:i/>
          <w:iCs/>
          <w:color w:val="000000" w:themeColor="text1"/>
          <w:lang w:val="en-PK"/>
        </w:rPr>
        <w:t>Journal of Hepatology</w:t>
      </w:r>
      <w:r w:rsidRPr="00A11397">
        <w:rPr>
          <w:rFonts w:cstheme="minorHAnsi"/>
          <w:color w:val="000000" w:themeColor="text1"/>
          <w:lang w:val="en-PK"/>
        </w:rPr>
        <w:t>, 2017;66(6):1251-1257.</w:t>
      </w:r>
    </w:p>
    <w:p w14:paraId="4E8AC269" w14:textId="08C71DC0" w:rsidR="00A11397" w:rsidRPr="00A11397" w:rsidRDefault="00A11397" w:rsidP="00A11397">
      <w:pPr>
        <w:pStyle w:val="ListParagraph"/>
        <w:numPr>
          <w:ilvl w:val="0"/>
          <w:numId w:val="11"/>
        </w:numPr>
        <w:jc w:val="both"/>
        <w:rPr>
          <w:rFonts w:cstheme="minorHAnsi"/>
          <w:color w:val="000000" w:themeColor="text1"/>
          <w:lang w:val="en-PK"/>
        </w:rPr>
      </w:pPr>
      <w:r w:rsidRPr="00A11397">
        <w:rPr>
          <w:rFonts w:cstheme="minorHAnsi"/>
          <w:color w:val="000000" w:themeColor="text1"/>
          <w:lang w:val="en-PK"/>
        </w:rPr>
        <w:t xml:space="preserve">Calleja JL, Crespo J, Rincón D, et al. Hepatocellular carcinoma recurrence after direct-acting antiviral therapy: A new debate. </w:t>
      </w:r>
      <w:r w:rsidRPr="00A11397">
        <w:rPr>
          <w:rFonts w:cstheme="minorHAnsi"/>
          <w:i/>
          <w:iCs/>
          <w:color w:val="000000" w:themeColor="text1"/>
          <w:lang w:val="en-PK"/>
        </w:rPr>
        <w:t>Journal of Hepatology</w:t>
      </w:r>
      <w:r w:rsidRPr="00A11397">
        <w:rPr>
          <w:rFonts w:cstheme="minorHAnsi"/>
          <w:color w:val="000000" w:themeColor="text1"/>
          <w:lang w:val="en-PK"/>
        </w:rPr>
        <w:t>, 2017;67(4):715-716.</w:t>
      </w:r>
    </w:p>
    <w:p w14:paraId="3C5119CD" w14:textId="59CD0991" w:rsidR="00A11397" w:rsidRPr="00A11397" w:rsidRDefault="00A11397" w:rsidP="00A11397">
      <w:pPr>
        <w:pStyle w:val="ListParagraph"/>
        <w:numPr>
          <w:ilvl w:val="0"/>
          <w:numId w:val="11"/>
        </w:numPr>
        <w:jc w:val="both"/>
        <w:rPr>
          <w:rFonts w:cstheme="minorHAnsi"/>
          <w:color w:val="000000" w:themeColor="text1"/>
          <w:lang w:val="en-PK"/>
        </w:rPr>
      </w:pPr>
      <w:r w:rsidRPr="00A11397">
        <w:rPr>
          <w:rFonts w:cstheme="minorHAnsi"/>
          <w:color w:val="000000" w:themeColor="text1"/>
          <w:lang w:val="en-PK"/>
        </w:rPr>
        <w:t xml:space="preserve">Gonzalez SA, Fierer DS, Talal AH. Acute hepatitis C infection in HIV-infected individuals: emerging clinical issues and their management. </w:t>
      </w:r>
      <w:r w:rsidRPr="00A11397">
        <w:rPr>
          <w:rFonts w:cstheme="minorHAnsi"/>
          <w:i/>
          <w:iCs/>
          <w:color w:val="000000" w:themeColor="text1"/>
          <w:lang w:val="en-PK"/>
        </w:rPr>
        <w:t>Hepatology</w:t>
      </w:r>
      <w:r w:rsidRPr="00A11397">
        <w:rPr>
          <w:rFonts w:cstheme="minorHAnsi"/>
          <w:color w:val="000000" w:themeColor="text1"/>
          <w:lang w:val="en-PK"/>
        </w:rPr>
        <w:t>, 2018;67(6):2202-2211.</w:t>
      </w:r>
    </w:p>
    <w:p w14:paraId="16C6BB41" w14:textId="29F4F012" w:rsidR="00A11397" w:rsidRPr="00891646" w:rsidRDefault="00A11397" w:rsidP="00A11397">
      <w:pPr>
        <w:pStyle w:val="ListParagraph"/>
        <w:numPr>
          <w:ilvl w:val="0"/>
          <w:numId w:val="11"/>
        </w:numPr>
        <w:jc w:val="both"/>
        <w:rPr>
          <w:rFonts w:cstheme="minorHAnsi"/>
          <w:color w:val="000000" w:themeColor="text1"/>
        </w:rPr>
      </w:pPr>
      <w:r w:rsidRPr="00891646">
        <w:rPr>
          <w:rFonts w:cstheme="minorHAnsi"/>
          <w:color w:val="000000" w:themeColor="text1"/>
          <w:lang w:val="en-PK"/>
        </w:rPr>
        <w:t xml:space="preserve">Foster GR, Irving WL, Cheung MC, et al. Impact of direct-acting antiviral therapy in patients with chronic hepatitis C and decompensated cirrhosis. </w:t>
      </w:r>
      <w:r w:rsidRPr="00891646">
        <w:rPr>
          <w:rFonts w:cstheme="minorHAnsi"/>
          <w:i/>
          <w:iCs/>
          <w:color w:val="000000" w:themeColor="text1"/>
          <w:lang w:val="en-PK"/>
        </w:rPr>
        <w:t>Journal of Hepatology</w:t>
      </w:r>
      <w:r w:rsidRPr="00891646">
        <w:rPr>
          <w:rFonts w:cstheme="minorHAnsi"/>
          <w:color w:val="000000" w:themeColor="text1"/>
          <w:lang w:val="en-PK"/>
        </w:rPr>
        <w:t>, 2016;64(6):1224-1231.</w:t>
      </w:r>
    </w:p>
    <w:p w14:paraId="0AC56569" w14:textId="3AA529F7" w:rsidR="00A11397" w:rsidRPr="00891646" w:rsidRDefault="00A11397" w:rsidP="00A11397">
      <w:pPr>
        <w:pStyle w:val="ListParagraph"/>
        <w:numPr>
          <w:ilvl w:val="0"/>
          <w:numId w:val="11"/>
        </w:numPr>
        <w:spacing w:after="0" w:line="240" w:lineRule="auto"/>
        <w:rPr>
          <w:rFonts w:eastAsia="Times New Roman" w:cstheme="minorHAnsi"/>
          <w:kern w:val="0"/>
          <w:lang w:val="en-PK" w:eastAsia="en-PK"/>
        </w:rPr>
      </w:pPr>
      <w:r w:rsidRPr="00891646">
        <w:rPr>
          <w:rFonts w:eastAsia="Times New Roman" w:cstheme="minorHAnsi"/>
          <w:kern w:val="0"/>
          <w:lang w:val="en-PK" w:eastAsia="en-PK"/>
        </w:rPr>
        <w:t xml:space="preserve">Ioannou GN, Green PK, Berry K. The effect of antiviral treatment of hepatitis C on the risk of extrahepatic manifestations. </w:t>
      </w:r>
      <w:r w:rsidRPr="00891646">
        <w:rPr>
          <w:rFonts w:eastAsia="Times New Roman" w:cstheme="minorHAnsi"/>
          <w:i/>
          <w:iCs/>
          <w:kern w:val="0"/>
          <w:lang w:val="en-PK" w:eastAsia="en-PK"/>
        </w:rPr>
        <w:t>Gut</w:t>
      </w:r>
      <w:r w:rsidRPr="00891646">
        <w:rPr>
          <w:rFonts w:eastAsia="Times New Roman" w:cstheme="minorHAnsi"/>
          <w:kern w:val="0"/>
          <w:lang w:val="en-PK" w:eastAsia="en-PK"/>
        </w:rPr>
        <w:t>, 2017;66(3):526-535.</w:t>
      </w:r>
    </w:p>
    <w:p w14:paraId="51D02FC1" w14:textId="61F3271B" w:rsidR="00A11397" w:rsidRPr="00891646" w:rsidRDefault="00A11397" w:rsidP="00A11397">
      <w:pPr>
        <w:pStyle w:val="ListParagraph"/>
        <w:numPr>
          <w:ilvl w:val="0"/>
          <w:numId w:val="11"/>
        </w:numPr>
        <w:spacing w:after="0" w:line="240" w:lineRule="auto"/>
        <w:rPr>
          <w:rFonts w:eastAsia="Times New Roman" w:cstheme="minorHAnsi"/>
          <w:kern w:val="0"/>
          <w:lang w:val="en-PK" w:eastAsia="en-PK"/>
        </w:rPr>
      </w:pPr>
      <w:r w:rsidRPr="00891646">
        <w:rPr>
          <w:rFonts w:eastAsia="Times New Roman" w:cstheme="minorHAnsi"/>
          <w:kern w:val="0"/>
          <w:lang w:val="en-PK" w:eastAsia="en-PK"/>
        </w:rPr>
        <w:t xml:space="preserve">Lim JK, Nguyen LH, Nguyen MH, et al. Health care utilization and costs of extrahepatic manifestations of hepatitis C virus infection in the United States. </w:t>
      </w:r>
      <w:r w:rsidRPr="00891646">
        <w:rPr>
          <w:rFonts w:eastAsia="Times New Roman" w:cstheme="minorHAnsi"/>
          <w:i/>
          <w:iCs/>
          <w:kern w:val="0"/>
          <w:lang w:val="en-PK" w:eastAsia="en-PK"/>
        </w:rPr>
        <w:t>Hepatology</w:t>
      </w:r>
      <w:r w:rsidRPr="00891646">
        <w:rPr>
          <w:rFonts w:eastAsia="Times New Roman" w:cstheme="minorHAnsi"/>
          <w:kern w:val="0"/>
          <w:lang w:val="en-PK" w:eastAsia="en-PK"/>
        </w:rPr>
        <w:t>, 2019;70(5):1586-1598.</w:t>
      </w:r>
    </w:p>
    <w:p w14:paraId="3AC4EB4F" w14:textId="29337273" w:rsidR="00A11397" w:rsidRPr="00891646" w:rsidRDefault="00A11397" w:rsidP="00A11397">
      <w:pPr>
        <w:pStyle w:val="ListParagraph"/>
        <w:numPr>
          <w:ilvl w:val="0"/>
          <w:numId w:val="11"/>
        </w:numPr>
        <w:spacing w:after="0" w:line="240" w:lineRule="auto"/>
        <w:rPr>
          <w:rFonts w:eastAsia="Times New Roman" w:cstheme="minorHAnsi"/>
          <w:kern w:val="0"/>
          <w:lang w:val="en-PK" w:eastAsia="en-PK"/>
        </w:rPr>
      </w:pPr>
      <w:r w:rsidRPr="00891646">
        <w:rPr>
          <w:rFonts w:eastAsia="Times New Roman" w:cstheme="minorHAnsi"/>
          <w:kern w:val="0"/>
          <w:lang w:val="en-PK" w:eastAsia="en-PK"/>
        </w:rPr>
        <w:t xml:space="preserve">Backus LI, </w:t>
      </w:r>
      <w:proofErr w:type="spellStart"/>
      <w:r w:rsidRPr="00891646">
        <w:rPr>
          <w:rFonts w:eastAsia="Times New Roman" w:cstheme="minorHAnsi"/>
          <w:kern w:val="0"/>
          <w:lang w:val="en-PK" w:eastAsia="en-PK"/>
        </w:rPr>
        <w:t>Belperio</w:t>
      </w:r>
      <w:proofErr w:type="spellEnd"/>
      <w:r w:rsidRPr="00891646">
        <w:rPr>
          <w:rFonts w:eastAsia="Times New Roman" w:cstheme="minorHAnsi"/>
          <w:kern w:val="0"/>
          <w:lang w:val="en-PK" w:eastAsia="en-PK"/>
        </w:rPr>
        <w:t xml:space="preserve"> PS, Shahoumian TA, et al. Impact of sustained virologic response with direct-acting antiviral treatment on mortality in patients with advanced liver disease. </w:t>
      </w:r>
      <w:r w:rsidRPr="00891646">
        <w:rPr>
          <w:rFonts w:eastAsia="Times New Roman" w:cstheme="minorHAnsi"/>
          <w:i/>
          <w:iCs/>
          <w:kern w:val="0"/>
          <w:lang w:val="en-PK" w:eastAsia="en-PK"/>
        </w:rPr>
        <w:t>Hepatology</w:t>
      </w:r>
      <w:r w:rsidRPr="00891646">
        <w:rPr>
          <w:rFonts w:eastAsia="Times New Roman" w:cstheme="minorHAnsi"/>
          <w:kern w:val="0"/>
          <w:lang w:val="en-PK" w:eastAsia="en-PK"/>
        </w:rPr>
        <w:t>, 2019;69(2):487-497.</w:t>
      </w:r>
    </w:p>
    <w:p w14:paraId="2F841AA1" w14:textId="219A6EA4" w:rsidR="00A11397" w:rsidRPr="00891646" w:rsidRDefault="00A11397" w:rsidP="00A11397">
      <w:pPr>
        <w:pStyle w:val="ListParagraph"/>
        <w:numPr>
          <w:ilvl w:val="0"/>
          <w:numId w:val="11"/>
        </w:numPr>
        <w:spacing w:after="0" w:line="240" w:lineRule="auto"/>
        <w:rPr>
          <w:rFonts w:eastAsia="Times New Roman" w:cstheme="minorHAnsi"/>
          <w:kern w:val="0"/>
          <w:lang w:val="en-PK" w:eastAsia="en-PK"/>
        </w:rPr>
      </w:pPr>
      <w:r w:rsidRPr="00891646">
        <w:rPr>
          <w:rFonts w:eastAsia="Times New Roman" w:cstheme="minorHAnsi"/>
          <w:kern w:val="0"/>
          <w:lang w:val="en-PK" w:eastAsia="en-PK"/>
        </w:rPr>
        <w:t xml:space="preserve">Morgan RL, Baack B, Smith BD, et al. Eradication of hepatitis C virus infection and the development of hepatocellular carcinoma: A meta-analysis of observational studies. </w:t>
      </w:r>
      <w:r w:rsidRPr="00891646">
        <w:rPr>
          <w:rFonts w:eastAsia="Times New Roman" w:cstheme="minorHAnsi"/>
          <w:i/>
          <w:iCs/>
          <w:kern w:val="0"/>
          <w:lang w:val="en-PK" w:eastAsia="en-PK"/>
        </w:rPr>
        <w:t>Ann Intern Med.</w:t>
      </w:r>
      <w:r w:rsidRPr="00891646">
        <w:rPr>
          <w:rFonts w:eastAsia="Times New Roman" w:cstheme="minorHAnsi"/>
          <w:kern w:val="0"/>
          <w:lang w:val="en-PK" w:eastAsia="en-PK"/>
        </w:rPr>
        <w:t>, 2013;158(5 Pt 1):329-337.</w:t>
      </w:r>
    </w:p>
    <w:p w14:paraId="79FE5FA9" w14:textId="1CABDF02" w:rsidR="00A11397" w:rsidRPr="00891646" w:rsidRDefault="00A11397" w:rsidP="00A11397">
      <w:pPr>
        <w:pStyle w:val="ListParagraph"/>
        <w:numPr>
          <w:ilvl w:val="0"/>
          <w:numId w:val="11"/>
        </w:numPr>
        <w:spacing w:after="0" w:line="240" w:lineRule="auto"/>
        <w:rPr>
          <w:rFonts w:eastAsia="Times New Roman" w:cstheme="minorHAnsi"/>
          <w:kern w:val="0"/>
          <w:lang w:val="en-PK" w:eastAsia="en-PK"/>
        </w:rPr>
      </w:pPr>
      <w:r w:rsidRPr="00891646">
        <w:rPr>
          <w:rFonts w:eastAsia="Times New Roman" w:cstheme="minorHAnsi"/>
          <w:kern w:val="0"/>
          <w:lang w:val="en-PK" w:eastAsia="en-PK"/>
        </w:rPr>
        <w:t xml:space="preserve">Bruno S, Di Marco V, Iavarone M, et al. Surveillance for hepatocellular carcinoma in hepatitis C patients: Association with sustained virological response and possible role of liver stiffness. </w:t>
      </w:r>
      <w:r w:rsidRPr="00891646">
        <w:rPr>
          <w:rFonts w:eastAsia="Times New Roman" w:cstheme="minorHAnsi"/>
          <w:i/>
          <w:iCs/>
          <w:kern w:val="0"/>
          <w:lang w:val="en-PK" w:eastAsia="en-PK"/>
        </w:rPr>
        <w:t>J Hepatol.</w:t>
      </w:r>
      <w:r w:rsidRPr="00891646">
        <w:rPr>
          <w:rFonts w:eastAsia="Times New Roman" w:cstheme="minorHAnsi"/>
          <w:kern w:val="0"/>
          <w:lang w:val="en-PK" w:eastAsia="en-PK"/>
        </w:rPr>
        <w:t>, 2017;66(6):1319-1327.</w:t>
      </w:r>
    </w:p>
    <w:p w14:paraId="2EA8DA0C" w14:textId="3CB2451E" w:rsidR="00A11397" w:rsidRPr="00891646" w:rsidRDefault="00A11397" w:rsidP="00A11397">
      <w:pPr>
        <w:pStyle w:val="ListParagraph"/>
        <w:numPr>
          <w:ilvl w:val="0"/>
          <w:numId w:val="11"/>
        </w:numPr>
        <w:spacing w:after="0" w:line="240" w:lineRule="auto"/>
        <w:rPr>
          <w:rFonts w:eastAsia="Times New Roman" w:cstheme="minorHAnsi"/>
          <w:kern w:val="0"/>
          <w:lang w:val="en-PK" w:eastAsia="en-PK"/>
        </w:rPr>
      </w:pPr>
      <w:r w:rsidRPr="00891646">
        <w:rPr>
          <w:rFonts w:eastAsia="Times New Roman" w:cstheme="minorHAnsi"/>
          <w:kern w:val="0"/>
          <w:lang w:val="en-PK" w:eastAsia="en-PK"/>
        </w:rPr>
        <w:t xml:space="preserve">Maan R, van </w:t>
      </w:r>
      <w:proofErr w:type="spellStart"/>
      <w:r w:rsidRPr="00891646">
        <w:rPr>
          <w:rFonts w:eastAsia="Times New Roman" w:cstheme="minorHAnsi"/>
          <w:kern w:val="0"/>
          <w:lang w:val="en-PK" w:eastAsia="en-PK"/>
        </w:rPr>
        <w:t>Tilborg</w:t>
      </w:r>
      <w:proofErr w:type="spellEnd"/>
      <w:r w:rsidRPr="00891646">
        <w:rPr>
          <w:rFonts w:eastAsia="Times New Roman" w:cstheme="minorHAnsi"/>
          <w:kern w:val="0"/>
          <w:lang w:val="en-PK" w:eastAsia="en-PK"/>
        </w:rPr>
        <w:t xml:space="preserve"> M, Deterding K, et al. Safety and effectiveness of direct-acting antiviral agents for treatment of patients with chronic hepatitis C virus infection and compensated cirrhosis. </w:t>
      </w:r>
      <w:r w:rsidRPr="00891646">
        <w:rPr>
          <w:rFonts w:eastAsia="Times New Roman" w:cstheme="minorHAnsi"/>
          <w:i/>
          <w:iCs/>
          <w:kern w:val="0"/>
          <w:lang w:val="en-PK" w:eastAsia="en-PK"/>
        </w:rPr>
        <w:t>Clin Gastroenterol Hepatol.</w:t>
      </w:r>
      <w:r w:rsidRPr="00891646">
        <w:rPr>
          <w:rFonts w:eastAsia="Times New Roman" w:cstheme="minorHAnsi"/>
          <w:kern w:val="0"/>
          <w:lang w:val="en-PK" w:eastAsia="en-PK"/>
        </w:rPr>
        <w:t>, 2016;14(12):1821-1830.</w:t>
      </w:r>
    </w:p>
    <w:p w14:paraId="1EC1B762" w14:textId="03981866" w:rsidR="00A11397" w:rsidRPr="00891646" w:rsidRDefault="00A11397" w:rsidP="00A11397">
      <w:pPr>
        <w:pStyle w:val="ListParagraph"/>
        <w:numPr>
          <w:ilvl w:val="0"/>
          <w:numId w:val="11"/>
        </w:numPr>
        <w:spacing w:after="0" w:line="240" w:lineRule="auto"/>
        <w:rPr>
          <w:rFonts w:eastAsia="Times New Roman" w:cstheme="minorHAnsi"/>
          <w:kern w:val="0"/>
          <w:lang w:val="en-PK" w:eastAsia="en-PK"/>
        </w:rPr>
      </w:pPr>
      <w:r w:rsidRPr="00891646">
        <w:rPr>
          <w:rFonts w:eastAsia="Times New Roman" w:cstheme="minorHAnsi"/>
          <w:kern w:val="0"/>
          <w:lang w:val="en-PK" w:eastAsia="en-PK"/>
        </w:rPr>
        <w:t xml:space="preserve">Tachi Y, </w:t>
      </w:r>
      <w:proofErr w:type="spellStart"/>
      <w:r w:rsidRPr="00891646">
        <w:rPr>
          <w:rFonts w:eastAsia="Times New Roman" w:cstheme="minorHAnsi"/>
          <w:kern w:val="0"/>
          <w:lang w:val="en-PK" w:eastAsia="en-PK"/>
        </w:rPr>
        <w:t>Kozuka</w:t>
      </w:r>
      <w:proofErr w:type="spellEnd"/>
      <w:r w:rsidRPr="00891646">
        <w:rPr>
          <w:rFonts w:eastAsia="Times New Roman" w:cstheme="minorHAnsi"/>
          <w:kern w:val="0"/>
          <w:lang w:val="en-PK" w:eastAsia="en-PK"/>
        </w:rPr>
        <w:t xml:space="preserve"> R, Hirai T, et al. Impact of viral eradication by direct-acting antivirals on the incidence of hepatocellular carcinoma in patients with chronic hepatitis C and advanced liver fibrosis. </w:t>
      </w:r>
      <w:r w:rsidRPr="00891646">
        <w:rPr>
          <w:rFonts w:eastAsia="Times New Roman" w:cstheme="minorHAnsi"/>
          <w:i/>
          <w:iCs/>
          <w:kern w:val="0"/>
          <w:lang w:val="en-PK" w:eastAsia="en-PK"/>
        </w:rPr>
        <w:t xml:space="preserve">J Med </w:t>
      </w:r>
      <w:proofErr w:type="spellStart"/>
      <w:r w:rsidRPr="00891646">
        <w:rPr>
          <w:rFonts w:eastAsia="Times New Roman" w:cstheme="minorHAnsi"/>
          <w:i/>
          <w:iCs/>
          <w:kern w:val="0"/>
          <w:lang w:val="en-PK" w:eastAsia="en-PK"/>
        </w:rPr>
        <w:t>Virol</w:t>
      </w:r>
      <w:proofErr w:type="spellEnd"/>
      <w:r w:rsidRPr="00891646">
        <w:rPr>
          <w:rFonts w:eastAsia="Times New Roman" w:cstheme="minorHAnsi"/>
          <w:i/>
          <w:iCs/>
          <w:kern w:val="0"/>
          <w:lang w:val="en-PK" w:eastAsia="en-PK"/>
        </w:rPr>
        <w:t>.</w:t>
      </w:r>
      <w:r w:rsidRPr="00891646">
        <w:rPr>
          <w:rFonts w:eastAsia="Times New Roman" w:cstheme="minorHAnsi"/>
          <w:kern w:val="0"/>
          <w:lang w:val="en-PK" w:eastAsia="en-PK"/>
        </w:rPr>
        <w:t>, 2018;90(2):202-209.</w:t>
      </w:r>
    </w:p>
    <w:p w14:paraId="08A4E6D9" w14:textId="1B45CAAC" w:rsidR="00A11397" w:rsidRPr="00891646" w:rsidRDefault="00A11397" w:rsidP="00A11397">
      <w:pPr>
        <w:pStyle w:val="ListParagraph"/>
        <w:numPr>
          <w:ilvl w:val="0"/>
          <w:numId w:val="11"/>
        </w:numPr>
        <w:spacing w:after="0" w:line="240" w:lineRule="auto"/>
        <w:rPr>
          <w:rFonts w:eastAsia="Times New Roman" w:cstheme="minorHAnsi"/>
          <w:kern w:val="0"/>
          <w:lang w:val="en-PK" w:eastAsia="en-PK"/>
        </w:rPr>
      </w:pPr>
      <w:r w:rsidRPr="00891646">
        <w:rPr>
          <w:rFonts w:eastAsia="Times New Roman" w:cstheme="minorHAnsi"/>
          <w:kern w:val="0"/>
          <w:lang w:val="en-PK" w:eastAsia="en-PK"/>
        </w:rPr>
        <w:t xml:space="preserve">Ioannou GN. HCC surveillance after SVR in patients with F3/F4 fibrosis. </w:t>
      </w:r>
      <w:r w:rsidRPr="00891646">
        <w:rPr>
          <w:rFonts w:eastAsia="Times New Roman" w:cstheme="minorHAnsi"/>
          <w:i/>
          <w:iCs/>
          <w:kern w:val="0"/>
          <w:lang w:val="en-PK" w:eastAsia="en-PK"/>
        </w:rPr>
        <w:t>J Hepatol.</w:t>
      </w:r>
      <w:r w:rsidRPr="00891646">
        <w:rPr>
          <w:rFonts w:eastAsia="Times New Roman" w:cstheme="minorHAnsi"/>
          <w:kern w:val="0"/>
          <w:lang w:val="en-PK" w:eastAsia="en-PK"/>
        </w:rPr>
        <w:t>, 2017;66(1):9-10.</w:t>
      </w:r>
    </w:p>
    <w:p w14:paraId="3938C7CF" w14:textId="558192D7" w:rsidR="00A11397" w:rsidRPr="00891646" w:rsidRDefault="00A11397" w:rsidP="00A11397">
      <w:pPr>
        <w:pStyle w:val="ListParagraph"/>
        <w:numPr>
          <w:ilvl w:val="0"/>
          <w:numId w:val="11"/>
        </w:numPr>
        <w:spacing w:after="0" w:line="240" w:lineRule="auto"/>
        <w:rPr>
          <w:rFonts w:eastAsia="Times New Roman" w:cstheme="minorHAnsi"/>
          <w:kern w:val="0"/>
          <w:lang w:val="en-PK" w:eastAsia="en-PK"/>
        </w:rPr>
      </w:pPr>
      <w:r w:rsidRPr="00891646">
        <w:rPr>
          <w:rFonts w:eastAsia="Times New Roman" w:cstheme="minorHAnsi"/>
          <w:kern w:val="0"/>
          <w:lang w:val="en-PK" w:eastAsia="en-PK"/>
        </w:rPr>
        <w:t xml:space="preserve">Mallet V, </w:t>
      </w:r>
      <w:proofErr w:type="spellStart"/>
      <w:r w:rsidRPr="00891646">
        <w:rPr>
          <w:rFonts w:eastAsia="Times New Roman" w:cstheme="minorHAnsi"/>
          <w:kern w:val="0"/>
          <w:lang w:val="en-PK" w:eastAsia="en-PK"/>
        </w:rPr>
        <w:t>Gilgenkrantz</w:t>
      </w:r>
      <w:proofErr w:type="spellEnd"/>
      <w:r w:rsidRPr="00891646">
        <w:rPr>
          <w:rFonts w:eastAsia="Times New Roman" w:cstheme="minorHAnsi"/>
          <w:kern w:val="0"/>
          <w:lang w:val="en-PK" w:eastAsia="en-PK"/>
        </w:rPr>
        <w:t xml:space="preserve"> H, </w:t>
      </w:r>
      <w:proofErr w:type="spellStart"/>
      <w:r w:rsidRPr="00891646">
        <w:rPr>
          <w:rFonts w:eastAsia="Times New Roman" w:cstheme="minorHAnsi"/>
          <w:kern w:val="0"/>
          <w:lang w:val="en-PK" w:eastAsia="en-PK"/>
        </w:rPr>
        <w:t>Serpaggi</w:t>
      </w:r>
      <w:proofErr w:type="spellEnd"/>
      <w:r w:rsidRPr="00891646">
        <w:rPr>
          <w:rFonts w:eastAsia="Times New Roman" w:cstheme="minorHAnsi"/>
          <w:kern w:val="0"/>
          <w:lang w:val="en-PK" w:eastAsia="en-PK"/>
        </w:rPr>
        <w:t xml:space="preserve"> J, et al. The impact of direct-acting antiviral treatment on hepatocellular carcinoma recurrence in patients with hepatitis C virus-related cirrhosis. </w:t>
      </w:r>
      <w:r w:rsidRPr="00891646">
        <w:rPr>
          <w:rFonts w:eastAsia="Times New Roman" w:cstheme="minorHAnsi"/>
          <w:i/>
          <w:iCs/>
          <w:kern w:val="0"/>
          <w:lang w:val="en-PK" w:eastAsia="en-PK"/>
        </w:rPr>
        <w:t>Hepatology</w:t>
      </w:r>
      <w:r w:rsidRPr="00891646">
        <w:rPr>
          <w:rFonts w:eastAsia="Times New Roman" w:cstheme="minorHAnsi"/>
          <w:kern w:val="0"/>
          <w:lang w:val="en-PK" w:eastAsia="en-PK"/>
        </w:rPr>
        <w:t>, 2018;67(5):1742-1750.</w:t>
      </w:r>
    </w:p>
    <w:p w14:paraId="525613C9" w14:textId="3FB94A08" w:rsidR="00A11397" w:rsidRPr="00891646" w:rsidRDefault="00A11397" w:rsidP="00A11397">
      <w:pPr>
        <w:pStyle w:val="ListParagraph"/>
        <w:numPr>
          <w:ilvl w:val="0"/>
          <w:numId w:val="11"/>
        </w:numPr>
        <w:spacing w:after="0" w:line="240" w:lineRule="auto"/>
        <w:rPr>
          <w:rFonts w:eastAsia="Times New Roman" w:cstheme="minorHAnsi"/>
          <w:kern w:val="0"/>
          <w:lang w:val="en-PK" w:eastAsia="en-PK"/>
        </w:rPr>
      </w:pPr>
      <w:r w:rsidRPr="00891646">
        <w:rPr>
          <w:rFonts w:eastAsia="Times New Roman" w:cstheme="minorHAnsi"/>
          <w:kern w:val="0"/>
          <w:lang w:val="en-PK" w:eastAsia="en-PK"/>
        </w:rPr>
        <w:t xml:space="preserve">Lee MH, Yang HI, Liu J, et al. Hepatitis C virus </w:t>
      </w:r>
      <w:proofErr w:type="spellStart"/>
      <w:r w:rsidRPr="00891646">
        <w:rPr>
          <w:rFonts w:eastAsia="Times New Roman" w:cstheme="minorHAnsi"/>
          <w:kern w:val="0"/>
          <w:lang w:val="en-PK" w:eastAsia="en-PK"/>
        </w:rPr>
        <w:t>seromarkers</w:t>
      </w:r>
      <w:proofErr w:type="spellEnd"/>
      <w:r w:rsidRPr="00891646">
        <w:rPr>
          <w:rFonts w:eastAsia="Times New Roman" w:cstheme="minorHAnsi"/>
          <w:kern w:val="0"/>
          <w:lang w:val="en-PK" w:eastAsia="en-PK"/>
        </w:rPr>
        <w:t xml:space="preserve"> and subsequent risk of hepatocellular carcinoma: long-term predictors from a community-based cohort study. </w:t>
      </w:r>
      <w:r w:rsidRPr="00891646">
        <w:rPr>
          <w:rFonts w:eastAsia="Times New Roman" w:cstheme="minorHAnsi"/>
          <w:i/>
          <w:iCs/>
          <w:kern w:val="0"/>
          <w:lang w:val="en-PK" w:eastAsia="en-PK"/>
        </w:rPr>
        <w:t>J Clin Oncol.</w:t>
      </w:r>
      <w:r w:rsidRPr="00891646">
        <w:rPr>
          <w:rFonts w:eastAsia="Times New Roman" w:cstheme="minorHAnsi"/>
          <w:kern w:val="0"/>
          <w:lang w:val="en-PK" w:eastAsia="en-PK"/>
        </w:rPr>
        <w:t>, 2010;28(30):4587-4593.</w:t>
      </w:r>
    </w:p>
    <w:p w14:paraId="4B41D9B7" w14:textId="3F7EC291" w:rsidR="00A11397" w:rsidRPr="00891646" w:rsidRDefault="00A11397" w:rsidP="00A11397">
      <w:pPr>
        <w:pStyle w:val="ListParagraph"/>
        <w:numPr>
          <w:ilvl w:val="0"/>
          <w:numId w:val="11"/>
        </w:numPr>
        <w:spacing w:after="0" w:line="240" w:lineRule="auto"/>
        <w:rPr>
          <w:rFonts w:eastAsia="Times New Roman" w:cstheme="minorHAnsi"/>
          <w:kern w:val="0"/>
          <w:lang w:val="en-PK" w:eastAsia="en-PK"/>
        </w:rPr>
      </w:pPr>
      <w:r w:rsidRPr="00891646">
        <w:rPr>
          <w:rFonts w:eastAsia="Times New Roman" w:cstheme="minorHAnsi"/>
          <w:kern w:val="0"/>
          <w:lang w:val="en-PK" w:eastAsia="en-PK"/>
        </w:rPr>
        <w:t xml:space="preserve">Lionetti R, Longo V, Brusca I, et al. The role of hepatitis C virus in the pathogenesis of hepatocellular carcinoma: From molecular biology to clinical practice. </w:t>
      </w:r>
      <w:r w:rsidRPr="00891646">
        <w:rPr>
          <w:rFonts w:eastAsia="Times New Roman" w:cstheme="minorHAnsi"/>
          <w:i/>
          <w:iCs/>
          <w:kern w:val="0"/>
          <w:lang w:val="en-PK" w:eastAsia="en-PK"/>
        </w:rPr>
        <w:t>Hepatology</w:t>
      </w:r>
      <w:r w:rsidRPr="00891646">
        <w:rPr>
          <w:rFonts w:eastAsia="Times New Roman" w:cstheme="minorHAnsi"/>
          <w:kern w:val="0"/>
          <w:lang w:val="en-PK" w:eastAsia="en-PK"/>
        </w:rPr>
        <w:t>, 2018;68(1):353-363.</w:t>
      </w:r>
    </w:p>
    <w:p w14:paraId="384A1733" w14:textId="16AEAD74" w:rsidR="00A11397" w:rsidRPr="00891646" w:rsidRDefault="00A11397" w:rsidP="00A11397">
      <w:pPr>
        <w:pStyle w:val="ListParagraph"/>
        <w:numPr>
          <w:ilvl w:val="0"/>
          <w:numId w:val="11"/>
        </w:numPr>
        <w:spacing w:after="0" w:line="240" w:lineRule="auto"/>
        <w:rPr>
          <w:rFonts w:eastAsia="Times New Roman" w:cstheme="minorHAnsi"/>
          <w:kern w:val="0"/>
          <w:lang w:val="en-PK" w:eastAsia="en-PK"/>
        </w:rPr>
      </w:pPr>
      <w:r w:rsidRPr="00891646">
        <w:rPr>
          <w:rFonts w:eastAsia="Times New Roman" w:cstheme="minorHAnsi"/>
          <w:kern w:val="0"/>
          <w:lang w:val="en-PK" w:eastAsia="en-PK"/>
        </w:rPr>
        <w:t xml:space="preserve">Ferenci P. Treatment of chronic hepatitis C in difficult-to-treat patients. </w:t>
      </w:r>
      <w:r w:rsidRPr="00891646">
        <w:rPr>
          <w:rFonts w:eastAsia="Times New Roman" w:cstheme="minorHAnsi"/>
          <w:i/>
          <w:iCs/>
          <w:kern w:val="0"/>
          <w:lang w:val="en-PK" w:eastAsia="en-PK"/>
        </w:rPr>
        <w:t>Nat Rev Gastroenterol Hepatol.</w:t>
      </w:r>
      <w:r w:rsidRPr="00891646">
        <w:rPr>
          <w:rFonts w:eastAsia="Times New Roman" w:cstheme="minorHAnsi"/>
          <w:kern w:val="0"/>
          <w:lang w:val="en-PK" w:eastAsia="en-PK"/>
        </w:rPr>
        <w:t>, 2015;12(5):284-292.</w:t>
      </w:r>
    </w:p>
    <w:p w14:paraId="0D68D194" w14:textId="6186A42A" w:rsidR="00A11397" w:rsidRPr="00891646" w:rsidRDefault="00A11397" w:rsidP="00A11397">
      <w:pPr>
        <w:pStyle w:val="ListParagraph"/>
        <w:numPr>
          <w:ilvl w:val="0"/>
          <w:numId w:val="11"/>
        </w:numPr>
        <w:spacing w:after="0" w:line="240" w:lineRule="auto"/>
        <w:rPr>
          <w:rFonts w:eastAsia="Times New Roman" w:cstheme="minorHAnsi"/>
          <w:kern w:val="0"/>
          <w:lang w:val="en-PK" w:eastAsia="en-PK"/>
        </w:rPr>
      </w:pPr>
      <w:r w:rsidRPr="00891646">
        <w:rPr>
          <w:rFonts w:eastAsia="Times New Roman" w:cstheme="minorHAnsi"/>
          <w:kern w:val="0"/>
          <w:lang w:val="en-PK" w:eastAsia="en-PK"/>
        </w:rPr>
        <w:t xml:space="preserve">Hsu YC, Ho HJ, Wu MS, et al. </w:t>
      </w:r>
      <w:proofErr w:type="gramStart"/>
      <w:r w:rsidRPr="00891646">
        <w:rPr>
          <w:rFonts w:eastAsia="Times New Roman" w:cstheme="minorHAnsi"/>
          <w:kern w:val="0"/>
          <w:lang w:val="en-PK" w:eastAsia="en-PK"/>
        </w:rPr>
        <w:t>Post-SVR</w:t>
      </w:r>
      <w:proofErr w:type="gramEnd"/>
      <w:r w:rsidRPr="00891646">
        <w:rPr>
          <w:rFonts w:eastAsia="Times New Roman" w:cstheme="minorHAnsi"/>
          <w:kern w:val="0"/>
          <w:lang w:val="en-PK" w:eastAsia="en-PK"/>
        </w:rPr>
        <w:t xml:space="preserve"> hepatocellular carcinoma risk in chronic hepatitis C patients with baseline advanced liver fibrosis: Do we still need HCC surveillance? </w:t>
      </w:r>
      <w:r w:rsidRPr="00891646">
        <w:rPr>
          <w:rFonts w:eastAsia="Times New Roman" w:cstheme="minorHAnsi"/>
          <w:i/>
          <w:iCs/>
          <w:kern w:val="0"/>
          <w:lang w:val="en-PK" w:eastAsia="en-PK"/>
        </w:rPr>
        <w:t>Gut</w:t>
      </w:r>
      <w:r w:rsidRPr="00891646">
        <w:rPr>
          <w:rFonts w:eastAsia="Times New Roman" w:cstheme="minorHAnsi"/>
          <w:kern w:val="0"/>
          <w:lang w:val="en-PK" w:eastAsia="en-PK"/>
        </w:rPr>
        <w:t>, 2019;68(2):357-364.</w:t>
      </w:r>
    </w:p>
    <w:p w14:paraId="093CCA46" w14:textId="28D2239A" w:rsidR="00A11397" w:rsidRPr="00891646" w:rsidRDefault="00A11397" w:rsidP="00A11397">
      <w:pPr>
        <w:pStyle w:val="ListParagraph"/>
        <w:numPr>
          <w:ilvl w:val="0"/>
          <w:numId w:val="11"/>
        </w:numPr>
        <w:spacing w:after="0" w:line="240" w:lineRule="auto"/>
        <w:rPr>
          <w:rFonts w:eastAsia="Times New Roman" w:cstheme="minorHAnsi"/>
          <w:kern w:val="0"/>
          <w:lang w:val="en-PK" w:eastAsia="en-PK"/>
        </w:rPr>
      </w:pPr>
      <w:proofErr w:type="spellStart"/>
      <w:r w:rsidRPr="00891646">
        <w:rPr>
          <w:rFonts w:eastAsia="Times New Roman" w:cstheme="minorHAnsi"/>
          <w:kern w:val="0"/>
          <w:lang w:val="en-PK" w:eastAsia="en-PK"/>
        </w:rPr>
        <w:t>Bruix</w:t>
      </w:r>
      <w:proofErr w:type="spellEnd"/>
      <w:r w:rsidRPr="00891646">
        <w:rPr>
          <w:rFonts w:eastAsia="Times New Roman" w:cstheme="minorHAnsi"/>
          <w:kern w:val="0"/>
          <w:lang w:val="en-PK" w:eastAsia="en-PK"/>
        </w:rPr>
        <w:t xml:space="preserve"> J, Sherman M. Management of hepatocellular carcinoma: An update. </w:t>
      </w:r>
      <w:r w:rsidRPr="00891646">
        <w:rPr>
          <w:rFonts w:eastAsia="Times New Roman" w:cstheme="minorHAnsi"/>
          <w:i/>
          <w:iCs/>
          <w:kern w:val="0"/>
          <w:lang w:val="en-PK" w:eastAsia="en-PK"/>
        </w:rPr>
        <w:t>Hepatology</w:t>
      </w:r>
      <w:r w:rsidRPr="00891646">
        <w:rPr>
          <w:rFonts w:eastAsia="Times New Roman" w:cstheme="minorHAnsi"/>
          <w:kern w:val="0"/>
          <w:lang w:val="en-PK" w:eastAsia="en-PK"/>
        </w:rPr>
        <w:t>, 2011;53(3):1020-1022.</w:t>
      </w:r>
    </w:p>
    <w:p w14:paraId="7C28990C" w14:textId="47EB98DC" w:rsidR="00A11397" w:rsidRPr="00891646" w:rsidRDefault="00A11397" w:rsidP="00A11397">
      <w:pPr>
        <w:pStyle w:val="ListParagraph"/>
        <w:numPr>
          <w:ilvl w:val="0"/>
          <w:numId w:val="11"/>
        </w:numPr>
        <w:spacing w:after="0" w:line="240" w:lineRule="auto"/>
        <w:rPr>
          <w:rFonts w:eastAsia="Times New Roman" w:cstheme="minorHAnsi"/>
          <w:kern w:val="0"/>
          <w:lang w:val="en-PK" w:eastAsia="en-PK"/>
        </w:rPr>
      </w:pPr>
      <w:r w:rsidRPr="00891646">
        <w:rPr>
          <w:rFonts w:eastAsia="Times New Roman" w:cstheme="minorHAnsi"/>
          <w:kern w:val="0"/>
          <w:lang w:val="en-PK" w:eastAsia="en-PK"/>
        </w:rPr>
        <w:lastRenderedPageBreak/>
        <w:t xml:space="preserve">El-Serag HB. Hepatocellular carcinoma. </w:t>
      </w:r>
      <w:r w:rsidRPr="00891646">
        <w:rPr>
          <w:rFonts w:eastAsia="Times New Roman" w:cstheme="minorHAnsi"/>
          <w:i/>
          <w:iCs/>
          <w:kern w:val="0"/>
          <w:lang w:val="en-PK" w:eastAsia="en-PK"/>
        </w:rPr>
        <w:t>N Engl J Med.</w:t>
      </w:r>
      <w:r w:rsidRPr="00891646">
        <w:rPr>
          <w:rFonts w:eastAsia="Times New Roman" w:cstheme="minorHAnsi"/>
          <w:kern w:val="0"/>
          <w:lang w:val="en-PK" w:eastAsia="en-PK"/>
        </w:rPr>
        <w:t>, 2011;365(12):1118-1127.</w:t>
      </w:r>
    </w:p>
    <w:p w14:paraId="3C845559" w14:textId="10A58010" w:rsidR="00A11397" w:rsidRPr="00891646" w:rsidRDefault="00A11397" w:rsidP="00A11397">
      <w:pPr>
        <w:pStyle w:val="ListParagraph"/>
        <w:numPr>
          <w:ilvl w:val="0"/>
          <w:numId w:val="11"/>
        </w:numPr>
        <w:spacing w:after="0" w:line="240" w:lineRule="auto"/>
        <w:rPr>
          <w:rFonts w:eastAsia="Times New Roman" w:cstheme="minorHAnsi"/>
          <w:kern w:val="0"/>
          <w:lang w:val="en-PK" w:eastAsia="en-PK"/>
        </w:rPr>
      </w:pPr>
      <w:r w:rsidRPr="00891646">
        <w:rPr>
          <w:rFonts w:eastAsia="Times New Roman" w:cstheme="minorHAnsi"/>
          <w:kern w:val="0"/>
          <w:lang w:val="en-PK" w:eastAsia="en-PK"/>
        </w:rPr>
        <w:t xml:space="preserve">Zhang W, Liu X, Wu S, et al. Development of a prognostic index for HCV-related hepatocellular carcinoma: A nationwide cohort study in China. </w:t>
      </w:r>
      <w:r w:rsidRPr="00891646">
        <w:rPr>
          <w:rFonts w:eastAsia="Times New Roman" w:cstheme="minorHAnsi"/>
          <w:i/>
          <w:iCs/>
          <w:kern w:val="0"/>
          <w:lang w:val="en-PK" w:eastAsia="en-PK"/>
        </w:rPr>
        <w:t>J Hepatol.</w:t>
      </w:r>
      <w:r w:rsidRPr="00891646">
        <w:rPr>
          <w:rFonts w:eastAsia="Times New Roman" w:cstheme="minorHAnsi"/>
          <w:kern w:val="0"/>
          <w:lang w:val="en-PK" w:eastAsia="en-PK"/>
        </w:rPr>
        <w:t>, 2020;72(1):113-121.</w:t>
      </w:r>
    </w:p>
    <w:p w14:paraId="3BCB1811" w14:textId="0E9589C3" w:rsidR="00A11397" w:rsidRPr="00891646" w:rsidRDefault="00A11397" w:rsidP="00A11397">
      <w:pPr>
        <w:pStyle w:val="ListParagraph"/>
        <w:numPr>
          <w:ilvl w:val="0"/>
          <w:numId w:val="11"/>
        </w:numPr>
        <w:spacing w:after="0" w:line="240" w:lineRule="auto"/>
        <w:rPr>
          <w:rFonts w:eastAsia="Times New Roman" w:cstheme="minorHAnsi"/>
          <w:kern w:val="0"/>
          <w:lang w:val="en-PK" w:eastAsia="en-PK"/>
        </w:rPr>
      </w:pPr>
      <w:r w:rsidRPr="00891646">
        <w:rPr>
          <w:rFonts w:eastAsia="Times New Roman" w:cstheme="minorHAnsi"/>
          <w:kern w:val="0"/>
          <w:lang w:val="en-PK" w:eastAsia="en-PK"/>
        </w:rPr>
        <w:t xml:space="preserve">Yu ML, Liu CH. Treatment of chronic hepatitis C in Asia: when East meets West. </w:t>
      </w:r>
      <w:r w:rsidRPr="00891646">
        <w:rPr>
          <w:rFonts w:eastAsia="Times New Roman" w:cstheme="minorHAnsi"/>
          <w:i/>
          <w:iCs/>
          <w:kern w:val="0"/>
          <w:lang w:val="en-PK" w:eastAsia="en-PK"/>
        </w:rPr>
        <w:t>J Gastroenterol Hepatol.</w:t>
      </w:r>
      <w:r w:rsidRPr="00891646">
        <w:rPr>
          <w:rFonts w:eastAsia="Times New Roman" w:cstheme="minorHAnsi"/>
          <w:kern w:val="0"/>
          <w:lang w:val="en-PK" w:eastAsia="en-PK"/>
        </w:rPr>
        <w:t>, 2011;26(3):361-374.</w:t>
      </w:r>
    </w:p>
    <w:p w14:paraId="79670AC1" w14:textId="06FCD138" w:rsidR="00A11397" w:rsidRPr="00891646" w:rsidRDefault="00A11397" w:rsidP="00A11397">
      <w:pPr>
        <w:pStyle w:val="ListParagraph"/>
        <w:numPr>
          <w:ilvl w:val="0"/>
          <w:numId w:val="11"/>
        </w:numPr>
        <w:spacing w:after="0" w:line="240" w:lineRule="auto"/>
        <w:rPr>
          <w:rFonts w:eastAsia="Times New Roman" w:cstheme="minorHAnsi"/>
          <w:kern w:val="0"/>
          <w:lang w:val="en-PK" w:eastAsia="en-PK"/>
        </w:rPr>
      </w:pPr>
      <w:r w:rsidRPr="00891646">
        <w:rPr>
          <w:rFonts w:eastAsia="Times New Roman" w:cstheme="minorHAnsi"/>
          <w:kern w:val="0"/>
          <w:lang w:val="en-PK" w:eastAsia="en-PK"/>
        </w:rPr>
        <w:t xml:space="preserve">McMahon BJ. Chronic hepatitis B virus infection. </w:t>
      </w:r>
      <w:r w:rsidRPr="00891646">
        <w:rPr>
          <w:rFonts w:eastAsia="Times New Roman" w:cstheme="minorHAnsi"/>
          <w:i/>
          <w:iCs/>
          <w:kern w:val="0"/>
          <w:lang w:val="en-PK" w:eastAsia="en-PK"/>
        </w:rPr>
        <w:t>Med Clin North Am.</w:t>
      </w:r>
      <w:r w:rsidRPr="00891646">
        <w:rPr>
          <w:rFonts w:eastAsia="Times New Roman" w:cstheme="minorHAnsi"/>
          <w:kern w:val="0"/>
          <w:lang w:val="en-PK" w:eastAsia="en-PK"/>
        </w:rPr>
        <w:t>, 2014;98(1):39-54.</w:t>
      </w:r>
    </w:p>
    <w:p w14:paraId="0114925E" w14:textId="39BCA110" w:rsidR="00A11397" w:rsidRPr="00891646" w:rsidRDefault="00A11397" w:rsidP="00A11397">
      <w:pPr>
        <w:pStyle w:val="ListParagraph"/>
        <w:numPr>
          <w:ilvl w:val="0"/>
          <w:numId w:val="11"/>
        </w:numPr>
        <w:spacing w:after="0" w:line="240" w:lineRule="auto"/>
        <w:rPr>
          <w:rFonts w:eastAsia="Times New Roman" w:cstheme="minorHAnsi"/>
          <w:kern w:val="0"/>
          <w:lang w:val="en-PK" w:eastAsia="en-PK"/>
        </w:rPr>
      </w:pPr>
      <w:r w:rsidRPr="00891646">
        <w:rPr>
          <w:rFonts w:eastAsia="Times New Roman" w:cstheme="minorHAnsi"/>
          <w:kern w:val="0"/>
          <w:lang w:val="en-PK" w:eastAsia="en-PK"/>
        </w:rPr>
        <w:t xml:space="preserve">D’Ambrosio R, Degasperi E, Colombo M, </w:t>
      </w:r>
      <w:proofErr w:type="spellStart"/>
      <w:r w:rsidRPr="00891646">
        <w:rPr>
          <w:rFonts w:eastAsia="Times New Roman" w:cstheme="minorHAnsi"/>
          <w:kern w:val="0"/>
          <w:lang w:val="en-PK" w:eastAsia="en-PK"/>
        </w:rPr>
        <w:t>Aghemo</w:t>
      </w:r>
      <w:proofErr w:type="spellEnd"/>
      <w:r w:rsidRPr="00891646">
        <w:rPr>
          <w:rFonts w:eastAsia="Times New Roman" w:cstheme="minorHAnsi"/>
          <w:kern w:val="0"/>
          <w:lang w:val="en-PK" w:eastAsia="en-PK"/>
        </w:rPr>
        <w:t xml:space="preserve"> A. Direct-acting antivirals and hepatocellular carcinoma risk: Deja vu? </w:t>
      </w:r>
      <w:r w:rsidRPr="00891646">
        <w:rPr>
          <w:rFonts w:eastAsia="Times New Roman" w:cstheme="minorHAnsi"/>
          <w:i/>
          <w:iCs/>
          <w:kern w:val="0"/>
          <w:lang w:val="en-PK" w:eastAsia="en-PK"/>
        </w:rPr>
        <w:t>J Hepatol.</w:t>
      </w:r>
      <w:r w:rsidRPr="00891646">
        <w:rPr>
          <w:rFonts w:eastAsia="Times New Roman" w:cstheme="minorHAnsi"/>
          <w:kern w:val="0"/>
          <w:lang w:val="en-PK" w:eastAsia="en-PK"/>
        </w:rPr>
        <w:t>, 2017;66(6):1286-1294.</w:t>
      </w:r>
    </w:p>
    <w:p w14:paraId="0D3FC431" w14:textId="5A996026" w:rsidR="00A11397" w:rsidRPr="00891646" w:rsidRDefault="00A11397" w:rsidP="00A11397">
      <w:pPr>
        <w:pStyle w:val="ListParagraph"/>
        <w:numPr>
          <w:ilvl w:val="0"/>
          <w:numId w:val="11"/>
        </w:numPr>
        <w:spacing w:after="0" w:line="240" w:lineRule="auto"/>
        <w:rPr>
          <w:rFonts w:eastAsia="Times New Roman" w:cstheme="minorHAnsi"/>
          <w:kern w:val="0"/>
          <w:lang w:val="en-PK" w:eastAsia="en-PK"/>
        </w:rPr>
      </w:pPr>
      <w:r w:rsidRPr="00891646">
        <w:rPr>
          <w:rFonts w:eastAsia="Times New Roman" w:cstheme="minorHAnsi"/>
          <w:kern w:val="0"/>
          <w:lang w:val="en-PK" w:eastAsia="en-PK"/>
        </w:rPr>
        <w:t xml:space="preserve">Cheung MC, Walker AJ, Hudson BE, et al. Outcomes after successful direct-acting antiviral therapy for patients with chronic hepatitis C and decompensated cirrhosis. </w:t>
      </w:r>
      <w:r w:rsidRPr="00891646">
        <w:rPr>
          <w:rFonts w:eastAsia="Times New Roman" w:cstheme="minorHAnsi"/>
          <w:i/>
          <w:iCs/>
          <w:kern w:val="0"/>
          <w:lang w:val="en-PK" w:eastAsia="en-PK"/>
        </w:rPr>
        <w:t>J Hepatol.</w:t>
      </w:r>
      <w:r w:rsidRPr="00891646">
        <w:rPr>
          <w:rFonts w:eastAsia="Times New Roman" w:cstheme="minorHAnsi"/>
          <w:kern w:val="0"/>
          <w:lang w:val="en-PK" w:eastAsia="en-PK"/>
        </w:rPr>
        <w:t>, 2016;65(4):741-747.</w:t>
      </w:r>
    </w:p>
    <w:p w14:paraId="62564D70" w14:textId="33B27751" w:rsidR="00A11397" w:rsidRPr="00891646" w:rsidRDefault="00A11397" w:rsidP="00A11397">
      <w:pPr>
        <w:pStyle w:val="ListParagraph"/>
        <w:numPr>
          <w:ilvl w:val="0"/>
          <w:numId w:val="11"/>
        </w:numPr>
        <w:spacing w:after="0" w:line="240" w:lineRule="auto"/>
        <w:rPr>
          <w:rFonts w:eastAsia="Times New Roman" w:cstheme="minorHAnsi"/>
          <w:kern w:val="0"/>
          <w:lang w:val="en-PK" w:eastAsia="en-PK"/>
        </w:rPr>
      </w:pPr>
      <w:r w:rsidRPr="00891646">
        <w:rPr>
          <w:rFonts w:eastAsia="Times New Roman" w:cstheme="minorHAnsi"/>
          <w:kern w:val="0"/>
          <w:lang w:val="en-PK" w:eastAsia="en-PK"/>
        </w:rPr>
        <w:t xml:space="preserve">Butt AA, Yan P, Shaikh OS, et al. Direct-acting antiviral therapy for HCV infection is associated with a reduced risk of death, liver transplantation, and hepatocellular carcinoma. </w:t>
      </w:r>
      <w:r w:rsidRPr="00891646">
        <w:rPr>
          <w:rFonts w:eastAsia="Times New Roman" w:cstheme="minorHAnsi"/>
          <w:i/>
          <w:iCs/>
          <w:kern w:val="0"/>
          <w:lang w:val="en-PK" w:eastAsia="en-PK"/>
        </w:rPr>
        <w:t>Gastroenterology</w:t>
      </w:r>
      <w:r w:rsidRPr="00891646">
        <w:rPr>
          <w:rFonts w:eastAsia="Times New Roman" w:cstheme="minorHAnsi"/>
          <w:kern w:val="0"/>
          <w:lang w:val="en-PK" w:eastAsia="en-PK"/>
        </w:rPr>
        <w:t>, 2017;152(1):238-247.</w:t>
      </w:r>
    </w:p>
    <w:p w14:paraId="23E5AB87" w14:textId="2D5E09D4" w:rsidR="00A11397" w:rsidRPr="00891646" w:rsidRDefault="00A11397" w:rsidP="00A11397">
      <w:pPr>
        <w:pStyle w:val="ListParagraph"/>
        <w:numPr>
          <w:ilvl w:val="0"/>
          <w:numId w:val="11"/>
        </w:numPr>
        <w:spacing w:after="0" w:line="240" w:lineRule="auto"/>
        <w:rPr>
          <w:rFonts w:eastAsia="Times New Roman" w:cstheme="minorHAnsi"/>
          <w:kern w:val="0"/>
          <w:lang w:val="en-PK" w:eastAsia="en-PK"/>
        </w:rPr>
      </w:pPr>
      <w:r w:rsidRPr="00891646">
        <w:rPr>
          <w:rFonts w:eastAsia="Times New Roman" w:cstheme="minorHAnsi"/>
          <w:kern w:val="0"/>
          <w:lang w:val="en-PK" w:eastAsia="en-PK"/>
        </w:rPr>
        <w:t xml:space="preserve">Murakami E, </w:t>
      </w:r>
      <w:proofErr w:type="spellStart"/>
      <w:r w:rsidRPr="00891646">
        <w:rPr>
          <w:rFonts w:eastAsia="Times New Roman" w:cstheme="minorHAnsi"/>
          <w:kern w:val="0"/>
          <w:lang w:val="en-PK" w:eastAsia="en-PK"/>
        </w:rPr>
        <w:t>Tolstykh</w:t>
      </w:r>
      <w:proofErr w:type="spellEnd"/>
      <w:r w:rsidRPr="00891646">
        <w:rPr>
          <w:rFonts w:eastAsia="Times New Roman" w:cstheme="minorHAnsi"/>
          <w:kern w:val="0"/>
          <w:lang w:val="en-PK" w:eastAsia="en-PK"/>
        </w:rPr>
        <w:t xml:space="preserve"> T, Bao H, et al. Hepatitis C virus NS5A inhibitor resistance in the context of DAA combination therapy. </w:t>
      </w:r>
      <w:r w:rsidRPr="00891646">
        <w:rPr>
          <w:rFonts w:eastAsia="Times New Roman" w:cstheme="minorHAnsi"/>
          <w:i/>
          <w:iCs/>
          <w:kern w:val="0"/>
          <w:lang w:val="en-PK" w:eastAsia="en-PK"/>
        </w:rPr>
        <w:t>Viruses</w:t>
      </w:r>
      <w:r w:rsidRPr="00891646">
        <w:rPr>
          <w:rFonts w:eastAsia="Times New Roman" w:cstheme="minorHAnsi"/>
          <w:kern w:val="0"/>
          <w:lang w:val="en-PK" w:eastAsia="en-PK"/>
        </w:rPr>
        <w:t>, 2017;9(1):20.</w:t>
      </w:r>
    </w:p>
    <w:p w14:paraId="29C5EF98" w14:textId="25DF6033" w:rsidR="00A11397" w:rsidRPr="00891646" w:rsidRDefault="00891646" w:rsidP="00891646">
      <w:pPr>
        <w:pStyle w:val="ListParagraph"/>
        <w:numPr>
          <w:ilvl w:val="0"/>
          <w:numId w:val="11"/>
        </w:numPr>
        <w:spacing w:after="0" w:line="240" w:lineRule="auto"/>
        <w:rPr>
          <w:rFonts w:eastAsia="Times New Roman" w:cstheme="minorHAnsi"/>
          <w:kern w:val="0"/>
          <w:lang w:val="en-PK" w:eastAsia="en-PK"/>
        </w:rPr>
      </w:pPr>
      <w:r>
        <w:rPr>
          <w:rFonts w:eastAsia="Times New Roman" w:cstheme="minorHAnsi"/>
          <w:noProof/>
          <w:kern w:val="0"/>
          <w:lang w:val="en-PK" w:eastAsia="en-PK"/>
        </w:rPr>
        <mc:AlternateContent>
          <mc:Choice Requires="wpi">
            <w:drawing>
              <wp:anchor distT="0" distB="0" distL="114300" distR="114300" simplePos="0" relativeHeight="251659264" behindDoc="0" locked="0" layoutInCell="1" allowOverlap="1" wp14:anchorId="057A55FA" wp14:editId="3994F21D">
                <wp:simplePos x="0" y="0"/>
                <wp:positionH relativeFrom="column">
                  <wp:posOffset>148005</wp:posOffset>
                </wp:positionH>
                <wp:positionV relativeFrom="paragraph">
                  <wp:posOffset>1162457</wp:posOffset>
                </wp:positionV>
                <wp:extent cx="18000" cy="12240"/>
                <wp:effectExtent l="38100" t="38100" r="39370" b="45085"/>
                <wp:wrapNone/>
                <wp:docPr id="744871559" name="Ink 1"/>
                <wp:cNvGraphicFramePr/>
                <a:graphic xmlns:a="http://schemas.openxmlformats.org/drawingml/2006/main">
                  <a:graphicData uri="http://schemas.microsoft.com/office/word/2010/wordprocessingInk">
                    <w14:contentPart bwMode="auto" r:id="rId6">
                      <w14:nvContentPartPr>
                        <w14:cNvContentPartPr/>
                      </w14:nvContentPartPr>
                      <w14:xfrm>
                        <a:off x="0" y="0"/>
                        <a:ext cx="18000" cy="12240"/>
                      </w14:xfrm>
                    </w14:contentPart>
                  </a:graphicData>
                </a:graphic>
              </wp:anchor>
            </w:drawing>
          </mc:Choice>
          <mc:Fallback>
            <w:pict>
              <v:shapetype w14:anchorId="7F7F4D8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1.15pt;margin-top:91.05pt;width:2.4pt;height:1.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">
                <v:imagedata r:id="rId7" o:title=""/>
              </v:shape>
            </w:pict>
          </mc:Fallback>
        </mc:AlternateContent>
      </w:r>
      <w:r w:rsidR="00A11397" w:rsidRPr="00891646">
        <w:rPr>
          <w:rFonts w:eastAsia="Times New Roman" w:cstheme="minorHAnsi"/>
          <w:kern w:val="0"/>
          <w:lang w:val="en-PK" w:eastAsia="en-PK"/>
        </w:rPr>
        <w:t xml:space="preserve"> Calleja JL, Crespo J, Rincón D, et al. Hepatocellular carcinoma recurrence after direct-acting antiviral therapy: A new debate. </w:t>
      </w:r>
      <w:r w:rsidR="00A11397" w:rsidRPr="00891646">
        <w:rPr>
          <w:rFonts w:eastAsia="Times New Roman" w:cstheme="minorHAnsi"/>
          <w:i/>
          <w:iCs/>
          <w:kern w:val="0"/>
          <w:lang w:val="en-PK" w:eastAsia="en-PK"/>
        </w:rPr>
        <w:t>J Hepatol.</w:t>
      </w:r>
      <w:r w:rsidR="00A11397" w:rsidRPr="00891646">
        <w:rPr>
          <w:rFonts w:eastAsia="Times New Roman" w:cstheme="minorHAnsi"/>
          <w:kern w:val="0"/>
          <w:lang w:val="en-PK" w:eastAsia="en-PK"/>
        </w:rPr>
        <w:t>, 2017;67(4):715-716.</w:t>
      </w:r>
    </w:p>
    <w:sectPr w:rsidR="00A11397" w:rsidRPr="00891646" w:rsidSect="00FF3802">
      <w:pgSz w:w="11906" w:h="16838"/>
      <w:pgMar w:top="126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B2E6F"/>
    <w:multiLevelType w:val="hybridMultilevel"/>
    <w:tmpl w:val="3C38B88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69E7FA7"/>
    <w:multiLevelType w:val="hybridMultilevel"/>
    <w:tmpl w:val="8A042E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A7465F8"/>
    <w:multiLevelType w:val="multilevel"/>
    <w:tmpl w:val="6096E0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DB73EB"/>
    <w:multiLevelType w:val="hybridMultilevel"/>
    <w:tmpl w:val="A1E8E308"/>
    <w:lvl w:ilvl="0" w:tplc="61D0E7CC">
      <w:start w:val="1"/>
      <w:numFmt w:val="bullet"/>
      <w:lvlText w:val=""/>
      <w:lvlJc w:val="left"/>
      <w:pPr>
        <w:ind w:left="360" w:hanging="360"/>
      </w:pPr>
      <w:rPr>
        <w:rFonts w:ascii="Wingdings" w:hAnsi="Wingdings" w:hint="default"/>
        <w:sz w:val="22"/>
      </w:rPr>
    </w:lvl>
    <w:lvl w:ilvl="1" w:tplc="FA96F2FA">
      <w:numFmt w:val="decimal"/>
      <w:lvlText w:val=""/>
      <w:lvlJc w:val="left"/>
    </w:lvl>
    <w:lvl w:ilvl="2" w:tplc="0B4E0FD0">
      <w:numFmt w:val="decimal"/>
      <w:lvlText w:val=""/>
      <w:lvlJc w:val="left"/>
    </w:lvl>
    <w:lvl w:ilvl="3" w:tplc="21F662F6">
      <w:numFmt w:val="decimal"/>
      <w:lvlText w:val=""/>
      <w:lvlJc w:val="left"/>
    </w:lvl>
    <w:lvl w:ilvl="4" w:tplc="17AEB2D0">
      <w:numFmt w:val="decimal"/>
      <w:lvlText w:val=""/>
      <w:lvlJc w:val="left"/>
    </w:lvl>
    <w:lvl w:ilvl="5" w:tplc="459CC38A">
      <w:numFmt w:val="decimal"/>
      <w:lvlText w:val=""/>
      <w:lvlJc w:val="left"/>
    </w:lvl>
    <w:lvl w:ilvl="6" w:tplc="27180CEE">
      <w:numFmt w:val="decimal"/>
      <w:lvlText w:val=""/>
      <w:lvlJc w:val="left"/>
    </w:lvl>
    <w:lvl w:ilvl="7" w:tplc="86B6833A">
      <w:numFmt w:val="decimal"/>
      <w:lvlText w:val=""/>
      <w:lvlJc w:val="left"/>
    </w:lvl>
    <w:lvl w:ilvl="8" w:tplc="BC9C64B2">
      <w:numFmt w:val="decimal"/>
      <w:lvlText w:val=""/>
      <w:lvlJc w:val="left"/>
    </w:lvl>
  </w:abstractNum>
  <w:abstractNum w:abstractNumId="4" w15:restartNumberingAfterBreak="0">
    <w:nsid w:val="5B6F7801"/>
    <w:multiLevelType w:val="multilevel"/>
    <w:tmpl w:val="FD22C180"/>
    <w:lvl w:ilvl="0">
      <w:start w:val="1"/>
      <w:numFmt w:val="decimal"/>
      <w:lvlText w:val="%1."/>
      <w:lvlJc w:val="left"/>
      <w:pPr>
        <w:tabs>
          <w:tab w:val="num" w:pos="785"/>
        </w:tabs>
        <w:ind w:left="785"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B7737D"/>
    <w:multiLevelType w:val="multilevel"/>
    <w:tmpl w:val="836EA3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1A497D"/>
    <w:multiLevelType w:val="multilevel"/>
    <w:tmpl w:val="2D18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CE171E"/>
    <w:multiLevelType w:val="hybridMultilevel"/>
    <w:tmpl w:val="CEF073B6"/>
    <w:lvl w:ilvl="0" w:tplc="FFFFFFF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8" w15:restartNumberingAfterBreak="0">
    <w:nsid w:val="6EDE0854"/>
    <w:multiLevelType w:val="hybridMultilevel"/>
    <w:tmpl w:val="8A042EB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88314C2"/>
    <w:multiLevelType w:val="multilevel"/>
    <w:tmpl w:val="007CDB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317169">
    <w:abstractNumId w:val="3"/>
    <w:lvlOverride w:ilvl="0">
      <w:startOverride w:val="1"/>
    </w:lvlOverride>
  </w:num>
  <w:num w:numId="2" w16cid:durableId="583690905">
    <w:abstractNumId w:val="3"/>
    <w:lvlOverride w:ilvl="0">
      <w:startOverride w:val="1"/>
    </w:lvlOverride>
  </w:num>
  <w:num w:numId="3" w16cid:durableId="1517496109">
    <w:abstractNumId w:val="3"/>
    <w:lvlOverride w:ilvl="0">
      <w:startOverride w:val="1"/>
    </w:lvlOverride>
  </w:num>
  <w:num w:numId="4" w16cid:durableId="28262223">
    <w:abstractNumId w:val="4"/>
  </w:num>
  <w:num w:numId="5" w16cid:durableId="1398940673">
    <w:abstractNumId w:val="2"/>
  </w:num>
  <w:num w:numId="6" w16cid:durableId="604777066">
    <w:abstractNumId w:val="5"/>
  </w:num>
  <w:num w:numId="7" w16cid:durableId="1402487660">
    <w:abstractNumId w:val="6"/>
  </w:num>
  <w:num w:numId="8" w16cid:durableId="1180701422">
    <w:abstractNumId w:val="9"/>
  </w:num>
  <w:num w:numId="9" w16cid:durableId="2038044078">
    <w:abstractNumId w:val="8"/>
  </w:num>
  <w:num w:numId="10" w16cid:durableId="242183996">
    <w:abstractNumId w:val="1"/>
  </w:num>
  <w:num w:numId="11" w16cid:durableId="1991860272">
    <w:abstractNumId w:val="7"/>
  </w:num>
  <w:num w:numId="12" w16cid:durableId="275210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37A"/>
    <w:rsid w:val="000301F6"/>
    <w:rsid w:val="000373AC"/>
    <w:rsid w:val="00075346"/>
    <w:rsid w:val="00095FBA"/>
    <w:rsid w:val="000D3533"/>
    <w:rsid w:val="000E24D8"/>
    <w:rsid w:val="000F6F0A"/>
    <w:rsid w:val="00116C73"/>
    <w:rsid w:val="00131012"/>
    <w:rsid w:val="002253E3"/>
    <w:rsid w:val="002359AB"/>
    <w:rsid w:val="00290ECB"/>
    <w:rsid w:val="002B0F44"/>
    <w:rsid w:val="0038728B"/>
    <w:rsid w:val="003A4F4C"/>
    <w:rsid w:val="003E359A"/>
    <w:rsid w:val="003E537A"/>
    <w:rsid w:val="003F4746"/>
    <w:rsid w:val="00405A5E"/>
    <w:rsid w:val="004333B4"/>
    <w:rsid w:val="00473CD3"/>
    <w:rsid w:val="00494E44"/>
    <w:rsid w:val="004A69E0"/>
    <w:rsid w:val="004B556A"/>
    <w:rsid w:val="004D6772"/>
    <w:rsid w:val="0059245C"/>
    <w:rsid w:val="005E5E37"/>
    <w:rsid w:val="00604C49"/>
    <w:rsid w:val="0061275F"/>
    <w:rsid w:val="0065094C"/>
    <w:rsid w:val="006A0D70"/>
    <w:rsid w:val="0075103A"/>
    <w:rsid w:val="00767B22"/>
    <w:rsid w:val="00787B51"/>
    <w:rsid w:val="00795B2F"/>
    <w:rsid w:val="007C1050"/>
    <w:rsid w:val="007F192F"/>
    <w:rsid w:val="007F4B8A"/>
    <w:rsid w:val="00832DF9"/>
    <w:rsid w:val="008463CC"/>
    <w:rsid w:val="00891646"/>
    <w:rsid w:val="008B72E9"/>
    <w:rsid w:val="008C2FC5"/>
    <w:rsid w:val="008D4961"/>
    <w:rsid w:val="008D5E91"/>
    <w:rsid w:val="008E59F8"/>
    <w:rsid w:val="00924FFB"/>
    <w:rsid w:val="00930543"/>
    <w:rsid w:val="00990563"/>
    <w:rsid w:val="009C2279"/>
    <w:rsid w:val="009E16DF"/>
    <w:rsid w:val="00A11397"/>
    <w:rsid w:val="00A75E3B"/>
    <w:rsid w:val="00A86780"/>
    <w:rsid w:val="00AA58D1"/>
    <w:rsid w:val="00AB6E6E"/>
    <w:rsid w:val="00AE4709"/>
    <w:rsid w:val="00B2124A"/>
    <w:rsid w:val="00B272C1"/>
    <w:rsid w:val="00BD539B"/>
    <w:rsid w:val="00C11724"/>
    <w:rsid w:val="00CA13C1"/>
    <w:rsid w:val="00D27DAF"/>
    <w:rsid w:val="00D52BFF"/>
    <w:rsid w:val="00D65DB4"/>
    <w:rsid w:val="00D73010"/>
    <w:rsid w:val="00E1198B"/>
    <w:rsid w:val="00E21EFC"/>
    <w:rsid w:val="00E30949"/>
    <w:rsid w:val="00E34785"/>
    <w:rsid w:val="00EC4547"/>
    <w:rsid w:val="00ED7401"/>
    <w:rsid w:val="00F07C2A"/>
    <w:rsid w:val="00F1245F"/>
    <w:rsid w:val="00F32CE2"/>
    <w:rsid w:val="00F6445B"/>
    <w:rsid w:val="00F71B2C"/>
    <w:rsid w:val="00FA2D4C"/>
    <w:rsid w:val="00FF38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1DE01"/>
  <w15:docId w15:val="{665C57D4-584A-764E-814F-083C6ABFB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34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537A"/>
    <w:pPr>
      <w:spacing w:before="100" w:beforeAutospacing="1" w:after="100" w:afterAutospacing="1" w:line="240" w:lineRule="auto"/>
    </w:pPr>
    <w:rPr>
      <w:rFonts w:ascii="Times New Roman" w:hAnsi="Times New Roman" w:cs="Times New Roman"/>
      <w:kern w:val="0"/>
      <w:sz w:val="24"/>
      <w:szCs w:val="24"/>
    </w:rPr>
  </w:style>
  <w:style w:type="table" w:styleId="TableGrid">
    <w:name w:val="Table Grid"/>
    <w:basedOn w:val="TableNormal"/>
    <w:uiPriority w:val="59"/>
    <w:rsid w:val="007C1050"/>
    <w:pPr>
      <w:spacing w:after="0" w:line="240" w:lineRule="auto"/>
    </w:pPr>
    <w:rPr>
      <w:rFonts w:eastAsiaTheme="minorHAnsi"/>
      <w:kern w:val="0"/>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F32CE2"/>
    <w:pPr>
      <w:spacing w:after="0" w:line="240" w:lineRule="auto"/>
    </w:pPr>
  </w:style>
  <w:style w:type="paragraph" w:styleId="ListParagraph">
    <w:name w:val="List Paragraph"/>
    <w:basedOn w:val="Normal"/>
    <w:uiPriority w:val="34"/>
    <w:qFormat/>
    <w:rsid w:val="00A11397"/>
    <w:pPr>
      <w:ind w:left="720"/>
      <w:contextualSpacing/>
    </w:pPr>
  </w:style>
  <w:style w:type="character" w:styleId="Emphasis">
    <w:name w:val="Emphasis"/>
    <w:basedOn w:val="DefaultParagraphFont"/>
    <w:uiPriority w:val="20"/>
    <w:qFormat/>
    <w:rsid w:val="00A113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533335">
      <w:marLeft w:val="0"/>
      <w:marRight w:val="0"/>
      <w:marTop w:val="0"/>
      <w:marBottom w:val="0"/>
      <w:divBdr>
        <w:top w:val="none" w:sz="0" w:space="0" w:color="auto"/>
        <w:left w:val="none" w:sz="0" w:space="0" w:color="auto"/>
        <w:bottom w:val="none" w:sz="0" w:space="0" w:color="auto"/>
        <w:right w:val="none" w:sz="0" w:space="0" w:color="auto"/>
      </w:divBdr>
    </w:div>
    <w:div w:id="563488743">
      <w:marLeft w:val="0"/>
      <w:marRight w:val="0"/>
      <w:marTop w:val="0"/>
      <w:marBottom w:val="0"/>
      <w:divBdr>
        <w:top w:val="none" w:sz="0" w:space="0" w:color="auto"/>
        <w:left w:val="none" w:sz="0" w:space="0" w:color="auto"/>
        <w:bottom w:val="none" w:sz="0" w:space="0" w:color="auto"/>
        <w:right w:val="none" w:sz="0" w:space="0" w:color="auto"/>
      </w:divBdr>
    </w:div>
    <w:div w:id="851799547">
      <w:bodyDiv w:val="1"/>
      <w:marLeft w:val="0"/>
      <w:marRight w:val="0"/>
      <w:marTop w:val="0"/>
      <w:marBottom w:val="0"/>
      <w:divBdr>
        <w:top w:val="none" w:sz="0" w:space="0" w:color="auto"/>
        <w:left w:val="none" w:sz="0" w:space="0" w:color="auto"/>
        <w:bottom w:val="none" w:sz="0" w:space="0" w:color="auto"/>
        <w:right w:val="none" w:sz="0" w:space="0" w:color="auto"/>
      </w:divBdr>
    </w:div>
    <w:div w:id="973751029">
      <w:bodyDiv w:val="1"/>
      <w:marLeft w:val="0"/>
      <w:marRight w:val="0"/>
      <w:marTop w:val="0"/>
      <w:marBottom w:val="0"/>
      <w:divBdr>
        <w:top w:val="none" w:sz="0" w:space="0" w:color="auto"/>
        <w:left w:val="none" w:sz="0" w:space="0" w:color="auto"/>
        <w:bottom w:val="none" w:sz="0" w:space="0" w:color="auto"/>
        <w:right w:val="none" w:sz="0" w:space="0" w:color="auto"/>
      </w:divBdr>
    </w:div>
    <w:div w:id="989332842">
      <w:bodyDiv w:val="1"/>
      <w:marLeft w:val="0"/>
      <w:marRight w:val="0"/>
      <w:marTop w:val="0"/>
      <w:marBottom w:val="0"/>
      <w:divBdr>
        <w:top w:val="none" w:sz="0" w:space="0" w:color="auto"/>
        <w:left w:val="none" w:sz="0" w:space="0" w:color="auto"/>
        <w:bottom w:val="none" w:sz="0" w:space="0" w:color="auto"/>
        <w:right w:val="none" w:sz="0" w:space="0" w:color="auto"/>
      </w:divBdr>
    </w:div>
    <w:div w:id="1079400312">
      <w:bodyDiv w:val="1"/>
      <w:marLeft w:val="0"/>
      <w:marRight w:val="0"/>
      <w:marTop w:val="0"/>
      <w:marBottom w:val="0"/>
      <w:divBdr>
        <w:top w:val="none" w:sz="0" w:space="0" w:color="auto"/>
        <w:left w:val="none" w:sz="0" w:space="0" w:color="auto"/>
        <w:bottom w:val="none" w:sz="0" w:space="0" w:color="auto"/>
        <w:right w:val="none" w:sz="0" w:space="0" w:color="auto"/>
      </w:divBdr>
    </w:div>
    <w:div w:id="1128475529">
      <w:bodyDiv w:val="1"/>
      <w:marLeft w:val="0"/>
      <w:marRight w:val="0"/>
      <w:marTop w:val="0"/>
      <w:marBottom w:val="0"/>
      <w:divBdr>
        <w:top w:val="none" w:sz="0" w:space="0" w:color="auto"/>
        <w:left w:val="none" w:sz="0" w:space="0" w:color="auto"/>
        <w:bottom w:val="none" w:sz="0" w:space="0" w:color="auto"/>
        <w:right w:val="none" w:sz="0" w:space="0" w:color="auto"/>
      </w:divBdr>
    </w:div>
    <w:div w:id="1138841393">
      <w:marLeft w:val="0"/>
      <w:marRight w:val="0"/>
      <w:marTop w:val="0"/>
      <w:marBottom w:val="0"/>
      <w:divBdr>
        <w:top w:val="none" w:sz="0" w:space="0" w:color="auto"/>
        <w:left w:val="none" w:sz="0" w:space="0" w:color="auto"/>
        <w:bottom w:val="none" w:sz="0" w:space="0" w:color="auto"/>
        <w:right w:val="none" w:sz="0" w:space="0" w:color="auto"/>
      </w:divBdr>
      <w:divsChild>
        <w:div w:id="1392273228">
          <w:marLeft w:val="0"/>
          <w:marRight w:val="0"/>
          <w:marTop w:val="0"/>
          <w:marBottom w:val="0"/>
          <w:divBdr>
            <w:top w:val="none" w:sz="0" w:space="0" w:color="auto"/>
            <w:left w:val="none" w:sz="0" w:space="0" w:color="auto"/>
            <w:bottom w:val="none" w:sz="0" w:space="0" w:color="auto"/>
            <w:right w:val="none" w:sz="0" w:space="0" w:color="auto"/>
          </w:divBdr>
        </w:div>
        <w:div w:id="1801339754">
          <w:marLeft w:val="0"/>
          <w:marRight w:val="0"/>
          <w:marTop w:val="0"/>
          <w:marBottom w:val="0"/>
          <w:divBdr>
            <w:top w:val="none" w:sz="0" w:space="0" w:color="auto"/>
            <w:left w:val="none" w:sz="0" w:space="0" w:color="auto"/>
            <w:bottom w:val="none" w:sz="0" w:space="0" w:color="auto"/>
            <w:right w:val="none" w:sz="0" w:space="0" w:color="auto"/>
          </w:divBdr>
        </w:div>
        <w:div w:id="1691292964">
          <w:marLeft w:val="0"/>
          <w:marRight w:val="0"/>
          <w:marTop w:val="0"/>
          <w:marBottom w:val="0"/>
          <w:divBdr>
            <w:top w:val="none" w:sz="0" w:space="0" w:color="auto"/>
            <w:left w:val="none" w:sz="0" w:space="0" w:color="auto"/>
            <w:bottom w:val="none" w:sz="0" w:space="0" w:color="auto"/>
            <w:right w:val="none" w:sz="0" w:space="0" w:color="auto"/>
          </w:divBdr>
        </w:div>
        <w:div w:id="551036856">
          <w:marLeft w:val="0"/>
          <w:marRight w:val="0"/>
          <w:marTop w:val="0"/>
          <w:marBottom w:val="0"/>
          <w:divBdr>
            <w:top w:val="none" w:sz="0" w:space="0" w:color="auto"/>
            <w:left w:val="none" w:sz="0" w:space="0" w:color="auto"/>
            <w:bottom w:val="none" w:sz="0" w:space="0" w:color="auto"/>
            <w:right w:val="none" w:sz="0" w:space="0" w:color="auto"/>
          </w:divBdr>
        </w:div>
        <w:div w:id="1312253855">
          <w:marLeft w:val="0"/>
          <w:marRight w:val="0"/>
          <w:marTop w:val="0"/>
          <w:marBottom w:val="0"/>
          <w:divBdr>
            <w:top w:val="none" w:sz="0" w:space="0" w:color="auto"/>
            <w:left w:val="none" w:sz="0" w:space="0" w:color="auto"/>
            <w:bottom w:val="none" w:sz="0" w:space="0" w:color="auto"/>
            <w:right w:val="none" w:sz="0" w:space="0" w:color="auto"/>
          </w:divBdr>
        </w:div>
        <w:div w:id="1788622541">
          <w:marLeft w:val="0"/>
          <w:marRight w:val="0"/>
          <w:marTop w:val="0"/>
          <w:marBottom w:val="0"/>
          <w:divBdr>
            <w:top w:val="none" w:sz="0" w:space="0" w:color="auto"/>
            <w:left w:val="none" w:sz="0" w:space="0" w:color="auto"/>
            <w:bottom w:val="none" w:sz="0" w:space="0" w:color="auto"/>
            <w:right w:val="none" w:sz="0" w:space="0" w:color="auto"/>
          </w:divBdr>
        </w:div>
        <w:div w:id="1592467943">
          <w:marLeft w:val="0"/>
          <w:marRight w:val="0"/>
          <w:marTop w:val="0"/>
          <w:marBottom w:val="0"/>
          <w:divBdr>
            <w:top w:val="none" w:sz="0" w:space="0" w:color="auto"/>
            <w:left w:val="none" w:sz="0" w:space="0" w:color="auto"/>
            <w:bottom w:val="none" w:sz="0" w:space="0" w:color="auto"/>
            <w:right w:val="none" w:sz="0" w:space="0" w:color="auto"/>
          </w:divBdr>
        </w:div>
        <w:div w:id="688139207">
          <w:marLeft w:val="0"/>
          <w:marRight w:val="0"/>
          <w:marTop w:val="0"/>
          <w:marBottom w:val="0"/>
          <w:divBdr>
            <w:top w:val="none" w:sz="0" w:space="0" w:color="auto"/>
            <w:left w:val="none" w:sz="0" w:space="0" w:color="auto"/>
            <w:bottom w:val="none" w:sz="0" w:space="0" w:color="auto"/>
            <w:right w:val="none" w:sz="0" w:space="0" w:color="auto"/>
          </w:divBdr>
        </w:div>
        <w:div w:id="169224941">
          <w:marLeft w:val="0"/>
          <w:marRight w:val="0"/>
          <w:marTop w:val="0"/>
          <w:marBottom w:val="0"/>
          <w:divBdr>
            <w:top w:val="none" w:sz="0" w:space="0" w:color="auto"/>
            <w:left w:val="none" w:sz="0" w:space="0" w:color="auto"/>
            <w:bottom w:val="none" w:sz="0" w:space="0" w:color="auto"/>
            <w:right w:val="none" w:sz="0" w:space="0" w:color="auto"/>
          </w:divBdr>
        </w:div>
        <w:div w:id="1767381419">
          <w:marLeft w:val="0"/>
          <w:marRight w:val="0"/>
          <w:marTop w:val="0"/>
          <w:marBottom w:val="0"/>
          <w:divBdr>
            <w:top w:val="none" w:sz="0" w:space="0" w:color="auto"/>
            <w:left w:val="none" w:sz="0" w:space="0" w:color="auto"/>
            <w:bottom w:val="none" w:sz="0" w:space="0" w:color="auto"/>
            <w:right w:val="none" w:sz="0" w:space="0" w:color="auto"/>
          </w:divBdr>
        </w:div>
        <w:div w:id="1249076791">
          <w:marLeft w:val="0"/>
          <w:marRight w:val="0"/>
          <w:marTop w:val="0"/>
          <w:marBottom w:val="0"/>
          <w:divBdr>
            <w:top w:val="none" w:sz="0" w:space="0" w:color="auto"/>
            <w:left w:val="none" w:sz="0" w:space="0" w:color="auto"/>
            <w:bottom w:val="none" w:sz="0" w:space="0" w:color="auto"/>
            <w:right w:val="none" w:sz="0" w:space="0" w:color="auto"/>
          </w:divBdr>
        </w:div>
        <w:div w:id="1827628672">
          <w:marLeft w:val="0"/>
          <w:marRight w:val="0"/>
          <w:marTop w:val="0"/>
          <w:marBottom w:val="0"/>
          <w:divBdr>
            <w:top w:val="none" w:sz="0" w:space="0" w:color="auto"/>
            <w:left w:val="none" w:sz="0" w:space="0" w:color="auto"/>
            <w:bottom w:val="none" w:sz="0" w:space="0" w:color="auto"/>
            <w:right w:val="none" w:sz="0" w:space="0" w:color="auto"/>
          </w:divBdr>
        </w:div>
        <w:div w:id="1833259577">
          <w:marLeft w:val="0"/>
          <w:marRight w:val="0"/>
          <w:marTop w:val="0"/>
          <w:marBottom w:val="0"/>
          <w:divBdr>
            <w:top w:val="none" w:sz="0" w:space="0" w:color="auto"/>
            <w:left w:val="none" w:sz="0" w:space="0" w:color="auto"/>
            <w:bottom w:val="none" w:sz="0" w:space="0" w:color="auto"/>
            <w:right w:val="none" w:sz="0" w:space="0" w:color="auto"/>
          </w:divBdr>
        </w:div>
        <w:div w:id="2119331711">
          <w:marLeft w:val="0"/>
          <w:marRight w:val="0"/>
          <w:marTop w:val="0"/>
          <w:marBottom w:val="0"/>
          <w:divBdr>
            <w:top w:val="none" w:sz="0" w:space="0" w:color="auto"/>
            <w:left w:val="none" w:sz="0" w:space="0" w:color="auto"/>
            <w:bottom w:val="none" w:sz="0" w:space="0" w:color="auto"/>
            <w:right w:val="none" w:sz="0" w:space="0" w:color="auto"/>
          </w:divBdr>
        </w:div>
        <w:div w:id="4871674">
          <w:marLeft w:val="0"/>
          <w:marRight w:val="0"/>
          <w:marTop w:val="0"/>
          <w:marBottom w:val="0"/>
          <w:divBdr>
            <w:top w:val="none" w:sz="0" w:space="0" w:color="auto"/>
            <w:left w:val="none" w:sz="0" w:space="0" w:color="auto"/>
            <w:bottom w:val="none" w:sz="0" w:space="0" w:color="auto"/>
            <w:right w:val="none" w:sz="0" w:space="0" w:color="auto"/>
          </w:divBdr>
        </w:div>
        <w:div w:id="145050459">
          <w:marLeft w:val="0"/>
          <w:marRight w:val="0"/>
          <w:marTop w:val="0"/>
          <w:marBottom w:val="0"/>
          <w:divBdr>
            <w:top w:val="none" w:sz="0" w:space="0" w:color="auto"/>
            <w:left w:val="none" w:sz="0" w:space="0" w:color="auto"/>
            <w:bottom w:val="none" w:sz="0" w:space="0" w:color="auto"/>
            <w:right w:val="none" w:sz="0" w:space="0" w:color="auto"/>
          </w:divBdr>
        </w:div>
        <w:div w:id="241065543">
          <w:marLeft w:val="0"/>
          <w:marRight w:val="0"/>
          <w:marTop w:val="0"/>
          <w:marBottom w:val="0"/>
          <w:divBdr>
            <w:top w:val="none" w:sz="0" w:space="0" w:color="auto"/>
            <w:left w:val="none" w:sz="0" w:space="0" w:color="auto"/>
            <w:bottom w:val="none" w:sz="0" w:space="0" w:color="auto"/>
            <w:right w:val="none" w:sz="0" w:space="0" w:color="auto"/>
          </w:divBdr>
        </w:div>
        <w:div w:id="1693264373">
          <w:marLeft w:val="0"/>
          <w:marRight w:val="0"/>
          <w:marTop w:val="0"/>
          <w:marBottom w:val="0"/>
          <w:divBdr>
            <w:top w:val="none" w:sz="0" w:space="0" w:color="auto"/>
            <w:left w:val="none" w:sz="0" w:space="0" w:color="auto"/>
            <w:bottom w:val="none" w:sz="0" w:space="0" w:color="auto"/>
            <w:right w:val="none" w:sz="0" w:space="0" w:color="auto"/>
          </w:divBdr>
        </w:div>
        <w:div w:id="618683604">
          <w:marLeft w:val="0"/>
          <w:marRight w:val="0"/>
          <w:marTop w:val="0"/>
          <w:marBottom w:val="0"/>
          <w:divBdr>
            <w:top w:val="none" w:sz="0" w:space="0" w:color="auto"/>
            <w:left w:val="none" w:sz="0" w:space="0" w:color="auto"/>
            <w:bottom w:val="none" w:sz="0" w:space="0" w:color="auto"/>
            <w:right w:val="none" w:sz="0" w:space="0" w:color="auto"/>
          </w:divBdr>
        </w:div>
        <w:div w:id="1592859167">
          <w:marLeft w:val="0"/>
          <w:marRight w:val="0"/>
          <w:marTop w:val="0"/>
          <w:marBottom w:val="0"/>
          <w:divBdr>
            <w:top w:val="none" w:sz="0" w:space="0" w:color="auto"/>
            <w:left w:val="none" w:sz="0" w:space="0" w:color="auto"/>
            <w:bottom w:val="none" w:sz="0" w:space="0" w:color="auto"/>
            <w:right w:val="none" w:sz="0" w:space="0" w:color="auto"/>
          </w:divBdr>
        </w:div>
        <w:div w:id="876698309">
          <w:marLeft w:val="0"/>
          <w:marRight w:val="0"/>
          <w:marTop w:val="0"/>
          <w:marBottom w:val="0"/>
          <w:divBdr>
            <w:top w:val="none" w:sz="0" w:space="0" w:color="auto"/>
            <w:left w:val="none" w:sz="0" w:space="0" w:color="auto"/>
            <w:bottom w:val="none" w:sz="0" w:space="0" w:color="auto"/>
            <w:right w:val="none" w:sz="0" w:space="0" w:color="auto"/>
          </w:divBdr>
        </w:div>
        <w:div w:id="1587953927">
          <w:marLeft w:val="0"/>
          <w:marRight w:val="0"/>
          <w:marTop w:val="0"/>
          <w:marBottom w:val="0"/>
          <w:divBdr>
            <w:top w:val="none" w:sz="0" w:space="0" w:color="auto"/>
            <w:left w:val="none" w:sz="0" w:space="0" w:color="auto"/>
            <w:bottom w:val="none" w:sz="0" w:space="0" w:color="auto"/>
            <w:right w:val="none" w:sz="0" w:space="0" w:color="auto"/>
          </w:divBdr>
        </w:div>
        <w:div w:id="988175211">
          <w:marLeft w:val="0"/>
          <w:marRight w:val="0"/>
          <w:marTop w:val="0"/>
          <w:marBottom w:val="0"/>
          <w:divBdr>
            <w:top w:val="none" w:sz="0" w:space="0" w:color="auto"/>
            <w:left w:val="none" w:sz="0" w:space="0" w:color="auto"/>
            <w:bottom w:val="none" w:sz="0" w:space="0" w:color="auto"/>
            <w:right w:val="none" w:sz="0" w:space="0" w:color="auto"/>
          </w:divBdr>
        </w:div>
      </w:divsChild>
    </w:div>
    <w:div w:id="1262058589">
      <w:bodyDiv w:val="1"/>
      <w:marLeft w:val="0"/>
      <w:marRight w:val="0"/>
      <w:marTop w:val="0"/>
      <w:marBottom w:val="0"/>
      <w:divBdr>
        <w:top w:val="none" w:sz="0" w:space="0" w:color="auto"/>
        <w:left w:val="none" w:sz="0" w:space="0" w:color="auto"/>
        <w:bottom w:val="none" w:sz="0" w:space="0" w:color="auto"/>
        <w:right w:val="none" w:sz="0" w:space="0" w:color="auto"/>
      </w:divBdr>
    </w:div>
    <w:div w:id="1521359295">
      <w:bodyDiv w:val="1"/>
      <w:marLeft w:val="0"/>
      <w:marRight w:val="0"/>
      <w:marTop w:val="0"/>
      <w:marBottom w:val="0"/>
      <w:divBdr>
        <w:top w:val="none" w:sz="0" w:space="0" w:color="auto"/>
        <w:left w:val="none" w:sz="0" w:space="0" w:color="auto"/>
        <w:bottom w:val="none" w:sz="0" w:space="0" w:color="auto"/>
        <w:right w:val="none" w:sz="0" w:space="0" w:color="auto"/>
      </w:divBdr>
    </w:div>
    <w:div w:id="1562672753">
      <w:bodyDiv w:val="1"/>
      <w:marLeft w:val="0"/>
      <w:marRight w:val="0"/>
      <w:marTop w:val="0"/>
      <w:marBottom w:val="0"/>
      <w:divBdr>
        <w:top w:val="none" w:sz="0" w:space="0" w:color="auto"/>
        <w:left w:val="none" w:sz="0" w:space="0" w:color="auto"/>
        <w:bottom w:val="none" w:sz="0" w:space="0" w:color="auto"/>
        <w:right w:val="none" w:sz="0" w:space="0" w:color="auto"/>
      </w:divBdr>
    </w:div>
    <w:div w:id="1685356329">
      <w:bodyDiv w:val="1"/>
      <w:marLeft w:val="0"/>
      <w:marRight w:val="0"/>
      <w:marTop w:val="0"/>
      <w:marBottom w:val="0"/>
      <w:divBdr>
        <w:top w:val="none" w:sz="0" w:space="0" w:color="auto"/>
        <w:left w:val="none" w:sz="0" w:space="0" w:color="auto"/>
        <w:bottom w:val="none" w:sz="0" w:space="0" w:color="auto"/>
        <w:right w:val="none" w:sz="0" w:space="0" w:color="auto"/>
      </w:divBdr>
    </w:div>
    <w:div w:id="1741057150">
      <w:marLeft w:val="0"/>
      <w:marRight w:val="0"/>
      <w:marTop w:val="0"/>
      <w:marBottom w:val="0"/>
      <w:divBdr>
        <w:top w:val="none" w:sz="0" w:space="0" w:color="auto"/>
        <w:left w:val="none" w:sz="0" w:space="0" w:color="auto"/>
        <w:bottom w:val="none" w:sz="0" w:space="0" w:color="auto"/>
        <w:right w:val="none" w:sz="0" w:space="0" w:color="auto"/>
      </w:divBdr>
      <w:divsChild>
        <w:div w:id="1377004147">
          <w:marLeft w:val="0"/>
          <w:marRight w:val="0"/>
          <w:marTop w:val="0"/>
          <w:marBottom w:val="0"/>
          <w:divBdr>
            <w:top w:val="none" w:sz="0" w:space="0" w:color="auto"/>
            <w:left w:val="none" w:sz="0" w:space="0" w:color="auto"/>
            <w:bottom w:val="none" w:sz="0" w:space="0" w:color="auto"/>
            <w:right w:val="none" w:sz="0" w:space="0" w:color="auto"/>
          </w:divBdr>
        </w:div>
        <w:div w:id="376206121">
          <w:marLeft w:val="0"/>
          <w:marRight w:val="0"/>
          <w:marTop w:val="0"/>
          <w:marBottom w:val="0"/>
          <w:divBdr>
            <w:top w:val="none" w:sz="0" w:space="0" w:color="auto"/>
            <w:left w:val="none" w:sz="0" w:space="0" w:color="auto"/>
            <w:bottom w:val="none" w:sz="0" w:space="0" w:color="auto"/>
            <w:right w:val="none" w:sz="0" w:space="0" w:color="auto"/>
          </w:divBdr>
        </w:div>
        <w:div w:id="711542806">
          <w:marLeft w:val="0"/>
          <w:marRight w:val="0"/>
          <w:marTop w:val="0"/>
          <w:marBottom w:val="0"/>
          <w:divBdr>
            <w:top w:val="none" w:sz="0" w:space="0" w:color="auto"/>
            <w:left w:val="none" w:sz="0" w:space="0" w:color="auto"/>
            <w:bottom w:val="none" w:sz="0" w:space="0" w:color="auto"/>
            <w:right w:val="none" w:sz="0" w:space="0" w:color="auto"/>
          </w:divBdr>
        </w:div>
        <w:div w:id="1580094799">
          <w:marLeft w:val="0"/>
          <w:marRight w:val="0"/>
          <w:marTop w:val="0"/>
          <w:marBottom w:val="0"/>
          <w:divBdr>
            <w:top w:val="none" w:sz="0" w:space="0" w:color="auto"/>
            <w:left w:val="none" w:sz="0" w:space="0" w:color="auto"/>
            <w:bottom w:val="none" w:sz="0" w:space="0" w:color="auto"/>
            <w:right w:val="none" w:sz="0" w:space="0" w:color="auto"/>
          </w:divBdr>
        </w:div>
        <w:div w:id="873155392">
          <w:marLeft w:val="0"/>
          <w:marRight w:val="0"/>
          <w:marTop w:val="0"/>
          <w:marBottom w:val="0"/>
          <w:divBdr>
            <w:top w:val="none" w:sz="0" w:space="0" w:color="auto"/>
            <w:left w:val="none" w:sz="0" w:space="0" w:color="auto"/>
            <w:bottom w:val="none" w:sz="0" w:space="0" w:color="auto"/>
            <w:right w:val="none" w:sz="0" w:space="0" w:color="auto"/>
          </w:divBdr>
        </w:div>
        <w:div w:id="580020057">
          <w:marLeft w:val="0"/>
          <w:marRight w:val="0"/>
          <w:marTop w:val="0"/>
          <w:marBottom w:val="0"/>
          <w:divBdr>
            <w:top w:val="none" w:sz="0" w:space="0" w:color="auto"/>
            <w:left w:val="none" w:sz="0" w:space="0" w:color="auto"/>
            <w:bottom w:val="none" w:sz="0" w:space="0" w:color="auto"/>
            <w:right w:val="none" w:sz="0" w:space="0" w:color="auto"/>
          </w:divBdr>
        </w:div>
        <w:div w:id="813259791">
          <w:marLeft w:val="0"/>
          <w:marRight w:val="0"/>
          <w:marTop w:val="0"/>
          <w:marBottom w:val="0"/>
          <w:divBdr>
            <w:top w:val="none" w:sz="0" w:space="0" w:color="auto"/>
            <w:left w:val="none" w:sz="0" w:space="0" w:color="auto"/>
            <w:bottom w:val="none" w:sz="0" w:space="0" w:color="auto"/>
            <w:right w:val="none" w:sz="0" w:space="0" w:color="auto"/>
          </w:divBdr>
        </w:div>
        <w:div w:id="1558786128">
          <w:marLeft w:val="0"/>
          <w:marRight w:val="0"/>
          <w:marTop w:val="0"/>
          <w:marBottom w:val="0"/>
          <w:divBdr>
            <w:top w:val="none" w:sz="0" w:space="0" w:color="auto"/>
            <w:left w:val="none" w:sz="0" w:space="0" w:color="auto"/>
            <w:bottom w:val="none" w:sz="0" w:space="0" w:color="auto"/>
            <w:right w:val="none" w:sz="0" w:space="0" w:color="auto"/>
          </w:divBdr>
        </w:div>
        <w:div w:id="1962149171">
          <w:marLeft w:val="0"/>
          <w:marRight w:val="0"/>
          <w:marTop w:val="0"/>
          <w:marBottom w:val="0"/>
          <w:divBdr>
            <w:top w:val="none" w:sz="0" w:space="0" w:color="auto"/>
            <w:left w:val="none" w:sz="0" w:space="0" w:color="auto"/>
            <w:bottom w:val="none" w:sz="0" w:space="0" w:color="auto"/>
            <w:right w:val="none" w:sz="0" w:space="0" w:color="auto"/>
          </w:divBdr>
        </w:div>
      </w:divsChild>
    </w:div>
    <w:div w:id="195567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0-01T14:37:19.336"/>
    </inkml:context>
    <inkml:brush xml:id="br0">
      <inkml:brushProperty name="width" value="0.035" units="cm"/>
      <inkml:brushProperty name="height" value="0.035" units="cm"/>
    </inkml:brush>
  </inkml:definitions>
  <inkml:trace contextRef="#ctx0" brushRef="#br0">1 0 9240 0 0,'16'11'0'0'0,"16"11"1464"0"0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C7696-F36C-4BBB-B9EF-74CBDDCF3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4811</Words>
  <Characters>27426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madihazakiqureshi@gmail.com</dc:creator>
  <cp:keywords/>
  <dc:description/>
  <cp:lastModifiedBy>Arsalan Rajput</cp:lastModifiedBy>
  <cp:revision>2</cp:revision>
  <dcterms:created xsi:type="dcterms:W3CDTF">2024-10-01T14:53:00Z</dcterms:created>
  <dcterms:modified xsi:type="dcterms:W3CDTF">2024-10-01T14:53:00Z</dcterms:modified>
</cp:coreProperties>
</file>