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D21FF" w14:textId="41E6BB88" w:rsidR="005536FB" w:rsidRPr="007F5CB0" w:rsidRDefault="007F5CB0" w:rsidP="007F5CB0">
      <w:pPr>
        <w:rPr>
          <w:rFonts w:asciiTheme="minorBidi" w:hAnsiTheme="minorBidi"/>
          <w:sz w:val="20"/>
          <w:szCs w:val="20"/>
          <w:vertAlign w:val="superscript"/>
          <w:lang w:val="en-GB"/>
        </w:rPr>
      </w:pPr>
      <w:r>
        <w:rPr>
          <w:rFonts w:asciiTheme="minorBidi" w:hAnsiTheme="minorBidi"/>
          <w:sz w:val="20"/>
          <w:szCs w:val="20"/>
          <w:lang w:val="en-GB"/>
        </w:rPr>
        <w:t xml:space="preserve">                                                                                                               </w:t>
      </w:r>
      <w:r w:rsidR="005536FB" w:rsidRPr="007F5CB0">
        <w:rPr>
          <w:rFonts w:asciiTheme="minorBidi" w:hAnsiTheme="minorBidi"/>
          <w:sz w:val="20"/>
          <w:szCs w:val="20"/>
          <w:lang w:val="en-GB"/>
        </w:rPr>
        <w:t>Soualah Thouraya</w:t>
      </w:r>
      <w:r>
        <w:rPr>
          <w:rFonts w:asciiTheme="minorBidi" w:hAnsiTheme="minorBidi"/>
          <w:sz w:val="20"/>
          <w:szCs w:val="20"/>
          <w:lang w:val="en-GB"/>
        </w:rPr>
        <w:t>,</w:t>
      </w:r>
    </w:p>
    <w:p w14:paraId="1BB2D916" w14:textId="77777777" w:rsidR="005536FB" w:rsidRPr="007F5CB0" w:rsidRDefault="005536FB" w:rsidP="007F5CB0">
      <w:pPr>
        <w:jc w:val="right"/>
        <w:rPr>
          <w:rFonts w:ascii="Arial" w:hAnsi="Arial"/>
          <w:sz w:val="20"/>
          <w:szCs w:val="20"/>
          <w:lang w:val="en-GB"/>
        </w:rPr>
      </w:pPr>
      <w:r w:rsidRPr="007F5CB0">
        <w:rPr>
          <w:rFonts w:ascii="Arial" w:hAnsi="Arial"/>
          <w:sz w:val="20"/>
          <w:szCs w:val="20"/>
          <w:lang w:val="en-GB"/>
        </w:rPr>
        <w:t xml:space="preserve">Department of Internal Medicine, </w:t>
      </w:r>
    </w:p>
    <w:p w14:paraId="04F31D06" w14:textId="00C7D448" w:rsidR="005536FB" w:rsidRPr="007F5CB0" w:rsidRDefault="007F5CB0" w:rsidP="007F5CB0">
      <w:pPr>
        <w:rPr>
          <w:rFonts w:ascii="Arial" w:hAnsi="Arial"/>
          <w:sz w:val="20"/>
          <w:szCs w:val="20"/>
          <w:lang w:val="en-GB"/>
        </w:rPr>
      </w:pPr>
      <w:r>
        <w:rPr>
          <w:rFonts w:ascii="Arial" w:hAnsi="Arial"/>
          <w:sz w:val="20"/>
          <w:szCs w:val="20"/>
          <w:lang w:val="en-GB"/>
        </w:rPr>
        <w:t xml:space="preserve">                                                                                                               </w:t>
      </w:r>
      <w:proofErr w:type="spellStart"/>
      <w:r w:rsidR="005536FB" w:rsidRPr="007F5CB0">
        <w:rPr>
          <w:rFonts w:ascii="Arial" w:hAnsi="Arial"/>
          <w:sz w:val="20"/>
          <w:szCs w:val="20"/>
          <w:lang w:val="en-GB"/>
        </w:rPr>
        <w:t>Bologhine</w:t>
      </w:r>
      <w:proofErr w:type="spellEnd"/>
      <w:r w:rsidR="005536FB" w:rsidRPr="007F5CB0">
        <w:rPr>
          <w:rFonts w:ascii="Arial" w:hAnsi="Arial"/>
          <w:sz w:val="20"/>
          <w:szCs w:val="20"/>
          <w:lang w:val="en-GB"/>
        </w:rPr>
        <w:t xml:space="preserve"> Ibn Ziri Hospital, </w:t>
      </w:r>
    </w:p>
    <w:p w14:paraId="484E11E7" w14:textId="11329210" w:rsidR="005536FB" w:rsidRPr="007F5CB0" w:rsidRDefault="007F5CB0" w:rsidP="007F5CB0">
      <w:pPr>
        <w:jc w:val="center"/>
        <w:rPr>
          <w:rFonts w:ascii="Arial" w:hAnsi="Arial"/>
          <w:sz w:val="20"/>
          <w:szCs w:val="20"/>
          <w:lang w:val="en-GB"/>
        </w:rPr>
      </w:pPr>
      <w:r>
        <w:rPr>
          <w:rFonts w:ascii="Arial" w:hAnsi="Arial"/>
          <w:sz w:val="20"/>
          <w:szCs w:val="20"/>
          <w:lang w:val="en-GB"/>
        </w:rPr>
        <w:t xml:space="preserve">                                                                                    </w:t>
      </w:r>
      <w:r w:rsidR="005536FB" w:rsidRPr="007F5CB0">
        <w:rPr>
          <w:rFonts w:ascii="Arial" w:hAnsi="Arial"/>
          <w:sz w:val="20"/>
          <w:szCs w:val="20"/>
          <w:lang w:val="en-GB"/>
        </w:rPr>
        <w:t>Algiers, Algeria.</w:t>
      </w:r>
    </w:p>
    <w:p w14:paraId="7D31380F" w14:textId="0065867A" w:rsidR="005536FB" w:rsidRPr="007F5CB0" w:rsidRDefault="007F5CB0" w:rsidP="007F5CB0">
      <w:pPr>
        <w:rPr>
          <w:rFonts w:ascii="Arial" w:hAnsi="Arial"/>
          <w:sz w:val="20"/>
          <w:szCs w:val="20"/>
          <w:lang w:val="en-GB"/>
        </w:rPr>
      </w:pPr>
      <w:r>
        <w:rPr>
          <w:rFonts w:ascii="Arial" w:hAnsi="Arial"/>
          <w:sz w:val="20"/>
          <w:szCs w:val="20"/>
          <w:lang w:val="en-GB"/>
        </w:rPr>
        <w:t xml:space="preserve">                                                                                                              </w:t>
      </w:r>
      <w:r w:rsidR="005536FB" w:rsidRPr="007F5CB0">
        <w:rPr>
          <w:rFonts w:ascii="Arial" w:hAnsi="Arial"/>
          <w:sz w:val="20"/>
          <w:szCs w:val="20"/>
          <w:lang w:val="en-GB"/>
        </w:rPr>
        <w:t>12/10/2024</w:t>
      </w:r>
    </w:p>
    <w:p w14:paraId="5E41CB9C" w14:textId="3EC86BBD" w:rsidR="005536FB" w:rsidRDefault="007F5CB0" w:rsidP="005536FB">
      <w:pPr>
        <w:rPr>
          <w:rFonts w:ascii="Arial" w:hAnsi="Arial"/>
          <w:sz w:val="20"/>
          <w:szCs w:val="20"/>
          <w:lang w:val="en-GB"/>
        </w:rPr>
      </w:pPr>
      <w:r>
        <w:rPr>
          <w:rFonts w:ascii="Arial" w:hAnsi="Arial"/>
          <w:sz w:val="20"/>
          <w:szCs w:val="20"/>
          <w:lang w:val="en-GB"/>
        </w:rPr>
        <w:t>P</w:t>
      </w:r>
      <w:r w:rsidR="005536FB">
        <w:rPr>
          <w:rFonts w:ascii="Arial" w:hAnsi="Arial"/>
          <w:sz w:val="20"/>
          <w:szCs w:val="20"/>
          <w:lang w:val="en-GB"/>
        </w:rPr>
        <w:t>rof. Salem Youssef Mohamed</w:t>
      </w:r>
    </w:p>
    <w:p w14:paraId="38745980" w14:textId="77777777" w:rsidR="005536FB" w:rsidRPr="007F5CB0" w:rsidRDefault="005536FB" w:rsidP="007F5CB0">
      <w:pPr>
        <w:jc w:val="center"/>
        <w:rPr>
          <w:rFonts w:ascii="Arial" w:hAnsi="Arial"/>
          <w:b/>
          <w:bCs/>
          <w:sz w:val="20"/>
          <w:szCs w:val="20"/>
          <w:u w:val="single"/>
          <w:lang w:val="en-GB"/>
        </w:rPr>
      </w:pPr>
      <w:r w:rsidRPr="007F5CB0">
        <w:rPr>
          <w:rFonts w:ascii="Arial" w:hAnsi="Arial"/>
          <w:b/>
          <w:bCs/>
          <w:sz w:val="20"/>
          <w:szCs w:val="20"/>
          <w:u w:val="single"/>
          <w:lang w:val="en-GB"/>
        </w:rPr>
        <w:t>Rebuttal letter and revised manuscript:</w:t>
      </w:r>
    </w:p>
    <w:p w14:paraId="629A504D" w14:textId="77777777" w:rsidR="005536FB" w:rsidRPr="005536FB" w:rsidRDefault="005536FB" w:rsidP="005536FB">
      <w:pPr>
        <w:rPr>
          <w:rFonts w:ascii="Arial" w:hAnsi="Arial"/>
          <w:sz w:val="20"/>
          <w:szCs w:val="20"/>
          <w:lang w:val="en-GB"/>
        </w:rPr>
      </w:pPr>
    </w:p>
    <w:p w14:paraId="55077AC7" w14:textId="77777777" w:rsidR="005536FB" w:rsidRPr="005536FB" w:rsidRDefault="005536FB" w:rsidP="005536FB">
      <w:pPr>
        <w:rPr>
          <w:rFonts w:ascii="Arial" w:hAnsi="Arial"/>
          <w:sz w:val="20"/>
          <w:szCs w:val="20"/>
          <w:lang w:val="en-GB"/>
        </w:rPr>
      </w:pPr>
      <w:r w:rsidRPr="005536FB">
        <w:rPr>
          <w:rFonts w:ascii="Arial" w:hAnsi="Arial"/>
          <w:sz w:val="20"/>
          <w:szCs w:val="20"/>
          <w:lang w:val="en-GB"/>
        </w:rPr>
        <w:t>Dear Editor,</w:t>
      </w:r>
    </w:p>
    <w:p w14:paraId="5570C8D3" w14:textId="69595C95" w:rsidR="005536FB" w:rsidRPr="005536FB" w:rsidRDefault="005536FB" w:rsidP="007F5CB0">
      <w:pPr>
        <w:rPr>
          <w:rFonts w:ascii="Arial" w:hAnsi="Arial"/>
          <w:sz w:val="20"/>
          <w:szCs w:val="20"/>
          <w:lang w:val="en-GB"/>
        </w:rPr>
      </w:pPr>
      <w:r w:rsidRPr="005536FB">
        <w:rPr>
          <w:rFonts w:ascii="Arial" w:hAnsi="Arial"/>
          <w:sz w:val="20"/>
          <w:szCs w:val="20"/>
          <w:lang w:val="en-GB"/>
        </w:rPr>
        <w:t>This document contains responses to the comments of reviewers which were very helpful. We have made</w:t>
      </w:r>
      <w:r w:rsidR="007F5CB0">
        <w:rPr>
          <w:rFonts w:ascii="Arial" w:hAnsi="Arial"/>
          <w:sz w:val="20"/>
          <w:szCs w:val="20"/>
          <w:lang w:val="en-GB"/>
        </w:rPr>
        <w:t xml:space="preserve"> </w:t>
      </w:r>
      <w:r w:rsidRPr="005536FB">
        <w:rPr>
          <w:rFonts w:ascii="Arial" w:hAnsi="Arial"/>
          <w:sz w:val="20"/>
          <w:szCs w:val="20"/>
          <w:lang w:val="en-GB"/>
        </w:rPr>
        <w:t>changes to improve the paper in response to this review. The revised manuscript is attached with changes</w:t>
      </w:r>
      <w:r w:rsidR="007F5CB0">
        <w:rPr>
          <w:rFonts w:ascii="Arial" w:hAnsi="Arial"/>
          <w:sz w:val="20"/>
          <w:szCs w:val="20"/>
          <w:lang w:val="en-GB"/>
        </w:rPr>
        <w:t xml:space="preserve"> </w:t>
      </w:r>
      <w:r w:rsidRPr="005536FB">
        <w:rPr>
          <w:rFonts w:ascii="Arial" w:hAnsi="Arial"/>
          <w:sz w:val="20"/>
          <w:szCs w:val="20"/>
          <w:lang w:val="en-GB"/>
        </w:rPr>
        <w:t>highlighted in red. The list of changes against each comment of reviewers is summarized in the tables below. We</w:t>
      </w:r>
      <w:r w:rsidR="00424593">
        <w:rPr>
          <w:rFonts w:ascii="Arial" w:hAnsi="Arial"/>
          <w:sz w:val="20"/>
          <w:szCs w:val="20"/>
          <w:lang w:val="en-GB"/>
        </w:rPr>
        <w:t xml:space="preserve"> </w:t>
      </w:r>
      <w:r w:rsidRPr="005536FB">
        <w:rPr>
          <w:rFonts w:ascii="Arial" w:hAnsi="Arial"/>
          <w:sz w:val="20"/>
          <w:szCs w:val="20"/>
          <w:lang w:val="en-GB"/>
        </w:rPr>
        <w:t>thank you and the reviewers for your efforts in evaluating and improving this manuscript.</w:t>
      </w:r>
    </w:p>
    <w:p w14:paraId="62D53ADD" w14:textId="77777777" w:rsidR="005536FB" w:rsidRPr="005536FB" w:rsidRDefault="005536FB" w:rsidP="005536FB">
      <w:pPr>
        <w:rPr>
          <w:rFonts w:ascii="Arial" w:hAnsi="Arial"/>
          <w:sz w:val="20"/>
          <w:szCs w:val="20"/>
          <w:lang w:val="en-GB"/>
        </w:rPr>
      </w:pPr>
      <w:r w:rsidRPr="005536FB">
        <w:rPr>
          <w:rFonts w:ascii="Arial" w:hAnsi="Arial"/>
          <w:sz w:val="20"/>
          <w:szCs w:val="20"/>
          <w:lang w:val="en-GB"/>
        </w:rPr>
        <w:t>Kind regards,</w:t>
      </w:r>
    </w:p>
    <w:p w14:paraId="2BDE2576" w14:textId="6FA27D83" w:rsidR="005536FB" w:rsidRDefault="005536FB" w:rsidP="007F5CB0">
      <w:pPr>
        <w:rPr>
          <w:rFonts w:ascii="Arial" w:hAnsi="Arial"/>
          <w:sz w:val="20"/>
          <w:szCs w:val="20"/>
          <w:lang w:val="en-GB"/>
        </w:rPr>
      </w:pPr>
      <w:r w:rsidRPr="005536FB">
        <w:rPr>
          <w:rFonts w:ascii="Arial" w:hAnsi="Arial"/>
          <w:sz w:val="20"/>
          <w:szCs w:val="20"/>
          <w:lang w:val="en-GB"/>
        </w:rPr>
        <w:t xml:space="preserve">SOUALAH </w:t>
      </w:r>
      <w:r w:rsidR="007F5CB0">
        <w:rPr>
          <w:rFonts w:ascii="Arial" w:hAnsi="Arial"/>
          <w:sz w:val="20"/>
          <w:szCs w:val="20"/>
          <w:lang w:val="en-GB"/>
        </w:rPr>
        <w:t>Thouraya,</w:t>
      </w:r>
      <w:r w:rsidRPr="005536FB">
        <w:rPr>
          <w:rFonts w:ascii="Arial" w:hAnsi="Arial"/>
          <w:sz w:val="20"/>
          <w:szCs w:val="20"/>
          <w:lang w:val="en-GB"/>
        </w:rPr>
        <w:t xml:space="preserve"> on behalf of the other author</w:t>
      </w:r>
      <w:r w:rsidR="007F5CB0">
        <w:rPr>
          <w:rFonts w:ascii="Arial" w:hAnsi="Arial"/>
          <w:sz w:val="20"/>
          <w:szCs w:val="20"/>
          <w:lang w:val="en-GB"/>
        </w:rPr>
        <w:t>s</w:t>
      </w:r>
      <w:r w:rsidRPr="005536FB">
        <w:rPr>
          <w:rFonts w:ascii="Arial" w:hAnsi="Arial"/>
          <w:sz w:val="20"/>
          <w:szCs w:val="20"/>
          <w:lang w:val="en-GB"/>
        </w:rPr>
        <w:t xml:space="preserve"> </w:t>
      </w:r>
    </w:p>
    <w:p w14:paraId="13A3AF63" w14:textId="77777777" w:rsidR="007F5CB0" w:rsidRDefault="007F5CB0" w:rsidP="007F5CB0">
      <w:pPr>
        <w:rPr>
          <w:rFonts w:ascii="Arial" w:hAnsi="Arial"/>
          <w:sz w:val="20"/>
          <w:szCs w:val="20"/>
          <w:lang w:val="en-GB"/>
        </w:rPr>
      </w:pPr>
    </w:p>
    <w:p w14:paraId="2BB5177F" w14:textId="4D241A16" w:rsidR="007F5CB0" w:rsidRDefault="007F5CB0" w:rsidP="007F5CB0">
      <w:pPr>
        <w:jc w:val="center"/>
        <w:rPr>
          <w:rFonts w:ascii="Arial" w:hAnsi="Arial"/>
          <w:b/>
          <w:bCs/>
          <w:sz w:val="20"/>
          <w:szCs w:val="20"/>
          <w:lang w:val="en-GB"/>
        </w:rPr>
      </w:pPr>
      <w:r w:rsidRPr="007F5CB0">
        <w:rPr>
          <w:rFonts w:ascii="Arial" w:hAnsi="Arial"/>
          <w:b/>
          <w:bCs/>
          <w:sz w:val="20"/>
          <w:szCs w:val="20"/>
          <w:lang w:val="en-GB"/>
        </w:rPr>
        <w:t xml:space="preserve">Reply to comments of Reviewer </w:t>
      </w:r>
      <w:r>
        <w:rPr>
          <w:rFonts w:ascii="Arial" w:hAnsi="Arial"/>
          <w:b/>
          <w:bCs/>
          <w:sz w:val="20"/>
          <w:szCs w:val="20"/>
          <w:lang w:val="en-GB"/>
        </w:rPr>
        <w:t>1</w:t>
      </w:r>
      <w:r w:rsidRPr="007F5CB0">
        <w:rPr>
          <w:rFonts w:ascii="Arial" w:hAnsi="Arial"/>
          <w:b/>
          <w:bCs/>
          <w:sz w:val="20"/>
          <w:szCs w:val="20"/>
          <w:lang w:val="en-GB"/>
        </w:rPr>
        <w:t>:</w:t>
      </w:r>
    </w:p>
    <w:p w14:paraId="72DC2604" w14:textId="77777777" w:rsidR="007F5CB0" w:rsidRPr="007F5CB0" w:rsidRDefault="007F5CB0" w:rsidP="007F5CB0">
      <w:pPr>
        <w:jc w:val="center"/>
        <w:rPr>
          <w:rFonts w:ascii="Arial" w:hAnsi="Arial"/>
          <w:b/>
          <w:bCs/>
          <w:sz w:val="20"/>
          <w:szCs w:val="20"/>
          <w:lang w:val="en-GB"/>
        </w:rPr>
      </w:pPr>
    </w:p>
    <w:tbl>
      <w:tblPr>
        <w:tblStyle w:val="TableGrid"/>
        <w:tblW w:w="0" w:type="auto"/>
        <w:tblLook w:val="04A0" w:firstRow="1" w:lastRow="0" w:firstColumn="1" w:lastColumn="0" w:noHBand="0" w:noVBand="1"/>
      </w:tblPr>
      <w:tblGrid>
        <w:gridCol w:w="3874"/>
        <w:gridCol w:w="5188"/>
      </w:tblGrid>
      <w:tr w:rsidR="007F5CB0" w14:paraId="6F9001CA" w14:textId="77777777" w:rsidTr="007F5CB0">
        <w:tc>
          <w:tcPr>
            <w:tcW w:w="3936" w:type="dxa"/>
          </w:tcPr>
          <w:p w14:paraId="01ED30E7" w14:textId="11FAF364" w:rsidR="007F5CB0" w:rsidRDefault="007F5CB0">
            <w:pPr>
              <w:rPr>
                <w:lang w:val="en-GB"/>
              </w:rPr>
            </w:pPr>
            <w:r w:rsidRPr="007F5CB0">
              <w:rPr>
                <w:lang w:val="en-GB"/>
              </w:rPr>
              <w:t xml:space="preserve">Comments of reviewer </w:t>
            </w:r>
          </w:p>
        </w:tc>
        <w:tc>
          <w:tcPr>
            <w:tcW w:w="5276" w:type="dxa"/>
          </w:tcPr>
          <w:p w14:paraId="0379B7E2" w14:textId="63580F61" w:rsidR="007F5CB0" w:rsidRDefault="007F5CB0">
            <w:pPr>
              <w:rPr>
                <w:lang w:val="en-GB"/>
              </w:rPr>
            </w:pPr>
            <w:r w:rsidRPr="007F5CB0">
              <w:rPr>
                <w:lang w:val="en-GB"/>
              </w:rPr>
              <w:t>Reply to comments</w:t>
            </w:r>
          </w:p>
        </w:tc>
      </w:tr>
      <w:tr w:rsidR="007F5CB0" w:rsidRPr="00584573" w14:paraId="3189F86A" w14:textId="77777777" w:rsidTr="007F5CB0">
        <w:tc>
          <w:tcPr>
            <w:tcW w:w="3936" w:type="dxa"/>
          </w:tcPr>
          <w:p w14:paraId="02A1850F" w14:textId="36E4956B" w:rsidR="007F5CB0" w:rsidRPr="007F5CB0" w:rsidRDefault="007F5CB0" w:rsidP="007F5CB0">
            <w:pPr>
              <w:rPr>
                <w:lang w:val="en-GB"/>
              </w:rPr>
            </w:pPr>
            <w:r w:rsidRPr="007F5CB0">
              <w:rPr>
                <w:lang w:val="en-GB"/>
              </w:rPr>
              <w:t>Can you send the approval for publication from the patients who participated in your study?</w:t>
            </w:r>
          </w:p>
        </w:tc>
        <w:tc>
          <w:tcPr>
            <w:tcW w:w="5276" w:type="dxa"/>
          </w:tcPr>
          <w:p w14:paraId="097A3D2F" w14:textId="7B67A9F9" w:rsidR="007F5CB0" w:rsidRDefault="004F4DD3">
            <w:pPr>
              <w:rPr>
                <w:lang w:val="en-GB"/>
              </w:rPr>
            </w:pPr>
            <w:r>
              <w:rPr>
                <w:lang w:val="en-GB"/>
              </w:rPr>
              <w:t>please find the attached signed consent</w:t>
            </w:r>
          </w:p>
        </w:tc>
      </w:tr>
      <w:tr w:rsidR="004F4DD3" w:rsidRPr="00584573" w14:paraId="3BDB3804" w14:textId="77777777" w:rsidTr="007F5CB0">
        <w:tc>
          <w:tcPr>
            <w:tcW w:w="3936" w:type="dxa"/>
          </w:tcPr>
          <w:p w14:paraId="636890A5" w14:textId="52FA2E81" w:rsidR="004F4DD3" w:rsidRPr="004F4DD3" w:rsidRDefault="004F4DD3" w:rsidP="004F4DD3">
            <w:pPr>
              <w:rPr>
                <w:lang w:val="en-GB"/>
              </w:rPr>
            </w:pPr>
            <w:r w:rsidRPr="004F4DD3">
              <w:rPr>
                <w:lang w:val="en-GB"/>
              </w:rPr>
              <w:t>Could you explain myelodysplastic syndrome due to HCV infection or due to his history of smoking and drug addiction?</w:t>
            </w:r>
          </w:p>
        </w:tc>
        <w:tc>
          <w:tcPr>
            <w:tcW w:w="5276" w:type="dxa"/>
          </w:tcPr>
          <w:p w14:paraId="1ABF984E" w14:textId="15D3374D" w:rsidR="004F4DD3" w:rsidRPr="004F4DD3" w:rsidRDefault="004F4DD3" w:rsidP="004F4DD3">
            <w:pPr>
              <w:shd w:val="clear" w:color="auto" w:fill="FFFFFF"/>
              <w:rPr>
                <w:rFonts w:ascii="Arial" w:hAnsi="Arial"/>
                <w:color w:val="4EA72E" w:themeColor="accent6"/>
                <w:kern w:val="0"/>
                <w:sz w:val="20"/>
                <w:szCs w:val="20"/>
                <w:lang w:val="en-GB"/>
              </w:rPr>
            </w:pPr>
            <w:r w:rsidRPr="004F4DD3">
              <w:rPr>
                <w:rFonts w:ascii="Arial" w:hAnsi="Arial"/>
                <w:color w:val="000000"/>
                <w:kern w:val="0"/>
                <w:sz w:val="20"/>
                <w:szCs w:val="20"/>
                <w:lang w:val="en-GB"/>
              </w:rPr>
              <w:t>Haematological abnormalities in liver cirrhosis are multifactorial which include, portal hypertension-induced sequestration, diminished bone marrow stimulating factors and direct viral or toxin effect on bone marrow</w:t>
            </w:r>
            <w:r w:rsidRPr="004F4DD3">
              <w:rPr>
                <w:rFonts w:ascii="Arial" w:hAnsi="Arial"/>
                <w:color w:val="000000"/>
                <w:kern w:val="0"/>
                <w:sz w:val="20"/>
                <w:szCs w:val="20"/>
                <w:vertAlign w:val="superscript"/>
                <w:lang w:val="en-GB"/>
              </w:rPr>
              <w:t xml:space="preserve"> </w:t>
            </w:r>
            <w:r w:rsidRPr="004F4DD3">
              <w:rPr>
                <w:rFonts w:ascii="Arial" w:hAnsi="Arial"/>
                <w:b/>
                <w:bCs/>
                <w:sz w:val="20"/>
                <w:szCs w:val="20"/>
                <w:vertAlign w:val="superscript"/>
                <w:lang w:val="en-GB"/>
              </w:rPr>
              <w:t>[14</w:t>
            </w:r>
            <w:r w:rsidRPr="004F4DD3">
              <w:rPr>
                <w:rFonts w:ascii="Arial" w:hAnsi="Arial"/>
                <w:b/>
                <w:bCs/>
                <w:color w:val="FF0000"/>
                <w:sz w:val="20"/>
                <w:szCs w:val="20"/>
                <w:vertAlign w:val="superscript"/>
                <w:lang w:val="en-GB"/>
              </w:rPr>
              <w:t>]</w:t>
            </w:r>
            <w:r w:rsidRPr="004F4DD3">
              <w:rPr>
                <w:rFonts w:ascii="Arial" w:hAnsi="Arial"/>
                <w:color w:val="FF0000"/>
                <w:kern w:val="0"/>
                <w:sz w:val="20"/>
                <w:szCs w:val="20"/>
                <w:lang w:val="en-GB"/>
              </w:rPr>
              <w:t xml:space="preserve">. Our case presented a pancytopenia with a compensated liver cirrhosis due to HCV infection at an early stage of portal hypertension (portal vein dilated at 17mm with mild splenomegaly) without evidence of portosystemic shunt but preserved liver functions, a history of abstinence from alcoholism and drug abuse since 2016 but concomitantly diagnosed with acute elevated hepatic enzymes and very high HCV viral load. On the other hand, the achievement of complete resolution of the haematological abnormalities after initiation of the antiviral therapy even though, the patient never stopped smoking, makes it clear and cut that, these abnormalities are strongly related to the HCV activity. </w:t>
            </w:r>
          </w:p>
          <w:p w14:paraId="3D81E92D" w14:textId="77777777" w:rsidR="004F4DD3" w:rsidRDefault="004F4DD3">
            <w:pPr>
              <w:rPr>
                <w:lang w:val="en-GB"/>
              </w:rPr>
            </w:pPr>
          </w:p>
        </w:tc>
      </w:tr>
      <w:tr w:rsidR="004F4DD3" w:rsidRPr="00584573" w14:paraId="4E525813" w14:textId="77777777" w:rsidTr="007F5CB0">
        <w:tc>
          <w:tcPr>
            <w:tcW w:w="3936" w:type="dxa"/>
          </w:tcPr>
          <w:p w14:paraId="17588AD7" w14:textId="20D079C8" w:rsidR="004F4DD3" w:rsidRPr="004F4DD3" w:rsidRDefault="004F4DD3" w:rsidP="004F4DD3">
            <w:pPr>
              <w:rPr>
                <w:lang w:val="en-GB"/>
              </w:rPr>
            </w:pPr>
            <w:r w:rsidRPr="004F4DD3">
              <w:rPr>
                <w:lang w:val="en-GB"/>
              </w:rPr>
              <w:t>Can you tell us if the patient received any chemotherapy or steroids during AAD?</w:t>
            </w:r>
          </w:p>
        </w:tc>
        <w:tc>
          <w:tcPr>
            <w:tcW w:w="5276" w:type="dxa"/>
          </w:tcPr>
          <w:p w14:paraId="3AD3117A" w14:textId="12B17161" w:rsidR="004F4DD3" w:rsidRPr="004F4DD3" w:rsidRDefault="004F4DD3" w:rsidP="004F4DD3">
            <w:pPr>
              <w:shd w:val="clear" w:color="auto" w:fill="FFFFFF"/>
              <w:rPr>
                <w:rFonts w:ascii="Arial" w:hAnsi="Arial"/>
                <w:color w:val="000000"/>
                <w:kern w:val="0"/>
                <w:sz w:val="20"/>
                <w:szCs w:val="20"/>
                <w:lang w:val="en-GB"/>
              </w:rPr>
            </w:pPr>
            <w:r w:rsidRPr="004F4DD3">
              <w:rPr>
                <w:rFonts w:ascii="Arial" w:eastAsia="Calibri" w:hAnsi="Arial" w:cs="Arial"/>
                <w:sz w:val="20"/>
                <w:szCs w:val="20"/>
                <w:lang w:val="en-GB"/>
              </w:rPr>
              <w:t xml:space="preserve">The patient was started </w:t>
            </w:r>
            <w:r w:rsidRPr="004F4DD3">
              <w:rPr>
                <w:rFonts w:ascii="Arial" w:eastAsia="Calibri" w:hAnsi="Arial" w:cs="Arial"/>
                <w:color w:val="FF0000"/>
                <w:sz w:val="20"/>
                <w:szCs w:val="20"/>
                <w:lang w:val="en-GB"/>
              </w:rPr>
              <w:t>exclusively</w:t>
            </w:r>
            <w:r w:rsidRPr="004F4DD3">
              <w:rPr>
                <w:rFonts w:ascii="Arial" w:eastAsia="Calibri" w:hAnsi="Arial" w:cs="Arial"/>
                <w:color w:val="4EA72E" w:themeColor="accent6"/>
                <w:sz w:val="20"/>
                <w:szCs w:val="20"/>
                <w:lang w:val="en-GB"/>
              </w:rPr>
              <w:t xml:space="preserve"> </w:t>
            </w:r>
            <w:r w:rsidRPr="004F4DD3">
              <w:rPr>
                <w:rFonts w:ascii="Arial" w:eastAsia="Calibri" w:hAnsi="Arial" w:cs="Arial"/>
                <w:sz w:val="20"/>
                <w:szCs w:val="20"/>
                <w:lang w:val="en-GB"/>
              </w:rPr>
              <w:t>on Sofosbuvir/Daclatasvir in September 2022 for 24 weeks and blood transfusions at an average rate of 2/month for 15 months.</w:t>
            </w:r>
          </w:p>
        </w:tc>
      </w:tr>
      <w:tr w:rsidR="004F4DD3" w:rsidRPr="00584573" w14:paraId="5CBD1562" w14:textId="77777777" w:rsidTr="007F5CB0">
        <w:tc>
          <w:tcPr>
            <w:tcW w:w="3936" w:type="dxa"/>
          </w:tcPr>
          <w:p w14:paraId="57C910D2" w14:textId="110E2861" w:rsidR="004F4DD3" w:rsidRPr="004F4DD3" w:rsidRDefault="004F4DD3" w:rsidP="004F4DD3">
            <w:pPr>
              <w:rPr>
                <w:lang w:val="en-GB"/>
              </w:rPr>
            </w:pPr>
            <w:r w:rsidRPr="004F4DD3">
              <w:rPr>
                <w:lang w:val="en-GB"/>
              </w:rPr>
              <w:lastRenderedPageBreak/>
              <w:t>You did not mention any presentation about MDS for this patient.</w:t>
            </w:r>
          </w:p>
        </w:tc>
        <w:tc>
          <w:tcPr>
            <w:tcW w:w="5276" w:type="dxa"/>
          </w:tcPr>
          <w:p w14:paraId="3195A2CC" w14:textId="77777777" w:rsidR="00DE061D" w:rsidRDefault="004F4DD3" w:rsidP="00DE061D">
            <w:pPr>
              <w:shd w:val="clear" w:color="auto" w:fill="FFFFFF"/>
              <w:rPr>
                <w:rFonts w:ascii="Arial" w:eastAsia="Calibri" w:hAnsi="Arial" w:cs="Arial"/>
                <w:sz w:val="20"/>
                <w:szCs w:val="20"/>
                <w:lang w:val="en-GB"/>
              </w:rPr>
            </w:pPr>
            <w:r>
              <w:rPr>
                <w:rFonts w:ascii="Arial" w:eastAsia="Calibri" w:hAnsi="Arial" w:cs="Arial"/>
                <w:sz w:val="20"/>
                <w:szCs w:val="20"/>
                <w:lang w:val="en-GB"/>
              </w:rPr>
              <w:t>the main presentation of MDS as mention in the case presentation</w:t>
            </w:r>
            <w:r w:rsidR="00DE061D">
              <w:rPr>
                <w:rFonts w:ascii="Arial" w:eastAsia="Calibri" w:hAnsi="Arial" w:cs="Arial"/>
                <w:sz w:val="20"/>
                <w:szCs w:val="20"/>
                <w:lang w:val="en-GB"/>
              </w:rPr>
              <w:t xml:space="preserve"> section </w:t>
            </w:r>
            <w:r>
              <w:rPr>
                <w:rFonts w:ascii="Arial" w:eastAsia="Calibri" w:hAnsi="Arial" w:cs="Arial"/>
                <w:sz w:val="20"/>
                <w:szCs w:val="20"/>
                <w:lang w:val="en-GB"/>
              </w:rPr>
              <w:t xml:space="preserve"> was pancytopenia </w:t>
            </w:r>
            <w:r w:rsidR="00DE061D">
              <w:rPr>
                <w:rFonts w:ascii="Arial" w:eastAsia="Calibri" w:hAnsi="Arial" w:cs="Arial"/>
                <w:sz w:val="20"/>
                <w:szCs w:val="20"/>
                <w:lang w:val="en-GB"/>
              </w:rPr>
              <w:t xml:space="preserve">confirmed by bone marrow analysis. </w:t>
            </w:r>
          </w:p>
          <w:p w14:paraId="38825262" w14:textId="77777777" w:rsidR="00DE061D" w:rsidRDefault="00DE061D" w:rsidP="00DE061D">
            <w:pPr>
              <w:shd w:val="clear" w:color="auto" w:fill="FFFFFF"/>
              <w:rPr>
                <w:rFonts w:ascii="Arial" w:eastAsia="Calibri" w:hAnsi="Arial" w:cs="Arial"/>
                <w:sz w:val="20"/>
                <w:szCs w:val="20"/>
                <w:lang w:val="en-GB"/>
              </w:rPr>
            </w:pPr>
            <w:r>
              <w:rPr>
                <w:rFonts w:ascii="Arial" w:eastAsia="Calibri" w:hAnsi="Arial" w:cs="Arial"/>
                <w:sz w:val="20"/>
                <w:szCs w:val="20"/>
                <w:lang w:val="en-GB"/>
              </w:rPr>
              <w:t>In the discussion section:</w:t>
            </w:r>
          </w:p>
          <w:p w14:paraId="579726EC" w14:textId="1E877C36" w:rsidR="00DE061D" w:rsidRPr="00DE061D" w:rsidRDefault="00DE061D" w:rsidP="00DE061D">
            <w:pPr>
              <w:shd w:val="clear" w:color="auto" w:fill="FFFFFF"/>
              <w:rPr>
                <w:rFonts w:ascii="Arial" w:eastAsia="Calibri" w:hAnsi="Arial" w:cs="Arial"/>
                <w:sz w:val="20"/>
                <w:szCs w:val="20"/>
                <w:lang w:val="en-GB"/>
              </w:rPr>
            </w:pPr>
            <w:r w:rsidRPr="00DE061D">
              <w:rPr>
                <w:rFonts w:ascii="Arial" w:hAnsi="Arial"/>
                <w:color w:val="FF0000"/>
                <w:kern w:val="0"/>
                <w:sz w:val="20"/>
                <w:szCs w:val="20"/>
                <w:lang w:val="en-GB"/>
              </w:rPr>
              <w:t xml:space="preserve">Our case presented </w:t>
            </w:r>
            <w:r w:rsidRPr="00DE061D">
              <w:rPr>
                <w:rFonts w:ascii="Arial" w:hAnsi="Arial"/>
                <w:color w:val="FF0000"/>
                <w:sz w:val="20"/>
                <w:szCs w:val="20"/>
                <w:lang w:val="en-GB"/>
              </w:rPr>
              <w:t>dysplastic changes affecting &gt; 10% cells of all lines, absent blasts, slight reticulin densification and no evidence of malignant cellular infiltration. The patient had no genetic mutation nor a history of familial similar cases, absent current history of exposure to alcoholism, drugs or occupational risk factors. The patient was diagnosed as morphologically defined myelodysplastic syndrome (MDS) with low blasts according to the 2023 WHO classification criteria, at an intermediate estimated Revised International Prognostic Scoring System risk (IPSS-R) and an intermediate comorbidity risk</w:t>
            </w:r>
            <w:r w:rsidRPr="00DE061D">
              <w:rPr>
                <w:rFonts w:ascii="Arial" w:hAnsi="Arial"/>
                <w:b/>
                <w:bCs/>
                <w:color w:val="FF0000"/>
                <w:sz w:val="20"/>
                <w:szCs w:val="20"/>
                <w:vertAlign w:val="superscript"/>
                <w:lang w:val="en-GB"/>
              </w:rPr>
              <w:t>[8-9]</w:t>
            </w:r>
            <w:r w:rsidRPr="00DE061D">
              <w:rPr>
                <w:rFonts w:ascii="Arial" w:hAnsi="Arial"/>
                <w:color w:val="4EA72E" w:themeColor="accent6"/>
                <w:sz w:val="20"/>
                <w:szCs w:val="20"/>
                <w:lang w:val="en-GB"/>
              </w:rPr>
              <w:t>.</w:t>
            </w:r>
          </w:p>
        </w:tc>
      </w:tr>
    </w:tbl>
    <w:p w14:paraId="4078EDBF" w14:textId="77777777" w:rsidR="005536FB" w:rsidRDefault="005536FB">
      <w:pPr>
        <w:rPr>
          <w:lang w:val="en-GB"/>
        </w:rPr>
      </w:pPr>
    </w:p>
    <w:p w14:paraId="7E5F5858" w14:textId="11EA48F3" w:rsidR="00DE061D" w:rsidRDefault="00DE061D" w:rsidP="00DE061D">
      <w:pPr>
        <w:jc w:val="center"/>
        <w:rPr>
          <w:rFonts w:ascii="Arial" w:hAnsi="Arial"/>
          <w:b/>
          <w:bCs/>
          <w:sz w:val="20"/>
          <w:szCs w:val="20"/>
          <w:lang w:val="en-GB"/>
        </w:rPr>
      </w:pPr>
      <w:r w:rsidRPr="007F5CB0">
        <w:rPr>
          <w:rFonts w:ascii="Arial" w:hAnsi="Arial"/>
          <w:b/>
          <w:bCs/>
          <w:sz w:val="20"/>
          <w:szCs w:val="20"/>
          <w:lang w:val="en-GB"/>
        </w:rPr>
        <w:t>Reply to comments of Reviewer</w:t>
      </w:r>
      <w:r>
        <w:rPr>
          <w:rFonts w:ascii="Arial" w:hAnsi="Arial"/>
          <w:b/>
          <w:bCs/>
          <w:sz w:val="20"/>
          <w:szCs w:val="20"/>
          <w:lang w:val="en-GB"/>
        </w:rPr>
        <w:t xml:space="preserve"> 2</w:t>
      </w:r>
      <w:r w:rsidRPr="007F5CB0">
        <w:rPr>
          <w:rFonts w:ascii="Arial" w:hAnsi="Arial"/>
          <w:b/>
          <w:bCs/>
          <w:sz w:val="20"/>
          <w:szCs w:val="20"/>
          <w:lang w:val="en-GB"/>
        </w:rPr>
        <w:t>:</w:t>
      </w:r>
    </w:p>
    <w:tbl>
      <w:tblPr>
        <w:tblStyle w:val="TableGrid"/>
        <w:tblW w:w="0" w:type="auto"/>
        <w:tblLook w:val="04A0" w:firstRow="1" w:lastRow="0" w:firstColumn="1" w:lastColumn="0" w:noHBand="0" w:noVBand="1"/>
      </w:tblPr>
      <w:tblGrid>
        <w:gridCol w:w="4519"/>
        <w:gridCol w:w="4543"/>
      </w:tblGrid>
      <w:tr w:rsidR="00DE061D" w:rsidRPr="00584573" w14:paraId="6E5BCBF0" w14:textId="77777777" w:rsidTr="00DE061D">
        <w:tc>
          <w:tcPr>
            <w:tcW w:w="4606" w:type="dxa"/>
          </w:tcPr>
          <w:p w14:paraId="0E83B914" w14:textId="2975B64E" w:rsidR="00DE061D" w:rsidRPr="00DE061D" w:rsidRDefault="00DE061D" w:rsidP="00DE061D">
            <w:pPr>
              <w:rPr>
                <w:lang w:val="en-GB"/>
              </w:rPr>
            </w:pPr>
            <w:r w:rsidRPr="00DE061D">
              <w:rPr>
                <w:lang w:val="en-GB"/>
              </w:rPr>
              <w:t>Please check the author names</w:t>
            </w:r>
          </w:p>
        </w:tc>
        <w:tc>
          <w:tcPr>
            <w:tcW w:w="4606" w:type="dxa"/>
          </w:tcPr>
          <w:p w14:paraId="655EEF53" w14:textId="77777777" w:rsidR="00DE061D" w:rsidRPr="00DE061D" w:rsidRDefault="00DE061D" w:rsidP="00DE061D">
            <w:pPr>
              <w:rPr>
                <w:rFonts w:ascii="Arial" w:hAnsi="Arial"/>
                <w:sz w:val="20"/>
                <w:szCs w:val="20"/>
                <w:lang w:val="en-GB"/>
              </w:rPr>
            </w:pPr>
            <w:r w:rsidRPr="00DE061D">
              <w:rPr>
                <w:rFonts w:ascii="Arial" w:hAnsi="Arial"/>
                <w:b/>
                <w:bCs/>
                <w:sz w:val="20"/>
                <w:szCs w:val="20"/>
                <w:lang w:val="en-GB"/>
              </w:rPr>
              <w:t>Thouraya Soualah,</w:t>
            </w:r>
            <w:r w:rsidRPr="00DE061D">
              <w:rPr>
                <w:rFonts w:ascii="Arial" w:hAnsi="Arial"/>
                <w:sz w:val="20"/>
                <w:szCs w:val="20"/>
                <w:vertAlign w:val="superscript"/>
                <w:lang w:val="en-GB"/>
              </w:rPr>
              <w:t xml:space="preserve"> </w:t>
            </w:r>
            <w:r w:rsidRPr="00DE061D">
              <w:rPr>
                <w:rFonts w:ascii="Arial" w:hAnsi="Arial"/>
                <w:b/>
                <w:bCs/>
                <w:sz w:val="20"/>
                <w:szCs w:val="20"/>
                <w:lang w:val="en-GB"/>
              </w:rPr>
              <w:t xml:space="preserve">Mustapha </w:t>
            </w:r>
            <w:proofErr w:type="spellStart"/>
            <w:r w:rsidRPr="00DE061D">
              <w:rPr>
                <w:rFonts w:ascii="Arial" w:hAnsi="Arial"/>
                <w:b/>
                <w:bCs/>
                <w:sz w:val="20"/>
                <w:szCs w:val="20"/>
                <w:lang w:val="en-GB"/>
              </w:rPr>
              <w:t>Lahcene</w:t>
            </w:r>
            <w:proofErr w:type="spellEnd"/>
            <w:r w:rsidRPr="00DE061D">
              <w:rPr>
                <w:rFonts w:ascii="Arial" w:hAnsi="Arial"/>
                <w:b/>
                <w:bCs/>
                <w:sz w:val="20"/>
                <w:szCs w:val="20"/>
                <w:lang w:val="en-GB"/>
              </w:rPr>
              <w:t>, Lynda Chikhi, Fatima Zohra Sadar</w:t>
            </w:r>
            <w:r w:rsidRPr="00DE061D">
              <w:rPr>
                <w:rFonts w:ascii="Arial" w:hAnsi="Arial"/>
                <w:sz w:val="20"/>
                <w:szCs w:val="20"/>
                <w:lang w:val="en-GB"/>
              </w:rPr>
              <w:t>.</w:t>
            </w:r>
          </w:p>
          <w:p w14:paraId="6E5FDADA" w14:textId="77777777" w:rsidR="00DE061D" w:rsidRDefault="00DE061D">
            <w:pPr>
              <w:rPr>
                <w:lang w:val="en-GB"/>
              </w:rPr>
            </w:pPr>
          </w:p>
        </w:tc>
      </w:tr>
      <w:tr w:rsidR="00DE061D" w:rsidRPr="00584573" w14:paraId="621CF2FF" w14:textId="77777777" w:rsidTr="00DE061D">
        <w:tc>
          <w:tcPr>
            <w:tcW w:w="4606" w:type="dxa"/>
          </w:tcPr>
          <w:p w14:paraId="52ABA202" w14:textId="3AA04D59" w:rsidR="00DE061D" w:rsidRPr="00DE061D" w:rsidRDefault="00DE061D" w:rsidP="00DE061D">
            <w:pPr>
              <w:rPr>
                <w:lang w:val="en-GB"/>
              </w:rPr>
            </w:pPr>
            <w:r w:rsidRPr="00DE061D">
              <w:rPr>
                <w:lang w:val="en-GB"/>
              </w:rPr>
              <w:t> Please include up to 10 keywords in your revised manuscrip</w:t>
            </w:r>
          </w:p>
        </w:tc>
        <w:tc>
          <w:tcPr>
            <w:tcW w:w="4606" w:type="dxa"/>
          </w:tcPr>
          <w:p w14:paraId="5DDFF5A4" w14:textId="77777777" w:rsidR="00DE061D" w:rsidRPr="00DE061D" w:rsidRDefault="00DE061D" w:rsidP="00DE061D">
            <w:pPr>
              <w:shd w:val="clear" w:color="auto" w:fill="FFFFFF"/>
              <w:rPr>
                <w:rFonts w:ascii="Arial" w:hAnsi="Arial"/>
                <w:sz w:val="20"/>
                <w:szCs w:val="20"/>
                <w:lang w:val="en-GB"/>
              </w:rPr>
            </w:pPr>
            <w:r w:rsidRPr="00DE061D">
              <w:rPr>
                <w:rFonts w:ascii="Arial" w:hAnsi="Arial"/>
                <w:b/>
                <w:bCs/>
                <w:sz w:val="20"/>
                <w:szCs w:val="20"/>
                <w:lang w:val="en-GB"/>
              </w:rPr>
              <w:t xml:space="preserve">Key words: </w:t>
            </w:r>
            <w:r w:rsidRPr="00DE061D">
              <w:rPr>
                <w:rFonts w:ascii="Arial" w:hAnsi="Arial"/>
                <w:sz w:val="20"/>
                <w:szCs w:val="20"/>
                <w:lang w:val="en-GB"/>
              </w:rPr>
              <w:t>Chronic</w:t>
            </w:r>
            <w:r w:rsidRPr="00DE061D">
              <w:rPr>
                <w:rFonts w:ascii="Arial" w:hAnsi="Arial"/>
                <w:b/>
                <w:bCs/>
                <w:sz w:val="20"/>
                <w:szCs w:val="20"/>
                <w:lang w:val="en-GB"/>
              </w:rPr>
              <w:t xml:space="preserve"> </w:t>
            </w:r>
            <w:r w:rsidRPr="00DE061D">
              <w:rPr>
                <w:rFonts w:ascii="Arial" w:hAnsi="Arial"/>
                <w:sz w:val="20"/>
                <w:szCs w:val="20"/>
                <w:lang w:val="en-GB"/>
              </w:rPr>
              <w:t>hepatitis C; Myelodysplastic neoplasm</w:t>
            </w:r>
            <w:r w:rsidRPr="00DE061D">
              <w:rPr>
                <w:rFonts w:ascii="Arial" w:hAnsi="Arial"/>
                <w:color w:val="FF0000"/>
                <w:sz w:val="20"/>
                <w:szCs w:val="20"/>
                <w:lang w:val="en-GB"/>
              </w:rPr>
              <w:t xml:space="preserve">; Liver cirrhosis; </w:t>
            </w:r>
            <w:r w:rsidRPr="00DE061D">
              <w:rPr>
                <w:rFonts w:ascii="Arial" w:hAnsi="Arial"/>
                <w:sz w:val="20"/>
                <w:szCs w:val="20"/>
                <w:lang w:val="en-GB"/>
              </w:rPr>
              <w:t>Pancytopenia; Haematological manifestations</w:t>
            </w:r>
            <w:r w:rsidRPr="00DE061D">
              <w:rPr>
                <w:rFonts w:ascii="Arial" w:hAnsi="Arial"/>
                <w:color w:val="FF0000"/>
                <w:sz w:val="20"/>
                <w:szCs w:val="20"/>
                <w:lang w:val="en-GB"/>
              </w:rPr>
              <w:t xml:space="preserve">; </w:t>
            </w:r>
            <w:proofErr w:type="spellStart"/>
            <w:r w:rsidRPr="00DE061D">
              <w:rPr>
                <w:rFonts w:ascii="Arial" w:hAnsi="Arial"/>
                <w:color w:val="FF0000"/>
                <w:sz w:val="20"/>
                <w:szCs w:val="20"/>
                <w:lang w:val="en-GB"/>
              </w:rPr>
              <w:t>Lymphoprolefirative</w:t>
            </w:r>
            <w:proofErr w:type="spellEnd"/>
            <w:r w:rsidRPr="00DE061D">
              <w:rPr>
                <w:rFonts w:ascii="Arial" w:hAnsi="Arial"/>
                <w:color w:val="FF0000"/>
                <w:sz w:val="20"/>
                <w:szCs w:val="20"/>
                <w:lang w:val="en-GB"/>
              </w:rPr>
              <w:t xml:space="preserve"> disorders; Myelogenous disorders</w:t>
            </w:r>
            <w:r w:rsidRPr="00DE061D">
              <w:rPr>
                <w:rFonts w:ascii="Arial" w:hAnsi="Arial"/>
                <w:sz w:val="20"/>
                <w:szCs w:val="20"/>
                <w:lang w:val="en-GB"/>
              </w:rPr>
              <w:t>; Direct acting antiviral drugs.</w:t>
            </w:r>
          </w:p>
          <w:p w14:paraId="1D730F41" w14:textId="77777777" w:rsidR="00DE061D" w:rsidRDefault="00DE061D">
            <w:pPr>
              <w:rPr>
                <w:lang w:val="en-GB"/>
              </w:rPr>
            </w:pPr>
          </w:p>
        </w:tc>
      </w:tr>
      <w:tr w:rsidR="00DE061D" w:rsidRPr="00584573" w14:paraId="76370066" w14:textId="77777777" w:rsidTr="00DE061D">
        <w:tc>
          <w:tcPr>
            <w:tcW w:w="4606" w:type="dxa"/>
          </w:tcPr>
          <w:p w14:paraId="0BA31E4C" w14:textId="52E5F34C" w:rsidR="00DE061D" w:rsidRPr="00DE061D" w:rsidRDefault="00DE061D" w:rsidP="00DE061D">
            <w:pPr>
              <w:rPr>
                <w:lang w:val="en-GB"/>
              </w:rPr>
            </w:pPr>
            <w:r w:rsidRPr="00DE061D">
              <w:rPr>
                <w:lang w:val="en-GB"/>
              </w:rPr>
              <w:t> Please amend the references as per the author's guidelines</w:t>
            </w:r>
          </w:p>
        </w:tc>
        <w:tc>
          <w:tcPr>
            <w:tcW w:w="4606" w:type="dxa"/>
          </w:tcPr>
          <w:p w14:paraId="6800FEDF" w14:textId="77777777" w:rsidR="00DE061D" w:rsidRPr="00BB7DA4" w:rsidRDefault="00DE061D" w:rsidP="00DE061D">
            <w:pPr>
              <w:shd w:val="clear" w:color="auto" w:fill="FFFFFF"/>
              <w:rPr>
                <w:rFonts w:ascii="Arial" w:hAnsi="Arial"/>
                <w:b/>
                <w:bCs/>
                <w:sz w:val="20"/>
                <w:szCs w:val="20"/>
              </w:rPr>
            </w:pPr>
            <w:proofErr w:type="spellStart"/>
            <w:r w:rsidRPr="00BB7DA4">
              <w:rPr>
                <w:rFonts w:ascii="Arial" w:hAnsi="Arial"/>
                <w:b/>
                <w:bCs/>
                <w:sz w:val="20"/>
                <w:szCs w:val="20"/>
              </w:rPr>
              <w:t>References</w:t>
            </w:r>
            <w:proofErr w:type="spellEnd"/>
            <w:r w:rsidRPr="00BB7DA4">
              <w:rPr>
                <w:rFonts w:ascii="Arial" w:hAnsi="Arial"/>
                <w:b/>
                <w:bCs/>
                <w:sz w:val="20"/>
                <w:szCs w:val="20"/>
              </w:rPr>
              <w:t xml:space="preserve"> </w:t>
            </w:r>
          </w:p>
          <w:p w14:paraId="093E944C" w14:textId="77777777" w:rsidR="00DE061D" w:rsidRPr="00A503FA" w:rsidRDefault="00DE061D" w:rsidP="00DE061D">
            <w:pPr>
              <w:pStyle w:val="NormalWeb"/>
              <w:numPr>
                <w:ilvl w:val="0"/>
                <w:numId w:val="1"/>
              </w:numPr>
              <w:spacing w:before="0" w:beforeAutospacing="0" w:after="0" w:afterAutospacing="0"/>
              <w:rPr>
                <w:rFonts w:ascii="Arial" w:hAnsi="Arial" w:cs="Arial"/>
                <w:color w:val="FF0000"/>
                <w:sz w:val="20"/>
                <w:szCs w:val="20"/>
              </w:rPr>
            </w:pPr>
            <w:proofErr w:type="spellStart"/>
            <w:r w:rsidRPr="00A503FA">
              <w:rPr>
                <w:rFonts w:ascii="Arial" w:hAnsi="Arial" w:cs="Arial"/>
                <w:color w:val="FF0000"/>
                <w:sz w:val="20"/>
                <w:szCs w:val="20"/>
              </w:rPr>
              <w:t>Songtanin</w:t>
            </w:r>
            <w:proofErr w:type="spellEnd"/>
            <w:r w:rsidRPr="00A503FA">
              <w:rPr>
                <w:rFonts w:ascii="Arial" w:hAnsi="Arial" w:cs="Arial"/>
                <w:color w:val="FF0000"/>
                <w:sz w:val="20"/>
                <w:szCs w:val="20"/>
              </w:rPr>
              <w:t xml:space="preserve"> B</w:t>
            </w:r>
            <w:r>
              <w:rPr>
                <w:rFonts w:ascii="Arial" w:hAnsi="Arial" w:cs="Arial"/>
                <w:color w:val="FF0000"/>
                <w:sz w:val="20"/>
                <w:szCs w:val="20"/>
              </w:rPr>
              <w:t xml:space="preserve"> and </w:t>
            </w:r>
            <w:r w:rsidRPr="00A503FA">
              <w:rPr>
                <w:rFonts w:ascii="Arial" w:hAnsi="Arial" w:cs="Arial"/>
                <w:color w:val="FF0000"/>
                <w:sz w:val="20"/>
                <w:szCs w:val="20"/>
              </w:rPr>
              <w:t>Nugent K. Burden, Outcome, and Comorbidities of Extrahepatic Manifestations in Hepatitis C Virus Infection. Biology 2023;12:1-23.</w:t>
            </w:r>
          </w:p>
          <w:p w14:paraId="40CBCE93" w14:textId="77777777" w:rsidR="00DE061D" w:rsidRPr="00A503FA" w:rsidRDefault="00DE061D" w:rsidP="00DE061D">
            <w:pPr>
              <w:pStyle w:val="NormalWeb"/>
              <w:numPr>
                <w:ilvl w:val="0"/>
                <w:numId w:val="1"/>
              </w:numPr>
              <w:spacing w:before="0" w:beforeAutospacing="0"/>
              <w:rPr>
                <w:rFonts w:ascii="Arial" w:hAnsi="Arial" w:cs="Arial"/>
                <w:color w:val="FF0000"/>
                <w:sz w:val="20"/>
                <w:szCs w:val="20"/>
              </w:rPr>
            </w:pPr>
            <w:proofErr w:type="spellStart"/>
            <w:r w:rsidRPr="00A503FA">
              <w:rPr>
                <w:rFonts w:ascii="Arial" w:hAnsi="Arial" w:cs="Arial"/>
                <w:color w:val="FF0000"/>
                <w:sz w:val="20"/>
                <w:szCs w:val="20"/>
              </w:rPr>
              <w:t>Cacoub</w:t>
            </w:r>
            <w:proofErr w:type="spellEnd"/>
            <w:r w:rsidRPr="00A503FA">
              <w:rPr>
                <w:rFonts w:ascii="Arial" w:hAnsi="Arial" w:cs="Arial"/>
                <w:color w:val="FF0000"/>
                <w:sz w:val="20"/>
                <w:szCs w:val="20"/>
              </w:rPr>
              <w:t xml:space="preserve"> P, </w:t>
            </w:r>
            <w:proofErr w:type="spellStart"/>
            <w:r w:rsidRPr="00A503FA">
              <w:rPr>
                <w:rFonts w:ascii="Arial" w:hAnsi="Arial" w:cs="Arial"/>
                <w:color w:val="FF0000"/>
                <w:sz w:val="20"/>
                <w:szCs w:val="20"/>
              </w:rPr>
              <w:t>Comarmond</w:t>
            </w:r>
            <w:proofErr w:type="spellEnd"/>
            <w:r w:rsidRPr="00A503FA">
              <w:rPr>
                <w:rFonts w:ascii="Arial" w:hAnsi="Arial" w:cs="Arial"/>
                <w:color w:val="FF0000"/>
                <w:sz w:val="20"/>
                <w:szCs w:val="20"/>
              </w:rPr>
              <w:t xml:space="preserve"> C, Vieira M,</w:t>
            </w:r>
            <w:r w:rsidRPr="00A503FA">
              <w:rPr>
                <w:rFonts w:ascii="Arial" w:eastAsia="Calibri" w:hAnsi="Arial" w:cs="Arial"/>
                <w:color w:val="FF0000"/>
                <w:kern w:val="2"/>
                <w:sz w:val="30"/>
                <w:szCs w:val="30"/>
                <w:shd w:val="clear" w:color="auto" w:fill="FFFFFF"/>
                <w:lang w:eastAsia="en-US"/>
              </w:rPr>
              <w:t xml:space="preserve"> </w:t>
            </w:r>
            <w:r w:rsidRPr="00A503FA">
              <w:rPr>
                <w:rFonts w:ascii="Arial" w:hAnsi="Arial" w:cs="Arial"/>
                <w:color w:val="FF0000"/>
                <w:sz w:val="20"/>
                <w:szCs w:val="20"/>
              </w:rPr>
              <w:t>Régnier P</w:t>
            </w:r>
            <w:r>
              <w:rPr>
                <w:rFonts w:ascii="Arial" w:hAnsi="Arial" w:cs="Arial"/>
                <w:color w:val="FF0000"/>
                <w:sz w:val="20"/>
                <w:szCs w:val="20"/>
              </w:rPr>
              <w:t xml:space="preserve"> and </w:t>
            </w:r>
            <w:r w:rsidRPr="00A503FA">
              <w:rPr>
                <w:rFonts w:ascii="Arial" w:hAnsi="Arial" w:cs="Arial"/>
                <w:color w:val="FF0000"/>
                <w:sz w:val="20"/>
                <w:szCs w:val="20"/>
              </w:rPr>
              <w:t xml:space="preserve">Saadoun D. HCV-related lymphoproliferative disorders in the direct-acting antiviral era: From mixed </w:t>
            </w:r>
            <w:proofErr w:type="spellStart"/>
            <w:r w:rsidRPr="00A503FA">
              <w:rPr>
                <w:rFonts w:ascii="Arial" w:hAnsi="Arial" w:cs="Arial"/>
                <w:color w:val="FF0000"/>
                <w:sz w:val="20"/>
                <w:szCs w:val="20"/>
              </w:rPr>
              <w:t>cryoglobulinaemia</w:t>
            </w:r>
            <w:proofErr w:type="spellEnd"/>
            <w:r w:rsidRPr="00A503FA">
              <w:rPr>
                <w:rFonts w:ascii="Arial" w:hAnsi="Arial" w:cs="Arial"/>
                <w:color w:val="FF0000"/>
                <w:sz w:val="20"/>
                <w:szCs w:val="20"/>
              </w:rPr>
              <w:t xml:space="preserve"> to B-cell lymphoma. J Hepatology 2022;76: 174–185.</w:t>
            </w:r>
          </w:p>
          <w:p w14:paraId="65C0A242" w14:textId="77777777" w:rsidR="00DE061D" w:rsidRPr="00A503FA" w:rsidRDefault="00DE061D" w:rsidP="00DE061D">
            <w:pPr>
              <w:pStyle w:val="NormalWeb"/>
              <w:numPr>
                <w:ilvl w:val="0"/>
                <w:numId w:val="1"/>
              </w:numPr>
              <w:rPr>
                <w:rFonts w:ascii="Arial" w:hAnsi="Arial" w:cs="Arial"/>
                <w:color w:val="FF0000"/>
                <w:sz w:val="20"/>
                <w:szCs w:val="20"/>
              </w:rPr>
            </w:pPr>
            <w:r w:rsidRPr="00775ECF">
              <w:rPr>
                <w:rFonts w:ascii="Arial" w:hAnsi="Arial" w:cs="Arial"/>
                <w:color w:val="FF0000"/>
                <w:sz w:val="20"/>
                <w:szCs w:val="20"/>
                <w:lang w:val="fr-FR"/>
              </w:rPr>
              <w:t xml:space="preserve">Salama II, </w:t>
            </w:r>
            <w:proofErr w:type="spellStart"/>
            <w:r w:rsidRPr="00775ECF">
              <w:rPr>
                <w:rFonts w:ascii="Arial" w:hAnsi="Arial" w:cs="Arial"/>
                <w:color w:val="FF0000"/>
                <w:sz w:val="20"/>
                <w:szCs w:val="20"/>
                <w:lang w:val="fr-FR"/>
              </w:rPr>
              <w:t>Raslan</w:t>
            </w:r>
            <w:proofErr w:type="spellEnd"/>
            <w:r w:rsidRPr="00775ECF">
              <w:rPr>
                <w:rFonts w:ascii="Arial" w:hAnsi="Arial" w:cs="Arial"/>
                <w:color w:val="FF0000"/>
                <w:sz w:val="20"/>
                <w:szCs w:val="20"/>
                <w:lang w:val="fr-FR"/>
              </w:rPr>
              <w:t xml:space="preserve"> MH, </w:t>
            </w:r>
            <w:proofErr w:type="spellStart"/>
            <w:r w:rsidRPr="00775ECF">
              <w:rPr>
                <w:rFonts w:ascii="Arial" w:hAnsi="Arial" w:cs="Arial"/>
                <w:color w:val="FF0000"/>
                <w:sz w:val="20"/>
                <w:szCs w:val="20"/>
                <w:lang w:val="fr-FR"/>
              </w:rPr>
              <w:t>Abdel-Latif</w:t>
            </w:r>
            <w:proofErr w:type="spellEnd"/>
            <w:r w:rsidRPr="00775ECF">
              <w:rPr>
                <w:rFonts w:ascii="Arial" w:hAnsi="Arial" w:cs="Arial"/>
                <w:color w:val="FF0000"/>
                <w:sz w:val="20"/>
                <w:szCs w:val="20"/>
                <w:lang w:val="fr-FR"/>
              </w:rPr>
              <w:t xml:space="preserve"> AG</w:t>
            </w:r>
            <w:r>
              <w:rPr>
                <w:rFonts w:ascii="Arial" w:hAnsi="Arial" w:cs="Arial"/>
                <w:color w:val="FF0000"/>
                <w:sz w:val="20"/>
                <w:szCs w:val="20"/>
                <w:lang w:val="fr-FR"/>
              </w:rPr>
              <w:t xml:space="preserve"> </w:t>
            </w:r>
            <w:r w:rsidRPr="00775ECF">
              <w:rPr>
                <w:rFonts w:ascii="Arial" w:hAnsi="Arial" w:cs="Arial"/>
                <w:color w:val="FF0000"/>
                <w:sz w:val="20"/>
                <w:szCs w:val="20"/>
                <w:lang w:val="fr-FR"/>
              </w:rPr>
              <w:t xml:space="preserve">et al. </w:t>
            </w:r>
            <w:r w:rsidRPr="00A503FA">
              <w:rPr>
                <w:rFonts w:ascii="Arial" w:hAnsi="Arial" w:cs="Arial"/>
                <w:color w:val="FF0000"/>
                <w:sz w:val="20"/>
                <w:szCs w:val="20"/>
              </w:rPr>
              <w:t>Impact of direct-acting antiviral regimens on hepatic and extrahepatic manifestations of hepatitis C virus infection. World J Hepatol 2022;14:1053-1073.</w:t>
            </w:r>
          </w:p>
          <w:p w14:paraId="2A1DBB68" w14:textId="77777777" w:rsidR="00DE061D" w:rsidRPr="00BB7DA4" w:rsidRDefault="00DE061D" w:rsidP="00DE061D">
            <w:pPr>
              <w:pStyle w:val="ListParagraph"/>
              <w:numPr>
                <w:ilvl w:val="0"/>
                <w:numId w:val="1"/>
              </w:numPr>
              <w:rPr>
                <w:rFonts w:ascii="Arial" w:hAnsi="Arial"/>
                <w:sz w:val="20"/>
                <w:szCs w:val="20"/>
              </w:rPr>
            </w:pPr>
            <w:proofErr w:type="spellStart"/>
            <w:r w:rsidRPr="00775ECF">
              <w:rPr>
                <w:rFonts w:ascii="Arial" w:hAnsi="Arial"/>
                <w:color w:val="FF0000"/>
                <w:sz w:val="20"/>
                <w:szCs w:val="20"/>
              </w:rPr>
              <w:t>Mazzaro</w:t>
            </w:r>
            <w:proofErr w:type="spellEnd"/>
            <w:r w:rsidRPr="00775ECF">
              <w:rPr>
                <w:rFonts w:ascii="Arial" w:hAnsi="Arial"/>
                <w:color w:val="FF0000"/>
                <w:sz w:val="20"/>
                <w:szCs w:val="20"/>
              </w:rPr>
              <w:t xml:space="preserve"> C, </w:t>
            </w:r>
            <w:proofErr w:type="spellStart"/>
            <w:r w:rsidRPr="00775ECF">
              <w:rPr>
                <w:rFonts w:ascii="Arial" w:hAnsi="Arial"/>
                <w:color w:val="FF0000"/>
                <w:sz w:val="20"/>
                <w:szCs w:val="20"/>
              </w:rPr>
              <w:t>Quartuccio</w:t>
            </w:r>
            <w:proofErr w:type="spellEnd"/>
            <w:r w:rsidRPr="00775ECF">
              <w:rPr>
                <w:rFonts w:ascii="Arial" w:hAnsi="Arial"/>
                <w:color w:val="FF0000"/>
                <w:sz w:val="20"/>
                <w:szCs w:val="20"/>
              </w:rPr>
              <w:t xml:space="preserve"> L, </w:t>
            </w:r>
            <w:proofErr w:type="spellStart"/>
            <w:r w:rsidRPr="00775ECF">
              <w:rPr>
                <w:rFonts w:ascii="Arial" w:hAnsi="Arial"/>
                <w:color w:val="FF0000"/>
                <w:sz w:val="20"/>
                <w:szCs w:val="20"/>
              </w:rPr>
              <w:t>Adinolf</w:t>
            </w:r>
            <w:proofErr w:type="spellEnd"/>
            <w:r w:rsidRPr="00775ECF">
              <w:rPr>
                <w:rFonts w:ascii="Arial" w:hAnsi="Arial"/>
                <w:color w:val="FF0000"/>
                <w:sz w:val="20"/>
                <w:szCs w:val="20"/>
              </w:rPr>
              <w:t xml:space="preserve"> LE</w:t>
            </w:r>
            <w:r>
              <w:rPr>
                <w:rFonts w:ascii="Arial" w:hAnsi="Arial"/>
                <w:color w:val="FF0000"/>
                <w:sz w:val="20"/>
                <w:szCs w:val="20"/>
              </w:rPr>
              <w:t xml:space="preserve"> </w:t>
            </w:r>
            <w:r w:rsidRPr="00775ECF">
              <w:rPr>
                <w:rFonts w:ascii="Arial" w:hAnsi="Arial"/>
                <w:color w:val="FF0000"/>
                <w:sz w:val="20"/>
                <w:szCs w:val="20"/>
              </w:rPr>
              <w:t xml:space="preserve">et al . </w:t>
            </w:r>
            <w:r w:rsidRPr="00DE061D">
              <w:rPr>
                <w:rFonts w:ascii="Arial" w:hAnsi="Arial"/>
                <w:color w:val="FF0000"/>
                <w:sz w:val="20"/>
                <w:szCs w:val="20"/>
                <w:lang w:val="en-GB"/>
              </w:rPr>
              <w:t xml:space="preserve">A Review on Extrahepatic Manifestations of Chronic Hepatitis C Virus Infection and the Impact of Direct-Acting Antiviral Therapy. </w:t>
            </w:r>
            <w:proofErr w:type="spellStart"/>
            <w:r w:rsidRPr="00237747">
              <w:rPr>
                <w:rFonts w:ascii="Arial" w:hAnsi="Arial"/>
                <w:color w:val="FF0000"/>
                <w:sz w:val="20"/>
                <w:szCs w:val="20"/>
              </w:rPr>
              <w:t>Viruses</w:t>
            </w:r>
            <w:proofErr w:type="spellEnd"/>
            <w:r w:rsidRPr="00237747">
              <w:rPr>
                <w:rFonts w:ascii="Arial" w:hAnsi="Arial"/>
                <w:color w:val="FF0000"/>
                <w:sz w:val="20"/>
                <w:szCs w:val="20"/>
              </w:rPr>
              <w:t xml:space="preserve"> 2021;13:2249</w:t>
            </w:r>
            <w:r w:rsidRPr="00BB7DA4">
              <w:rPr>
                <w:rFonts w:ascii="Arial" w:hAnsi="Arial"/>
                <w:sz w:val="20"/>
                <w:szCs w:val="20"/>
              </w:rPr>
              <w:t>.</w:t>
            </w:r>
          </w:p>
          <w:p w14:paraId="51AB612B" w14:textId="77777777" w:rsidR="00DE061D" w:rsidRPr="0071113E" w:rsidRDefault="00DE061D" w:rsidP="00DE061D">
            <w:pPr>
              <w:pStyle w:val="NormalWeb"/>
              <w:numPr>
                <w:ilvl w:val="0"/>
                <w:numId w:val="1"/>
              </w:numPr>
              <w:spacing w:before="0" w:beforeAutospacing="0" w:after="0" w:afterAutospacing="0"/>
              <w:rPr>
                <w:rFonts w:ascii="Arial" w:hAnsi="Arial" w:cs="Arial"/>
                <w:color w:val="FF0000"/>
                <w:sz w:val="20"/>
                <w:szCs w:val="20"/>
              </w:rPr>
            </w:pPr>
            <w:r w:rsidRPr="0071113E">
              <w:rPr>
                <w:rFonts w:ascii="Arial" w:hAnsi="Arial" w:cs="Arial"/>
                <w:color w:val="FF0000"/>
                <w:sz w:val="20"/>
                <w:szCs w:val="20"/>
              </w:rPr>
              <w:t xml:space="preserve">‌Park H, Chen C, Wang W, </w:t>
            </w:r>
            <w:hyperlink r:id="rId5" w:history="1">
              <w:r w:rsidRPr="0071113E">
                <w:rPr>
                  <w:rFonts w:ascii="Arial" w:hAnsi="Arial" w:cs="Arial"/>
                  <w:color w:val="FF0000"/>
                  <w:sz w:val="20"/>
                  <w:szCs w:val="20"/>
                </w:rPr>
                <w:t>Henry</w:t>
              </w:r>
            </w:hyperlink>
            <w:r w:rsidRPr="0071113E">
              <w:rPr>
                <w:rFonts w:ascii="Arial" w:hAnsi="Arial" w:cs="Arial"/>
                <w:color w:val="FF0000"/>
                <w:sz w:val="20"/>
                <w:szCs w:val="20"/>
              </w:rPr>
              <w:t xml:space="preserve"> L , </w:t>
            </w:r>
            <w:hyperlink r:id="rId6" w:history="1">
              <w:r w:rsidRPr="0071113E">
                <w:rPr>
                  <w:rFonts w:ascii="Arial" w:hAnsi="Arial" w:cs="Arial"/>
                  <w:color w:val="FF0000"/>
                  <w:sz w:val="20"/>
                  <w:szCs w:val="20"/>
                </w:rPr>
                <w:t>Cook</w:t>
              </w:r>
            </w:hyperlink>
            <w:r w:rsidRPr="0071113E">
              <w:rPr>
                <w:rFonts w:ascii="Arial" w:hAnsi="Arial" w:cs="Arial"/>
                <w:color w:val="FF0000"/>
                <w:sz w:val="20"/>
                <w:szCs w:val="20"/>
              </w:rPr>
              <w:t xml:space="preserve"> RL </w:t>
            </w:r>
            <w:r>
              <w:rPr>
                <w:rFonts w:ascii="Arial" w:hAnsi="Arial" w:cs="Arial"/>
                <w:color w:val="FF0000"/>
                <w:sz w:val="20"/>
                <w:szCs w:val="20"/>
              </w:rPr>
              <w:t xml:space="preserve">and </w:t>
            </w:r>
            <w:hyperlink r:id="rId7" w:history="1">
              <w:r w:rsidRPr="0071113E">
                <w:rPr>
                  <w:rFonts w:ascii="Arial" w:hAnsi="Arial" w:cs="Arial"/>
                  <w:color w:val="FF0000"/>
                  <w:sz w:val="20"/>
                  <w:szCs w:val="20"/>
                </w:rPr>
                <w:t>Nelson</w:t>
              </w:r>
            </w:hyperlink>
            <w:r w:rsidRPr="0071113E">
              <w:rPr>
                <w:rFonts w:ascii="Arial" w:hAnsi="Arial" w:cs="Arial"/>
                <w:color w:val="FF0000"/>
                <w:sz w:val="20"/>
                <w:szCs w:val="20"/>
              </w:rPr>
              <w:t xml:space="preserve"> DR. Chronic hepatitis C virus (HCV) Increases the Risk of Chronic Kidney Disease (CKD) While Effective HCV Treatment Decreases the Incidence of CKD. Hepatology 2018;67:492–504. </w:t>
            </w:r>
          </w:p>
          <w:p w14:paraId="36BB870A" w14:textId="77777777" w:rsidR="00DE061D" w:rsidRPr="0071113E" w:rsidRDefault="00DE061D" w:rsidP="00DE061D">
            <w:pPr>
              <w:pStyle w:val="NormalWeb"/>
              <w:numPr>
                <w:ilvl w:val="0"/>
                <w:numId w:val="1"/>
              </w:numPr>
              <w:spacing w:before="0" w:beforeAutospacing="0" w:after="0" w:afterAutospacing="0"/>
              <w:rPr>
                <w:rFonts w:ascii="Arial" w:hAnsi="Arial" w:cs="Arial"/>
                <w:color w:val="FF0000"/>
                <w:sz w:val="20"/>
                <w:szCs w:val="20"/>
              </w:rPr>
            </w:pPr>
            <w:r w:rsidRPr="0071113E">
              <w:rPr>
                <w:rFonts w:ascii="Arial" w:hAnsi="Arial" w:cs="Arial"/>
                <w:color w:val="FF0000"/>
                <w:sz w:val="20"/>
                <w:szCs w:val="20"/>
              </w:rPr>
              <w:t>Pozzato G, Mazzaro C, Maso LD</w:t>
            </w:r>
            <w:r>
              <w:rPr>
                <w:rFonts w:ascii="Arial" w:hAnsi="Arial" w:cs="Arial"/>
                <w:color w:val="FF0000"/>
                <w:sz w:val="20"/>
                <w:szCs w:val="20"/>
              </w:rPr>
              <w:t xml:space="preserve"> </w:t>
            </w:r>
            <w:r w:rsidRPr="0071113E">
              <w:rPr>
                <w:rFonts w:ascii="Arial" w:hAnsi="Arial" w:cs="Arial"/>
                <w:color w:val="FF0000"/>
                <w:sz w:val="20"/>
                <w:szCs w:val="20"/>
              </w:rPr>
              <w:t xml:space="preserve">et al. Hepatitis C virus and non-Hodgkin’s lymphomas: Meta-analysis of epidemiology </w:t>
            </w:r>
            <w:r w:rsidRPr="0071113E">
              <w:rPr>
                <w:rFonts w:ascii="Arial" w:hAnsi="Arial" w:cs="Arial"/>
                <w:color w:val="FF0000"/>
                <w:sz w:val="20"/>
                <w:szCs w:val="20"/>
              </w:rPr>
              <w:lastRenderedPageBreak/>
              <w:t>data and therapy options. World J Hepatol 2016;8:107-116.</w:t>
            </w:r>
          </w:p>
          <w:p w14:paraId="53384AFF" w14:textId="77777777" w:rsidR="00DE061D" w:rsidRPr="0071113E" w:rsidRDefault="00DE061D" w:rsidP="00DE061D">
            <w:pPr>
              <w:pStyle w:val="NormalWeb"/>
              <w:numPr>
                <w:ilvl w:val="0"/>
                <w:numId w:val="1"/>
              </w:numPr>
              <w:spacing w:before="0" w:beforeAutospacing="0" w:after="0" w:afterAutospacing="0"/>
              <w:rPr>
                <w:rFonts w:ascii="Arial" w:hAnsi="Arial" w:cs="Arial"/>
                <w:color w:val="FF0000"/>
                <w:sz w:val="20"/>
                <w:szCs w:val="20"/>
              </w:rPr>
            </w:pPr>
            <w:proofErr w:type="spellStart"/>
            <w:r w:rsidRPr="0071113E">
              <w:rPr>
                <w:rFonts w:ascii="Arial" w:hAnsi="Arial" w:cs="Arial"/>
                <w:color w:val="FF0000"/>
                <w:sz w:val="20"/>
                <w:szCs w:val="20"/>
              </w:rPr>
              <w:t>Cacoub</w:t>
            </w:r>
            <w:proofErr w:type="spellEnd"/>
            <w:r w:rsidRPr="0071113E">
              <w:rPr>
                <w:rFonts w:ascii="Arial" w:hAnsi="Arial" w:cs="Arial"/>
                <w:color w:val="FF0000"/>
                <w:sz w:val="20"/>
                <w:szCs w:val="20"/>
              </w:rPr>
              <w:t xml:space="preserve"> P</w:t>
            </w:r>
            <w:r>
              <w:rPr>
                <w:rFonts w:ascii="Arial" w:hAnsi="Arial" w:cs="Arial"/>
                <w:color w:val="FF0000"/>
                <w:sz w:val="20"/>
                <w:szCs w:val="20"/>
              </w:rPr>
              <w:t xml:space="preserve"> and </w:t>
            </w:r>
            <w:r w:rsidRPr="0071113E">
              <w:rPr>
                <w:rFonts w:ascii="Arial" w:hAnsi="Arial" w:cs="Arial"/>
                <w:color w:val="FF0000"/>
                <w:sz w:val="20"/>
                <w:szCs w:val="20"/>
              </w:rPr>
              <w:t>Rosenthal E. Extrahepatic manifestations in chronic hepatitis C virus carriers.                 Lupus 2015; 24:469–482.</w:t>
            </w:r>
          </w:p>
          <w:p w14:paraId="31A1F39A" w14:textId="77777777" w:rsidR="00DE061D" w:rsidRPr="0071113E" w:rsidRDefault="00DE061D" w:rsidP="00DE061D">
            <w:pPr>
              <w:pStyle w:val="NormalWeb"/>
              <w:numPr>
                <w:ilvl w:val="0"/>
                <w:numId w:val="1"/>
              </w:numPr>
              <w:spacing w:before="0" w:beforeAutospacing="0" w:after="0" w:afterAutospacing="0"/>
              <w:rPr>
                <w:rFonts w:ascii="Arial" w:hAnsi="Arial" w:cs="Arial"/>
                <w:color w:val="FF0000"/>
                <w:sz w:val="20"/>
                <w:szCs w:val="20"/>
              </w:rPr>
            </w:pPr>
            <w:proofErr w:type="spellStart"/>
            <w:r w:rsidRPr="0071113E">
              <w:rPr>
                <w:rFonts w:ascii="Arial" w:hAnsi="Arial" w:cs="Arial"/>
                <w:color w:val="FF0000"/>
                <w:sz w:val="20"/>
                <w:szCs w:val="20"/>
              </w:rPr>
              <w:t>Nachtkamp</w:t>
            </w:r>
            <w:proofErr w:type="spellEnd"/>
            <w:r w:rsidRPr="0071113E">
              <w:rPr>
                <w:rFonts w:ascii="Arial" w:hAnsi="Arial" w:cs="Arial"/>
                <w:color w:val="FF0000"/>
                <w:sz w:val="20"/>
                <w:szCs w:val="20"/>
              </w:rPr>
              <w:t xml:space="preserve"> K, Kobbe G, Gattermann N</w:t>
            </w:r>
            <w:r>
              <w:rPr>
                <w:rFonts w:ascii="Arial" w:hAnsi="Arial" w:cs="Arial"/>
                <w:color w:val="FF0000"/>
                <w:sz w:val="20"/>
                <w:szCs w:val="20"/>
              </w:rPr>
              <w:t xml:space="preserve"> and </w:t>
            </w:r>
            <w:hyperlink r:id="rId8" w:history="1">
              <w:proofErr w:type="spellStart"/>
              <w:r w:rsidRPr="0071113E">
                <w:rPr>
                  <w:rFonts w:ascii="Arial" w:hAnsi="Arial" w:cs="Arial"/>
                  <w:color w:val="FF0000"/>
                  <w:sz w:val="20"/>
                  <w:szCs w:val="20"/>
                </w:rPr>
                <w:t>Germing</w:t>
              </w:r>
              <w:proofErr w:type="spellEnd"/>
            </w:hyperlink>
            <w:r w:rsidRPr="0071113E">
              <w:rPr>
                <w:rFonts w:ascii="Arial" w:hAnsi="Arial" w:cs="Arial"/>
                <w:color w:val="FF0000"/>
                <w:sz w:val="20"/>
                <w:szCs w:val="20"/>
              </w:rPr>
              <w:t xml:space="preserve"> U. Myelodysplastic syndromes: new methods of diagnosis, prognostication, and treatment. </w:t>
            </w:r>
            <w:proofErr w:type="spellStart"/>
            <w:r w:rsidRPr="0071113E">
              <w:rPr>
                <w:rFonts w:ascii="Arial" w:hAnsi="Arial" w:cs="Arial"/>
                <w:color w:val="FF0000"/>
                <w:sz w:val="20"/>
                <w:szCs w:val="20"/>
              </w:rPr>
              <w:t>Dtsch</w:t>
            </w:r>
            <w:proofErr w:type="spellEnd"/>
            <w:r w:rsidRPr="0071113E">
              <w:rPr>
                <w:rFonts w:ascii="Arial" w:hAnsi="Arial" w:cs="Arial"/>
                <w:color w:val="FF0000"/>
                <w:sz w:val="20"/>
                <w:szCs w:val="20"/>
              </w:rPr>
              <w:t xml:space="preserve"> </w:t>
            </w:r>
            <w:proofErr w:type="spellStart"/>
            <w:r w:rsidRPr="0071113E">
              <w:rPr>
                <w:rFonts w:ascii="Arial" w:hAnsi="Arial" w:cs="Arial"/>
                <w:color w:val="FF0000"/>
                <w:sz w:val="20"/>
                <w:szCs w:val="20"/>
              </w:rPr>
              <w:t>Arztebl</w:t>
            </w:r>
            <w:proofErr w:type="spellEnd"/>
            <w:r w:rsidRPr="0071113E">
              <w:rPr>
                <w:rFonts w:ascii="Arial" w:hAnsi="Arial" w:cs="Arial"/>
                <w:color w:val="FF0000"/>
                <w:sz w:val="20"/>
                <w:szCs w:val="20"/>
              </w:rPr>
              <w:t xml:space="preserve"> Int 2023;120:203-10.</w:t>
            </w:r>
          </w:p>
          <w:p w14:paraId="2D0B220E" w14:textId="77777777" w:rsidR="00DE061D" w:rsidRPr="00532E2F" w:rsidRDefault="00DE061D" w:rsidP="00DE061D">
            <w:pPr>
              <w:pStyle w:val="NormalWeb"/>
              <w:numPr>
                <w:ilvl w:val="0"/>
                <w:numId w:val="1"/>
              </w:numPr>
              <w:rPr>
                <w:rFonts w:ascii="Arial" w:hAnsi="Arial" w:cs="Arial"/>
                <w:color w:val="FF0000"/>
                <w:sz w:val="20"/>
                <w:szCs w:val="20"/>
              </w:rPr>
            </w:pPr>
            <w:proofErr w:type="spellStart"/>
            <w:r w:rsidRPr="00127774">
              <w:rPr>
                <w:rFonts w:ascii="Arial" w:hAnsi="Arial" w:cs="Arial"/>
                <w:color w:val="FF0000"/>
                <w:sz w:val="20"/>
                <w:szCs w:val="20"/>
              </w:rPr>
              <w:t>Fenaux</w:t>
            </w:r>
            <w:proofErr w:type="spellEnd"/>
            <w:r w:rsidRPr="00127774">
              <w:rPr>
                <w:rFonts w:ascii="Arial" w:hAnsi="Arial" w:cs="Arial"/>
                <w:color w:val="FF0000"/>
                <w:sz w:val="20"/>
                <w:szCs w:val="20"/>
              </w:rPr>
              <w:t xml:space="preserve"> P, Haase D, Santini V, </w:t>
            </w:r>
            <w:hyperlink r:id="rId9" w:history="1">
              <w:r w:rsidRPr="00127774">
                <w:rPr>
                  <w:rFonts w:ascii="Arial" w:hAnsi="Arial" w:cs="Arial"/>
                  <w:color w:val="FF0000"/>
                  <w:sz w:val="20"/>
                  <w:szCs w:val="20"/>
                </w:rPr>
                <w:t>Sanz</w:t>
              </w:r>
            </w:hyperlink>
            <w:r w:rsidRPr="00127774">
              <w:rPr>
                <w:rFonts w:ascii="Arial" w:hAnsi="Arial" w:cs="Arial"/>
                <w:color w:val="FF0000"/>
                <w:sz w:val="20"/>
                <w:szCs w:val="20"/>
              </w:rPr>
              <w:t xml:space="preserve"> GF, </w:t>
            </w:r>
            <w:hyperlink r:id="rId10" w:history="1">
              <w:proofErr w:type="spellStart"/>
              <w:r w:rsidRPr="00127774">
                <w:rPr>
                  <w:rFonts w:ascii="Arial" w:hAnsi="Arial" w:cs="Arial"/>
                  <w:color w:val="FF0000"/>
                  <w:sz w:val="20"/>
                  <w:szCs w:val="20"/>
                </w:rPr>
                <w:t>Platzbecker</w:t>
              </w:r>
              <w:proofErr w:type="spellEnd"/>
            </w:hyperlink>
            <w:r w:rsidRPr="00127774">
              <w:rPr>
                <w:rFonts w:ascii="Arial" w:hAnsi="Arial" w:cs="Arial"/>
                <w:color w:val="FF0000"/>
                <w:sz w:val="20"/>
                <w:szCs w:val="20"/>
              </w:rPr>
              <w:t xml:space="preserve"> U and </w:t>
            </w:r>
            <w:hyperlink r:id="rId11" w:history="1">
              <w:r w:rsidRPr="00127774">
                <w:rPr>
                  <w:rFonts w:ascii="Arial" w:hAnsi="Arial" w:cs="Arial"/>
                  <w:color w:val="FF0000"/>
                  <w:sz w:val="20"/>
                  <w:szCs w:val="20"/>
                </w:rPr>
                <w:t>Mey</w:t>
              </w:r>
            </w:hyperlink>
            <w:r w:rsidRPr="00127774">
              <w:rPr>
                <w:rFonts w:ascii="Arial" w:hAnsi="Arial" w:cs="Arial"/>
                <w:color w:val="FF0000"/>
                <w:sz w:val="20"/>
                <w:szCs w:val="20"/>
              </w:rPr>
              <w:t xml:space="preserve"> U . </w:t>
            </w:r>
            <w:r w:rsidRPr="00532E2F">
              <w:rPr>
                <w:rFonts w:ascii="Arial" w:hAnsi="Arial" w:cs="Arial"/>
                <w:color w:val="FF0000"/>
                <w:sz w:val="20"/>
                <w:szCs w:val="20"/>
              </w:rPr>
              <w:t>Myelodysplastic syndromes: ESMO Clinical Practice Guidelines for diagnosis, treatment and follow-up. Ann. Oncology 2021;32:142-156</w:t>
            </w:r>
          </w:p>
          <w:p w14:paraId="1F263506" w14:textId="77777777" w:rsidR="00DE061D" w:rsidRPr="00532E2F" w:rsidRDefault="00DE061D" w:rsidP="00DE061D">
            <w:pPr>
              <w:pStyle w:val="NormalWeb"/>
              <w:numPr>
                <w:ilvl w:val="0"/>
                <w:numId w:val="1"/>
              </w:numPr>
              <w:rPr>
                <w:rFonts w:ascii="Arial" w:hAnsi="Arial" w:cs="Arial"/>
                <w:color w:val="FF0000"/>
                <w:sz w:val="20"/>
                <w:szCs w:val="20"/>
              </w:rPr>
            </w:pPr>
            <w:r w:rsidRPr="00532E2F">
              <w:rPr>
                <w:rFonts w:ascii="Arial" w:hAnsi="Arial" w:cs="Arial"/>
                <w:color w:val="FF0000"/>
                <w:sz w:val="20"/>
                <w:szCs w:val="20"/>
              </w:rPr>
              <w:t>Asfour IA, Ayoub MS, Magid NAA</w:t>
            </w:r>
            <w:r>
              <w:rPr>
                <w:rFonts w:ascii="Arial" w:hAnsi="Arial" w:cs="Arial"/>
                <w:color w:val="FF0000"/>
                <w:sz w:val="20"/>
                <w:szCs w:val="20"/>
              </w:rPr>
              <w:t xml:space="preserve"> and </w:t>
            </w:r>
            <w:proofErr w:type="spellStart"/>
            <w:r w:rsidRPr="00532E2F">
              <w:rPr>
                <w:rFonts w:ascii="Arial" w:hAnsi="Arial" w:cs="Arial"/>
                <w:color w:val="FF0000"/>
                <w:sz w:val="20"/>
                <w:szCs w:val="20"/>
              </w:rPr>
              <w:t>Elsaharty</w:t>
            </w:r>
            <w:proofErr w:type="spellEnd"/>
            <w:r w:rsidRPr="00532E2F">
              <w:rPr>
                <w:rFonts w:ascii="Arial" w:hAnsi="Arial" w:cs="Arial"/>
                <w:color w:val="FF0000"/>
                <w:sz w:val="20"/>
                <w:szCs w:val="20"/>
              </w:rPr>
              <w:t xml:space="preserve"> AAI. Evaluation of bone marrow examination in patients with hepatitis C virus infection. Egypt J </w:t>
            </w:r>
            <w:proofErr w:type="spellStart"/>
            <w:r w:rsidRPr="00532E2F">
              <w:rPr>
                <w:rFonts w:ascii="Arial" w:hAnsi="Arial" w:cs="Arial"/>
                <w:color w:val="FF0000"/>
                <w:sz w:val="20"/>
                <w:szCs w:val="20"/>
              </w:rPr>
              <w:t>Haematol</w:t>
            </w:r>
            <w:proofErr w:type="spellEnd"/>
            <w:r w:rsidRPr="00532E2F">
              <w:rPr>
                <w:rFonts w:ascii="Arial" w:hAnsi="Arial" w:cs="Arial"/>
                <w:color w:val="FF0000"/>
                <w:sz w:val="20"/>
                <w:szCs w:val="20"/>
              </w:rPr>
              <w:t xml:space="preserve"> 2013;38:13-16.</w:t>
            </w:r>
          </w:p>
          <w:p w14:paraId="17CCFB07" w14:textId="77777777" w:rsidR="00DE061D" w:rsidRPr="00F948C3" w:rsidRDefault="00DE061D" w:rsidP="00DE061D">
            <w:pPr>
              <w:pStyle w:val="Bibliography"/>
              <w:numPr>
                <w:ilvl w:val="0"/>
                <w:numId w:val="1"/>
              </w:numPr>
              <w:rPr>
                <w:rFonts w:ascii="Arial" w:eastAsia="Times New Roman" w:hAnsi="Arial"/>
                <w:color w:val="FF0000"/>
                <w:kern w:val="0"/>
                <w:sz w:val="20"/>
                <w:szCs w:val="20"/>
                <w:lang w:eastAsia="fr-FR"/>
              </w:rPr>
            </w:pPr>
            <w:r w:rsidRPr="00F948C3">
              <w:rPr>
                <w:rFonts w:ascii="Arial" w:eastAsia="Times New Roman" w:hAnsi="Arial"/>
                <w:color w:val="FF0000"/>
                <w:kern w:val="0"/>
                <w:sz w:val="20"/>
                <w:szCs w:val="20"/>
                <w:lang w:eastAsia="fr-FR"/>
              </w:rPr>
              <w:t xml:space="preserve">El </w:t>
            </w:r>
            <w:proofErr w:type="spellStart"/>
            <w:r w:rsidRPr="00F948C3">
              <w:rPr>
                <w:rFonts w:ascii="Arial" w:eastAsia="Times New Roman" w:hAnsi="Arial"/>
                <w:color w:val="FF0000"/>
                <w:kern w:val="0"/>
                <w:sz w:val="20"/>
                <w:szCs w:val="20"/>
                <w:lang w:eastAsia="fr-FR"/>
              </w:rPr>
              <w:t>Husseiny</w:t>
            </w:r>
            <w:proofErr w:type="spellEnd"/>
            <w:r w:rsidRPr="00F948C3">
              <w:rPr>
                <w:rFonts w:ascii="Arial" w:eastAsia="Times New Roman" w:hAnsi="Arial"/>
                <w:color w:val="FF0000"/>
                <w:kern w:val="0"/>
                <w:sz w:val="20"/>
                <w:szCs w:val="20"/>
                <w:lang w:eastAsia="fr-FR"/>
              </w:rPr>
              <w:t xml:space="preserve"> MN, Mohamed AS and Matta MM. Myelodysplastic Syndrome: An Egyptian Experience. J Blood </w:t>
            </w:r>
            <w:proofErr w:type="spellStart"/>
            <w:r w:rsidRPr="00F948C3">
              <w:rPr>
                <w:rFonts w:ascii="Arial" w:eastAsia="Times New Roman" w:hAnsi="Arial"/>
                <w:color w:val="FF0000"/>
                <w:kern w:val="0"/>
                <w:sz w:val="20"/>
                <w:szCs w:val="20"/>
                <w:lang w:eastAsia="fr-FR"/>
              </w:rPr>
              <w:t>Disord</w:t>
            </w:r>
            <w:proofErr w:type="spellEnd"/>
            <w:r w:rsidRPr="00F948C3">
              <w:rPr>
                <w:rFonts w:ascii="Arial" w:eastAsia="Times New Roman" w:hAnsi="Arial"/>
                <w:color w:val="FF0000"/>
                <w:kern w:val="0"/>
                <w:sz w:val="20"/>
                <w:szCs w:val="20"/>
                <w:lang w:eastAsia="fr-FR"/>
              </w:rPr>
              <w:t xml:space="preserve"> </w:t>
            </w:r>
            <w:proofErr w:type="spellStart"/>
            <w:r w:rsidRPr="00F948C3">
              <w:rPr>
                <w:rFonts w:ascii="Arial" w:eastAsia="Times New Roman" w:hAnsi="Arial"/>
                <w:color w:val="FF0000"/>
                <w:kern w:val="0"/>
                <w:sz w:val="20"/>
                <w:szCs w:val="20"/>
                <w:lang w:eastAsia="fr-FR"/>
              </w:rPr>
              <w:t>Transfus</w:t>
            </w:r>
            <w:proofErr w:type="spellEnd"/>
            <w:r w:rsidRPr="00F948C3">
              <w:rPr>
                <w:rFonts w:ascii="Arial" w:eastAsia="Times New Roman" w:hAnsi="Arial"/>
                <w:color w:val="FF0000"/>
                <w:kern w:val="0"/>
                <w:sz w:val="20"/>
                <w:szCs w:val="20"/>
                <w:lang w:eastAsia="fr-FR"/>
              </w:rPr>
              <w:t xml:space="preserve"> 2012;3:1-4.</w:t>
            </w:r>
          </w:p>
          <w:p w14:paraId="2DC6F8D6" w14:textId="77777777" w:rsidR="00DE061D" w:rsidRPr="00F948C3" w:rsidRDefault="00DE061D" w:rsidP="00DE061D">
            <w:pPr>
              <w:pStyle w:val="Bibliography"/>
              <w:numPr>
                <w:ilvl w:val="0"/>
                <w:numId w:val="1"/>
              </w:numPr>
              <w:rPr>
                <w:rFonts w:ascii="Arial" w:eastAsia="Times New Roman" w:hAnsi="Arial"/>
                <w:color w:val="FF0000"/>
                <w:kern w:val="0"/>
                <w:sz w:val="20"/>
                <w:szCs w:val="20"/>
                <w:lang w:eastAsia="fr-FR"/>
              </w:rPr>
            </w:pPr>
            <w:proofErr w:type="spellStart"/>
            <w:r w:rsidRPr="00F948C3">
              <w:rPr>
                <w:rFonts w:ascii="Arial" w:eastAsia="Times New Roman" w:hAnsi="Arial"/>
                <w:color w:val="FF0000"/>
                <w:kern w:val="0"/>
                <w:sz w:val="20"/>
                <w:szCs w:val="20"/>
                <w:lang w:eastAsia="fr-FR"/>
              </w:rPr>
              <w:t>Ciufu</w:t>
            </w:r>
            <w:proofErr w:type="spellEnd"/>
            <w:r w:rsidRPr="00F948C3">
              <w:rPr>
                <w:rFonts w:ascii="Arial" w:eastAsia="Times New Roman" w:hAnsi="Arial"/>
                <w:color w:val="FF0000"/>
                <w:kern w:val="0"/>
                <w:sz w:val="20"/>
                <w:szCs w:val="20"/>
                <w:lang w:eastAsia="fr-FR"/>
              </w:rPr>
              <w:t xml:space="preserve"> C, Arama V, </w:t>
            </w:r>
            <w:proofErr w:type="spellStart"/>
            <w:r w:rsidRPr="00F948C3">
              <w:rPr>
                <w:rFonts w:ascii="Arial" w:eastAsia="Times New Roman" w:hAnsi="Arial"/>
                <w:color w:val="FF0000"/>
                <w:kern w:val="0"/>
                <w:sz w:val="20"/>
                <w:szCs w:val="20"/>
                <w:lang w:eastAsia="fr-FR"/>
              </w:rPr>
              <w:t>Bumbea</w:t>
            </w:r>
            <w:proofErr w:type="spellEnd"/>
            <w:r w:rsidRPr="00F948C3">
              <w:rPr>
                <w:rFonts w:ascii="Arial" w:eastAsia="Times New Roman" w:hAnsi="Arial"/>
                <w:color w:val="FF0000"/>
                <w:kern w:val="0"/>
                <w:sz w:val="20"/>
                <w:szCs w:val="20"/>
                <w:lang w:eastAsia="fr-FR"/>
              </w:rPr>
              <w:t xml:space="preserve"> H, </w:t>
            </w:r>
            <w:hyperlink r:id="rId12" w:history="1">
              <w:r w:rsidRPr="00F948C3">
                <w:rPr>
                  <w:rFonts w:ascii="Arial" w:eastAsia="Times New Roman" w:hAnsi="Arial"/>
                  <w:color w:val="FF0000"/>
                  <w:kern w:val="0"/>
                  <w:sz w:val="20"/>
                  <w:szCs w:val="20"/>
                  <w:lang w:eastAsia="fr-FR"/>
                </w:rPr>
                <w:t>Dobrea</w:t>
              </w:r>
            </w:hyperlink>
            <w:r w:rsidRPr="00F948C3">
              <w:rPr>
                <w:rFonts w:ascii="Arial" w:eastAsia="Times New Roman" w:hAnsi="Arial"/>
                <w:color w:val="FF0000"/>
                <w:kern w:val="0"/>
                <w:sz w:val="20"/>
                <w:szCs w:val="20"/>
                <w:lang w:eastAsia="fr-FR"/>
              </w:rPr>
              <w:t xml:space="preserve"> C,</w:t>
            </w:r>
            <w:hyperlink r:id="rId13" w:history="1">
              <w:r w:rsidRPr="00F948C3">
                <w:rPr>
                  <w:rFonts w:ascii="Arial" w:eastAsia="Times New Roman" w:hAnsi="Arial"/>
                  <w:color w:val="FF0000"/>
                  <w:kern w:val="0"/>
                  <w:sz w:val="20"/>
                  <w:szCs w:val="20"/>
                  <w:lang w:eastAsia="fr-FR"/>
                </w:rPr>
                <w:t xml:space="preserve"> Ion</w:t>
              </w:r>
            </w:hyperlink>
            <w:r w:rsidRPr="00F948C3">
              <w:rPr>
                <w:rFonts w:ascii="Arial" w:eastAsia="Times New Roman" w:hAnsi="Arial"/>
                <w:color w:val="FF0000"/>
                <w:kern w:val="0"/>
                <w:sz w:val="20"/>
                <w:szCs w:val="20"/>
                <w:lang w:eastAsia="fr-FR"/>
              </w:rPr>
              <w:t xml:space="preserve"> I and </w:t>
            </w:r>
            <w:proofErr w:type="spellStart"/>
            <w:r w:rsidRPr="00F948C3">
              <w:rPr>
                <w:rFonts w:ascii="Arial" w:eastAsia="Times New Roman" w:hAnsi="Arial"/>
                <w:color w:val="FF0000"/>
                <w:kern w:val="0"/>
                <w:sz w:val="20"/>
                <w:szCs w:val="20"/>
                <w:lang w:eastAsia="fr-FR"/>
              </w:rPr>
              <w:fldChar w:fldCharType="begin"/>
            </w:r>
            <w:r w:rsidRPr="00F948C3">
              <w:rPr>
                <w:rFonts w:ascii="Arial" w:eastAsia="Times New Roman" w:hAnsi="Arial"/>
                <w:color w:val="FF0000"/>
                <w:kern w:val="0"/>
                <w:sz w:val="20"/>
                <w:szCs w:val="20"/>
                <w:lang w:eastAsia="fr-FR"/>
              </w:rPr>
              <w:instrText>HYPERLINK "https://pubmed.ncbi.nlm.nih.gov/?term=Vladareanu%20A%5BAuthor%5D"</w:instrText>
            </w:r>
            <w:r w:rsidRPr="00F948C3">
              <w:rPr>
                <w:rFonts w:ascii="Arial" w:eastAsia="Times New Roman" w:hAnsi="Arial"/>
                <w:color w:val="FF0000"/>
                <w:kern w:val="0"/>
                <w:sz w:val="20"/>
                <w:szCs w:val="20"/>
                <w:lang w:eastAsia="fr-FR"/>
              </w:rPr>
            </w:r>
            <w:r w:rsidRPr="00F948C3">
              <w:rPr>
                <w:rFonts w:ascii="Arial" w:eastAsia="Times New Roman" w:hAnsi="Arial"/>
                <w:color w:val="FF0000"/>
                <w:kern w:val="0"/>
                <w:sz w:val="20"/>
                <w:szCs w:val="20"/>
                <w:lang w:eastAsia="fr-FR"/>
              </w:rPr>
              <w:fldChar w:fldCharType="separate"/>
            </w:r>
            <w:r w:rsidRPr="00F948C3">
              <w:rPr>
                <w:rFonts w:ascii="Arial" w:eastAsia="Times New Roman" w:hAnsi="Arial"/>
                <w:color w:val="FF0000"/>
                <w:kern w:val="0"/>
                <w:sz w:val="20"/>
                <w:szCs w:val="20"/>
                <w:lang w:eastAsia="fr-FR"/>
              </w:rPr>
              <w:t>Vladareanu</w:t>
            </w:r>
            <w:proofErr w:type="spellEnd"/>
            <w:r w:rsidRPr="00F948C3">
              <w:rPr>
                <w:rFonts w:ascii="Arial" w:eastAsia="Times New Roman" w:hAnsi="Arial"/>
                <w:color w:val="FF0000"/>
                <w:kern w:val="0"/>
                <w:sz w:val="20"/>
                <w:szCs w:val="20"/>
                <w:lang w:eastAsia="fr-FR"/>
              </w:rPr>
              <w:fldChar w:fldCharType="end"/>
            </w:r>
            <w:r w:rsidRPr="00F948C3">
              <w:rPr>
                <w:rFonts w:ascii="Arial" w:eastAsia="Times New Roman" w:hAnsi="Arial"/>
                <w:color w:val="FF0000"/>
                <w:kern w:val="0"/>
                <w:sz w:val="20"/>
                <w:szCs w:val="20"/>
                <w:lang w:eastAsia="fr-FR"/>
              </w:rPr>
              <w:t xml:space="preserve"> AM. Correlations of </w:t>
            </w:r>
            <w:proofErr w:type="spellStart"/>
            <w:r w:rsidRPr="00F948C3">
              <w:rPr>
                <w:rFonts w:ascii="Arial" w:eastAsia="Times New Roman" w:hAnsi="Arial"/>
                <w:color w:val="FF0000"/>
                <w:kern w:val="0"/>
                <w:sz w:val="20"/>
                <w:szCs w:val="20"/>
                <w:lang w:eastAsia="fr-FR"/>
              </w:rPr>
              <w:t>hematological</w:t>
            </w:r>
            <w:proofErr w:type="spellEnd"/>
            <w:r w:rsidRPr="00F948C3">
              <w:rPr>
                <w:rFonts w:ascii="Arial" w:eastAsia="Times New Roman" w:hAnsi="Arial"/>
                <w:color w:val="FF0000"/>
                <w:kern w:val="0"/>
                <w:sz w:val="20"/>
                <w:szCs w:val="20"/>
                <w:lang w:eastAsia="fr-FR"/>
              </w:rPr>
              <w:t xml:space="preserve"> parameters with bone marrow findings in chronic lymphoproliferative disorders associated with hepatitis viruses. J Medicine Life 2013;6:464-471       </w:t>
            </w:r>
          </w:p>
          <w:p w14:paraId="4544F38C" w14:textId="77777777" w:rsidR="00DE061D" w:rsidRPr="00F948C3" w:rsidRDefault="00DE061D" w:rsidP="00DE061D">
            <w:pPr>
              <w:pStyle w:val="Bibliography"/>
              <w:numPr>
                <w:ilvl w:val="0"/>
                <w:numId w:val="1"/>
              </w:numPr>
              <w:rPr>
                <w:rFonts w:ascii="Arial" w:eastAsia="Times New Roman" w:hAnsi="Arial"/>
                <w:color w:val="FF0000"/>
                <w:kern w:val="0"/>
                <w:sz w:val="20"/>
                <w:szCs w:val="20"/>
                <w:lang w:eastAsia="fr-FR"/>
              </w:rPr>
            </w:pPr>
            <w:r w:rsidRPr="00775ECF">
              <w:rPr>
                <w:rFonts w:ascii="Arial" w:eastAsia="Times New Roman" w:hAnsi="Arial"/>
                <w:color w:val="FF0000"/>
                <w:kern w:val="0"/>
                <w:sz w:val="20"/>
                <w:szCs w:val="20"/>
                <w:lang w:val="fr-FR" w:eastAsia="fr-FR"/>
              </w:rPr>
              <w:t xml:space="preserve">Anderson LA, Pfeiffer R, Warren JL et al. </w:t>
            </w:r>
            <w:r w:rsidRPr="00F948C3">
              <w:rPr>
                <w:rFonts w:ascii="Arial" w:eastAsia="Times New Roman" w:hAnsi="Arial"/>
                <w:color w:val="FF0000"/>
                <w:kern w:val="0"/>
                <w:sz w:val="20"/>
                <w:szCs w:val="20"/>
                <w:lang w:eastAsia="fr-FR"/>
              </w:rPr>
              <w:t xml:space="preserve">Hematopoietic malignancies associated with viral and alcoholic hepatitis. Cancer </w:t>
            </w:r>
            <w:proofErr w:type="spellStart"/>
            <w:r w:rsidRPr="00F948C3">
              <w:rPr>
                <w:rFonts w:ascii="Arial" w:eastAsia="Times New Roman" w:hAnsi="Arial"/>
                <w:color w:val="FF0000"/>
                <w:kern w:val="0"/>
                <w:sz w:val="20"/>
                <w:szCs w:val="20"/>
                <w:lang w:eastAsia="fr-FR"/>
              </w:rPr>
              <w:t>Epidemiol</w:t>
            </w:r>
            <w:proofErr w:type="spellEnd"/>
            <w:r w:rsidRPr="00F948C3">
              <w:rPr>
                <w:rFonts w:ascii="Arial" w:eastAsia="Times New Roman" w:hAnsi="Arial"/>
                <w:color w:val="FF0000"/>
                <w:kern w:val="0"/>
                <w:sz w:val="20"/>
                <w:szCs w:val="20"/>
                <w:lang w:eastAsia="fr-FR"/>
              </w:rPr>
              <w:t xml:space="preserve"> Biomarkers Prev. 2008;17:3069–307</w:t>
            </w:r>
          </w:p>
          <w:p w14:paraId="0140187B" w14:textId="77777777" w:rsidR="00DE061D" w:rsidRPr="00F948C3" w:rsidRDefault="00DE061D" w:rsidP="00DE061D">
            <w:pPr>
              <w:pStyle w:val="ListParagraph"/>
              <w:numPr>
                <w:ilvl w:val="0"/>
                <w:numId w:val="1"/>
              </w:numPr>
              <w:rPr>
                <w:rFonts w:ascii="Arial" w:eastAsia="Times New Roman" w:hAnsi="Arial"/>
                <w:color w:val="FF0000"/>
                <w:kern w:val="0"/>
                <w:sz w:val="20"/>
                <w:szCs w:val="20"/>
                <w:lang w:eastAsia="fr-FR"/>
              </w:rPr>
            </w:pPr>
            <w:r w:rsidRPr="00DE061D">
              <w:rPr>
                <w:rFonts w:ascii="Arial" w:eastAsia="Times New Roman" w:hAnsi="Arial"/>
                <w:color w:val="FF0000"/>
                <w:kern w:val="0"/>
                <w:sz w:val="20"/>
                <w:szCs w:val="20"/>
                <w:lang w:val="en-GB" w:eastAsia="fr-FR"/>
              </w:rPr>
              <w:t>Qamar AA and Grace ND.</w:t>
            </w:r>
            <w:r w:rsidRPr="00DE061D">
              <w:rPr>
                <w:rFonts w:ascii="Cambria" w:eastAsia="Times New Roman" w:hAnsi="Cambria" w:cs="Times New Roman"/>
                <w:color w:val="FF0000"/>
                <w:spacing w:val="-2"/>
                <w:kern w:val="36"/>
                <w:sz w:val="36"/>
                <w:szCs w:val="36"/>
                <w:lang w:val="en-GB" w:eastAsia="fr-FR"/>
              </w:rPr>
              <w:t xml:space="preserve"> </w:t>
            </w:r>
            <w:r w:rsidRPr="00DE061D">
              <w:rPr>
                <w:rFonts w:ascii="Arial" w:eastAsia="Times New Roman" w:hAnsi="Arial"/>
                <w:color w:val="FF0000"/>
                <w:kern w:val="0"/>
                <w:sz w:val="20"/>
                <w:szCs w:val="20"/>
                <w:lang w:val="en-GB" w:eastAsia="fr-FR"/>
              </w:rPr>
              <w:t xml:space="preserve">Abnormal </w:t>
            </w:r>
            <w:proofErr w:type="spellStart"/>
            <w:r w:rsidRPr="00DE061D">
              <w:rPr>
                <w:rFonts w:ascii="Arial" w:eastAsia="Times New Roman" w:hAnsi="Arial"/>
                <w:color w:val="FF0000"/>
                <w:kern w:val="0"/>
                <w:sz w:val="20"/>
                <w:szCs w:val="20"/>
                <w:lang w:val="en-GB" w:eastAsia="fr-FR"/>
              </w:rPr>
              <w:t>hematological</w:t>
            </w:r>
            <w:proofErr w:type="spellEnd"/>
            <w:r w:rsidRPr="00DE061D">
              <w:rPr>
                <w:rFonts w:ascii="Arial" w:eastAsia="Times New Roman" w:hAnsi="Arial"/>
                <w:color w:val="FF0000"/>
                <w:kern w:val="0"/>
                <w:sz w:val="20"/>
                <w:szCs w:val="20"/>
                <w:lang w:val="en-GB" w:eastAsia="fr-FR"/>
              </w:rPr>
              <w:t xml:space="preserve"> indices in cirrhosis. </w:t>
            </w:r>
            <w:hyperlink r:id="rId14" w:history="1">
              <w:r w:rsidRPr="00F948C3">
                <w:rPr>
                  <w:color w:val="FF0000"/>
                  <w:lang w:eastAsia="fr-FR"/>
                </w:rPr>
                <w:t xml:space="preserve">Can J </w:t>
              </w:r>
              <w:proofErr w:type="spellStart"/>
              <w:r w:rsidRPr="00F948C3">
                <w:rPr>
                  <w:color w:val="FF0000"/>
                  <w:lang w:eastAsia="fr-FR"/>
                </w:rPr>
                <w:t>Gastroenterol</w:t>
              </w:r>
              <w:proofErr w:type="spellEnd"/>
              <w:r w:rsidRPr="00F948C3">
                <w:rPr>
                  <w:color w:val="FF0000"/>
                  <w:lang w:eastAsia="fr-FR"/>
                </w:rPr>
                <w:t>.</w:t>
              </w:r>
            </w:hyperlink>
            <w:r w:rsidRPr="00F948C3">
              <w:rPr>
                <w:rFonts w:ascii="Arial" w:eastAsia="Times New Roman" w:hAnsi="Arial"/>
                <w:color w:val="FF0000"/>
                <w:kern w:val="0"/>
                <w:sz w:val="20"/>
                <w:szCs w:val="20"/>
                <w:lang w:eastAsia="fr-FR"/>
              </w:rPr>
              <w:t> 2009 Jun; 23(6): 441–445.</w:t>
            </w:r>
          </w:p>
          <w:p w14:paraId="12F7D943" w14:textId="77777777" w:rsidR="00DE061D" w:rsidRPr="0018282B" w:rsidRDefault="00DE061D" w:rsidP="00DE061D">
            <w:pPr>
              <w:pStyle w:val="ListParagraph"/>
              <w:numPr>
                <w:ilvl w:val="0"/>
                <w:numId w:val="1"/>
              </w:numPr>
              <w:shd w:val="clear" w:color="auto" w:fill="FFFFFF"/>
              <w:rPr>
                <w:rFonts w:ascii="Arial" w:eastAsia="Times New Roman" w:hAnsi="Arial"/>
                <w:color w:val="FF0000"/>
                <w:kern w:val="0"/>
                <w:sz w:val="20"/>
                <w:szCs w:val="20"/>
                <w:lang w:eastAsia="fr-FR"/>
              </w:rPr>
            </w:pPr>
            <w:proofErr w:type="spellStart"/>
            <w:r w:rsidRPr="00775ECF">
              <w:rPr>
                <w:rFonts w:ascii="Arial" w:eastAsia="Times New Roman" w:hAnsi="Arial"/>
                <w:color w:val="FF0000"/>
                <w:kern w:val="0"/>
                <w:sz w:val="20"/>
                <w:szCs w:val="20"/>
                <w:lang w:eastAsia="fr-FR"/>
              </w:rPr>
              <w:t>Klco</w:t>
            </w:r>
            <w:proofErr w:type="spellEnd"/>
            <w:r w:rsidRPr="00775ECF">
              <w:rPr>
                <w:rFonts w:ascii="Arial" w:eastAsia="Times New Roman" w:hAnsi="Arial"/>
                <w:color w:val="FF0000"/>
                <w:kern w:val="0"/>
                <w:sz w:val="20"/>
                <w:szCs w:val="20"/>
                <w:lang w:eastAsia="fr-FR"/>
              </w:rPr>
              <w:t xml:space="preserve"> JM, Geng B, </w:t>
            </w:r>
            <w:proofErr w:type="spellStart"/>
            <w:r w:rsidRPr="00775ECF">
              <w:rPr>
                <w:rFonts w:ascii="Arial" w:eastAsia="Times New Roman" w:hAnsi="Arial"/>
                <w:color w:val="FF0000"/>
                <w:kern w:val="0"/>
                <w:sz w:val="20"/>
                <w:szCs w:val="20"/>
                <w:lang w:eastAsia="fr-FR"/>
              </w:rPr>
              <w:t>Brunt</w:t>
            </w:r>
            <w:proofErr w:type="spellEnd"/>
            <w:r w:rsidRPr="00775ECF">
              <w:rPr>
                <w:rFonts w:ascii="Arial" w:eastAsia="Times New Roman" w:hAnsi="Arial"/>
                <w:color w:val="FF0000"/>
                <w:kern w:val="0"/>
                <w:sz w:val="20"/>
                <w:szCs w:val="20"/>
                <w:lang w:eastAsia="fr-FR"/>
              </w:rPr>
              <w:t xml:space="preserve"> ME</w:t>
            </w:r>
            <w:r>
              <w:rPr>
                <w:rFonts w:ascii="Arial" w:eastAsia="Times New Roman" w:hAnsi="Arial"/>
                <w:color w:val="FF0000"/>
                <w:kern w:val="0"/>
                <w:sz w:val="20"/>
                <w:szCs w:val="20"/>
                <w:lang w:eastAsia="fr-FR"/>
              </w:rPr>
              <w:t xml:space="preserve"> </w:t>
            </w:r>
            <w:r w:rsidRPr="00775ECF">
              <w:rPr>
                <w:rFonts w:ascii="Arial" w:eastAsia="Times New Roman" w:hAnsi="Arial"/>
                <w:color w:val="FF0000"/>
                <w:kern w:val="0"/>
                <w:sz w:val="20"/>
                <w:szCs w:val="20"/>
                <w:lang w:eastAsia="fr-FR"/>
              </w:rPr>
              <w:t xml:space="preserve">et al. </w:t>
            </w:r>
            <w:r w:rsidRPr="00DE061D">
              <w:rPr>
                <w:rFonts w:ascii="Arial" w:eastAsia="Times New Roman" w:hAnsi="Arial"/>
                <w:color w:val="FF0000"/>
                <w:kern w:val="0"/>
                <w:sz w:val="20"/>
                <w:szCs w:val="20"/>
                <w:lang w:val="en-GB" w:eastAsia="fr-FR"/>
              </w:rPr>
              <w:t xml:space="preserve">Bone marrow biopsy in patients with hepatitis C virus infection: Spectrum of findings and diagnostic utility. </w:t>
            </w:r>
            <w:r w:rsidRPr="0018282B">
              <w:rPr>
                <w:rFonts w:ascii="Arial" w:eastAsia="Times New Roman" w:hAnsi="Arial"/>
                <w:color w:val="FF0000"/>
                <w:kern w:val="0"/>
                <w:sz w:val="20"/>
                <w:szCs w:val="20"/>
                <w:lang w:eastAsia="fr-FR"/>
              </w:rPr>
              <w:t xml:space="preserve">Am J </w:t>
            </w:r>
            <w:proofErr w:type="spellStart"/>
            <w:r w:rsidRPr="0018282B">
              <w:rPr>
                <w:rFonts w:ascii="Arial" w:eastAsia="Times New Roman" w:hAnsi="Arial"/>
                <w:color w:val="FF0000"/>
                <w:kern w:val="0"/>
                <w:sz w:val="20"/>
                <w:szCs w:val="20"/>
                <w:lang w:eastAsia="fr-FR"/>
              </w:rPr>
              <w:t>Hematol</w:t>
            </w:r>
            <w:proofErr w:type="spellEnd"/>
            <w:r w:rsidRPr="0018282B">
              <w:rPr>
                <w:rFonts w:ascii="Arial" w:eastAsia="Times New Roman" w:hAnsi="Arial"/>
                <w:color w:val="FF0000"/>
                <w:kern w:val="0"/>
                <w:sz w:val="20"/>
                <w:szCs w:val="20"/>
                <w:lang w:eastAsia="fr-FR"/>
              </w:rPr>
              <w:t>. 2010;85:106–110.</w:t>
            </w:r>
          </w:p>
          <w:p w14:paraId="4956AA1F" w14:textId="77777777" w:rsidR="00DE061D" w:rsidRPr="0018282B" w:rsidRDefault="00DE061D" w:rsidP="00DE061D">
            <w:pPr>
              <w:pStyle w:val="ListParagraph"/>
              <w:numPr>
                <w:ilvl w:val="0"/>
                <w:numId w:val="1"/>
              </w:numPr>
              <w:shd w:val="clear" w:color="auto" w:fill="FFFFFF"/>
              <w:rPr>
                <w:rFonts w:ascii="Arial" w:eastAsia="Times New Roman" w:hAnsi="Arial"/>
                <w:color w:val="FF0000"/>
                <w:kern w:val="0"/>
                <w:sz w:val="20"/>
                <w:szCs w:val="20"/>
                <w:lang w:eastAsia="fr-FR"/>
              </w:rPr>
            </w:pPr>
            <w:r w:rsidRPr="00DE061D">
              <w:rPr>
                <w:rFonts w:ascii="Arial" w:eastAsia="Times New Roman" w:hAnsi="Arial"/>
                <w:color w:val="FF0000"/>
                <w:kern w:val="0"/>
                <w:sz w:val="20"/>
                <w:szCs w:val="20"/>
                <w:lang w:val="en-GB" w:eastAsia="fr-FR"/>
              </w:rPr>
              <w:t>Boada M and Grille S. Myelodysplastic syndrome in patients living with HIV infection.</w:t>
            </w:r>
            <w:r w:rsidRPr="00DE061D">
              <w:rPr>
                <w:rFonts w:ascii="Arial" w:hAnsi="Arial"/>
                <w:color w:val="FF0000"/>
                <w:sz w:val="20"/>
                <w:szCs w:val="20"/>
                <w:lang w:val="en-GB"/>
              </w:rPr>
              <w:t xml:space="preserve"> </w:t>
            </w:r>
            <w:r w:rsidRPr="0018282B">
              <w:rPr>
                <w:rFonts w:ascii="Arial" w:hAnsi="Arial"/>
                <w:color w:val="FF0000"/>
                <w:sz w:val="20"/>
                <w:szCs w:val="20"/>
              </w:rPr>
              <w:t xml:space="preserve">HEMATOL </w:t>
            </w:r>
            <w:r w:rsidRPr="0018282B">
              <w:rPr>
                <w:rFonts w:ascii="Arial" w:eastAsia="Times New Roman" w:hAnsi="Arial"/>
                <w:color w:val="FF0000"/>
                <w:kern w:val="0"/>
                <w:sz w:val="20"/>
                <w:szCs w:val="20"/>
                <w:lang w:eastAsia="fr-FR"/>
              </w:rPr>
              <w:t>TRANSFUS  CELL THER. 2023;45:119−123</w:t>
            </w:r>
          </w:p>
          <w:p w14:paraId="1CC930E2" w14:textId="77777777" w:rsidR="00DE061D" w:rsidRPr="00DE061D" w:rsidRDefault="00DE061D" w:rsidP="00DE061D">
            <w:pPr>
              <w:numPr>
                <w:ilvl w:val="0"/>
                <w:numId w:val="1"/>
              </w:numPr>
              <w:shd w:val="clear" w:color="auto" w:fill="FFFFFF"/>
              <w:rPr>
                <w:rFonts w:ascii="Arial" w:hAnsi="Arial"/>
                <w:color w:val="FF0000"/>
                <w:sz w:val="20"/>
                <w:szCs w:val="20"/>
                <w:lang w:val="en-GB"/>
              </w:rPr>
            </w:pPr>
            <w:proofErr w:type="spellStart"/>
            <w:r w:rsidRPr="00DE061D">
              <w:rPr>
                <w:rFonts w:ascii="Arial" w:hAnsi="Arial"/>
                <w:color w:val="FF0000"/>
                <w:sz w:val="20"/>
                <w:szCs w:val="20"/>
                <w:lang w:val="en-GB"/>
              </w:rPr>
              <w:t>Pawlotsky</w:t>
            </w:r>
            <w:proofErr w:type="spellEnd"/>
            <w:r w:rsidRPr="00DE061D">
              <w:rPr>
                <w:rFonts w:ascii="Arial" w:hAnsi="Arial"/>
                <w:color w:val="FF0000"/>
                <w:sz w:val="20"/>
                <w:szCs w:val="20"/>
                <w:lang w:val="en-GB"/>
              </w:rPr>
              <w:t xml:space="preserve"> JM, Negro F, </w:t>
            </w:r>
            <w:proofErr w:type="spellStart"/>
            <w:r w:rsidRPr="00DE061D">
              <w:rPr>
                <w:rFonts w:ascii="Arial" w:hAnsi="Arial"/>
                <w:color w:val="FF0000"/>
                <w:sz w:val="20"/>
                <w:szCs w:val="20"/>
                <w:lang w:val="en-GB"/>
              </w:rPr>
              <w:t>Aghemo</w:t>
            </w:r>
            <w:proofErr w:type="spellEnd"/>
            <w:r w:rsidRPr="00DE061D">
              <w:rPr>
                <w:rFonts w:ascii="Arial" w:hAnsi="Arial"/>
                <w:color w:val="FF0000"/>
                <w:sz w:val="20"/>
                <w:szCs w:val="20"/>
                <w:lang w:val="en-GB"/>
              </w:rPr>
              <w:t xml:space="preserve"> A et al. EASL recommendations on treatment of hepatitis C:Final update of the </w:t>
            </w:r>
            <w:proofErr w:type="spellStart"/>
            <w:r w:rsidRPr="00DE061D">
              <w:rPr>
                <w:rFonts w:ascii="Arial" w:hAnsi="Arial"/>
                <w:color w:val="FF0000"/>
                <w:sz w:val="20"/>
                <w:szCs w:val="20"/>
                <w:lang w:val="en-GB"/>
              </w:rPr>
              <w:t>series.J</w:t>
            </w:r>
            <w:proofErr w:type="spellEnd"/>
            <w:r w:rsidRPr="00DE061D">
              <w:rPr>
                <w:rFonts w:ascii="Arial" w:hAnsi="Arial"/>
                <w:color w:val="FF0000"/>
                <w:sz w:val="20"/>
                <w:szCs w:val="20"/>
                <w:lang w:val="en-GB"/>
              </w:rPr>
              <w:t xml:space="preserve"> Hepatol 2020;73:1170-1218.</w:t>
            </w:r>
          </w:p>
          <w:p w14:paraId="6D650027" w14:textId="77777777" w:rsidR="00DE061D" w:rsidRPr="00DE061D" w:rsidRDefault="00DE061D" w:rsidP="00DE061D">
            <w:pPr>
              <w:shd w:val="clear" w:color="auto" w:fill="FFFFFF"/>
              <w:rPr>
                <w:rFonts w:ascii="Arial" w:hAnsi="Arial"/>
                <w:sz w:val="20"/>
                <w:szCs w:val="20"/>
                <w:lang w:val="en-GB"/>
              </w:rPr>
            </w:pPr>
          </w:p>
          <w:p w14:paraId="56C3BEE5" w14:textId="77777777" w:rsidR="00DE061D" w:rsidRPr="00DE061D" w:rsidRDefault="00DE061D" w:rsidP="00DE061D">
            <w:pPr>
              <w:rPr>
                <w:rFonts w:ascii="Arial" w:hAnsi="Arial"/>
                <w:sz w:val="20"/>
                <w:szCs w:val="20"/>
                <w:lang w:val="en-GB"/>
              </w:rPr>
            </w:pPr>
          </w:p>
          <w:p w14:paraId="2E7F323B" w14:textId="77777777" w:rsidR="00DE061D" w:rsidRPr="00DE061D" w:rsidRDefault="00DE061D" w:rsidP="00DE061D">
            <w:pPr>
              <w:rPr>
                <w:rFonts w:ascii="Arial" w:hAnsi="Arial"/>
                <w:sz w:val="20"/>
                <w:szCs w:val="20"/>
                <w:lang w:val="en-GB"/>
              </w:rPr>
            </w:pPr>
          </w:p>
          <w:p w14:paraId="60B6CF82" w14:textId="77777777" w:rsidR="00DE061D" w:rsidRPr="00DE061D" w:rsidRDefault="00DE061D" w:rsidP="00DE061D">
            <w:pPr>
              <w:shd w:val="clear" w:color="auto" w:fill="FFFFFF"/>
              <w:rPr>
                <w:rFonts w:ascii="Arial" w:hAnsi="Arial"/>
                <w:sz w:val="20"/>
                <w:szCs w:val="20"/>
                <w:lang w:val="en-GB"/>
              </w:rPr>
            </w:pPr>
          </w:p>
          <w:p w14:paraId="60439267" w14:textId="77777777" w:rsidR="00DE061D" w:rsidRPr="00DE061D" w:rsidRDefault="00DE061D" w:rsidP="00DE061D">
            <w:pPr>
              <w:shd w:val="clear" w:color="auto" w:fill="FFFFFF"/>
              <w:rPr>
                <w:rFonts w:ascii="Arial" w:hAnsi="Arial"/>
                <w:sz w:val="20"/>
                <w:szCs w:val="20"/>
                <w:lang w:val="en-GB"/>
              </w:rPr>
            </w:pPr>
          </w:p>
          <w:p w14:paraId="1B547401" w14:textId="77777777" w:rsidR="00DE061D" w:rsidRPr="00DE061D" w:rsidRDefault="00DE061D" w:rsidP="00DE061D">
            <w:pPr>
              <w:shd w:val="clear" w:color="auto" w:fill="FFFFFF"/>
              <w:rPr>
                <w:rFonts w:ascii="Arial" w:hAnsi="Arial"/>
                <w:sz w:val="20"/>
                <w:szCs w:val="20"/>
                <w:lang w:val="en-GB"/>
              </w:rPr>
            </w:pPr>
          </w:p>
          <w:p w14:paraId="11F30423" w14:textId="77777777" w:rsidR="00DE061D" w:rsidRPr="00DE061D" w:rsidRDefault="00DE061D" w:rsidP="00DE061D">
            <w:pPr>
              <w:shd w:val="clear" w:color="auto" w:fill="FFFFFF"/>
              <w:rPr>
                <w:rFonts w:ascii="Arial" w:hAnsi="Arial"/>
                <w:kern w:val="0"/>
                <w:sz w:val="20"/>
                <w:szCs w:val="20"/>
                <w:lang w:val="en-GB"/>
              </w:rPr>
            </w:pPr>
            <w:r w:rsidRPr="00DE061D">
              <w:rPr>
                <w:rFonts w:ascii="Arial" w:hAnsi="Arial"/>
                <w:kern w:val="0"/>
                <w:sz w:val="20"/>
                <w:szCs w:val="20"/>
                <w:lang w:val="en-GB"/>
              </w:rPr>
              <w:t xml:space="preserve"> </w:t>
            </w:r>
          </w:p>
          <w:p w14:paraId="32F267EA" w14:textId="77777777" w:rsidR="00DE061D" w:rsidRPr="00DE061D" w:rsidRDefault="00DE061D" w:rsidP="00DE061D">
            <w:pPr>
              <w:shd w:val="clear" w:color="auto" w:fill="FFFFFF"/>
              <w:rPr>
                <w:rFonts w:ascii="Arial" w:hAnsi="Arial"/>
                <w:color w:val="000000"/>
                <w:kern w:val="0"/>
                <w:sz w:val="20"/>
                <w:szCs w:val="20"/>
                <w:lang w:val="en-GB"/>
              </w:rPr>
            </w:pPr>
          </w:p>
          <w:p w14:paraId="18895480" w14:textId="77777777" w:rsidR="00DE061D" w:rsidRPr="00DE061D" w:rsidRDefault="00DE061D" w:rsidP="00DE061D">
            <w:pPr>
              <w:shd w:val="clear" w:color="auto" w:fill="FFFFFF"/>
              <w:rPr>
                <w:rFonts w:ascii="Arial" w:hAnsi="Arial"/>
                <w:color w:val="000000"/>
                <w:kern w:val="0"/>
                <w:sz w:val="20"/>
                <w:szCs w:val="20"/>
                <w:lang w:val="en-GB"/>
              </w:rPr>
            </w:pPr>
          </w:p>
          <w:p w14:paraId="677B79D4" w14:textId="77777777" w:rsidR="00DE061D" w:rsidRPr="00DE061D" w:rsidRDefault="00DE061D" w:rsidP="00DE061D">
            <w:pPr>
              <w:shd w:val="clear" w:color="auto" w:fill="FFFFFF"/>
              <w:rPr>
                <w:rFonts w:ascii="Arial" w:hAnsi="Arial"/>
                <w:color w:val="000000"/>
                <w:kern w:val="0"/>
                <w:sz w:val="20"/>
                <w:szCs w:val="20"/>
                <w:lang w:val="en-GB"/>
              </w:rPr>
            </w:pPr>
          </w:p>
          <w:p w14:paraId="06FDB739" w14:textId="77777777" w:rsidR="00DE061D" w:rsidRPr="00DE061D" w:rsidRDefault="00DE061D" w:rsidP="00DE061D">
            <w:pPr>
              <w:shd w:val="clear" w:color="auto" w:fill="FFFFFF"/>
              <w:rPr>
                <w:rFonts w:ascii="Arial" w:hAnsi="Arial"/>
                <w:color w:val="000000"/>
                <w:kern w:val="0"/>
                <w:sz w:val="20"/>
                <w:szCs w:val="20"/>
                <w:lang w:val="en-GB"/>
              </w:rPr>
            </w:pPr>
          </w:p>
          <w:p w14:paraId="4E6ACD30" w14:textId="77777777" w:rsidR="00DE061D" w:rsidRPr="00DE061D" w:rsidRDefault="00DE061D" w:rsidP="00DE061D">
            <w:pPr>
              <w:shd w:val="clear" w:color="auto" w:fill="FFFFFF"/>
              <w:rPr>
                <w:rFonts w:ascii="Arial" w:hAnsi="Arial"/>
                <w:color w:val="000000"/>
                <w:kern w:val="0"/>
                <w:sz w:val="20"/>
                <w:szCs w:val="20"/>
                <w:lang w:val="en-GB"/>
              </w:rPr>
            </w:pPr>
          </w:p>
          <w:p w14:paraId="724E8F37" w14:textId="77777777" w:rsidR="00DE061D" w:rsidRPr="00DE061D" w:rsidRDefault="00DE061D" w:rsidP="00DE061D">
            <w:pPr>
              <w:shd w:val="clear" w:color="auto" w:fill="FFFFFF"/>
              <w:rPr>
                <w:rFonts w:ascii="Arial" w:hAnsi="Arial"/>
                <w:color w:val="000000"/>
                <w:kern w:val="0"/>
                <w:sz w:val="20"/>
                <w:szCs w:val="20"/>
                <w:lang w:val="en-GB"/>
              </w:rPr>
            </w:pPr>
          </w:p>
          <w:p w14:paraId="4AD91695" w14:textId="77777777" w:rsidR="00DE061D" w:rsidRPr="00DE061D" w:rsidRDefault="00DE061D" w:rsidP="00DE061D">
            <w:pPr>
              <w:shd w:val="clear" w:color="auto" w:fill="FFFFFF"/>
              <w:rPr>
                <w:rFonts w:ascii="Arial" w:hAnsi="Arial"/>
                <w:color w:val="000000"/>
                <w:kern w:val="0"/>
                <w:sz w:val="20"/>
                <w:szCs w:val="20"/>
                <w:lang w:val="en-GB"/>
              </w:rPr>
            </w:pPr>
          </w:p>
          <w:p w14:paraId="054437A9" w14:textId="77777777" w:rsidR="00DE061D" w:rsidRPr="00DE061D" w:rsidRDefault="00DE061D" w:rsidP="00DE061D">
            <w:pPr>
              <w:shd w:val="clear" w:color="auto" w:fill="FFFFFF"/>
              <w:rPr>
                <w:rFonts w:ascii="Arial" w:hAnsi="Arial"/>
                <w:color w:val="000000"/>
                <w:kern w:val="0"/>
                <w:sz w:val="20"/>
                <w:szCs w:val="20"/>
                <w:lang w:val="en-GB"/>
              </w:rPr>
            </w:pPr>
          </w:p>
          <w:p w14:paraId="25180698" w14:textId="77777777" w:rsidR="00DE061D" w:rsidRPr="00DE061D" w:rsidRDefault="00DE061D" w:rsidP="00DE061D">
            <w:pPr>
              <w:shd w:val="clear" w:color="auto" w:fill="FFFFFF"/>
              <w:rPr>
                <w:rFonts w:ascii="Arial" w:hAnsi="Arial"/>
                <w:color w:val="000000"/>
                <w:kern w:val="0"/>
                <w:sz w:val="20"/>
                <w:szCs w:val="20"/>
                <w:lang w:val="en-GB"/>
              </w:rPr>
            </w:pPr>
          </w:p>
          <w:p w14:paraId="25C1B18A" w14:textId="77777777" w:rsidR="00DE061D" w:rsidRPr="00DE061D" w:rsidRDefault="00DE061D" w:rsidP="00DE061D">
            <w:pPr>
              <w:shd w:val="clear" w:color="auto" w:fill="FFFFFF"/>
              <w:rPr>
                <w:rFonts w:ascii="Arial" w:hAnsi="Arial"/>
                <w:color w:val="000000"/>
                <w:kern w:val="0"/>
                <w:sz w:val="20"/>
                <w:szCs w:val="20"/>
                <w:lang w:val="en-GB"/>
              </w:rPr>
            </w:pPr>
          </w:p>
          <w:p w14:paraId="12C4B714" w14:textId="77777777" w:rsidR="00DE061D" w:rsidRPr="00DE061D" w:rsidRDefault="00DE061D" w:rsidP="00DE061D">
            <w:pPr>
              <w:rPr>
                <w:lang w:val="en-GB"/>
              </w:rPr>
            </w:pPr>
          </w:p>
          <w:p w14:paraId="1FB039BB" w14:textId="77777777" w:rsidR="00DE061D" w:rsidRPr="00DE061D" w:rsidRDefault="00DE061D" w:rsidP="00DE061D">
            <w:pPr>
              <w:rPr>
                <w:lang w:val="en-GB"/>
              </w:rPr>
            </w:pPr>
          </w:p>
          <w:p w14:paraId="46A38F01" w14:textId="77777777" w:rsidR="00DE061D" w:rsidRPr="00DE061D" w:rsidRDefault="00DE061D" w:rsidP="00DE061D">
            <w:pPr>
              <w:rPr>
                <w:lang w:val="en-GB"/>
              </w:rPr>
            </w:pPr>
          </w:p>
          <w:p w14:paraId="0BCDEE2E" w14:textId="77777777" w:rsidR="00DE061D" w:rsidRDefault="00DE061D">
            <w:pPr>
              <w:rPr>
                <w:lang w:val="en-GB"/>
              </w:rPr>
            </w:pPr>
          </w:p>
        </w:tc>
      </w:tr>
      <w:tr w:rsidR="00DE061D" w:rsidRPr="00584573" w14:paraId="3B121CF8" w14:textId="77777777" w:rsidTr="00DE061D">
        <w:tc>
          <w:tcPr>
            <w:tcW w:w="4606" w:type="dxa"/>
          </w:tcPr>
          <w:p w14:paraId="371730E8" w14:textId="52193CF5" w:rsidR="00DE061D" w:rsidRPr="00DE061D" w:rsidRDefault="00DE061D" w:rsidP="00DE061D">
            <w:pPr>
              <w:rPr>
                <w:lang w:val="en-GB"/>
              </w:rPr>
            </w:pPr>
            <w:r w:rsidRPr="00DE061D">
              <w:rPr>
                <w:lang w:val="en-GB"/>
              </w:rPr>
              <w:lastRenderedPageBreak/>
              <w:t> References should appear as a number, i.e., [1, 2] in the text.</w:t>
            </w:r>
          </w:p>
        </w:tc>
        <w:tc>
          <w:tcPr>
            <w:tcW w:w="4606" w:type="dxa"/>
          </w:tcPr>
          <w:p w14:paraId="71E5BD0D" w14:textId="68E1D669" w:rsidR="00DE061D" w:rsidRPr="00DE061D" w:rsidRDefault="00DE061D" w:rsidP="00DE061D">
            <w:pPr>
              <w:rPr>
                <w:rFonts w:ascii="Arial" w:hAnsi="Arial"/>
                <w:sz w:val="20"/>
                <w:szCs w:val="20"/>
                <w:lang w:val="en-GB"/>
              </w:rPr>
            </w:pPr>
            <w:r w:rsidRPr="00DE061D">
              <w:rPr>
                <w:rFonts w:ascii="Arial" w:eastAsia="Times New Roman" w:hAnsi="Arial"/>
                <w:color w:val="FF0000"/>
                <w:kern w:val="0"/>
                <w:sz w:val="20"/>
                <w:szCs w:val="20"/>
                <w:lang w:val="en-GB" w:eastAsia="fr-FR"/>
              </w:rPr>
              <w:t>A Romanian study</w:t>
            </w:r>
            <w:r w:rsidRPr="00DE061D">
              <w:rPr>
                <w:rFonts w:ascii="Arial" w:eastAsia="Times New Roman" w:hAnsi="Arial"/>
                <w:color w:val="000000"/>
                <w:kern w:val="0"/>
                <w:sz w:val="20"/>
                <w:szCs w:val="20"/>
                <w:lang w:val="en-GB" w:eastAsia="fr-FR"/>
              </w:rPr>
              <w:t xml:space="preserve"> </w:t>
            </w:r>
            <w:r w:rsidRPr="00DE061D">
              <w:rPr>
                <w:rFonts w:ascii="Arial" w:hAnsi="Arial"/>
                <w:sz w:val="20"/>
                <w:szCs w:val="20"/>
                <w:lang w:val="en-GB"/>
              </w:rPr>
              <w:t>assessing the bone marrow findings of 42 patients presenting a concomitant chronic lymphoproliferative disorder (CLD) and viral hepatitis (HCV=22, HBV=17, coinfection HCV+HBV ± HDV =3). 6 patients presented myelodysplasia with a concomitant indolent nonaggressive form of CLD out of which, 5 where HCV positive as to only one reported case of HBV</w:t>
            </w:r>
            <w:r>
              <w:rPr>
                <w:rFonts w:ascii="Arial" w:hAnsi="Arial"/>
                <w:sz w:val="20"/>
                <w:szCs w:val="20"/>
                <w:lang w:val="en-GB"/>
              </w:rPr>
              <w:t xml:space="preserve"> </w:t>
            </w:r>
            <w:r w:rsidRPr="00DE061D">
              <w:rPr>
                <w:rFonts w:ascii="Arial" w:hAnsi="Arial"/>
                <w:b/>
                <w:bCs/>
                <w:sz w:val="20"/>
                <w:szCs w:val="20"/>
                <w:vertAlign w:val="superscript"/>
                <w:lang w:val="en-GB"/>
              </w:rPr>
              <w:t>[12]</w:t>
            </w:r>
            <w:r w:rsidRPr="00DE061D">
              <w:rPr>
                <w:rFonts w:ascii="Arial" w:hAnsi="Arial"/>
                <w:sz w:val="20"/>
                <w:szCs w:val="20"/>
                <w:lang w:val="en-GB"/>
              </w:rPr>
              <w:t xml:space="preserve">. </w:t>
            </w:r>
          </w:p>
          <w:p w14:paraId="0FBC04D5" w14:textId="77777777" w:rsidR="00DE061D" w:rsidRDefault="00DE061D">
            <w:pPr>
              <w:rPr>
                <w:lang w:val="en-GB"/>
              </w:rPr>
            </w:pPr>
          </w:p>
        </w:tc>
      </w:tr>
      <w:tr w:rsidR="00DE061D" w:rsidRPr="00584573" w14:paraId="2801FD41" w14:textId="77777777" w:rsidTr="00DE061D">
        <w:tc>
          <w:tcPr>
            <w:tcW w:w="4606" w:type="dxa"/>
          </w:tcPr>
          <w:p w14:paraId="40EE3BC6" w14:textId="3F26FD67" w:rsidR="00DE061D" w:rsidRPr="00DE061D" w:rsidRDefault="00DE061D" w:rsidP="00DE061D">
            <w:pPr>
              <w:rPr>
                <w:lang w:val="en-GB"/>
              </w:rPr>
            </w:pPr>
            <w:r w:rsidRPr="00DE061D">
              <w:rPr>
                <w:lang w:val="en-GB"/>
              </w:rPr>
              <w:t> Please add the scale bar, annotations, magnifications, and program that generated these figures. Also, it is better to submit figures with high resolution and brightness.</w:t>
            </w:r>
          </w:p>
        </w:tc>
        <w:tc>
          <w:tcPr>
            <w:tcW w:w="4606" w:type="dxa"/>
          </w:tcPr>
          <w:p w14:paraId="2E5FB89A" w14:textId="77777777" w:rsidR="00584573" w:rsidRPr="00584573" w:rsidRDefault="00584573" w:rsidP="00584573">
            <w:pPr>
              <w:rPr>
                <w:rFonts w:ascii="Arial" w:hAnsi="Arial"/>
                <w:b/>
                <w:bCs/>
                <w:color w:val="FF0000"/>
                <w:sz w:val="20"/>
                <w:szCs w:val="20"/>
                <w:lang w:val="en-GB"/>
              </w:rPr>
            </w:pPr>
            <w:r w:rsidRPr="00584573">
              <w:rPr>
                <w:rFonts w:ascii="Arial" w:hAnsi="Arial"/>
                <w:b/>
                <w:bCs/>
                <w:color w:val="FF0000"/>
                <w:sz w:val="20"/>
                <w:szCs w:val="20"/>
                <w:lang w:val="en-GB"/>
              </w:rPr>
              <w:t xml:space="preserve">Bone marrow aspirates analysed by </w:t>
            </w:r>
            <w:proofErr w:type="spellStart"/>
            <w:r w:rsidRPr="00584573">
              <w:rPr>
                <w:rFonts w:ascii="Arial" w:hAnsi="Arial"/>
                <w:b/>
                <w:bCs/>
                <w:color w:val="FF0000"/>
                <w:sz w:val="20"/>
                <w:szCs w:val="20"/>
                <w:lang w:val="en-GB"/>
              </w:rPr>
              <w:t>Leisca</w:t>
            </w:r>
            <w:proofErr w:type="spellEnd"/>
            <w:r w:rsidRPr="00584573">
              <w:rPr>
                <w:rFonts w:ascii="Arial" w:hAnsi="Arial"/>
                <w:b/>
                <w:bCs/>
                <w:color w:val="FF0000"/>
                <w:sz w:val="20"/>
                <w:szCs w:val="20"/>
                <w:lang w:val="en-GB"/>
              </w:rPr>
              <w:t xml:space="preserve"> microscope DM 750 using May-Grünwald Giemsa stain  </w:t>
            </w:r>
          </w:p>
          <w:p w14:paraId="0E77E111" w14:textId="77777777" w:rsidR="00DE061D" w:rsidRPr="00584573" w:rsidRDefault="00DE061D">
            <w:pPr>
              <w:rPr>
                <w:lang w:val="en-GB"/>
              </w:rPr>
            </w:pPr>
          </w:p>
        </w:tc>
      </w:tr>
    </w:tbl>
    <w:p w14:paraId="0EDAE3BC" w14:textId="77777777" w:rsidR="00DE061D" w:rsidRDefault="00DE061D">
      <w:pPr>
        <w:rPr>
          <w:lang w:val="en-GB"/>
        </w:rPr>
      </w:pPr>
    </w:p>
    <w:p w14:paraId="0F6F4E8F" w14:textId="0ADB0FC1" w:rsidR="00DE061D" w:rsidRPr="00DE061D" w:rsidRDefault="00DE061D" w:rsidP="00DE061D">
      <w:pPr>
        <w:jc w:val="center"/>
        <w:rPr>
          <w:b/>
          <w:bCs/>
          <w:lang w:val="en-GB"/>
        </w:rPr>
      </w:pPr>
      <w:r w:rsidRPr="00DE061D">
        <w:rPr>
          <w:b/>
          <w:bCs/>
          <w:lang w:val="en-GB"/>
        </w:rPr>
        <w:t>Other changes made:</w:t>
      </w:r>
    </w:p>
    <w:p w14:paraId="314A0B1A" w14:textId="77777777" w:rsidR="00DF6EA8" w:rsidRDefault="00DE061D" w:rsidP="00DE061D">
      <w:pPr>
        <w:pStyle w:val="ListParagraph"/>
        <w:numPr>
          <w:ilvl w:val="0"/>
          <w:numId w:val="3"/>
        </w:numPr>
        <w:rPr>
          <w:rFonts w:asciiTheme="minorBidi" w:hAnsiTheme="minorBidi"/>
          <w:sz w:val="20"/>
          <w:szCs w:val="20"/>
          <w:lang w:val="en-GB"/>
        </w:rPr>
      </w:pPr>
      <w:r>
        <w:rPr>
          <w:rFonts w:asciiTheme="minorBidi" w:hAnsiTheme="minorBidi"/>
          <w:sz w:val="20"/>
          <w:szCs w:val="20"/>
          <w:lang w:val="en-GB"/>
        </w:rPr>
        <w:t>Abstract:</w:t>
      </w:r>
      <w:r w:rsidR="00DF6EA8">
        <w:rPr>
          <w:rFonts w:asciiTheme="minorBidi" w:hAnsiTheme="minorBidi"/>
          <w:sz w:val="20"/>
          <w:szCs w:val="20"/>
          <w:lang w:val="en-GB"/>
        </w:rPr>
        <w:t xml:space="preserve"> </w:t>
      </w:r>
    </w:p>
    <w:p w14:paraId="15E3B88E" w14:textId="4F02EF77" w:rsidR="005536FB" w:rsidRDefault="00DF6EA8" w:rsidP="00DF6EA8">
      <w:pPr>
        <w:pStyle w:val="ListParagraph"/>
        <w:numPr>
          <w:ilvl w:val="0"/>
          <w:numId w:val="4"/>
        </w:numPr>
        <w:rPr>
          <w:rFonts w:asciiTheme="minorBidi" w:hAnsiTheme="minorBidi"/>
          <w:sz w:val="20"/>
          <w:szCs w:val="20"/>
          <w:lang w:val="en-GB"/>
        </w:rPr>
      </w:pPr>
      <w:r>
        <w:rPr>
          <w:rFonts w:asciiTheme="minorBidi" w:hAnsiTheme="minorBidi"/>
          <w:sz w:val="20"/>
          <w:szCs w:val="20"/>
          <w:lang w:val="en-GB"/>
        </w:rPr>
        <w:t>Elaboration on the risk factors the patient was exposed to ( smoking, previous history of alcoholism and drug abuse)</w:t>
      </w:r>
    </w:p>
    <w:p w14:paraId="08A7B5F0" w14:textId="02A155B6" w:rsidR="00DF6EA8" w:rsidRDefault="00DF6EA8" w:rsidP="00DF6EA8">
      <w:pPr>
        <w:pStyle w:val="ListParagraph"/>
        <w:numPr>
          <w:ilvl w:val="0"/>
          <w:numId w:val="4"/>
        </w:numPr>
        <w:rPr>
          <w:rFonts w:asciiTheme="minorBidi" w:hAnsiTheme="minorBidi"/>
          <w:sz w:val="20"/>
          <w:szCs w:val="20"/>
          <w:lang w:val="en-GB"/>
        </w:rPr>
      </w:pPr>
      <w:r>
        <w:rPr>
          <w:rFonts w:asciiTheme="minorBidi" w:hAnsiTheme="minorBidi"/>
          <w:sz w:val="20"/>
          <w:szCs w:val="20"/>
          <w:lang w:val="en-GB"/>
        </w:rPr>
        <w:t>Lying enfaces that the patient was exclusively treated with DAA and blood transfusions.</w:t>
      </w:r>
    </w:p>
    <w:p w14:paraId="7EF7ABCB" w14:textId="13DE34D4" w:rsidR="00DF6EA8" w:rsidRDefault="00DF6EA8" w:rsidP="00DF6EA8">
      <w:pPr>
        <w:pStyle w:val="ListParagraph"/>
        <w:numPr>
          <w:ilvl w:val="0"/>
          <w:numId w:val="3"/>
        </w:numPr>
        <w:rPr>
          <w:rFonts w:asciiTheme="minorBidi" w:hAnsiTheme="minorBidi"/>
          <w:sz w:val="20"/>
          <w:szCs w:val="20"/>
          <w:lang w:val="en-GB"/>
        </w:rPr>
      </w:pPr>
      <w:r>
        <w:rPr>
          <w:rFonts w:asciiTheme="minorBidi" w:hAnsiTheme="minorBidi"/>
          <w:sz w:val="20"/>
          <w:szCs w:val="20"/>
          <w:lang w:val="en-GB"/>
        </w:rPr>
        <w:t xml:space="preserve">Case presentation: </w:t>
      </w:r>
    </w:p>
    <w:p w14:paraId="09EBB1AB" w14:textId="4B37CB06" w:rsidR="00DF6EA8" w:rsidRPr="00DF6EA8" w:rsidRDefault="00DF6EA8" w:rsidP="00DF6EA8">
      <w:pPr>
        <w:pStyle w:val="ListParagraph"/>
        <w:numPr>
          <w:ilvl w:val="0"/>
          <w:numId w:val="4"/>
        </w:numPr>
        <w:rPr>
          <w:rFonts w:asciiTheme="minorBidi" w:hAnsiTheme="minorBidi"/>
          <w:sz w:val="20"/>
          <w:szCs w:val="20"/>
          <w:lang w:val="en-GB"/>
        </w:rPr>
      </w:pPr>
      <w:r>
        <w:rPr>
          <w:rFonts w:asciiTheme="minorBidi" w:hAnsiTheme="minorBidi"/>
          <w:sz w:val="20"/>
          <w:szCs w:val="20"/>
          <w:lang w:val="en-GB"/>
        </w:rPr>
        <w:t xml:space="preserve">Patient had </w:t>
      </w:r>
      <w:r w:rsidRPr="00DF6EA8">
        <w:rPr>
          <w:rFonts w:ascii="Arial" w:hAnsi="Arial"/>
          <w:sz w:val="20"/>
          <w:szCs w:val="20"/>
          <w:lang w:val="en-GB"/>
        </w:rPr>
        <w:t xml:space="preserve">a previous history of intra venous drug abuse, intermittent alcohol consumption at an average of twice /year and unprotected sex </w:t>
      </w:r>
      <w:r>
        <w:rPr>
          <w:rFonts w:ascii="Arial" w:hAnsi="Arial"/>
          <w:sz w:val="20"/>
          <w:szCs w:val="20"/>
          <w:lang w:val="en-GB"/>
        </w:rPr>
        <w:t xml:space="preserve">with </w:t>
      </w:r>
      <w:r w:rsidRPr="00DF6EA8">
        <w:rPr>
          <w:rFonts w:ascii="Arial" w:hAnsi="Arial"/>
          <w:sz w:val="20"/>
          <w:szCs w:val="20"/>
          <w:lang w:val="en-GB"/>
        </w:rPr>
        <w:t xml:space="preserve">abstinence </w:t>
      </w:r>
      <w:r>
        <w:rPr>
          <w:rFonts w:ascii="Arial" w:hAnsi="Arial"/>
          <w:sz w:val="20"/>
          <w:szCs w:val="20"/>
          <w:lang w:val="en-GB"/>
        </w:rPr>
        <w:t xml:space="preserve"> for 6 years before the time of diagnosis.</w:t>
      </w:r>
    </w:p>
    <w:p w14:paraId="315BB068" w14:textId="44B92001" w:rsidR="00DF6EA8" w:rsidRDefault="00230943" w:rsidP="00DF6EA8">
      <w:pPr>
        <w:pStyle w:val="ListParagraph"/>
        <w:numPr>
          <w:ilvl w:val="0"/>
          <w:numId w:val="3"/>
        </w:numPr>
        <w:rPr>
          <w:rFonts w:asciiTheme="minorBidi" w:hAnsiTheme="minorBidi"/>
          <w:sz w:val="20"/>
          <w:szCs w:val="20"/>
          <w:lang w:val="en-GB"/>
        </w:rPr>
      </w:pPr>
      <w:r>
        <w:rPr>
          <w:rFonts w:asciiTheme="minorBidi" w:hAnsiTheme="minorBidi"/>
          <w:sz w:val="20"/>
          <w:szCs w:val="20"/>
          <w:lang w:val="en-GB"/>
        </w:rPr>
        <w:t>Discussion:</w:t>
      </w:r>
    </w:p>
    <w:p w14:paraId="5F0F9954" w14:textId="15C78960" w:rsidR="00230943" w:rsidRDefault="00230943" w:rsidP="00230943">
      <w:pPr>
        <w:pStyle w:val="ListParagraph"/>
        <w:numPr>
          <w:ilvl w:val="0"/>
          <w:numId w:val="4"/>
        </w:numPr>
        <w:rPr>
          <w:rFonts w:asciiTheme="minorBidi" w:hAnsiTheme="minorBidi"/>
          <w:sz w:val="20"/>
          <w:szCs w:val="20"/>
          <w:lang w:val="en-GB"/>
        </w:rPr>
      </w:pPr>
      <w:r>
        <w:rPr>
          <w:rFonts w:asciiTheme="minorBidi" w:hAnsiTheme="minorBidi"/>
          <w:sz w:val="20"/>
          <w:szCs w:val="20"/>
          <w:lang w:val="en-GB"/>
        </w:rPr>
        <w:t>6</w:t>
      </w:r>
      <w:r w:rsidRPr="00230943">
        <w:rPr>
          <w:rFonts w:asciiTheme="minorBidi" w:hAnsiTheme="minorBidi"/>
          <w:sz w:val="20"/>
          <w:szCs w:val="20"/>
          <w:vertAlign w:val="superscript"/>
          <w:lang w:val="en-GB"/>
        </w:rPr>
        <w:t>th</w:t>
      </w:r>
      <w:r>
        <w:rPr>
          <w:rFonts w:asciiTheme="minorBidi" w:hAnsiTheme="minorBidi"/>
          <w:sz w:val="20"/>
          <w:szCs w:val="20"/>
          <w:lang w:val="en-GB"/>
        </w:rPr>
        <w:t xml:space="preserve"> paragraph: elaborating that smoking could be a risk factor for developing MDS in HCV infection as to age and duration of exposure to HCV.</w:t>
      </w:r>
    </w:p>
    <w:p w14:paraId="1BE207E7" w14:textId="619BEA13" w:rsidR="00230943" w:rsidRDefault="00230943" w:rsidP="00230943">
      <w:pPr>
        <w:pStyle w:val="ListParagraph"/>
        <w:numPr>
          <w:ilvl w:val="0"/>
          <w:numId w:val="4"/>
        </w:numPr>
        <w:rPr>
          <w:rFonts w:asciiTheme="minorBidi" w:hAnsiTheme="minorBidi"/>
          <w:sz w:val="20"/>
          <w:szCs w:val="20"/>
          <w:lang w:val="en-GB"/>
        </w:rPr>
      </w:pPr>
      <w:r>
        <w:rPr>
          <w:rFonts w:asciiTheme="minorBidi" w:hAnsiTheme="minorBidi"/>
          <w:sz w:val="20"/>
          <w:szCs w:val="20"/>
          <w:lang w:val="en-GB"/>
        </w:rPr>
        <w:t>7</w:t>
      </w:r>
      <w:r w:rsidRPr="00230943">
        <w:rPr>
          <w:rFonts w:asciiTheme="minorBidi" w:hAnsiTheme="minorBidi"/>
          <w:sz w:val="20"/>
          <w:szCs w:val="20"/>
          <w:vertAlign w:val="superscript"/>
          <w:lang w:val="en-GB"/>
        </w:rPr>
        <w:t>th</w:t>
      </w:r>
      <w:r>
        <w:rPr>
          <w:rFonts w:asciiTheme="minorBidi" w:hAnsiTheme="minorBidi"/>
          <w:sz w:val="20"/>
          <w:szCs w:val="20"/>
          <w:lang w:val="en-GB"/>
        </w:rPr>
        <w:t xml:space="preserve"> paragraph : attributing the myelodysplastic changes to the HCV infection rather than smoking or alcoholism.  </w:t>
      </w:r>
    </w:p>
    <w:p w14:paraId="58A3A84F" w14:textId="77777777" w:rsidR="00D14F5F" w:rsidRDefault="00D14F5F" w:rsidP="00D14F5F">
      <w:pPr>
        <w:jc w:val="center"/>
        <w:rPr>
          <w:rFonts w:asciiTheme="minorBidi" w:hAnsiTheme="minorBidi"/>
          <w:sz w:val="20"/>
          <w:szCs w:val="20"/>
          <w:lang w:val="en-GB"/>
        </w:rPr>
      </w:pPr>
    </w:p>
    <w:p w14:paraId="3F9B99CF" w14:textId="77777777" w:rsidR="00D14F5F" w:rsidRDefault="00D14F5F" w:rsidP="00D14F5F">
      <w:pPr>
        <w:jc w:val="center"/>
        <w:rPr>
          <w:rFonts w:asciiTheme="minorBidi" w:hAnsiTheme="minorBidi"/>
          <w:sz w:val="20"/>
          <w:szCs w:val="20"/>
          <w:lang w:val="en-GB"/>
        </w:rPr>
      </w:pPr>
    </w:p>
    <w:p w14:paraId="2C6B323D" w14:textId="7A011C8B" w:rsidR="00D14F5F" w:rsidRPr="00D14F5F" w:rsidRDefault="00D14F5F" w:rsidP="00D14F5F">
      <w:pPr>
        <w:jc w:val="center"/>
        <w:rPr>
          <w:rFonts w:asciiTheme="minorBidi" w:hAnsiTheme="minorBidi"/>
          <w:sz w:val="20"/>
          <w:szCs w:val="20"/>
        </w:rPr>
      </w:pPr>
      <w:r w:rsidRPr="00D14F5F">
        <w:rPr>
          <w:rFonts w:asciiTheme="minorBidi" w:hAnsiTheme="minorBidi"/>
          <w:noProof/>
          <w:sz w:val="20"/>
          <w:szCs w:val="20"/>
        </w:rPr>
        <w:lastRenderedPageBreak/>
        <w:drawing>
          <wp:inline distT="0" distB="0" distL="0" distR="0" wp14:anchorId="528AA866" wp14:editId="4391A2E8">
            <wp:extent cx="3568997" cy="4927910"/>
            <wp:effectExtent l="0" t="0" r="0" b="6350"/>
            <wp:docPr id="279576744"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76744" name="Picture 2" descr="A piece of paper with writing on i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08" t="8412" r="4359" b="36143"/>
                    <a:stretch/>
                  </pic:blipFill>
                  <pic:spPr bwMode="auto">
                    <a:xfrm>
                      <a:off x="0" y="0"/>
                      <a:ext cx="3570906" cy="4930546"/>
                    </a:xfrm>
                    <a:prstGeom prst="rect">
                      <a:avLst/>
                    </a:prstGeom>
                    <a:noFill/>
                    <a:ln>
                      <a:noFill/>
                    </a:ln>
                    <a:extLst>
                      <a:ext uri="{53640926-AAD7-44D8-BBD7-CCE9431645EC}">
                        <a14:shadowObscured xmlns:a14="http://schemas.microsoft.com/office/drawing/2010/main"/>
                      </a:ext>
                    </a:extLst>
                  </pic:spPr>
                </pic:pic>
              </a:graphicData>
            </a:graphic>
          </wp:inline>
        </w:drawing>
      </w:r>
    </w:p>
    <w:p w14:paraId="73192DBF" w14:textId="77777777" w:rsidR="00D14F5F" w:rsidRPr="00D14F5F" w:rsidRDefault="00D14F5F" w:rsidP="00D14F5F">
      <w:pPr>
        <w:jc w:val="center"/>
        <w:rPr>
          <w:rFonts w:asciiTheme="minorBidi" w:hAnsiTheme="minorBidi"/>
          <w:sz w:val="20"/>
          <w:szCs w:val="20"/>
          <w:lang w:val="en-GB"/>
        </w:rPr>
      </w:pPr>
    </w:p>
    <w:sectPr w:rsidR="00D14F5F" w:rsidRPr="00D14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B17"/>
    <w:multiLevelType w:val="hybridMultilevel"/>
    <w:tmpl w:val="34FE5780"/>
    <w:lvl w:ilvl="0" w:tplc="CD54A51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801B3F"/>
    <w:multiLevelType w:val="hybridMultilevel"/>
    <w:tmpl w:val="E640D960"/>
    <w:lvl w:ilvl="0" w:tplc="BEFAEE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372DBA"/>
    <w:multiLevelType w:val="hybridMultilevel"/>
    <w:tmpl w:val="745EDFB8"/>
    <w:lvl w:ilvl="0" w:tplc="276244D8">
      <w:start w:val="1"/>
      <w:numFmt w:val="decimal"/>
      <w:lvlText w:val="%1."/>
      <w:lvlJc w:val="left"/>
      <w:pPr>
        <w:ind w:left="360" w:hanging="360"/>
      </w:pPr>
      <w:rPr>
        <w:lang w:val="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4CB74BE"/>
    <w:multiLevelType w:val="hybridMultilevel"/>
    <w:tmpl w:val="C7FCBD14"/>
    <w:lvl w:ilvl="0" w:tplc="F1A25B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9311410">
    <w:abstractNumId w:val="2"/>
  </w:num>
  <w:num w:numId="2" w16cid:durableId="1439711608">
    <w:abstractNumId w:val="1"/>
  </w:num>
  <w:num w:numId="3" w16cid:durableId="630867104">
    <w:abstractNumId w:val="3"/>
  </w:num>
  <w:num w:numId="4" w16cid:durableId="73878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FB"/>
    <w:rsid w:val="00112213"/>
    <w:rsid w:val="00230943"/>
    <w:rsid w:val="002B440E"/>
    <w:rsid w:val="00424593"/>
    <w:rsid w:val="0042709C"/>
    <w:rsid w:val="004B02F7"/>
    <w:rsid w:val="004F4DD3"/>
    <w:rsid w:val="005536FB"/>
    <w:rsid w:val="00584573"/>
    <w:rsid w:val="007039D4"/>
    <w:rsid w:val="007173E4"/>
    <w:rsid w:val="007F5CB0"/>
    <w:rsid w:val="00A42B6B"/>
    <w:rsid w:val="00B94F74"/>
    <w:rsid w:val="00D14F5F"/>
    <w:rsid w:val="00DE061D"/>
    <w:rsid w:val="00DF1C1B"/>
    <w:rsid w:val="00DF6EA8"/>
    <w:rsid w:val="00FC50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3BBB"/>
  <w15:chartTrackingRefBased/>
  <w15:docId w15:val="{DE040CB4-8E1B-4788-88FF-778904DA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FB"/>
    <w:rPr>
      <w:rFonts w:eastAsiaTheme="majorEastAsia" w:cstheme="majorBidi"/>
      <w:color w:val="272727" w:themeColor="text1" w:themeTint="D8"/>
    </w:rPr>
  </w:style>
  <w:style w:type="paragraph" w:styleId="Title">
    <w:name w:val="Title"/>
    <w:basedOn w:val="Normal"/>
    <w:next w:val="Normal"/>
    <w:link w:val="TitleChar"/>
    <w:uiPriority w:val="10"/>
    <w:qFormat/>
    <w:rsid w:val="00553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FB"/>
    <w:pPr>
      <w:spacing w:before="160"/>
      <w:jc w:val="center"/>
    </w:pPr>
    <w:rPr>
      <w:i/>
      <w:iCs/>
      <w:color w:val="404040" w:themeColor="text1" w:themeTint="BF"/>
    </w:rPr>
  </w:style>
  <w:style w:type="character" w:customStyle="1" w:styleId="QuoteChar">
    <w:name w:val="Quote Char"/>
    <w:basedOn w:val="DefaultParagraphFont"/>
    <w:link w:val="Quote"/>
    <w:uiPriority w:val="29"/>
    <w:rsid w:val="005536FB"/>
    <w:rPr>
      <w:i/>
      <w:iCs/>
      <w:color w:val="404040" w:themeColor="text1" w:themeTint="BF"/>
    </w:rPr>
  </w:style>
  <w:style w:type="paragraph" w:styleId="ListParagraph">
    <w:name w:val="List Paragraph"/>
    <w:basedOn w:val="Normal"/>
    <w:uiPriority w:val="34"/>
    <w:qFormat/>
    <w:rsid w:val="005536FB"/>
    <w:pPr>
      <w:ind w:left="720"/>
      <w:contextualSpacing/>
    </w:pPr>
  </w:style>
  <w:style w:type="character" w:styleId="IntenseEmphasis">
    <w:name w:val="Intense Emphasis"/>
    <w:basedOn w:val="DefaultParagraphFont"/>
    <w:uiPriority w:val="21"/>
    <w:qFormat/>
    <w:rsid w:val="005536FB"/>
    <w:rPr>
      <w:i/>
      <w:iCs/>
      <w:color w:val="0F4761" w:themeColor="accent1" w:themeShade="BF"/>
    </w:rPr>
  </w:style>
  <w:style w:type="paragraph" w:styleId="IntenseQuote">
    <w:name w:val="Intense Quote"/>
    <w:basedOn w:val="Normal"/>
    <w:next w:val="Normal"/>
    <w:link w:val="IntenseQuoteChar"/>
    <w:uiPriority w:val="30"/>
    <w:qFormat/>
    <w:rsid w:val="00553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6FB"/>
    <w:rPr>
      <w:i/>
      <w:iCs/>
      <w:color w:val="0F4761" w:themeColor="accent1" w:themeShade="BF"/>
    </w:rPr>
  </w:style>
  <w:style w:type="character" w:styleId="IntenseReference">
    <w:name w:val="Intense Reference"/>
    <w:basedOn w:val="DefaultParagraphFont"/>
    <w:uiPriority w:val="32"/>
    <w:qFormat/>
    <w:rsid w:val="005536FB"/>
    <w:rPr>
      <w:b/>
      <w:bCs/>
      <w:smallCaps/>
      <w:color w:val="0F4761" w:themeColor="accent1" w:themeShade="BF"/>
      <w:spacing w:val="5"/>
    </w:rPr>
  </w:style>
  <w:style w:type="table" w:styleId="TableGrid">
    <w:name w:val="Table Grid"/>
    <w:basedOn w:val="TableNormal"/>
    <w:uiPriority w:val="39"/>
    <w:rsid w:val="007F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061D"/>
    <w:pPr>
      <w:spacing w:before="100" w:beforeAutospacing="1" w:after="100" w:afterAutospacing="1" w:line="240" w:lineRule="auto"/>
    </w:pPr>
    <w:rPr>
      <w:rFonts w:ascii="Times New Roman" w:eastAsia="Times New Roman" w:hAnsi="Times New Roman" w:cs="Times New Roman"/>
      <w:kern w:val="0"/>
      <w:sz w:val="24"/>
      <w:szCs w:val="24"/>
      <w:lang w:val="en-GB" w:eastAsia="fr-FR"/>
    </w:rPr>
  </w:style>
  <w:style w:type="paragraph" w:styleId="Bibliography">
    <w:name w:val="Bibliography"/>
    <w:basedOn w:val="Normal"/>
    <w:next w:val="Normal"/>
    <w:uiPriority w:val="37"/>
    <w:unhideWhenUsed/>
    <w:rsid w:val="00DE061D"/>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522">
      <w:bodyDiv w:val="1"/>
      <w:marLeft w:val="0"/>
      <w:marRight w:val="0"/>
      <w:marTop w:val="0"/>
      <w:marBottom w:val="0"/>
      <w:divBdr>
        <w:top w:val="none" w:sz="0" w:space="0" w:color="auto"/>
        <w:left w:val="none" w:sz="0" w:space="0" w:color="auto"/>
        <w:bottom w:val="none" w:sz="0" w:space="0" w:color="auto"/>
        <w:right w:val="none" w:sz="0" w:space="0" w:color="auto"/>
      </w:divBdr>
    </w:div>
    <w:div w:id="2146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Germing+U&amp;cauthor_id=36718105" TargetMode="External"/><Relationship Id="rId13" Type="http://schemas.openxmlformats.org/officeDocument/2006/relationships/hyperlink" Target="https://pubmed.ncbi.nlm.nih.gov/?term=Ion%20I%5BAuthor%5D" TargetMode="External"/><Relationship Id="rId3" Type="http://schemas.openxmlformats.org/officeDocument/2006/relationships/settings" Target="settings.xml"/><Relationship Id="rId7" Type="http://schemas.openxmlformats.org/officeDocument/2006/relationships/hyperlink" Target="https://pubmed.ncbi.nlm.nih.gov/?term=Nelson+DR&amp;cauthor_id=28873225" TargetMode="External"/><Relationship Id="rId12" Type="http://schemas.openxmlformats.org/officeDocument/2006/relationships/hyperlink" Target="https://pubmed.ncbi.nlm.nih.gov/?term=Dobrea%20C%5BAuthor%5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med.ncbi.nlm.nih.gov/?term=Cook+RL&amp;cauthor_id=28873225" TargetMode="External"/><Relationship Id="rId11" Type="http://schemas.openxmlformats.org/officeDocument/2006/relationships/hyperlink" Target="https://pubmed.ncbi.nlm.nih.gov/?term=Mey+U&amp;cauthor_id=33221366" TargetMode="External"/><Relationship Id="rId5" Type="http://schemas.openxmlformats.org/officeDocument/2006/relationships/hyperlink" Target="https://pubmed.ncbi.nlm.nih.gov/?term=Henry+L&amp;cauthor_id=28873225" TargetMode="External"/><Relationship Id="rId15" Type="http://schemas.openxmlformats.org/officeDocument/2006/relationships/image" Target="media/image1.jpeg"/><Relationship Id="rId10" Type="http://schemas.openxmlformats.org/officeDocument/2006/relationships/hyperlink" Target="https://pubmed.ncbi.nlm.nih.gov/?term=Platzbecker+U&amp;cauthor_id=33221366" TargetMode="External"/><Relationship Id="rId4" Type="http://schemas.openxmlformats.org/officeDocument/2006/relationships/webSettings" Target="webSettings.xml"/><Relationship Id="rId9" Type="http://schemas.openxmlformats.org/officeDocument/2006/relationships/hyperlink" Target="https://pubmed.ncbi.nlm.nih.gov/?term=Sanz+GF&amp;cauthor_id=33221366" TargetMode="External"/><Relationship Id="rId14" Type="http://schemas.openxmlformats.org/officeDocument/2006/relationships/hyperlink" Target="https://www.ncbi.nlm.nih.gov/pmc/articles/PMC27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1405</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Soualah Thouraya</dc:creator>
  <cp:keywords/>
  <dc:description/>
  <cp:lastModifiedBy>Soualah Thouraya</cp:lastModifiedBy>
  <cp:revision>5</cp:revision>
  <dcterms:created xsi:type="dcterms:W3CDTF">2024-10-12T02:49:00Z</dcterms:created>
  <dcterms:modified xsi:type="dcterms:W3CDTF">2024-10-13T15:53:00Z</dcterms:modified>
</cp:coreProperties>
</file>