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9BB0C" w14:textId="13D4DE2A" w:rsidR="00A77EB2" w:rsidRDefault="00A77EB2" w:rsidP="00093B52">
      <w:pPr>
        <w:pStyle w:val="EndNoteBibliography"/>
        <w:bidi w:val="0"/>
        <w:spacing w:before="60"/>
        <w:ind w:left="488" w:hanging="488"/>
        <w:jc w:val="center"/>
        <w:rPr>
          <w:b/>
          <w:noProof w:val="0"/>
          <w:sz w:val="28"/>
          <w:szCs w:val="28"/>
          <w:rtl/>
        </w:rPr>
      </w:pPr>
      <w:r>
        <w:rPr>
          <w:b/>
          <w:noProof w:val="0"/>
          <w:sz w:val="28"/>
          <w:szCs w:val="28"/>
        </w:rPr>
        <w:t>The Impact and Prevalence of Food Allergies among Adults with Irritable Bowel S</w:t>
      </w:r>
      <w:r w:rsidRPr="00A77EB2">
        <w:rPr>
          <w:b/>
          <w:noProof w:val="0"/>
          <w:sz w:val="28"/>
          <w:szCs w:val="28"/>
        </w:rPr>
        <w:t>yndrome</w:t>
      </w:r>
    </w:p>
    <w:p w14:paraId="51490C11" w14:textId="67161BBE" w:rsidR="00D2110D" w:rsidRDefault="00B876C5" w:rsidP="00B876C5">
      <w:pPr>
        <w:bidi w:val="0"/>
        <w:jc w:val="center"/>
        <w:rPr>
          <w:iCs/>
          <w:color w:val="000000"/>
        </w:rPr>
      </w:pPr>
      <w:r w:rsidRPr="00B876C5">
        <w:rPr>
          <w:iCs/>
          <w:color w:val="000000"/>
        </w:rPr>
        <w:t>Sonya Ahmed El-Gaaly</w:t>
      </w:r>
      <w:r w:rsidR="005F4AA4" w:rsidRPr="005F4AA4">
        <w:rPr>
          <w:iCs/>
          <w:color w:val="000000"/>
          <w:vertAlign w:val="superscript"/>
        </w:rPr>
        <w:t>1</w:t>
      </w:r>
      <w:r w:rsidR="00D2110D" w:rsidRPr="00D2110D">
        <w:rPr>
          <w:iCs/>
          <w:color w:val="000000"/>
        </w:rPr>
        <w:t xml:space="preserve">, </w:t>
      </w:r>
      <w:r w:rsidRPr="00B876C5">
        <w:rPr>
          <w:iCs/>
          <w:color w:val="000000"/>
        </w:rPr>
        <w:t>Ehab Hassan Nashaat</w:t>
      </w:r>
      <w:r w:rsidR="005F4AA4" w:rsidRPr="00B876C5">
        <w:rPr>
          <w:iCs/>
          <w:color w:val="000000"/>
          <w:vertAlign w:val="superscript"/>
        </w:rPr>
        <w:t>1</w:t>
      </w:r>
      <w:r w:rsidR="00D2110D" w:rsidRPr="00D2110D">
        <w:rPr>
          <w:iCs/>
          <w:color w:val="000000"/>
        </w:rPr>
        <w:t xml:space="preserve">, </w:t>
      </w:r>
      <w:r w:rsidRPr="00B876C5">
        <w:rPr>
          <w:iCs/>
          <w:color w:val="000000"/>
        </w:rPr>
        <w:t xml:space="preserve">Mohamed Ahmed </w:t>
      </w:r>
      <w:proofErr w:type="spellStart"/>
      <w:r w:rsidRPr="00B876C5">
        <w:rPr>
          <w:iCs/>
          <w:color w:val="000000"/>
        </w:rPr>
        <w:t>Abdelmagied</w:t>
      </w:r>
      <w:proofErr w:type="spellEnd"/>
      <w:r w:rsidRPr="00B876C5">
        <w:rPr>
          <w:iCs/>
          <w:color w:val="000000"/>
        </w:rPr>
        <w:t xml:space="preserve"> Hamza</w:t>
      </w:r>
      <w:r w:rsidR="005F4AA4" w:rsidRPr="005F4AA4">
        <w:rPr>
          <w:iCs/>
          <w:color w:val="000000"/>
          <w:vertAlign w:val="superscript"/>
        </w:rPr>
        <w:t>2</w:t>
      </w:r>
      <w:r w:rsidR="00D2110D" w:rsidRPr="00D2110D">
        <w:rPr>
          <w:iCs/>
          <w:color w:val="000000"/>
        </w:rPr>
        <w:t xml:space="preserve">, </w:t>
      </w:r>
      <w:r w:rsidRPr="00B876C5">
        <w:rPr>
          <w:iCs/>
          <w:color w:val="000000"/>
        </w:rPr>
        <w:t xml:space="preserve">Mostafa </w:t>
      </w:r>
      <w:proofErr w:type="spellStart"/>
      <w:r w:rsidRPr="00B876C5">
        <w:rPr>
          <w:iCs/>
          <w:color w:val="000000"/>
        </w:rPr>
        <w:t>Attya</w:t>
      </w:r>
      <w:proofErr w:type="spellEnd"/>
      <w:r w:rsidRPr="00B876C5">
        <w:rPr>
          <w:iCs/>
          <w:color w:val="000000"/>
        </w:rPr>
        <w:t xml:space="preserve"> </w:t>
      </w:r>
      <w:proofErr w:type="spellStart"/>
      <w:r w:rsidRPr="00B876C5">
        <w:rPr>
          <w:iCs/>
          <w:color w:val="000000"/>
        </w:rPr>
        <w:t>Elfors</w:t>
      </w:r>
      <w:proofErr w:type="spellEnd"/>
      <w:r w:rsidRPr="00B876C5">
        <w:rPr>
          <w:iCs/>
          <w:color w:val="000000"/>
        </w:rPr>
        <w:t xml:space="preserve"> </w:t>
      </w:r>
      <w:r w:rsidR="00D2110D" w:rsidRPr="00D2110D">
        <w:rPr>
          <w:iCs/>
          <w:color w:val="000000"/>
          <w:vertAlign w:val="superscript"/>
        </w:rPr>
        <w:t>*1</w:t>
      </w:r>
    </w:p>
    <w:p w14:paraId="534668DB" w14:textId="77777777" w:rsidR="005F4AA4" w:rsidRDefault="005F4AA4" w:rsidP="00B876C5">
      <w:pPr>
        <w:bidi w:val="0"/>
        <w:jc w:val="center"/>
        <w:rPr>
          <w:iCs/>
          <w:color w:val="000000"/>
        </w:rPr>
      </w:pPr>
    </w:p>
    <w:p w14:paraId="0FF692D4" w14:textId="77777777" w:rsidR="005F4AA4" w:rsidRPr="00D2110D" w:rsidRDefault="005F4AA4" w:rsidP="005F4AA4">
      <w:pPr>
        <w:bidi w:val="0"/>
        <w:jc w:val="center"/>
        <w:rPr>
          <w:iCs/>
          <w:color w:val="000000"/>
        </w:rPr>
      </w:pPr>
    </w:p>
    <w:p w14:paraId="7A60D1E5" w14:textId="5599210B" w:rsidR="00D2110D" w:rsidRPr="005F4AA4" w:rsidRDefault="005F4AA4" w:rsidP="005F4AA4">
      <w:pPr>
        <w:bidi w:val="0"/>
        <w:rPr>
          <w:iCs/>
          <w:color w:val="000000"/>
        </w:rPr>
      </w:pPr>
      <w:r w:rsidRPr="005F4AA4">
        <w:rPr>
          <w:iCs/>
          <w:color w:val="000000"/>
          <w:vertAlign w:val="superscript"/>
        </w:rPr>
        <w:t>1</w:t>
      </w:r>
      <w:r w:rsidR="00D2110D" w:rsidRPr="00D2110D">
        <w:rPr>
          <w:iCs/>
          <w:color w:val="000000"/>
        </w:rPr>
        <w:t>Internal Medicine Department, Hepatology and GIT Unit, Faculty of Medicine, Ain Shams University, Cairo, Egypt</w:t>
      </w:r>
      <w:r w:rsidR="002C5825">
        <w:rPr>
          <w:iCs/>
          <w:color w:val="000000"/>
        </w:rPr>
        <w:t>.</w:t>
      </w:r>
    </w:p>
    <w:p w14:paraId="488CE0ED" w14:textId="0AC160C6" w:rsidR="005F4AA4" w:rsidRPr="005F4AA4" w:rsidRDefault="005F4AA4" w:rsidP="005F4AA4">
      <w:pPr>
        <w:bidi w:val="0"/>
        <w:rPr>
          <w:iCs/>
          <w:color w:val="000000"/>
        </w:rPr>
      </w:pPr>
      <w:r w:rsidRPr="005F4AA4">
        <w:rPr>
          <w:iCs/>
          <w:color w:val="000000"/>
          <w:vertAlign w:val="superscript"/>
        </w:rPr>
        <w:t>2</w:t>
      </w:r>
      <w:r w:rsidRPr="005F4AA4">
        <w:rPr>
          <w:iCs/>
          <w:color w:val="000000"/>
        </w:rPr>
        <w:t xml:space="preserve">Al-Mustansiriya University, Iraq. Visitor </w:t>
      </w:r>
      <w:r w:rsidR="002C5825">
        <w:rPr>
          <w:iCs/>
          <w:color w:val="000000"/>
        </w:rPr>
        <w:t>internal medicine resident</w:t>
      </w:r>
      <w:r w:rsidRPr="005F4AA4">
        <w:rPr>
          <w:iCs/>
          <w:color w:val="000000"/>
        </w:rPr>
        <w:t>, Ain Shams University Hospital, Cairo, Egypt</w:t>
      </w:r>
      <w:r w:rsidR="002C5825">
        <w:rPr>
          <w:iCs/>
          <w:color w:val="000000"/>
        </w:rPr>
        <w:t>.</w:t>
      </w:r>
    </w:p>
    <w:p w14:paraId="4EDD1347" w14:textId="77777777" w:rsidR="005F4AA4" w:rsidRPr="005F4AA4" w:rsidRDefault="005F4AA4" w:rsidP="005F4AA4">
      <w:pPr>
        <w:bidi w:val="0"/>
        <w:rPr>
          <w:iCs/>
          <w:color w:val="000000"/>
        </w:rPr>
      </w:pPr>
    </w:p>
    <w:p w14:paraId="58783B34" w14:textId="5984C0BA" w:rsidR="00D2110D" w:rsidRPr="00D2110D" w:rsidRDefault="002C5825" w:rsidP="002C5825">
      <w:pPr>
        <w:bidi w:val="0"/>
        <w:rPr>
          <w:iCs/>
          <w:color w:val="000000"/>
          <w:sz w:val="28"/>
          <w:szCs w:val="28"/>
          <w:vertAlign w:val="superscript"/>
        </w:rPr>
      </w:pPr>
      <w:r w:rsidRPr="00D2110D">
        <w:rPr>
          <w:b/>
          <w:bCs/>
          <w:iCs/>
          <w:color w:val="000000"/>
        </w:rPr>
        <w:t>Corresponding Author</w:t>
      </w:r>
      <w:r>
        <w:rPr>
          <w:b/>
          <w:bCs/>
          <w:iCs/>
          <w:color w:val="000000"/>
        </w:rPr>
        <w:t xml:space="preserve">: </w:t>
      </w:r>
      <w:r w:rsidR="00D2110D" w:rsidRPr="00EC3EA9">
        <w:rPr>
          <w:iCs/>
          <w:color w:val="000000"/>
        </w:rPr>
        <w:t xml:space="preserve">Mostafa </w:t>
      </w:r>
      <w:proofErr w:type="spellStart"/>
      <w:r w:rsidR="00D2110D" w:rsidRPr="00EC3EA9">
        <w:rPr>
          <w:iCs/>
          <w:color w:val="000000"/>
        </w:rPr>
        <w:t>Attya</w:t>
      </w:r>
      <w:proofErr w:type="spellEnd"/>
      <w:r w:rsidR="00D2110D" w:rsidRPr="00EC3EA9">
        <w:rPr>
          <w:iCs/>
          <w:color w:val="000000"/>
        </w:rPr>
        <w:t xml:space="preserve"> </w:t>
      </w:r>
      <w:proofErr w:type="spellStart"/>
      <w:r w:rsidR="00D2110D" w:rsidRPr="00EC3EA9">
        <w:rPr>
          <w:iCs/>
          <w:color w:val="000000"/>
        </w:rPr>
        <w:t>Elfors</w:t>
      </w:r>
      <w:proofErr w:type="spellEnd"/>
      <w:r w:rsidR="00D2110D" w:rsidRPr="00D2110D">
        <w:rPr>
          <w:iCs/>
          <w:color w:val="000000"/>
          <w:sz w:val="28"/>
          <w:szCs w:val="28"/>
        </w:rPr>
        <w:t xml:space="preserve"> </w:t>
      </w:r>
    </w:p>
    <w:p w14:paraId="17841FA5" w14:textId="33695EC7" w:rsidR="00D2110D" w:rsidRPr="00D2110D" w:rsidRDefault="00D2110D" w:rsidP="00D2110D">
      <w:pPr>
        <w:bidi w:val="0"/>
        <w:jc w:val="both"/>
        <w:rPr>
          <w:rFonts w:eastAsia="SimSun"/>
          <w:lang w:eastAsia="zh-CN"/>
        </w:rPr>
      </w:pPr>
      <w:r w:rsidRPr="00D2110D">
        <w:rPr>
          <w:rFonts w:eastAsia="SimSun"/>
          <w:lang w:eastAsia="zh-CN"/>
        </w:rPr>
        <w:t>MD of</w:t>
      </w:r>
      <w:r w:rsidRPr="00D2110D">
        <w:rPr>
          <w:b/>
          <w:bCs/>
          <w:iCs/>
          <w:color w:val="000000"/>
        </w:rPr>
        <w:t xml:space="preserve"> </w:t>
      </w:r>
      <w:r w:rsidRPr="00D2110D">
        <w:rPr>
          <w:rFonts w:eastAsia="SimSun"/>
          <w:lang w:eastAsia="zh-CN"/>
        </w:rPr>
        <w:t>internal medicine, Lecturer of internal medicine, Hepatology and GIT, Faculty of Medicine, Ain Shams University</w:t>
      </w:r>
      <w:r w:rsidR="004616F4">
        <w:rPr>
          <w:rFonts w:eastAsia="SimSun"/>
          <w:lang w:eastAsia="zh-CN"/>
        </w:rPr>
        <w:t>.</w:t>
      </w:r>
    </w:p>
    <w:p w14:paraId="5E95AD7C" w14:textId="2D911F45" w:rsidR="000C57FF" w:rsidRDefault="00D2110D" w:rsidP="00D2110D">
      <w:pPr>
        <w:bidi w:val="0"/>
        <w:jc w:val="both"/>
        <w:rPr>
          <w:b/>
          <w:bCs/>
          <w:iCs/>
          <w:color w:val="000000"/>
        </w:rPr>
      </w:pPr>
      <w:r w:rsidRPr="00D2110D">
        <w:rPr>
          <w:b/>
          <w:bCs/>
          <w:iCs/>
          <w:color w:val="000000"/>
        </w:rPr>
        <w:t xml:space="preserve">Email: </w:t>
      </w:r>
      <w:hyperlink r:id="rId8" w:history="1">
        <w:r w:rsidR="000C57FF" w:rsidRPr="000C57FF">
          <w:rPr>
            <w:rStyle w:val="Hyperlink"/>
            <w:b/>
            <w:bCs/>
            <w:iCs/>
          </w:rPr>
          <w:t>mostafaalfors@med.asu.edu.eg</w:t>
        </w:r>
      </w:hyperlink>
      <w:r w:rsidR="004616F4">
        <w:rPr>
          <w:b/>
          <w:bCs/>
          <w:iCs/>
          <w:color w:val="000000"/>
        </w:rPr>
        <w:t>.</w:t>
      </w:r>
    </w:p>
    <w:p w14:paraId="2C59DE51" w14:textId="29D15424" w:rsidR="00D2110D" w:rsidRPr="00D2110D" w:rsidRDefault="00D2110D" w:rsidP="000C57FF">
      <w:pPr>
        <w:bidi w:val="0"/>
        <w:jc w:val="both"/>
        <w:rPr>
          <w:iCs/>
          <w:color w:val="000000"/>
        </w:rPr>
      </w:pPr>
      <w:r w:rsidRPr="00D2110D">
        <w:rPr>
          <w:b/>
          <w:bCs/>
          <w:iCs/>
          <w:color w:val="000000"/>
        </w:rPr>
        <w:t xml:space="preserve">Tel. No.: </w:t>
      </w:r>
      <w:r w:rsidR="007D5BD9">
        <w:rPr>
          <w:b/>
          <w:bCs/>
          <w:iCs/>
          <w:color w:val="000000"/>
        </w:rPr>
        <w:t>+2</w:t>
      </w:r>
      <w:r w:rsidRPr="00D2110D">
        <w:rPr>
          <w:iCs/>
          <w:color w:val="000000"/>
        </w:rPr>
        <w:t>01004424657</w:t>
      </w:r>
    </w:p>
    <w:p w14:paraId="0EB2867F" w14:textId="7085BC63" w:rsidR="00D2110D" w:rsidRPr="00D2110D" w:rsidRDefault="00D2110D" w:rsidP="00D2110D">
      <w:pPr>
        <w:bidi w:val="0"/>
        <w:spacing w:after="240"/>
        <w:jc w:val="both"/>
        <w:rPr>
          <w:b/>
          <w:bCs/>
          <w:iCs/>
          <w:color w:val="0000FF"/>
          <w:u w:val="single"/>
        </w:rPr>
      </w:pPr>
      <w:r w:rsidRPr="00D2110D">
        <w:rPr>
          <w:b/>
          <w:bCs/>
          <w:iCs/>
          <w:color w:val="000000"/>
        </w:rPr>
        <w:t xml:space="preserve">ORCID: </w:t>
      </w:r>
      <w:hyperlink r:id="rId9" w:history="1">
        <w:r w:rsidRPr="00D2110D">
          <w:rPr>
            <w:rStyle w:val="Hyperlink"/>
            <w:iCs/>
          </w:rPr>
          <w:t>0009-0000-9578-8133</w:t>
        </w:r>
      </w:hyperlink>
      <w:r w:rsidR="002C5825">
        <w:rPr>
          <w:iCs/>
          <w:color w:val="000000"/>
        </w:rPr>
        <w:t>.</w:t>
      </w:r>
    </w:p>
    <w:p w14:paraId="5B768659" w14:textId="306FAA29" w:rsidR="00D2110D" w:rsidRPr="00D2110D" w:rsidRDefault="00D2110D" w:rsidP="001573E5">
      <w:pPr>
        <w:bidi w:val="0"/>
        <w:spacing w:before="120"/>
        <w:jc w:val="both"/>
        <w:rPr>
          <w:lang w:val="en-GB"/>
        </w:rPr>
      </w:pPr>
      <w:r w:rsidRPr="00D2110D">
        <w:rPr>
          <w:sz w:val="26"/>
          <w:szCs w:val="26"/>
        </w:rPr>
        <w:t>DOI</w:t>
      </w:r>
      <w:r w:rsidRPr="00D2110D">
        <w:t xml:space="preserve">: </w:t>
      </w:r>
      <w:hyperlink r:id="rId10" w:history="1">
        <w:r w:rsidR="001573E5" w:rsidRPr="001573E5">
          <w:rPr>
            <w:rStyle w:val="Hyperlink"/>
          </w:rPr>
          <w:t>10.21608/ajgh.2024.325712.1066</w:t>
        </w:r>
      </w:hyperlink>
      <w:r w:rsidRPr="00D2110D">
        <w:rPr>
          <w:lang w:val="en-GB"/>
        </w:rPr>
        <w:t>.</w:t>
      </w:r>
    </w:p>
    <w:p w14:paraId="6D0CF71F" w14:textId="2F08A606" w:rsidR="00D2110D" w:rsidRPr="00D2110D" w:rsidRDefault="00D2110D" w:rsidP="00D2110D">
      <w:pPr>
        <w:bidi w:val="0"/>
        <w:spacing w:before="120"/>
        <w:jc w:val="both"/>
        <w:rPr>
          <w:b/>
          <w:bCs/>
        </w:rPr>
      </w:pPr>
      <w:r w:rsidRPr="00D2110D">
        <w:t xml:space="preserve">Submission </w:t>
      </w:r>
      <w:bookmarkStart w:id="0" w:name="_Hlk125994740"/>
      <w:r w:rsidRPr="00D2110D">
        <w:t>date: 0</w:t>
      </w:r>
      <w:r w:rsidR="001573E5">
        <w:t>3</w:t>
      </w:r>
      <w:r w:rsidRPr="00D2110D">
        <w:t xml:space="preserve"> </w:t>
      </w:r>
      <w:r w:rsidR="001573E5">
        <w:t>October</w:t>
      </w:r>
      <w:r w:rsidRPr="00D2110D">
        <w:t xml:space="preserve"> 2024.</w:t>
      </w:r>
    </w:p>
    <w:bookmarkEnd w:id="0"/>
    <w:p w14:paraId="25714498" w14:textId="309C92E6" w:rsidR="00D2110D" w:rsidRPr="00D2110D" w:rsidRDefault="00D2110D" w:rsidP="00D2110D">
      <w:pPr>
        <w:bidi w:val="0"/>
        <w:spacing w:before="120"/>
        <w:jc w:val="both"/>
        <w:rPr>
          <w:b/>
          <w:bCs/>
        </w:rPr>
      </w:pPr>
      <w:r w:rsidRPr="00D2110D">
        <w:t>Revision date (End of revision):</w:t>
      </w:r>
      <w:r w:rsidRPr="00D2110D">
        <w:rPr>
          <w:b/>
          <w:bCs/>
        </w:rPr>
        <w:t xml:space="preserve"> </w:t>
      </w:r>
      <w:r w:rsidR="001573E5">
        <w:t>10</w:t>
      </w:r>
      <w:r w:rsidRPr="00D2110D">
        <w:t xml:space="preserve"> November 2024.</w:t>
      </w:r>
    </w:p>
    <w:p w14:paraId="05613717" w14:textId="7E1190A2" w:rsidR="00D2110D" w:rsidRPr="00D2110D" w:rsidRDefault="00D2110D" w:rsidP="00D2110D">
      <w:pPr>
        <w:bidi w:val="0"/>
        <w:spacing w:before="120"/>
        <w:jc w:val="both"/>
        <w:rPr>
          <w:b/>
          <w:bCs/>
        </w:rPr>
      </w:pPr>
      <w:r w:rsidRPr="00D2110D">
        <w:t>Acceptance date:</w:t>
      </w:r>
      <w:r w:rsidRPr="00D2110D">
        <w:rPr>
          <w:b/>
          <w:bCs/>
        </w:rPr>
        <w:t xml:space="preserve"> </w:t>
      </w:r>
      <w:r w:rsidR="001573E5">
        <w:t>22</w:t>
      </w:r>
      <w:r w:rsidRPr="00D2110D">
        <w:t xml:space="preserve"> November 2024.</w:t>
      </w:r>
    </w:p>
    <w:p w14:paraId="7D41C98F" w14:textId="77777777" w:rsidR="00D2110D" w:rsidRDefault="00D2110D" w:rsidP="00D2110D">
      <w:pPr>
        <w:pStyle w:val="EndNoteBibliography"/>
        <w:bidi w:val="0"/>
        <w:spacing w:before="60"/>
        <w:ind w:left="488" w:hanging="488"/>
        <w:rPr>
          <w:rFonts w:asciiTheme="majorBidi" w:hAnsiTheme="majorBidi" w:cstheme="majorBidi"/>
          <w:b/>
          <w:bCs/>
          <w:noProof w:val="0"/>
          <w:color w:val="000000"/>
          <w:sz w:val="28"/>
          <w:szCs w:val="28"/>
        </w:rPr>
      </w:pPr>
    </w:p>
    <w:p w14:paraId="4C15051F" w14:textId="415BE3DF" w:rsidR="000E1FCD" w:rsidRPr="000E1FCD" w:rsidRDefault="000E1FCD" w:rsidP="00D2110D">
      <w:pPr>
        <w:pStyle w:val="EndNoteBibliography"/>
        <w:bidi w:val="0"/>
        <w:spacing w:before="60"/>
        <w:ind w:left="488" w:hanging="488"/>
        <w:rPr>
          <w:rFonts w:asciiTheme="majorBidi" w:hAnsiTheme="majorBidi" w:cstheme="majorBidi"/>
          <w:b/>
          <w:bCs/>
          <w:noProof w:val="0"/>
          <w:color w:val="000000"/>
          <w:sz w:val="28"/>
          <w:szCs w:val="28"/>
        </w:rPr>
      </w:pPr>
      <w:r w:rsidRPr="000E1FCD">
        <w:rPr>
          <w:rFonts w:asciiTheme="majorBidi" w:hAnsiTheme="majorBidi" w:cstheme="majorBidi"/>
          <w:b/>
          <w:bCs/>
          <w:noProof w:val="0"/>
          <w:color w:val="000000"/>
          <w:sz w:val="28"/>
          <w:szCs w:val="28"/>
        </w:rPr>
        <w:t>Abstract</w:t>
      </w:r>
    </w:p>
    <w:p w14:paraId="5D725B7D" w14:textId="260C8F82" w:rsidR="000E1FCD" w:rsidRPr="008E1B77" w:rsidRDefault="000E1FCD" w:rsidP="00AC236A">
      <w:pPr>
        <w:pStyle w:val="EndNoteBibliography"/>
        <w:bidi w:val="0"/>
        <w:spacing w:before="60" w:after="240"/>
        <w:jc w:val="both"/>
        <w:rPr>
          <w:rFonts w:asciiTheme="majorBidi" w:eastAsia="SimSun" w:hAnsiTheme="majorBidi" w:cstheme="majorBidi"/>
          <w:noProof w:val="0"/>
          <w:color w:val="000000" w:themeColor="text1"/>
          <w:lang w:eastAsia="zh-CN"/>
        </w:rPr>
      </w:pPr>
      <w:r w:rsidRPr="000E1FCD">
        <w:rPr>
          <w:rFonts w:asciiTheme="majorBidi" w:eastAsia="SimSun" w:hAnsiTheme="majorBidi" w:cstheme="majorBidi"/>
          <w:b/>
          <w:bCs/>
          <w:noProof w:val="0"/>
          <w:color w:val="000000" w:themeColor="text1"/>
          <w:lang w:eastAsia="zh-CN"/>
        </w:rPr>
        <w:t>Background:</w:t>
      </w:r>
      <w:r w:rsidRPr="000E1FCD">
        <w:rPr>
          <w:rFonts w:asciiTheme="majorBidi" w:eastAsia="SimSun" w:hAnsiTheme="majorBidi" w:cstheme="majorBidi"/>
          <w:noProof w:val="0"/>
          <w:color w:val="000000" w:themeColor="text1"/>
          <w:lang w:eastAsia="zh-CN"/>
        </w:rPr>
        <w:t xml:space="preserve"> </w:t>
      </w:r>
      <w:r w:rsidR="00AC236A" w:rsidRPr="00AC236A">
        <w:rPr>
          <w:rFonts w:asciiTheme="majorBidi" w:eastAsia="SimSun" w:hAnsiTheme="majorBidi" w:cstheme="majorBidi"/>
          <w:noProof w:val="0"/>
          <w:color w:val="000000" w:themeColor="text1"/>
          <w:lang w:eastAsia="zh-CN"/>
        </w:rPr>
        <w:t>Abdominal pain that flares up again and irregular intestinal motility are the features of irritable bowel syndrome (IBS), a complex bowel symptom with an incidence of 5.2-22% in people. IBS and allergy illnesses share many common causes, including food intolerance, post-infectious inflammation, and allergic reactions. This suggests that there may be an immune-mediated relationship between the two conditions. The Research Ethics Committee (REC) at the Faculty of Medicine, Ain Shams University, approved this research</w:t>
      </w:r>
      <w:r w:rsidR="00AC236A" w:rsidRPr="00912927">
        <w:rPr>
          <w:rFonts w:asciiTheme="majorBidi" w:eastAsia="SimSun" w:hAnsiTheme="majorBidi" w:cstheme="majorBidi"/>
          <w:b/>
          <w:bCs/>
          <w:noProof w:val="0"/>
          <w:color w:val="FF0000"/>
          <w:lang w:eastAsia="zh-CN"/>
        </w:rPr>
        <w:t xml:space="preserve"> </w:t>
      </w:r>
      <w:r w:rsidR="00AC236A" w:rsidRPr="008E1B77">
        <w:rPr>
          <w:rFonts w:asciiTheme="majorBidi" w:eastAsia="SimSun" w:hAnsiTheme="majorBidi" w:cstheme="majorBidi"/>
          <w:noProof w:val="0"/>
          <w:color w:val="000000" w:themeColor="text1"/>
          <w:lang w:eastAsia="zh-CN"/>
        </w:rPr>
        <w:t>to evaluate the impact and incidence of food allergies among adults with IBS</w:t>
      </w:r>
      <w:r w:rsidR="00C40AEC" w:rsidRPr="008E1B77">
        <w:rPr>
          <w:rFonts w:asciiTheme="majorBidi" w:eastAsia="SimSun" w:hAnsiTheme="majorBidi" w:cstheme="majorBidi"/>
          <w:noProof w:val="0"/>
          <w:color w:val="000000" w:themeColor="text1"/>
          <w:lang w:eastAsia="zh-CN"/>
        </w:rPr>
        <w:t>.</w:t>
      </w:r>
    </w:p>
    <w:p w14:paraId="442CA32B" w14:textId="367530D4" w:rsidR="00FA1173" w:rsidRPr="00CE5F32" w:rsidRDefault="000E1FCD" w:rsidP="00DD593F">
      <w:pPr>
        <w:pStyle w:val="EndNoteBibliography"/>
        <w:bidi w:val="0"/>
        <w:spacing w:before="60" w:after="240"/>
        <w:jc w:val="both"/>
      </w:pPr>
      <w:r w:rsidRPr="000E1FCD">
        <w:rPr>
          <w:rFonts w:asciiTheme="majorBidi" w:eastAsia="SimSun" w:hAnsiTheme="majorBidi" w:cstheme="majorBidi"/>
          <w:b/>
          <w:bCs/>
          <w:noProof w:val="0"/>
          <w:color w:val="000000" w:themeColor="text1"/>
          <w:lang w:eastAsia="zh-CN"/>
        </w:rPr>
        <w:lastRenderedPageBreak/>
        <w:t>Methods:</w:t>
      </w:r>
      <w:r w:rsidRPr="000E1FCD">
        <w:rPr>
          <w:rFonts w:asciiTheme="majorBidi" w:eastAsia="SimSun" w:hAnsiTheme="majorBidi" w:cstheme="majorBidi"/>
          <w:noProof w:val="0"/>
          <w:color w:val="000000" w:themeColor="text1"/>
          <w:lang w:eastAsia="zh-CN"/>
        </w:rPr>
        <w:t xml:space="preserve"> </w:t>
      </w:r>
      <w:r w:rsidR="00DD593F" w:rsidRPr="00DD593F">
        <w:rPr>
          <w:rFonts w:asciiTheme="majorBidi" w:eastAsia="SimSun" w:hAnsiTheme="majorBidi" w:cstheme="majorBidi"/>
          <w:noProof w:val="0"/>
          <w:color w:val="000000" w:themeColor="text1"/>
          <w:lang w:eastAsia="zh-CN"/>
        </w:rPr>
        <w:t xml:space="preserve">Between January 2023 and June 2023, we conducted our prospective cohort study in the gastroenterology unit of Ain Shams University Hospital, using Rome IV criteria to diagnose IBS in 84 participants </w:t>
      </w:r>
      <w:r w:rsidR="00DD593F" w:rsidRPr="008E1B77">
        <w:rPr>
          <w:rFonts w:asciiTheme="majorBidi" w:eastAsia="SimSun" w:hAnsiTheme="majorBidi" w:cstheme="majorBidi"/>
          <w:noProof w:val="0"/>
          <w:color w:val="000000" w:themeColor="text1"/>
          <w:lang w:eastAsia="zh-CN"/>
        </w:rPr>
        <w:t>after exclusion of cases with immune deficiencies, significant previous abdominal surgery</w:t>
      </w:r>
      <w:r w:rsidR="00383ECC">
        <w:rPr>
          <w:rFonts w:asciiTheme="majorBidi" w:eastAsia="SimSun" w:hAnsiTheme="majorBidi" w:cstheme="majorBidi"/>
          <w:noProof w:val="0"/>
          <w:color w:val="000000" w:themeColor="text1"/>
          <w:lang w:eastAsia="zh-CN"/>
        </w:rPr>
        <w:t>,</w:t>
      </w:r>
      <w:r w:rsidR="00DD593F" w:rsidRPr="008E1B77">
        <w:rPr>
          <w:rFonts w:asciiTheme="majorBidi" w:eastAsia="SimSun" w:hAnsiTheme="majorBidi" w:cstheme="majorBidi"/>
          <w:noProof w:val="0"/>
          <w:color w:val="000000" w:themeColor="text1"/>
          <w:lang w:eastAsia="zh-CN"/>
        </w:rPr>
        <w:t xml:space="preserve"> and organic gastrointestinal disorders.</w:t>
      </w:r>
      <w:r w:rsidR="00DD593F" w:rsidRPr="009201C4">
        <w:rPr>
          <w:rFonts w:asciiTheme="majorBidi" w:eastAsia="SimSun" w:hAnsiTheme="majorBidi" w:cstheme="majorBidi"/>
          <w:noProof w:val="0"/>
          <w:color w:val="FF0000"/>
          <w:lang w:eastAsia="zh-CN"/>
        </w:rPr>
        <w:t xml:space="preserve"> </w:t>
      </w:r>
      <w:r w:rsidR="00DD593F" w:rsidRPr="00DD593F">
        <w:rPr>
          <w:rFonts w:asciiTheme="majorBidi" w:eastAsia="SimSun" w:hAnsiTheme="majorBidi" w:cstheme="majorBidi"/>
          <w:noProof w:val="0"/>
          <w:color w:val="000000" w:themeColor="text1"/>
          <w:lang w:eastAsia="zh-CN"/>
        </w:rPr>
        <w:t xml:space="preserve">Participants' dietary habits and demographic information were noted, and they also </w:t>
      </w:r>
      <w:r w:rsidR="00DD593F" w:rsidRPr="008E1B77">
        <w:rPr>
          <w:rFonts w:asciiTheme="majorBidi" w:eastAsia="SimSun" w:hAnsiTheme="majorBidi" w:cstheme="majorBidi"/>
          <w:noProof w:val="0"/>
          <w:color w:val="000000" w:themeColor="text1"/>
          <w:lang w:eastAsia="zh-CN"/>
        </w:rPr>
        <w:t xml:space="preserve">underwent </w:t>
      </w:r>
      <w:r w:rsidR="00170C32" w:rsidRPr="008E1B77">
        <w:rPr>
          <w:rFonts w:asciiTheme="majorBidi" w:eastAsia="SimSun" w:hAnsiTheme="majorBidi" w:cstheme="majorBidi"/>
          <w:noProof w:val="0"/>
          <w:color w:val="000000" w:themeColor="text1"/>
          <w:lang w:eastAsia="zh-CN"/>
        </w:rPr>
        <w:t>an entire</w:t>
      </w:r>
      <w:r w:rsidR="00DD593F" w:rsidRPr="008E1B77">
        <w:rPr>
          <w:rFonts w:asciiTheme="majorBidi" w:eastAsia="SimSun" w:hAnsiTheme="majorBidi" w:cstheme="majorBidi"/>
          <w:noProof w:val="0"/>
          <w:color w:val="000000" w:themeColor="text1"/>
          <w:lang w:eastAsia="zh-CN"/>
        </w:rPr>
        <w:t xml:space="preserve"> medical history, physical examination, </w:t>
      </w:r>
      <w:r w:rsidR="00DD593F" w:rsidRPr="00DD593F">
        <w:rPr>
          <w:rFonts w:asciiTheme="majorBidi" w:eastAsia="SimSun" w:hAnsiTheme="majorBidi" w:cstheme="majorBidi"/>
          <w:noProof w:val="0"/>
          <w:color w:val="000000" w:themeColor="text1"/>
          <w:lang w:eastAsia="zh-CN"/>
        </w:rPr>
        <w:t>CBC, stool analyses, serum IgE tests, and a two-week food record to monitor their intake of allergenic foods and their i</w:t>
      </w:r>
      <w:r w:rsidR="00912927">
        <w:rPr>
          <w:rFonts w:asciiTheme="majorBidi" w:eastAsia="SimSun" w:hAnsiTheme="majorBidi" w:cstheme="majorBidi"/>
          <w:noProof w:val="0"/>
          <w:color w:val="000000" w:themeColor="text1"/>
          <w:lang w:eastAsia="zh-CN"/>
        </w:rPr>
        <w:t>mpact on the IBS manifestations</w:t>
      </w:r>
      <w:r w:rsidR="00670901" w:rsidRPr="00670901">
        <w:rPr>
          <w:rFonts w:asciiTheme="majorBidi" w:eastAsia="SimSun" w:hAnsiTheme="majorBidi" w:cstheme="majorBidi"/>
          <w:noProof w:val="0"/>
          <w:color w:val="000000" w:themeColor="text1"/>
          <w:lang w:eastAsia="zh-CN"/>
        </w:rPr>
        <w:t>.</w:t>
      </w:r>
    </w:p>
    <w:p w14:paraId="4EEE3A1A" w14:textId="33336CC7" w:rsidR="009D5E04" w:rsidRDefault="0052220E" w:rsidP="00B03B9E">
      <w:pPr>
        <w:pStyle w:val="EndNoteBibliography"/>
        <w:bidi w:val="0"/>
        <w:spacing w:after="240"/>
        <w:jc w:val="both"/>
        <w:rPr>
          <w:rFonts w:asciiTheme="majorBidi" w:eastAsia="SimSun" w:hAnsiTheme="majorBidi" w:cstheme="majorBidi"/>
          <w:noProof w:val="0"/>
          <w:color w:val="000000" w:themeColor="text1"/>
          <w:lang w:eastAsia="zh-CN"/>
        </w:rPr>
      </w:pPr>
      <w:r w:rsidRPr="0052220E">
        <w:rPr>
          <w:rFonts w:asciiTheme="majorBidi" w:eastAsia="SimSun" w:hAnsiTheme="majorBidi" w:cstheme="majorBidi"/>
          <w:b/>
          <w:bCs/>
          <w:noProof w:val="0"/>
          <w:color w:val="000000" w:themeColor="text1"/>
          <w:lang w:eastAsia="zh-CN"/>
        </w:rPr>
        <w:t>Results:</w:t>
      </w:r>
      <w:r w:rsidR="009D5E04" w:rsidRPr="009D5E04">
        <w:rPr>
          <w:rFonts w:asciiTheme="majorBidi" w:eastAsia="SimSun" w:hAnsiTheme="majorBidi" w:cstheme="majorBidi"/>
          <w:noProof w:val="0"/>
          <w:color w:val="000000" w:themeColor="text1"/>
          <w:lang w:eastAsia="zh-CN"/>
        </w:rPr>
        <w:t xml:space="preserve"> </w:t>
      </w:r>
      <w:r w:rsidR="00B03B9E" w:rsidRPr="00B03B9E">
        <w:rPr>
          <w:rFonts w:asciiTheme="majorBidi" w:eastAsia="SimSun" w:hAnsiTheme="majorBidi" w:cstheme="majorBidi"/>
          <w:noProof w:val="0"/>
          <w:color w:val="000000" w:themeColor="text1"/>
          <w:lang w:eastAsia="zh-CN"/>
        </w:rPr>
        <w:t xml:space="preserve">Among our </w:t>
      </w:r>
      <w:r w:rsidR="00170C32">
        <w:rPr>
          <w:rFonts w:asciiTheme="majorBidi" w:eastAsia="SimSun" w:hAnsiTheme="majorBidi" w:cstheme="majorBidi"/>
          <w:noProof w:val="0"/>
          <w:color w:val="000000" w:themeColor="text1"/>
          <w:lang w:eastAsia="zh-CN"/>
        </w:rPr>
        <w:t>research subjects</w:t>
      </w:r>
      <w:r w:rsidR="00B03B9E" w:rsidRPr="00B03B9E">
        <w:rPr>
          <w:rFonts w:asciiTheme="majorBidi" w:eastAsia="SimSun" w:hAnsiTheme="majorBidi" w:cstheme="majorBidi"/>
          <w:noProof w:val="0"/>
          <w:color w:val="000000" w:themeColor="text1"/>
          <w:lang w:eastAsia="zh-CN"/>
        </w:rPr>
        <w:t>, the prevalence of food allergies was in 50% of patients, with common sensitivities to cow's milk, egg white, and wheat. Significant associations existed between food allergies and IBS subtypes, particularly IBS-C.</w:t>
      </w:r>
    </w:p>
    <w:p w14:paraId="725A15A2" w14:textId="045DDF91" w:rsidR="00FA1173" w:rsidRDefault="00A17736" w:rsidP="004072F5">
      <w:pPr>
        <w:pStyle w:val="EndNoteBibliography"/>
        <w:bidi w:val="0"/>
        <w:spacing w:after="240"/>
        <w:jc w:val="both"/>
      </w:pPr>
      <w:r w:rsidRPr="00A17736">
        <w:rPr>
          <w:b/>
          <w:bCs/>
        </w:rPr>
        <w:t xml:space="preserve">In </w:t>
      </w:r>
      <w:r w:rsidR="008E42FE" w:rsidRPr="00A17736">
        <w:rPr>
          <w:b/>
          <w:bCs/>
        </w:rPr>
        <w:t>Conclusion</w:t>
      </w:r>
      <w:r w:rsidRPr="00A17736">
        <w:rPr>
          <w:b/>
          <w:bCs/>
        </w:rPr>
        <w:t>,</w:t>
      </w:r>
      <w:r w:rsidRPr="00A17736">
        <w:t xml:space="preserve"> </w:t>
      </w:r>
      <w:r w:rsidR="004072F5" w:rsidRPr="008E1B77">
        <w:rPr>
          <w:rFonts w:asciiTheme="majorBidi" w:eastAsia="SimSun" w:hAnsiTheme="majorBidi" w:cstheme="majorBidi"/>
          <w:noProof w:val="0"/>
          <w:color w:val="000000" w:themeColor="text1"/>
          <w:lang w:eastAsia="zh-CN"/>
        </w:rPr>
        <w:t xml:space="preserve">food allergies are common in IBS cases, and there is a strong correlation between </w:t>
      </w:r>
      <w:r w:rsidR="00170C32" w:rsidRPr="008E1B77">
        <w:rPr>
          <w:rFonts w:asciiTheme="majorBidi" w:eastAsia="SimSun" w:hAnsiTheme="majorBidi" w:cstheme="majorBidi"/>
          <w:noProof w:val="0"/>
          <w:color w:val="000000" w:themeColor="text1"/>
          <w:lang w:eastAsia="zh-CN"/>
        </w:rPr>
        <w:t>specific</w:t>
      </w:r>
      <w:r w:rsidR="004072F5" w:rsidRPr="008E1B77">
        <w:rPr>
          <w:rFonts w:asciiTheme="majorBidi" w:eastAsia="SimSun" w:hAnsiTheme="majorBidi" w:cstheme="majorBidi"/>
          <w:noProof w:val="0"/>
          <w:color w:val="000000" w:themeColor="text1"/>
          <w:lang w:eastAsia="zh-CN"/>
        </w:rPr>
        <w:t xml:space="preserve"> food allergies and IBS subtypes, especially in people who meet specific clinical and demographic criteria.</w:t>
      </w:r>
    </w:p>
    <w:p w14:paraId="7A9ECB84" w14:textId="25B0C053" w:rsidR="00FA1173" w:rsidRPr="00383ECC" w:rsidRDefault="000E1FCD" w:rsidP="009A7652">
      <w:pPr>
        <w:pStyle w:val="EndNoteBibliography"/>
        <w:bidi w:val="0"/>
        <w:spacing w:before="60" w:after="240"/>
        <w:jc w:val="both"/>
        <w:rPr>
          <w:rFonts w:asciiTheme="majorBidi" w:eastAsia="SimSun" w:hAnsiTheme="majorBidi" w:cstheme="majorBidi"/>
          <w:i/>
          <w:iCs/>
          <w:noProof w:val="0"/>
          <w:color w:val="000000" w:themeColor="text1"/>
          <w:lang w:eastAsia="zh-CN"/>
        </w:rPr>
      </w:pPr>
      <w:r w:rsidRPr="00383ECC">
        <w:rPr>
          <w:rFonts w:asciiTheme="majorBidi" w:eastAsia="SimSun" w:hAnsiTheme="majorBidi" w:cstheme="majorBidi"/>
          <w:b/>
          <w:bCs/>
          <w:i/>
          <w:iCs/>
          <w:noProof w:val="0"/>
          <w:color w:val="000000" w:themeColor="text1"/>
          <w:lang w:eastAsia="zh-CN"/>
        </w:rPr>
        <w:t>Keywords:</w:t>
      </w:r>
      <w:r w:rsidRPr="00383ECC">
        <w:rPr>
          <w:rFonts w:asciiTheme="majorBidi" w:eastAsia="SimSun" w:hAnsiTheme="majorBidi" w:cstheme="majorBidi"/>
          <w:i/>
          <w:iCs/>
          <w:noProof w:val="0"/>
          <w:color w:val="000000" w:themeColor="text1"/>
          <w:lang w:eastAsia="zh-CN"/>
        </w:rPr>
        <w:t xml:space="preserve"> </w:t>
      </w:r>
      <w:r w:rsidR="00A4637C" w:rsidRPr="00383ECC">
        <w:rPr>
          <w:rFonts w:asciiTheme="majorBidi" w:eastAsia="SimSun" w:hAnsiTheme="majorBidi" w:cstheme="majorBidi"/>
          <w:i/>
          <w:iCs/>
          <w:noProof w:val="0"/>
          <w:color w:val="000000" w:themeColor="text1"/>
          <w:lang w:eastAsia="zh-CN"/>
        </w:rPr>
        <w:t>Food Allergy,</w:t>
      </w:r>
      <w:r w:rsidR="009A7652" w:rsidRPr="00383ECC">
        <w:rPr>
          <w:rFonts w:asciiTheme="majorBidi" w:eastAsia="SimSun" w:hAnsiTheme="majorBidi" w:cstheme="majorBidi"/>
          <w:i/>
          <w:iCs/>
          <w:noProof w:val="0"/>
          <w:color w:val="000000" w:themeColor="text1"/>
          <w:lang w:eastAsia="zh-CN"/>
        </w:rPr>
        <w:t xml:space="preserve"> allergens,</w:t>
      </w:r>
      <w:r w:rsidR="00A4637C" w:rsidRPr="00383ECC">
        <w:rPr>
          <w:rFonts w:asciiTheme="majorBidi" w:eastAsia="SimSun" w:hAnsiTheme="majorBidi" w:cstheme="majorBidi"/>
          <w:i/>
          <w:iCs/>
          <w:noProof w:val="0"/>
          <w:color w:val="000000" w:themeColor="text1"/>
          <w:lang w:eastAsia="zh-CN"/>
        </w:rPr>
        <w:t xml:space="preserve"> Irritable Bowel Syndrome,</w:t>
      </w:r>
      <w:r w:rsidR="00C40AEC" w:rsidRPr="00383ECC">
        <w:rPr>
          <w:rFonts w:asciiTheme="majorBidi" w:eastAsia="SimSun" w:hAnsiTheme="majorBidi" w:cstheme="majorBidi"/>
          <w:i/>
          <w:iCs/>
          <w:noProof w:val="0"/>
          <w:color w:val="000000" w:themeColor="text1"/>
          <w:lang w:eastAsia="zh-CN"/>
        </w:rPr>
        <w:t xml:space="preserve"> </w:t>
      </w:r>
      <w:r w:rsidR="009A7652" w:rsidRPr="00383ECC">
        <w:rPr>
          <w:rFonts w:asciiTheme="majorBidi" w:eastAsia="SimSun" w:hAnsiTheme="majorBidi" w:cstheme="majorBidi"/>
          <w:i/>
          <w:iCs/>
          <w:noProof w:val="0"/>
          <w:color w:val="000000" w:themeColor="text1"/>
          <w:lang w:eastAsia="zh-CN"/>
        </w:rPr>
        <w:t xml:space="preserve">Abdominal pain, </w:t>
      </w:r>
      <w:r w:rsidR="00C40AEC" w:rsidRPr="00383ECC">
        <w:rPr>
          <w:rFonts w:asciiTheme="majorBidi" w:eastAsia="SimSun" w:hAnsiTheme="majorBidi" w:cstheme="majorBidi"/>
          <w:i/>
          <w:iCs/>
          <w:noProof w:val="0"/>
          <w:color w:val="000000" w:themeColor="text1"/>
          <w:lang w:eastAsia="zh-CN"/>
        </w:rPr>
        <w:t>IBS subtypes, Constipation, Diarrhea,</w:t>
      </w:r>
      <w:r w:rsidR="00A4637C" w:rsidRPr="00383ECC">
        <w:rPr>
          <w:rFonts w:asciiTheme="majorBidi" w:eastAsia="SimSun" w:hAnsiTheme="majorBidi" w:cstheme="majorBidi"/>
          <w:i/>
          <w:iCs/>
          <w:noProof w:val="0"/>
          <w:color w:val="000000" w:themeColor="text1"/>
          <w:lang w:eastAsia="zh-CN"/>
        </w:rPr>
        <w:t xml:space="preserve"> Rome </w:t>
      </w:r>
      <w:r w:rsidR="002D5C85" w:rsidRPr="00383ECC">
        <w:rPr>
          <w:rFonts w:asciiTheme="majorBidi" w:eastAsia="SimSun" w:hAnsiTheme="majorBidi" w:cstheme="majorBidi"/>
          <w:i/>
          <w:iCs/>
          <w:noProof w:val="0"/>
          <w:color w:val="000000" w:themeColor="text1"/>
          <w:lang w:eastAsia="zh-CN"/>
        </w:rPr>
        <w:t>I</w:t>
      </w:r>
      <w:r w:rsidR="00264AE4" w:rsidRPr="00383ECC">
        <w:rPr>
          <w:rFonts w:asciiTheme="majorBidi" w:eastAsia="SimSun" w:hAnsiTheme="majorBidi" w:cstheme="majorBidi"/>
          <w:i/>
          <w:iCs/>
          <w:noProof w:val="0"/>
          <w:color w:val="000000" w:themeColor="text1"/>
          <w:lang w:eastAsia="zh-CN"/>
        </w:rPr>
        <w:t>V Criteria</w:t>
      </w:r>
      <w:r w:rsidR="009A7652" w:rsidRPr="00383ECC">
        <w:rPr>
          <w:rFonts w:asciiTheme="majorBidi" w:eastAsia="SimSun" w:hAnsiTheme="majorBidi" w:cstheme="majorBidi"/>
          <w:i/>
          <w:iCs/>
          <w:noProof w:val="0"/>
          <w:color w:val="000000" w:themeColor="text1"/>
          <w:lang w:eastAsia="zh-CN"/>
        </w:rPr>
        <w:t>, Serum IgE, Functional gastrointestinal disorders.</w:t>
      </w:r>
    </w:p>
    <w:p w14:paraId="16E61244" w14:textId="3461C1B9" w:rsidR="000E1FCD" w:rsidRPr="001F61F2" w:rsidRDefault="000E1FCD" w:rsidP="007C068C">
      <w:pPr>
        <w:pStyle w:val="EndNoteBibliography"/>
        <w:bidi w:val="0"/>
        <w:spacing w:before="60"/>
        <w:jc w:val="both"/>
        <w:rPr>
          <w:rFonts w:asciiTheme="majorBidi" w:eastAsia="SimSun" w:hAnsiTheme="majorBidi" w:cstheme="majorBidi"/>
          <w:b/>
          <w:bCs/>
          <w:noProof w:val="0"/>
          <w:color w:val="000000" w:themeColor="text1"/>
          <w:sz w:val="28"/>
          <w:szCs w:val="28"/>
          <w:lang w:eastAsia="zh-CN"/>
        </w:rPr>
      </w:pPr>
      <w:r w:rsidRPr="001F61F2">
        <w:rPr>
          <w:rFonts w:asciiTheme="majorBidi" w:eastAsia="SimSun" w:hAnsiTheme="majorBidi" w:cstheme="majorBidi"/>
          <w:b/>
          <w:bCs/>
          <w:noProof w:val="0"/>
          <w:color w:val="000000" w:themeColor="text1"/>
          <w:sz w:val="28"/>
          <w:szCs w:val="28"/>
          <w:lang w:eastAsia="zh-CN"/>
        </w:rPr>
        <w:t>Introduction</w:t>
      </w:r>
    </w:p>
    <w:p w14:paraId="57C0D7CE" w14:textId="1C4A9F1A" w:rsidR="00B406F9" w:rsidRPr="009D2DC8" w:rsidRDefault="00D54A6A" w:rsidP="00D54A6A">
      <w:pPr>
        <w:bidi w:val="0"/>
        <w:spacing w:line="480" w:lineRule="auto"/>
        <w:ind w:firstLine="720"/>
        <w:jc w:val="both"/>
        <w:rPr>
          <w:rtl/>
        </w:rPr>
      </w:pPr>
      <w:r w:rsidRPr="00D54A6A">
        <w:t xml:space="preserve">With no </w:t>
      </w:r>
      <w:r w:rsidR="00170C32">
        <w:t>apparent</w:t>
      </w:r>
      <w:r w:rsidRPr="00D54A6A">
        <w:t xml:space="preserve"> organic etiology, IBS is an </w:t>
      </w:r>
      <w:r w:rsidRPr="008E1B77">
        <w:rPr>
          <w:rFonts w:asciiTheme="majorBidi" w:eastAsia="SimSun" w:hAnsiTheme="majorBidi" w:cstheme="majorBidi"/>
          <w:color w:val="000000" w:themeColor="text1"/>
          <w:lang w:eastAsia="zh-CN"/>
        </w:rPr>
        <w:t xml:space="preserve">intestinal </w:t>
      </w:r>
      <w:r w:rsidRPr="00D54A6A">
        <w:t xml:space="preserve">disorder defined as abdominal pain </w:t>
      </w:r>
      <w:r>
        <w:t>and</w:t>
      </w:r>
      <w:r w:rsidRPr="00D54A6A">
        <w:t xml:space="preserve"> abnormal bowel habits. Even though </w:t>
      </w:r>
      <w:r w:rsidR="00170C32">
        <w:t xml:space="preserve">no consistent structural or motility issues have been </w:t>
      </w:r>
      <w:r w:rsidRPr="00D54A6A">
        <w:t>found, experts advise following the guidelines for diagnosis</w:t>
      </w:r>
      <w:r w:rsidR="00230729" w:rsidRPr="00230729">
        <w:t xml:space="preserve"> </w:t>
      </w:r>
      <w:r w:rsidR="00EE20B6" w:rsidRPr="00EE20B6">
        <w:rPr>
          <w:rFonts w:eastAsia="SimSun"/>
          <w:b/>
          <w:bCs/>
          <w:lang w:eastAsia="zh-CN"/>
        </w:rPr>
        <w:t>[1]</w:t>
      </w:r>
      <w:r w:rsidR="00383ECC">
        <w:rPr>
          <w:rFonts w:eastAsia="SimSun"/>
          <w:b/>
          <w:bCs/>
          <w:lang w:eastAsia="zh-CN"/>
        </w:rPr>
        <w:t>.</w:t>
      </w:r>
    </w:p>
    <w:p w14:paraId="25F24038" w14:textId="576AAB44" w:rsidR="00B406F9" w:rsidRDefault="00B11044" w:rsidP="00B11044">
      <w:pPr>
        <w:bidi w:val="0"/>
        <w:spacing w:before="120" w:line="480" w:lineRule="auto"/>
        <w:ind w:firstLine="720"/>
        <w:jc w:val="both"/>
        <w:rPr>
          <w:b/>
          <w:bCs/>
          <w:i/>
          <w:iCs/>
        </w:rPr>
      </w:pPr>
      <w:r w:rsidRPr="00B11044">
        <w:t xml:space="preserve">Rome IV described IBS as a functional intestinal condition with repeated episodes of colic associated with altered bowel habits. At least 6 months should pass before establishing the diagnosis, and </w:t>
      </w:r>
      <w:r w:rsidR="00170C32">
        <w:t>symptoms should have been reported during the last 3 months</w:t>
      </w:r>
      <w:r w:rsidR="00EE20B6">
        <w:t xml:space="preserve"> </w:t>
      </w:r>
      <w:r w:rsidR="00EE20B6">
        <w:rPr>
          <w:rFonts w:eastAsia="SimSun"/>
          <w:b/>
          <w:bCs/>
          <w:lang w:eastAsia="zh-CN"/>
        </w:rPr>
        <w:t>[2</w:t>
      </w:r>
      <w:r w:rsidR="00EE20B6" w:rsidRPr="00EE20B6">
        <w:rPr>
          <w:rFonts w:eastAsia="SimSun"/>
          <w:b/>
          <w:bCs/>
          <w:lang w:eastAsia="zh-CN"/>
        </w:rPr>
        <w:t>]</w:t>
      </w:r>
      <w:r w:rsidR="00383ECC">
        <w:rPr>
          <w:rFonts w:eastAsia="SimSun"/>
          <w:b/>
          <w:bCs/>
          <w:lang w:eastAsia="zh-CN"/>
        </w:rPr>
        <w:t>.</w:t>
      </w:r>
    </w:p>
    <w:p w14:paraId="599FAD0C" w14:textId="622FE3D6" w:rsidR="00383ECC" w:rsidRDefault="00BC5343" w:rsidP="00383ECC">
      <w:pPr>
        <w:bidi w:val="0"/>
        <w:spacing w:line="480" w:lineRule="auto"/>
        <w:ind w:firstLine="720"/>
        <w:jc w:val="both"/>
        <w:rPr>
          <w:rFonts w:eastAsia="SimSun"/>
          <w:b/>
          <w:bCs/>
          <w:lang w:eastAsia="zh-CN"/>
        </w:rPr>
      </w:pPr>
      <w:r w:rsidRPr="00BC5343">
        <w:t>Four different IBS subtypes are identified based on stool form using the Bristol Stool Form Scale (BSFS): More than 25% of the stools are BSS 1 or 2, and less than 25% are BSS 6 or 7 in people with IBS with a predominant constipation (IBS-C). The condition is diarrhea-predominant IBS (IBS-D) if ˃ 25% of the stool forms are BSS 6 or 7 and ˂ 25% are BSS 1 or 2. Less than 25% of stools in people with unclassified IBS (IBS-U) are abnormal, although they meet other IBS criteria. IBS mixed type (IBS-M) is characterized by 25% constipation and 25% diarrhea</w:t>
      </w:r>
      <w:r w:rsidRPr="00BC5343">
        <w:rPr>
          <w:rFonts w:eastAsia="SimSun"/>
        </w:rPr>
        <w:t xml:space="preserve"> </w:t>
      </w:r>
      <w:r w:rsidR="00EE20B6">
        <w:rPr>
          <w:rFonts w:eastAsia="SimSun"/>
          <w:b/>
          <w:bCs/>
          <w:lang w:eastAsia="zh-CN"/>
        </w:rPr>
        <w:t>[3</w:t>
      </w:r>
      <w:r w:rsidR="00EE20B6" w:rsidRPr="00EE20B6">
        <w:rPr>
          <w:rFonts w:eastAsia="SimSun"/>
          <w:b/>
          <w:bCs/>
          <w:lang w:eastAsia="zh-CN"/>
        </w:rPr>
        <w:t>]</w:t>
      </w:r>
      <w:r w:rsidR="00383ECC">
        <w:rPr>
          <w:rFonts w:eastAsia="SimSun"/>
          <w:b/>
          <w:bCs/>
          <w:lang w:eastAsia="zh-CN"/>
        </w:rPr>
        <w:t>.</w:t>
      </w:r>
    </w:p>
    <w:p w14:paraId="7BCA7DF4" w14:textId="79ED6197" w:rsidR="004B1A5E" w:rsidRDefault="00C9035F" w:rsidP="00383ECC">
      <w:pPr>
        <w:bidi w:val="0"/>
        <w:spacing w:line="480" w:lineRule="auto"/>
        <w:ind w:firstLine="720"/>
        <w:jc w:val="both"/>
        <w:rPr>
          <w:b/>
          <w:bCs/>
          <w:i/>
          <w:iCs/>
        </w:rPr>
      </w:pPr>
      <w:r w:rsidRPr="00C9035F">
        <w:t xml:space="preserve">Visceral hyperalgesia, abnormal GI motility, and psychopathology are the three components of the traditional ideas of the pathogenesis of </w:t>
      </w:r>
      <w:r w:rsidR="00C402BC">
        <w:t>IBS</w:t>
      </w:r>
      <w:r w:rsidRPr="00C9035F">
        <w:t xml:space="preserve"> </w:t>
      </w:r>
      <w:r w:rsidR="00E97785">
        <w:rPr>
          <w:rFonts w:eastAsia="SimSun"/>
          <w:b/>
          <w:bCs/>
          <w:lang w:eastAsia="zh-CN"/>
        </w:rPr>
        <w:t>[4</w:t>
      </w:r>
      <w:r w:rsidR="00E97785" w:rsidRPr="00EE20B6">
        <w:rPr>
          <w:rFonts w:eastAsia="SimSun"/>
          <w:b/>
          <w:bCs/>
          <w:lang w:eastAsia="zh-CN"/>
        </w:rPr>
        <w:t>]</w:t>
      </w:r>
      <w:r w:rsidR="00383ECC">
        <w:rPr>
          <w:rFonts w:eastAsia="SimSun"/>
          <w:b/>
          <w:bCs/>
          <w:lang w:eastAsia="zh-CN"/>
        </w:rPr>
        <w:t>.</w:t>
      </w:r>
    </w:p>
    <w:p w14:paraId="33489BFB" w14:textId="1DB94231" w:rsidR="00E97785" w:rsidRDefault="002D3149" w:rsidP="007B5104">
      <w:pPr>
        <w:bidi w:val="0"/>
        <w:spacing w:line="480" w:lineRule="auto"/>
        <w:ind w:firstLine="720"/>
        <w:jc w:val="both"/>
        <w:rPr>
          <w:rFonts w:eastAsia="SimSun"/>
          <w:b/>
          <w:bCs/>
          <w:lang w:eastAsia="zh-CN"/>
        </w:rPr>
      </w:pPr>
      <w:r w:rsidRPr="002D3149">
        <w:rPr>
          <w:noProof/>
        </w:rPr>
        <w:t xml:space="preserve">Food is a </w:t>
      </w:r>
      <w:r w:rsidR="00170C32">
        <w:rPr>
          <w:noProof/>
        </w:rPr>
        <w:t>significant</w:t>
      </w:r>
      <w:r w:rsidRPr="002D3149">
        <w:rPr>
          <w:noProof/>
        </w:rPr>
        <w:t xml:space="preserve"> factor in IBS: over 60% of patients claim that </w:t>
      </w:r>
      <w:r w:rsidR="007B5104">
        <w:rPr>
          <w:noProof/>
        </w:rPr>
        <w:t>they complain after food intake</w:t>
      </w:r>
      <w:r w:rsidRPr="002D3149">
        <w:rPr>
          <w:noProof/>
        </w:rPr>
        <w:t xml:space="preserve">. Eighty-four percent of IBS patients </w:t>
      </w:r>
      <w:r w:rsidR="00170C32">
        <w:rPr>
          <w:noProof/>
        </w:rPr>
        <w:t>contended</w:t>
      </w:r>
      <w:r w:rsidRPr="002D3149">
        <w:rPr>
          <w:noProof/>
        </w:rPr>
        <w:t xml:space="preserve"> that at least one dietary item caus</w:t>
      </w:r>
      <w:r w:rsidR="00093C69">
        <w:rPr>
          <w:noProof/>
        </w:rPr>
        <w:t>ed their symptoms during a meal</w:t>
      </w:r>
      <w:r w:rsidR="00C9035F" w:rsidRPr="00C9035F">
        <w:rPr>
          <w:noProof/>
        </w:rPr>
        <w:t xml:space="preserve"> </w:t>
      </w:r>
      <w:r w:rsidR="00E97785">
        <w:rPr>
          <w:rFonts w:eastAsia="SimSun"/>
          <w:b/>
          <w:bCs/>
          <w:lang w:eastAsia="zh-CN"/>
        </w:rPr>
        <w:t>[5</w:t>
      </w:r>
      <w:r w:rsidR="00E97785" w:rsidRPr="00EE20B6">
        <w:rPr>
          <w:rFonts w:eastAsia="SimSun"/>
          <w:b/>
          <w:bCs/>
          <w:lang w:eastAsia="zh-CN"/>
        </w:rPr>
        <w:t>]</w:t>
      </w:r>
      <w:r w:rsidR="00383ECC">
        <w:rPr>
          <w:rFonts w:eastAsia="SimSun"/>
          <w:b/>
          <w:bCs/>
          <w:lang w:eastAsia="zh-CN"/>
        </w:rPr>
        <w:t>.</w:t>
      </w:r>
    </w:p>
    <w:p w14:paraId="5121D9FE" w14:textId="4A072EBA" w:rsidR="00CB2DCD" w:rsidRPr="00CB2DCD" w:rsidRDefault="00170C32" w:rsidP="00FF7C6E">
      <w:pPr>
        <w:bidi w:val="0"/>
        <w:spacing w:line="480" w:lineRule="auto"/>
        <w:ind w:firstLine="720"/>
        <w:jc w:val="both"/>
        <w:rPr>
          <w:noProof/>
        </w:rPr>
      </w:pPr>
      <w:r>
        <w:rPr>
          <w:noProof/>
        </w:rPr>
        <w:t>The absence of specific dietary training and scientific data can explain the distrust of most gastroenterologists and general care physicians</w:t>
      </w:r>
      <w:r w:rsidR="00BC5343" w:rsidRPr="00BC5343">
        <w:rPr>
          <w:noProof/>
        </w:rPr>
        <w:t>. It is far more challenging to identify the food groups or particular substances that initiate or exacerbate symptoms of IBS. Dietary restrictions for functional gastrointestinal disorders (FGIDs) are scarce</w:t>
      </w:r>
      <w:r>
        <w:rPr>
          <w:noProof/>
        </w:rPr>
        <w:t xml:space="preserve"> and </w:t>
      </w:r>
      <w:r w:rsidR="005A754B">
        <w:rPr>
          <w:noProof/>
        </w:rPr>
        <w:t>primarily</w:t>
      </w:r>
      <w:r w:rsidR="00BC5343" w:rsidRPr="00BC5343">
        <w:rPr>
          <w:noProof/>
        </w:rPr>
        <w:t xml:space="preserve"> dependent on pathophysiology knowledge or empiricism rather than consensus guidelines or randomized clinical trials </w:t>
      </w:r>
      <w:r w:rsidR="00E97785">
        <w:rPr>
          <w:b/>
          <w:bCs/>
          <w:noProof/>
        </w:rPr>
        <w:t>[6</w:t>
      </w:r>
      <w:r w:rsidR="00E97785" w:rsidRPr="00E97785">
        <w:rPr>
          <w:b/>
          <w:bCs/>
          <w:noProof/>
        </w:rPr>
        <w:t>]</w:t>
      </w:r>
      <w:r w:rsidR="00383ECC">
        <w:rPr>
          <w:b/>
          <w:bCs/>
          <w:noProof/>
        </w:rPr>
        <w:t>.</w:t>
      </w:r>
    </w:p>
    <w:p w14:paraId="101AC5F2" w14:textId="1726A717" w:rsidR="00FA113C" w:rsidRPr="002D3149" w:rsidRDefault="00BC5343" w:rsidP="007B5104">
      <w:pPr>
        <w:pStyle w:val="EndNoteBibliography"/>
        <w:bidi w:val="0"/>
        <w:spacing w:before="60"/>
        <w:ind w:firstLine="720"/>
        <w:jc w:val="both"/>
      </w:pPr>
      <w:r w:rsidRPr="00BC5343">
        <w:t xml:space="preserve">An aberrant reaction to a food brought on by an immunoglobulin E (IgE) antibody is known as a food allergy </w:t>
      </w:r>
      <w:r w:rsidRPr="00BC5343">
        <w:rPr>
          <w:b/>
          <w:bCs/>
        </w:rPr>
        <w:t>[7]</w:t>
      </w:r>
      <w:r w:rsidR="00383ECC">
        <w:rPr>
          <w:b/>
          <w:bCs/>
        </w:rPr>
        <w:t>.</w:t>
      </w:r>
      <w:r w:rsidRPr="00BC5343">
        <w:t xml:space="preserve"> The breakdown of immunologic and clinical tolerance to digested food is the </w:t>
      </w:r>
      <w:r w:rsidR="00170C32">
        <w:t>standard</w:t>
      </w:r>
      <w:r w:rsidRPr="00BC5343">
        <w:t xml:space="preserve"> mechanism underlying a variety of food allergies. Food allergy sensitization may occur via the skin, GIT, or, more seldom, the respiratory system</w:t>
      </w:r>
      <w:r w:rsidR="00383ECC">
        <w:t>; what</w:t>
      </w:r>
      <w:r w:rsidRPr="00BC5343">
        <w:t xml:space="preserve"> is probably related to impaired or inflamed barrier function</w:t>
      </w:r>
      <w:r w:rsidR="00170C32">
        <w:t>?</w:t>
      </w:r>
      <w:r w:rsidRPr="00BC5343">
        <w:t xml:space="preserve"> </w:t>
      </w:r>
      <w:r w:rsidR="00E97785">
        <w:rPr>
          <w:b/>
          <w:bCs/>
        </w:rPr>
        <w:t>[8</w:t>
      </w:r>
      <w:r w:rsidR="00E97785" w:rsidRPr="00E97785">
        <w:rPr>
          <w:b/>
          <w:bCs/>
        </w:rPr>
        <w:t>]</w:t>
      </w:r>
    </w:p>
    <w:p w14:paraId="6B671294" w14:textId="659796E4" w:rsidR="00AF511F" w:rsidRPr="00FA113C" w:rsidRDefault="00FF7C6E" w:rsidP="007D2804">
      <w:pPr>
        <w:bidi w:val="0"/>
        <w:spacing w:after="240" w:line="480" w:lineRule="auto"/>
        <w:ind w:firstLine="720"/>
        <w:jc w:val="both"/>
        <w:rPr>
          <w:noProof/>
        </w:rPr>
      </w:pPr>
      <w:r w:rsidRPr="00FF7C6E">
        <w:rPr>
          <w:noProof/>
        </w:rPr>
        <w:t xml:space="preserve">Our </w:t>
      </w:r>
      <w:r w:rsidR="00FC7732">
        <w:rPr>
          <w:noProof/>
        </w:rPr>
        <w:t>research</w:t>
      </w:r>
      <w:r w:rsidRPr="00FF7C6E">
        <w:rPr>
          <w:noProof/>
        </w:rPr>
        <w:t xml:space="preserve"> aims to </w:t>
      </w:r>
      <w:r w:rsidR="00FC7732">
        <w:rPr>
          <w:noProof/>
        </w:rPr>
        <w:t>assess</w:t>
      </w:r>
      <w:r w:rsidRPr="00FF7C6E">
        <w:rPr>
          <w:noProof/>
        </w:rPr>
        <w:t xml:space="preserve"> the impact and </w:t>
      </w:r>
      <w:r w:rsidR="007D2804">
        <w:rPr>
          <w:noProof/>
        </w:rPr>
        <w:t>incidence</w:t>
      </w:r>
      <w:r w:rsidRPr="00FF7C6E">
        <w:rPr>
          <w:noProof/>
        </w:rPr>
        <w:t xml:space="preserve"> of food </w:t>
      </w:r>
      <w:r>
        <w:rPr>
          <w:noProof/>
        </w:rPr>
        <w:t>allergies among adults with IBS</w:t>
      </w:r>
      <w:r w:rsidR="00AF511F" w:rsidRPr="00AF511F">
        <w:rPr>
          <w:noProof/>
        </w:rPr>
        <w:t>.</w:t>
      </w:r>
    </w:p>
    <w:p w14:paraId="4FE39516" w14:textId="2E689F3E" w:rsidR="00383ECC" w:rsidRDefault="000E1FCD" w:rsidP="00383ECC">
      <w:pPr>
        <w:pStyle w:val="EndNoteBibliography"/>
        <w:bidi w:val="0"/>
        <w:spacing w:before="60"/>
        <w:jc w:val="both"/>
        <w:rPr>
          <w:rFonts w:asciiTheme="majorBidi" w:eastAsia="SimSun" w:hAnsiTheme="majorBidi" w:cstheme="majorBidi"/>
          <w:b/>
          <w:bCs/>
          <w:noProof w:val="0"/>
          <w:color w:val="000000" w:themeColor="text1"/>
          <w:sz w:val="28"/>
          <w:szCs w:val="28"/>
          <w:lang w:eastAsia="zh-CN"/>
        </w:rPr>
      </w:pPr>
      <w:r w:rsidRPr="00083318">
        <w:rPr>
          <w:rFonts w:asciiTheme="majorBidi" w:eastAsia="SimSun" w:hAnsiTheme="majorBidi" w:cstheme="majorBidi"/>
          <w:b/>
          <w:bCs/>
          <w:noProof w:val="0"/>
          <w:color w:val="000000" w:themeColor="text1"/>
          <w:sz w:val="28"/>
          <w:szCs w:val="28"/>
          <w:lang w:eastAsia="zh-CN"/>
        </w:rPr>
        <w:t>Patients and Methods</w:t>
      </w:r>
    </w:p>
    <w:p w14:paraId="2A394A35" w14:textId="72E09783" w:rsidR="00383ECC" w:rsidRDefault="00BC5343" w:rsidP="00383ECC">
      <w:pPr>
        <w:pStyle w:val="EndNoteBibliography"/>
        <w:bidi w:val="0"/>
        <w:spacing w:before="60"/>
        <w:jc w:val="both"/>
        <w:rPr>
          <w:b/>
          <w:bCs/>
        </w:rPr>
      </w:pPr>
      <w:r w:rsidRPr="008E1B77">
        <w:t>Eighty-four Egyptian participants</w:t>
      </w:r>
      <w:r w:rsidRPr="00BC5343">
        <w:rPr>
          <w:b/>
          <w:bCs/>
          <w:color w:val="FF0000"/>
        </w:rPr>
        <w:t xml:space="preserve"> </w:t>
      </w:r>
      <w:r w:rsidRPr="006B1DB8">
        <w:rPr>
          <w:color w:val="000000" w:themeColor="text1"/>
        </w:rPr>
        <w:t xml:space="preserve">were recruited in our prospective cohort study. The IBS diagnosis was established </w:t>
      </w:r>
      <w:r w:rsidR="00170C32">
        <w:rPr>
          <w:color w:val="000000" w:themeColor="text1"/>
        </w:rPr>
        <w:t>based on</w:t>
      </w:r>
      <w:r w:rsidRPr="006B1DB8">
        <w:rPr>
          <w:color w:val="000000" w:themeColor="text1"/>
        </w:rPr>
        <w:t xml:space="preserve"> the Rome IV criteria for functional intestinal disorders. For a minimum of one day every week on average for the previous three months, the patients who were included experienced recurrent abdominal pain that met two or more of the subsequent criteria: (1) improve with passing stool; (2) onset linked to altered stool frequency; or (3) onset linked to altered stool appearance</w:t>
      </w:r>
      <w:r w:rsidR="00EA65A1">
        <w:rPr>
          <w:b/>
          <w:bCs/>
        </w:rPr>
        <w:t>[9</w:t>
      </w:r>
      <w:r w:rsidR="00EA65A1" w:rsidRPr="00E97785">
        <w:rPr>
          <w:b/>
          <w:bCs/>
        </w:rPr>
        <w:t>]</w:t>
      </w:r>
      <w:r w:rsidR="00383ECC">
        <w:rPr>
          <w:b/>
          <w:bCs/>
        </w:rPr>
        <w:t>.</w:t>
      </w:r>
    </w:p>
    <w:p w14:paraId="66B5F18F" w14:textId="08D338DE" w:rsidR="00DF365F" w:rsidRPr="002A49A8" w:rsidRDefault="006B1DB8" w:rsidP="00383ECC">
      <w:pPr>
        <w:pStyle w:val="EndNoteBibliography"/>
        <w:bidi w:val="0"/>
        <w:spacing w:before="60"/>
        <w:jc w:val="both"/>
      </w:pPr>
      <w:r w:rsidRPr="006B1DB8">
        <w:t>By assuming that 50% of cases with IBS have food allergies and using Power Analysis and Sample Size Software (PASS 15) (Version 15.0.10) to calculate the sample size, a sample size of at least 84 patients with IBS will be sufficient to meet the study's objective. The sample size was calculated with a margin of error of +0.10 and a confidence level of 90%.</w:t>
      </w:r>
    </w:p>
    <w:p w14:paraId="6FBA7697" w14:textId="3EA14C27" w:rsidR="007811C4" w:rsidRPr="007811C4" w:rsidRDefault="007D3272" w:rsidP="00C50B38">
      <w:pPr>
        <w:bidi w:val="0"/>
        <w:spacing w:line="480" w:lineRule="auto"/>
        <w:ind w:firstLine="720"/>
        <w:jc w:val="both"/>
        <w:rPr>
          <w:noProof/>
        </w:rPr>
      </w:pPr>
      <w:r w:rsidRPr="007D3272">
        <w:t xml:space="preserve">The cases </w:t>
      </w:r>
      <w:r w:rsidR="00170C32">
        <w:t xml:space="preserve">considered were taken from the inpatient internal medicine department or the gastrointestinal clinic at Ain Shams University Hospital between January and June </w:t>
      </w:r>
      <w:r>
        <w:t>2023</w:t>
      </w:r>
      <w:r w:rsidR="009A7652">
        <w:t>,</w:t>
      </w:r>
      <w:r w:rsidR="009A7652" w:rsidRPr="009A7652">
        <w:rPr>
          <w:b/>
          <w:bCs/>
          <w:color w:val="FF0000"/>
        </w:rPr>
        <w:t xml:space="preserve"> </w:t>
      </w:r>
      <w:r w:rsidR="009A7652" w:rsidRPr="008E1B77">
        <w:rPr>
          <w:noProof/>
        </w:rPr>
        <w:t>regardless of their socioeconomic class, cultural background, or level of education.</w:t>
      </w:r>
    </w:p>
    <w:p w14:paraId="2E28EBA9" w14:textId="4A3BB246" w:rsidR="007811C4" w:rsidRPr="007811C4" w:rsidRDefault="00442AD7" w:rsidP="00C50B38">
      <w:pPr>
        <w:bidi w:val="0"/>
        <w:spacing w:line="480" w:lineRule="auto"/>
        <w:ind w:firstLine="720"/>
        <w:jc w:val="both"/>
      </w:pPr>
      <w:r w:rsidRPr="00442AD7">
        <w:t xml:space="preserve">The scientific ethics committee </w:t>
      </w:r>
      <w:r w:rsidR="005A754B">
        <w:t>cleared this study for publication</w:t>
      </w:r>
      <w:r w:rsidRPr="00442AD7">
        <w:t xml:space="preserve">, and each case </w:t>
      </w:r>
      <w:r>
        <w:t>provided informed consent</w:t>
      </w:r>
      <w:r w:rsidR="009109C1" w:rsidRPr="009109C1">
        <w:t>.</w:t>
      </w:r>
    </w:p>
    <w:p w14:paraId="16B01143" w14:textId="65E82944" w:rsidR="009B5633" w:rsidRPr="00A878B7" w:rsidRDefault="006B1DB8" w:rsidP="005832D7">
      <w:pPr>
        <w:pStyle w:val="ListParagraph"/>
        <w:bidi w:val="0"/>
        <w:spacing w:after="0" w:line="480" w:lineRule="auto"/>
        <w:ind w:left="0" w:firstLine="720"/>
        <w:jc w:val="both"/>
        <w:rPr>
          <w:rFonts w:eastAsia="Aptos"/>
          <w:sz w:val="28"/>
          <w:szCs w:val="28"/>
        </w:rPr>
      </w:pPr>
      <w:r w:rsidRPr="006B1DB8">
        <w:rPr>
          <w:rFonts w:ascii="Times New Roman" w:eastAsia="Times New Roman" w:hAnsi="Times New Roman" w:cs="Times New Roman"/>
          <w:sz w:val="24"/>
          <w:szCs w:val="24"/>
        </w:rPr>
        <w:t>Patients with immunological deficiencies, patients with significant previous abdominal surgery, and patients with organic gastrointestinal disorders were excluded fr</w:t>
      </w:r>
      <w:r>
        <w:rPr>
          <w:rFonts w:ascii="Times New Roman" w:eastAsia="Times New Roman" w:hAnsi="Times New Roman" w:cs="Times New Roman"/>
          <w:sz w:val="24"/>
          <w:szCs w:val="24"/>
        </w:rPr>
        <w:t>om the research</w:t>
      </w:r>
      <w:r w:rsidR="00A878B7" w:rsidRPr="00A878B7">
        <w:rPr>
          <w:rFonts w:ascii="Times New Roman" w:eastAsia="Times New Roman" w:hAnsi="Times New Roman" w:cs="Times New Roman"/>
          <w:sz w:val="24"/>
          <w:szCs w:val="24"/>
        </w:rPr>
        <w:t xml:space="preserve">. </w:t>
      </w:r>
    </w:p>
    <w:p w14:paraId="30BEE26A" w14:textId="77777777" w:rsidR="00383ECC" w:rsidRDefault="006B1DB8" w:rsidP="00383ECC">
      <w:pPr>
        <w:tabs>
          <w:tab w:val="left" w:pos="720"/>
        </w:tabs>
        <w:bidi w:val="0"/>
        <w:spacing w:line="480" w:lineRule="auto"/>
        <w:ind w:firstLine="720"/>
        <w:jc w:val="lowKashida"/>
      </w:pPr>
      <w:r w:rsidRPr="006B1DB8">
        <w:t xml:space="preserve">Every participant underwent a thorough medical history, including demographic data, the patient's dietary intake, symptoms, family history, chronic illness (HTN, DM, heart failure, stroke, and CKD), and smoking. </w:t>
      </w:r>
      <w:r w:rsidR="00170C32">
        <w:t xml:space="preserve">We also performed a </w:t>
      </w:r>
      <w:r w:rsidR="00383ECC">
        <w:t>complete</w:t>
      </w:r>
      <w:r w:rsidR="00170C32">
        <w:t xml:space="preserve"> physical assessment</w:t>
      </w:r>
      <w:r w:rsidRPr="006B1DB8">
        <w:t>. We investigated all patients using a complete blood count, stool analysis, serum total IgE, and food allergen-specific IgE.</w:t>
      </w:r>
    </w:p>
    <w:p w14:paraId="4C903F97" w14:textId="668F00A8" w:rsidR="00A70F74" w:rsidRPr="00C50B38" w:rsidRDefault="00170C32" w:rsidP="00383ECC">
      <w:pPr>
        <w:tabs>
          <w:tab w:val="left" w:pos="720"/>
        </w:tabs>
        <w:bidi w:val="0"/>
        <w:spacing w:line="480" w:lineRule="auto"/>
        <w:ind w:firstLine="720"/>
        <w:jc w:val="lowKashida"/>
      </w:pPr>
      <w:r>
        <w:t xml:space="preserve">An IBS Symptoms Questionnaire was used for each participant </w:t>
      </w:r>
      <w:r w:rsidR="00CC02EA" w:rsidRPr="00CC02EA">
        <w:t xml:space="preserve">to assess the condition. A validated questionnaire scoring method, which included an IBS symptom severity score, was used to evaluate the symptoms. Every inquiry featured a standard response scale, and the symptoms were all rated on a 4-point Likert scale that went from 0 to never. </w:t>
      </w:r>
      <w:r>
        <w:t>One</w:t>
      </w:r>
      <w:r w:rsidR="00CC02EA" w:rsidRPr="00CC02EA">
        <w:t xml:space="preserve"> denotes infrequently, </w:t>
      </w:r>
      <w:r>
        <w:t>two</w:t>
      </w:r>
      <w:r w:rsidR="00CC02EA" w:rsidRPr="00CC02EA">
        <w:t xml:space="preserve"> frequently, and </w:t>
      </w:r>
      <w:r>
        <w:t>three</w:t>
      </w:r>
      <w:r w:rsidR="00CC02EA" w:rsidRPr="00CC02EA">
        <w:t xml:space="preserve"> always. The </w:t>
      </w:r>
      <w:r w:rsidR="00383ECC">
        <w:t>raw score range</w:t>
      </w:r>
      <w:r w:rsidR="00CC02EA" w:rsidRPr="00CC02EA">
        <w:t xml:space="preserve"> is 0 to 33 </w:t>
      </w:r>
      <w:r w:rsidR="00EA65A1">
        <w:rPr>
          <w:b/>
          <w:bCs/>
          <w:noProof/>
        </w:rPr>
        <w:t>[</w:t>
      </w:r>
      <w:r w:rsidR="00EA65A1">
        <w:rPr>
          <w:b/>
          <w:bCs/>
        </w:rPr>
        <w:t>10</w:t>
      </w:r>
      <w:r w:rsidR="00EA65A1" w:rsidRPr="00E97785">
        <w:rPr>
          <w:b/>
          <w:bCs/>
          <w:noProof/>
        </w:rPr>
        <w:t>]</w:t>
      </w:r>
      <w:r w:rsidR="006B1DB8">
        <w:rPr>
          <w:b/>
          <w:bCs/>
          <w:noProof/>
        </w:rPr>
        <w:t>,</w:t>
      </w:r>
      <w:r w:rsidR="006B1DB8" w:rsidRPr="006B1DB8">
        <w:rPr>
          <w:b/>
          <w:bCs/>
          <w:noProof/>
        </w:rPr>
        <w:t xml:space="preserve"> [11]</w:t>
      </w:r>
      <w:r w:rsidR="00383ECC">
        <w:rPr>
          <w:b/>
          <w:bCs/>
          <w:noProof/>
        </w:rPr>
        <w:t>.</w:t>
      </w:r>
    </w:p>
    <w:p w14:paraId="531E97BF" w14:textId="77777777" w:rsidR="00383ECC" w:rsidRDefault="00170C32" w:rsidP="00383ECC">
      <w:pPr>
        <w:tabs>
          <w:tab w:val="left" w:pos="720"/>
        </w:tabs>
        <w:bidi w:val="0"/>
        <w:spacing w:line="480" w:lineRule="auto"/>
        <w:ind w:firstLine="720"/>
        <w:jc w:val="lowKashida"/>
        <w:rPr>
          <w:b/>
          <w:bCs/>
          <w:noProof/>
        </w:rPr>
      </w:pPr>
      <w:r>
        <w:t>We applied a factor to the score to improve comprehension and display</w:t>
      </w:r>
      <w:r w:rsidR="00CC02EA" w:rsidRPr="00CC02EA">
        <w:t xml:space="preserve">, causing it to span from 0 to 500. </w:t>
      </w:r>
      <w:r w:rsidR="00383ECC">
        <w:t xml:space="preserve">The multiplying factor was mathematically </w:t>
      </w:r>
      <w:r w:rsidR="00CC02EA" w:rsidRPr="00CC02EA">
        <w:t xml:space="preserve">determined by dividing the 500 new </w:t>
      </w:r>
      <w:r w:rsidRPr="00CC02EA">
        <w:t>maximums</w:t>
      </w:r>
      <w:r w:rsidR="00CC02EA" w:rsidRPr="00CC02EA">
        <w:t xml:space="preserve"> by the actual maximum </w:t>
      </w:r>
      <w:r w:rsidR="00EA65A1">
        <w:rPr>
          <w:b/>
          <w:bCs/>
          <w:noProof/>
        </w:rPr>
        <w:t>[</w:t>
      </w:r>
      <w:r w:rsidR="00EA65A1">
        <w:rPr>
          <w:b/>
          <w:bCs/>
        </w:rPr>
        <w:t>12</w:t>
      </w:r>
      <w:r w:rsidR="00EA65A1" w:rsidRPr="00E97785">
        <w:rPr>
          <w:b/>
          <w:bCs/>
          <w:noProof/>
        </w:rPr>
        <w:t>]</w:t>
      </w:r>
      <w:r w:rsidR="00383ECC">
        <w:rPr>
          <w:b/>
          <w:bCs/>
          <w:noProof/>
        </w:rPr>
        <w:t>.</w:t>
      </w:r>
    </w:p>
    <w:p w14:paraId="19CFDEEF" w14:textId="76206062" w:rsidR="008D526D" w:rsidRPr="008E1B77" w:rsidRDefault="00AF0D13" w:rsidP="00383ECC">
      <w:pPr>
        <w:tabs>
          <w:tab w:val="left" w:pos="720"/>
        </w:tabs>
        <w:bidi w:val="0"/>
        <w:spacing w:line="480" w:lineRule="auto"/>
        <w:ind w:firstLine="720"/>
        <w:jc w:val="lowKashida"/>
        <w:rPr>
          <w:noProof/>
        </w:rPr>
      </w:pPr>
      <w:r w:rsidRPr="00AF0D13">
        <w:rPr>
          <w:color w:val="000000" w:themeColor="text1"/>
        </w:rPr>
        <w:t xml:space="preserve">We evaluated the subsequent food allergens: fish, egg, cow's milk, soy, peanut, wheat, and tomato. Patients were assessed using a questionnaire to determine whether a food allergy </w:t>
      </w:r>
      <w:r w:rsidR="00170C32">
        <w:rPr>
          <w:color w:val="000000" w:themeColor="text1"/>
        </w:rPr>
        <w:t>was</w:t>
      </w:r>
      <w:r w:rsidRPr="00AF0D13">
        <w:rPr>
          <w:color w:val="000000" w:themeColor="text1"/>
        </w:rPr>
        <w:t xml:space="preserve"> positive or negative. They also had to keep a food record for two weeks</w:t>
      </w:r>
      <w:r w:rsidR="00170C32">
        <w:rPr>
          <w:color w:val="000000" w:themeColor="text1"/>
        </w:rPr>
        <w:t>,</w:t>
      </w:r>
      <w:r w:rsidRPr="00AF0D13">
        <w:rPr>
          <w:color w:val="000000" w:themeColor="text1"/>
        </w:rPr>
        <w:t xml:space="preserve"> during which they had to eat wheat, eggs, tomatoes, cow's milk, and its derivatives. Additionally, patients who self-reported having food allergies were advised to avoid eating </w:t>
      </w:r>
      <w:r w:rsidR="00170C32">
        <w:rPr>
          <w:color w:val="000000" w:themeColor="text1"/>
        </w:rPr>
        <w:t>or encountering the offending food</w:t>
      </w:r>
      <w:r w:rsidRPr="00AF0D13">
        <w:rPr>
          <w:color w:val="000000" w:themeColor="text1"/>
        </w:rPr>
        <w:t xml:space="preserve">. The patients recorded their food intake, and the degree to which they followed the elimination diet was assessed. </w:t>
      </w:r>
      <w:r w:rsidRPr="008E1B77">
        <w:rPr>
          <w:noProof/>
        </w:rPr>
        <w:t xml:space="preserve">Furthermore, we evaluate the impact </w:t>
      </w:r>
      <w:r w:rsidR="00170C32" w:rsidRPr="008E1B77">
        <w:rPr>
          <w:noProof/>
        </w:rPr>
        <w:t>of IBS by documenting the symptoms and changes in</w:t>
      </w:r>
      <w:r w:rsidRPr="008E1B77">
        <w:rPr>
          <w:noProof/>
        </w:rPr>
        <w:t xml:space="preserve"> bowel habits that occur after consuming these foods</w:t>
      </w:r>
      <w:r w:rsidR="005832D7" w:rsidRPr="008E1B77">
        <w:rPr>
          <w:noProof/>
        </w:rPr>
        <w:t>.</w:t>
      </w:r>
    </w:p>
    <w:p w14:paraId="2B693D5A" w14:textId="1A9343B4" w:rsidR="000E1FCD" w:rsidRPr="00823601" w:rsidRDefault="000E1FCD" w:rsidP="00A73300">
      <w:pPr>
        <w:numPr>
          <w:ilvl w:val="0"/>
          <w:numId w:val="7"/>
        </w:numPr>
        <w:bidi w:val="0"/>
        <w:spacing w:before="60" w:line="360" w:lineRule="auto"/>
        <w:ind w:left="488" w:hanging="488"/>
        <w:jc w:val="both"/>
        <w:rPr>
          <w:rFonts w:asciiTheme="majorBidi" w:eastAsia="SimSun" w:hAnsiTheme="majorBidi" w:cstheme="majorBidi"/>
          <w:color w:val="000000" w:themeColor="text1"/>
          <w:lang w:eastAsia="zh-CN"/>
        </w:rPr>
      </w:pPr>
      <w:r w:rsidRPr="00823601">
        <w:rPr>
          <w:rFonts w:asciiTheme="majorBidi" w:eastAsia="SimSun" w:hAnsiTheme="majorBidi" w:cstheme="majorBidi"/>
          <w:b/>
          <w:bCs/>
          <w:color w:val="000000" w:themeColor="text1"/>
          <w:lang w:eastAsia="zh-CN"/>
        </w:rPr>
        <w:t>Statist</w:t>
      </w:r>
      <w:r w:rsidR="00083318" w:rsidRPr="00823601">
        <w:rPr>
          <w:rFonts w:asciiTheme="majorBidi" w:eastAsia="SimSun" w:hAnsiTheme="majorBidi" w:cstheme="majorBidi"/>
          <w:b/>
          <w:bCs/>
          <w:color w:val="000000" w:themeColor="text1"/>
          <w:lang w:eastAsia="zh-CN"/>
        </w:rPr>
        <w:t>ical analysis</w:t>
      </w:r>
    </w:p>
    <w:p w14:paraId="079DDBE3" w14:textId="0015140D" w:rsidR="00093B52" w:rsidRPr="008E1B77" w:rsidRDefault="00170C32" w:rsidP="00657F2B">
      <w:pPr>
        <w:bidi w:val="0"/>
        <w:spacing w:after="240" w:line="480" w:lineRule="auto"/>
        <w:ind w:firstLine="720"/>
        <w:jc w:val="both"/>
        <w:rPr>
          <w:noProof/>
        </w:rPr>
      </w:pPr>
      <w:r w:rsidRPr="00EC7707">
        <w:rPr>
          <w:color w:val="000000" w:themeColor="text1"/>
        </w:rPr>
        <w:t>All</w:t>
      </w:r>
      <w:r w:rsidR="00EC7707" w:rsidRPr="00EC7707">
        <w:rPr>
          <w:color w:val="000000" w:themeColor="text1"/>
        </w:rPr>
        <w:t xml:space="preserve"> the data was assessed, coded, and investigated using the SPSS statistical program (USA, Chicago, IBM Inc., IL) for the analysis. For quantitative (numerical) variables, the data was expressed as mean ± SD, and for qualitative (categorical) variables, frequency and percentage. </w:t>
      </w:r>
      <w:r w:rsidR="00EC7707" w:rsidRPr="008E1B77">
        <w:rPr>
          <w:noProof/>
        </w:rPr>
        <w:t xml:space="preserve">The </w:t>
      </w:r>
      <w:r w:rsidRPr="008E1B77">
        <w:rPr>
          <w:noProof/>
        </w:rPr>
        <w:t xml:space="preserve">Chi-square test and Cramer's V test were used for the </w:t>
      </w:r>
      <w:r w:rsidR="00EC7707" w:rsidRPr="008E1B77">
        <w:rPr>
          <w:noProof/>
        </w:rPr>
        <w:t>associations’ assessment. Post-hoc analyses were used to compare food allergies across IBS subtypes. A significant value was defined statistically as a two-tailed P value of less than 0.05.</w:t>
      </w:r>
    </w:p>
    <w:p w14:paraId="0323E3AF" w14:textId="3161A4F9" w:rsidR="000E1FCD" w:rsidRPr="00083318" w:rsidRDefault="000E1FCD" w:rsidP="00383ECC">
      <w:pPr>
        <w:pStyle w:val="EndNoteBibliography"/>
        <w:bidi w:val="0"/>
        <w:spacing w:before="60"/>
        <w:ind w:left="488" w:hanging="488"/>
        <w:jc w:val="both"/>
        <w:rPr>
          <w:rFonts w:asciiTheme="majorBidi" w:eastAsia="SimSun" w:hAnsiTheme="majorBidi" w:cstheme="majorBidi"/>
          <w:b/>
          <w:bCs/>
          <w:noProof w:val="0"/>
          <w:color w:val="000000" w:themeColor="text1"/>
          <w:sz w:val="28"/>
          <w:szCs w:val="28"/>
          <w:lang w:eastAsia="zh-CN"/>
        </w:rPr>
      </w:pPr>
      <w:r w:rsidRPr="00083318">
        <w:rPr>
          <w:rFonts w:asciiTheme="majorBidi" w:eastAsia="SimSun" w:hAnsiTheme="majorBidi" w:cstheme="majorBidi"/>
          <w:b/>
          <w:bCs/>
          <w:noProof w:val="0"/>
          <w:color w:val="000000" w:themeColor="text1"/>
          <w:sz w:val="28"/>
          <w:szCs w:val="28"/>
          <w:lang w:eastAsia="zh-CN"/>
        </w:rPr>
        <w:t>Results</w:t>
      </w:r>
    </w:p>
    <w:p w14:paraId="3E3AFE98" w14:textId="739BFAF2" w:rsidR="00250D0B" w:rsidRDefault="00EC7707" w:rsidP="00EC7707">
      <w:pPr>
        <w:bidi w:val="0"/>
        <w:spacing w:after="160" w:line="480" w:lineRule="auto"/>
        <w:ind w:firstLine="720"/>
        <w:jc w:val="both"/>
        <w:rPr>
          <w:color w:val="000000" w:themeColor="text1"/>
        </w:rPr>
      </w:pPr>
      <w:r w:rsidRPr="008E1B77">
        <w:rPr>
          <w:noProof/>
        </w:rPr>
        <w:t>Eighty-four</w:t>
      </w:r>
      <w:r w:rsidRPr="00EC7707">
        <w:rPr>
          <w:b/>
          <w:bCs/>
          <w:color w:val="FF0000"/>
        </w:rPr>
        <w:t xml:space="preserve"> </w:t>
      </w:r>
      <w:r w:rsidRPr="00EC7707">
        <w:t xml:space="preserve">subjects were included in our study. The mean age was 35.6± 4.0 years old, ranging from 29 to 43 years old. Most participants were female, accounting for 70.2% of the sample, while 29.8% were male. Regarding residence, a </w:t>
      </w:r>
      <w:r w:rsidR="00170C32">
        <w:t>more significant</w:t>
      </w:r>
      <w:r w:rsidRPr="00EC7707">
        <w:t xml:space="preserve"> proportion of the patients were urban residents (61.9%) compared to those in rural areas (38.1%). Also, health-related factors show that 25% of the cases had a family history of IBS, while smoking was reported by 6% of the patients. Hypertension was present in 9.5% of the patients, and both diabetes mellitus and stroke were observed in 6% and 2.4% of the patients, respectively. Heart failure and chronic kidney disease were relatively rare, affecting 2.4% and 1.2% of the patients, respectively. Abdominal pain was a common symptom, with 40.5% of patients experiencing mild pain an</w:t>
      </w:r>
      <w:r>
        <w:t>d 59.5% reporting moderate pain</w:t>
      </w:r>
      <w:r w:rsidR="00BC19C5" w:rsidRPr="00EC7707">
        <w:t>.</w:t>
      </w:r>
    </w:p>
    <w:p w14:paraId="6B554429" w14:textId="4D8AD053" w:rsidR="00250D0B" w:rsidRDefault="00BC19C5" w:rsidP="00EB4D85">
      <w:pPr>
        <w:bidi w:val="0"/>
        <w:spacing w:after="160" w:line="480" w:lineRule="auto"/>
        <w:ind w:firstLine="720"/>
        <w:jc w:val="both"/>
        <w:rPr>
          <w:b/>
          <w:bCs/>
        </w:rPr>
      </w:pPr>
      <w:r w:rsidRPr="00BC19C5">
        <w:rPr>
          <w:color w:val="000000" w:themeColor="text1"/>
        </w:rPr>
        <w:t xml:space="preserve">The distribution of </w:t>
      </w:r>
      <w:r w:rsidR="00C402BC">
        <w:rPr>
          <w:color w:val="000000" w:themeColor="text1"/>
        </w:rPr>
        <w:t>IBS</w:t>
      </w:r>
      <w:r w:rsidRPr="00BC19C5">
        <w:rPr>
          <w:color w:val="000000" w:themeColor="text1"/>
        </w:rPr>
        <w:t xml:space="preserve"> subtypes in our study was as follows: 26.2% had </w:t>
      </w:r>
      <w:r w:rsidR="00992D6C">
        <w:rPr>
          <w:color w:val="000000" w:themeColor="text1"/>
        </w:rPr>
        <w:t>IBS-C</w:t>
      </w:r>
      <w:r w:rsidRPr="00BC19C5">
        <w:rPr>
          <w:color w:val="000000" w:themeColor="text1"/>
        </w:rPr>
        <w:t xml:space="preserve">, 60.7% had </w:t>
      </w:r>
      <w:r w:rsidR="00992D6C">
        <w:rPr>
          <w:color w:val="000000" w:themeColor="text1"/>
        </w:rPr>
        <w:t>IBS-D, and 13.1% had IBS-M</w:t>
      </w:r>
      <w:r>
        <w:rPr>
          <w:color w:val="000000" w:themeColor="text1"/>
        </w:rPr>
        <w:t xml:space="preserve"> </w:t>
      </w:r>
      <w:r w:rsidR="00250D0B" w:rsidRPr="00250D0B">
        <w:rPr>
          <w:b/>
          <w:bCs/>
        </w:rPr>
        <w:t xml:space="preserve">Fig </w:t>
      </w:r>
      <w:r w:rsidR="00EB4D85">
        <w:rPr>
          <w:b/>
          <w:bCs/>
        </w:rPr>
        <w:t>[1</w:t>
      </w:r>
      <w:r w:rsidR="00EB4D85" w:rsidRPr="00EB4D85">
        <w:rPr>
          <w:b/>
          <w:bCs/>
        </w:rPr>
        <w:t>]</w:t>
      </w:r>
      <w:r w:rsidR="00383ECC">
        <w:rPr>
          <w:b/>
          <w:bCs/>
        </w:rPr>
        <w:t>.</w:t>
      </w:r>
    </w:p>
    <w:p w14:paraId="0165CA20" w14:textId="77777777" w:rsidR="00C02561" w:rsidRDefault="0048593F" w:rsidP="00C02561">
      <w:pPr>
        <w:keepNext/>
        <w:bidi w:val="0"/>
        <w:spacing w:after="160" w:line="480" w:lineRule="auto"/>
        <w:ind w:firstLine="720"/>
        <w:jc w:val="both"/>
      </w:pPr>
      <w:r>
        <w:rPr>
          <w:noProof/>
        </w:rPr>
        <w:drawing>
          <wp:inline distT="0" distB="0" distL="0" distR="0" wp14:anchorId="25F03B4F" wp14:editId="6A8F1751">
            <wp:extent cx="5631180" cy="3741420"/>
            <wp:effectExtent l="0" t="0" r="7620" b="11430"/>
            <wp:docPr id="12294959" name="Chart 1" descr="Figure [1]: The distribution of irritable bowel syndrome (IBS) subtypes among cases of the study.">
              <a:extLst xmlns:a="http://schemas.openxmlformats.org/drawingml/2006/main">
                <a:ext uri="{FF2B5EF4-FFF2-40B4-BE49-F238E27FC236}">
                  <a16:creationId xmlns:a16="http://schemas.microsoft.com/office/drawing/2014/main" id="{2C6E20A0-3C12-DBEE-7AC4-3A78917947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71F3B6" w14:textId="77EC71A8" w:rsidR="0048593F" w:rsidRPr="001A4C2F" w:rsidRDefault="00C02561" w:rsidP="00383ECC">
      <w:pPr>
        <w:pStyle w:val="Caption"/>
        <w:rPr>
          <w:b w:val="0"/>
          <w:bCs w:val="0"/>
          <w:color w:val="00B050"/>
        </w:rPr>
      </w:pPr>
      <w:r w:rsidRPr="001A4C2F">
        <w:rPr>
          <w:b w:val="0"/>
          <w:bCs w:val="0"/>
          <w:color w:val="00B050"/>
        </w:rPr>
        <w:t>Fig</w:t>
      </w:r>
      <w:r w:rsidRPr="001A4C2F">
        <w:rPr>
          <w:b w:val="0"/>
          <w:bCs w:val="0"/>
          <w:color w:val="00B050"/>
        </w:rPr>
        <w:fldChar w:fldCharType="begin"/>
      </w:r>
      <w:r w:rsidRPr="001A4C2F">
        <w:rPr>
          <w:b w:val="0"/>
          <w:bCs w:val="0"/>
          <w:color w:val="00B050"/>
        </w:rPr>
        <w:instrText xml:space="preserve"> SEQ Figure \* ARABIC </w:instrText>
      </w:r>
      <w:r w:rsidRPr="001A4C2F">
        <w:rPr>
          <w:b w:val="0"/>
          <w:bCs w:val="0"/>
          <w:color w:val="00B050"/>
        </w:rPr>
        <w:fldChar w:fldCharType="separate"/>
      </w:r>
      <w:r w:rsidR="009D6283">
        <w:rPr>
          <w:b w:val="0"/>
          <w:bCs w:val="0"/>
          <w:noProof/>
          <w:color w:val="00B050"/>
        </w:rPr>
        <w:t>1</w:t>
      </w:r>
      <w:r w:rsidRPr="001A4C2F">
        <w:rPr>
          <w:b w:val="0"/>
          <w:bCs w:val="0"/>
          <w:color w:val="00B050"/>
        </w:rPr>
        <w:fldChar w:fldCharType="end"/>
      </w:r>
      <w:r w:rsidRPr="001A4C2F">
        <w:rPr>
          <w:b w:val="0"/>
          <w:bCs w:val="0"/>
          <w:color w:val="00B050"/>
        </w:rPr>
        <w:t xml:space="preserve">. </w:t>
      </w:r>
      <w:r w:rsidRPr="001A4C2F">
        <w:rPr>
          <w:b w:val="0"/>
          <w:bCs w:val="0"/>
          <w:color w:val="00B050"/>
          <w:lang w:val="en-US"/>
        </w:rPr>
        <w:t xml:space="preserve">The distribution of irritable bowel syndrome (IBS) subtypes among </w:t>
      </w:r>
      <w:r w:rsidR="00383ECC" w:rsidRPr="001A4C2F">
        <w:rPr>
          <w:b w:val="0"/>
          <w:bCs w:val="0"/>
          <w:color w:val="00B050"/>
          <w:lang w:val="en-US"/>
        </w:rPr>
        <w:t>the study cases</w:t>
      </w:r>
      <w:r w:rsidRPr="001A4C2F">
        <w:rPr>
          <w:b w:val="0"/>
          <w:bCs w:val="0"/>
          <w:color w:val="00B050"/>
          <w:lang w:val="en-US"/>
        </w:rPr>
        <w:t>.</w:t>
      </w:r>
    </w:p>
    <w:p w14:paraId="7A890E66" w14:textId="77777777" w:rsidR="00383ECC" w:rsidRDefault="00383ECC" w:rsidP="0048593F">
      <w:pPr>
        <w:bidi w:val="0"/>
        <w:spacing w:after="160" w:line="480" w:lineRule="auto"/>
        <w:ind w:firstLine="720"/>
        <w:jc w:val="both"/>
        <w:rPr>
          <w:noProof/>
        </w:rPr>
      </w:pPr>
    </w:p>
    <w:p w14:paraId="69F1AF3D" w14:textId="1B5DDA36" w:rsidR="00F947DC" w:rsidRDefault="004072F5" w:rsidP="00383ECC">
      <w:pPr>
        <w:bidi w:val="0"/>
        <w:spacing w:after="160" w:line="480" w:lineRule="auto"/>
        <w:ind w:firstLine="720"/>
        <w:jc w:val="both"/>
        <w:rPr>
          <w:b/>
          <w:bCs/>
        </w:rPr>
      </w:pPr>
      <w:r w:rsidRPr="008E1B77">
        <w:rPr>
          <w:noProof/>
        </w:rPr>
        <w:t>Half</w:t>
      </w:r>
      <w:r w:rsidR="00651CC2" w:rsidRPr="008E1B77">
        <w:rPr>
          <w:noProof/>
        </w:rPr>
        <w:t xml:space="preserve"> o</w:t>
      </w:r>
      <w:r w:rsidR="00651CC2">
        <w:rPr>
          <w:color w:val="000000" w:themeColor="text1"/>
        </w:rPr>
        <w:t>f the cases</w:t>
      </w:r>
      <w:r w:rsidR="00A118DB" w:rsidRPr="00A118DB">
        <w:rPr>
          <w:color w:val="000000" w:themeColor="text1"/>
        </w:rPr>
        <w:t xml:space="preserve"> reported having a food allergy, and 19% had elevated serum total IgE levels, often associated with allergic responses. When testing for specific IgE antibodies, 50% of patients were sensitive to cow's milk, 39.3% to egg white, and 33.3% to wheat. Additionally, 23.8% of patients had IgE antibodies for soy, peanuts, tomatoes, and fish</w:t>
      </w:r>
      <w:r w:rsidR="00C17074">
        <w:rPr>
          <w:color w:val="000000" w:themeColor="text1"/>
        </w:rPr>
        <w:t>.</w:t>
      </w:r>
      <w:r w:rsidR="00250D0B" w:rsidRPr="00250D0B">
        <w:t xml:space="preserve"> </w:t>
      </w:r>
      <w:r w:rsidR="00250D0B" w:rsidRPr="00250D0B">
        <w:rPr>
          <w:b/>
          <w:bCs/>
        </w:rPr>
        <w:t xml:space="preserve">Fig </w:t>
      </w:r>
      <w:r w:rsidR="00EB4D85">
        <w:rPr>
          <w:b/>
          <w:bCs/>
        </w:rPr>
        <w:t>[</w:t>
      </w:r>
      <w:r w:rsidR="00EB4D85" w:rsidRPr="00EB4D85">
        <w:rPr>
          <w:b/>
          <w:bCs/>
        </w:rPr>
        <w:t>2]</w:t>
      </w:r>
    </w:p>
    <w:p w14:paraId="5CCD68D4" w14:textId="77777777" w:rsidR="0048593F" w:rsidRDefault="0048593F" w:rsidP="00EB4D85">
      <w:pPr>
        <w:bidi w:val="0"/>
        <w:spacing w:after="160" w:line="480" w:lineRule="auto"/>
        <w:ind w:firstLine="720"/>
        <w:jc w:val="both"/>
      </w:pPr>
    </w:p>
    <w:p w14:paraId="6E6C9BB7" w14:textId="77777777" w:rsidR="00C02561" w:rsidRDefault="0048593F" w:rsidP="00D2110D">
      <w:pPr>
        <w:keepNext/>
        <w:bidi w:val="0"/>
        <w:spacing w:after="160" w:line="480" w:lineRule="auto"/>
        <w:ind w:firstLine="720"/>
      </w:pPr>
      <w:r>
        <w:rPr>
          <w:noProof/>
        </w:rPr>
        <w:drawing>
          <wp:inline distT="0" distB="0" distL="0" distR="0" wp14:anchorId="64B5AC77" wp14:editId="633BE7A2">
            <wp:extent cx="5732145" cy="3147060"/>
            <wp:effectExtent l="0" t="0" r="1905" b="15240"/>
            <wp:docPr id="1516583499" name="Chart 1" descr="Figure [2]: The distribution of food allergy among the study cases.">
              <a:extLst xmlns:a="http://schemas.openxmlformats.org/drawingml/2006/main">
                <a:ext uri="{FF2B5EF4-FFF2-40B4-BE49-F238E27FC236}">
                  <a16:creationId xmlns:a16="http://schemas.microsoft.com/office/drawing/2014/main" id="{DADD926E-1384-5D77-C66E-7E1CC8E1C8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EFEDE9" w14:textId="376C7152" w:rsidR="0048593F" w:rsidRPr="001A4C2F" w:rsidRDefault="00C02561" w:rsidP="00383ECC">
      <w:pPr>
        <w:pStyle w:val="Caption"/>
        <w:rPr>
          <w:b w:val="0"/>
          <w:bCs w:val="0"/>
          <w:color w:val="00B050"/>
        </w:rPr>
      </w:pPr>
      <w:r w:rsidRPr="001A4C2F">
        <w:rPr>
          <w:b w:val="0"/>
          <w:bCs w:val="0"/>
          <w:color w:val="00B050"/>
        </w:rPr>
        <w:t>Fi</w:t>
      </w:r>
      <w:r w:rsidR="006E4A13" w:rsidRPr="001A4C2F">
        <w:rPr>
          <w:b w:val="0"/>
          <w:bCs w:val="0"/>
          <w:color w:val="00B050"/>
        </w:rPr>
        <w:t>g</w:t>
      </w:r>
      <w:r w:rsidRPr="001A4C2F">
        <w:rPr>
          <w:b w:val="0"/>
          <w:bCs w:val="0"/>
          <w:color w:val="00B050"/>
        </w:rPr>
        <w:fldChar w:fldCharType="begin"/>
      </w:r>
      <w:r w:rsidRPr="001A4C2F">
        <w:rPr>
          <w:b w:val="0"/>
          <w:bCs w:val="0"/>
          <w:color w:val="00B050"/>
        </w:rPr>
        <w:instrText xml:space="preserve"> SEQ Figure \* ARABIC </w:instrText>
      </w:r>
      <w:r w:rsidRPr="001A4C2F">
        <w:rPr>
          <w:b w:val="0"/>
          <w:bCs w:val="0"/>
          <w:color w:val="00B050"/>
        </w:rPr>
        <w:fldChar w:fldCharType="separate"/>
      </w:r>
      <w:r w:rsidR="009D6283">
        <w:rPr>
          <w:b w:val="0"/>
          <w:bCs w:val="0"/>
          <w:noProof/>
          <w:color w:val="00B050"/>
        </w:rPr>
        <w:t>2</w:t>
      </w:r>
      <w:r w:rsidRPr="001A4C2F">
        <w:rPr>
          <w:b w:val="0"/>
          <w:bCs w:val="0"/>
          <w:color w:val="00B050"/>
        </w:rPr>
        <w:fldChar w:fldCharType="end"/>
      </w:r>
      <w:r w:rsidRPr="001A4C2F">
        <w:rPr>
          <w:b w:val="0"/>
          <w:bCs w:val="0"/>
          <w:color w:val="00B050"/>
        </w:rPr>
        <w:t xml:space="preserve">. </w:t>
      </w:r>
      <w:r w:rsidRPr="001A4C2F">
        <w:rPr>
          <w:b w:val="0"/>
          <w:bCs w:val="0"/>
          <w:color w:val="00B050"/>
          <w:lang w:val="en-US"/>
        </w:rPr>
        <w:t>The distribution of food allergy among the study cases.</w:t>
      </w:r>
    </w:p>
    <w:p w14:paraId="5D03A1B0" w14:textId="4C37DDA6" w:rsidR="00F947DC" w:rsidRDefault="00EC7707" w:rsidP="0048593F">
      <w:pPr>
        <w:bidi w:val="0"/>
        <w:spacing w:after="160" w:line="480" w:lineRule="auto"/>
        <w:ind w:firstLine="720"/>
        <w:jc w:val="both"/>
        <w:rPr>
          <w:b/>
          <w:bCs/>
        </w:rPr>
      </w:pPr>
      <w:r w:rsidRPr="00EC7707">
        <w:t xml:space="preserve">The relationship between food allergies and IBS subtypes revealed that egg white and cow milk allergies were absent in IBS-D but present in all IBS-C and IBS-M cases (p &lt; 0.001). Wheat allergy was also </w:t>
      </w:r>
      <w:r w:rsidR="00170C32">
        <w:t>lacking</w:t>
      </w:r>
      <w:r w:rsidRPr="00EC7707">
        <w:t xml:space="preserve"> in IBS-D, found in 77.3% of IBS-C and all IBS-M cases (p &lt; 0.001). Soy, peanut, tomato, and fish allergies followed the same pattern, with no </w:t>
      </w:r>
      <w:r w:rsidR="00170C32">
        <w:t>instances</w:t>
      </w:r>
      <w:r w:rsidRPr="00EC7707">
        <w:t xml:space="preserve"> in IBS-D and significant occurrences in IBS-C and IBS-M (p &lt; 0.001). Post-hoc analyses revealed that IBS-D versus IBS-C and IBS-D versus IBS-M showed </w:t>
      </w:r>
      <w:r w:rsidR="00170C32">
        <w:t>substantial</w:t>
      </w:r>
      <w:r w:rsidRPr="00EC7707">
        <w:t xml:space="preserve"> differences in all food allergies (p &lt; 0.001). For IBS-C versus IBS-M, egg white and cow milk had no comparison as all patients were allergic. Wheat allergy differences were </w:t>
      </w:r>
      <w:r w:rsidR="00170C32">
        <w:t>insignificant</w:t>
      </w:r>
      <w:r w:rsidRPr="00EC7707">
        <w:t xml:space="preserve"> (p = 0.111); however, significant differences existed for soy, peanut, tomato, and fish allergies (p = 0.001) </w:t>
      </w:r>
      <w:r w:rsidR="00F947DC" w:rsidRPr="00F947DC">
        <w:rPr>
          <w:b/>
          <w:bCs/>
        </w:rPr>
        <w:t xml:space="preserve">Tab </w:t>
      </w:r>
      <w:r w:rsidR="00EB4D85">
        <w:rPr>
          <w:b/>
          <w:bCs/>
        </w:rPr>
        <w:t>[1</w:t>
      </w:r>
      <w:r w:rsidR="00EB4D85" w:rsidRPr="00EB4D85">
        <w:rPr>
          <w:b/>
          <w:bCs/>
        </w:rPr>
        <w:t>]</w:t>
      </w:r>
      <w:r w:rsidR="00383ECC">
        <w:rPr>
          <w:b/>
          <w:bCs/>
        </w:rPr>
        <w:t>.</w:t>
      </w:r>
    </w:p>
    <w:p w14:paraId="766A7AE1" w14:textId="54078E2C" w:rsidR="006E4A13" w:rsidRPr="00E31819" w:rsidRDefault="006E4A13" w:rsidP="006E4A13">
      <w:pPr>
        <w:pStyle w:val="Caption"/>
        <w:rPr>
          <w:b w:val="0"/>
          <w:bCs w:val="0"/>
        </w:rPr>
      </w:pPr>
      <w:r w:rsidRPr="00E31819">
        <w:rPr>
          <w:b w:val="0"/>
          <w:bCs w:val="0"/>
        </w:rPr>
        <w:t xml:space="preserve">Tab </w:t>
      </w:r>
      <w:r w:rsidRPr="00E31819">
        <w:rPr>
          <w:b w:val="0"/>
          <w:bCs w:val="0"/>
        </w:rPr>
        <w:fldChar w:fldCharType="begin"/>
      </w:r>
      <w:r w:rsidRPr="00E31819">
        <w:rPr>
          <w:b w:val="0"/>
          <w:bCs w:val="0"/>
        </w:rPr>
        <w:instrText xml:space="preserve"> SEQ Table \* ARABIC </w:instrText>
      </w:r>
      <w:r w:rsidRPr="00E31819">
        <w:rPr>
          <w:b w:val="0"/>
          <w:bCs w:val="0"/>
        </w:rPr>
        <w:fldChar w:fldCharType="separate"/>
      </w:r>
      <w:r w:rsidR="009D6283">
        <w:rPr>
          <w:b w:val="0"/>
          <w:bCs w:val="0"/>
          <w:noProof/>
        </w:rPr>
        <w:t>1</w:t>
      </w:r>
      <w:r w:rsidRPr="00E31819">
        <w:rPr>
          <w:b w:val="0"/>
          <w:bCs w:val="0"/>
        </w:rPr>
        <w:fldChar w:fldCharType="end"/>
      </w:r>
      <w:r w:rsidRPr="00E31819">
        <w:rPr>
          <w:b w:val="0"/>
          <w:bCs w:val="0"/>
        </w:rPr>
        <w:t>. Association between different food allergy and IBS subtypes.</w:t>
      </w:r>
    </w:p>
    <w:tbl>
      <w:tblPr>
        <w:tblStyle w:val="TableGrid1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1]: Association between different food allergy and IBS subtypes."/>
      </w:tblPr>
      <w:tblGrid>
        <w:gridCol w:w="2381"/>
        <w:gridCol w:w="1632"/>
        <w:gridCol w:w="1672"/>
        <w:gridCol w:w="1674"/>
        <w:gridCol w:w="1668"/>
      </w:tblGrid>
      <w:tr w:rsidR="00561CC2" w:rsidRPr="00561CC2" w14:paraId="5A375274" w14:textId="77777777" w:rsidTr="00383ECC">
        <w:trPr>
          <w:trHeight w:val="285"/>
        </w:trPr>
        <w:tc>
          <w:tcPr>
            <w:tcW w:w="1319" w:type="pct"/>
            <w:vMerge w:val="restart"/>
            <w:tcBorders>
              <w:top w:val="single" w:sz="4" w:space="0" w:color="auto"/>
            </w:tcBorders>
            <w:noWrap/>
          </w:tcPr>
          <w:p w14:paraId="1BAEEF03" w14:textId="77777777" w:rsidR="00561CC2" w:rsidRPr="00561CC2" w:rsidRDefault="00561CC2" w:rsidP="00383ECC">
            <w:pPr>
              <w:bidi w:val="0"/>
              <w:spacing w:line="360" w:lineRule="auto"/>
              <w:rPr>
                <w:b/>
                <w:bCs/>
              </w:rPr>
            </w:pPr>
            <w:r w:rsidRPr="00561CC2">
              <w:rPr>
                <w:b/>
                <w:bCs/>
              </w:rPr>
              <w:t>Type of food allergy</w:t>
            </w:r>
          </w:p>
        </w:tc>
        <w:tc>
          <w:tcPr>
            <w:tcW w:w="2757" w:type="pct"/>
            <w:gridSpan w:val="3"/>
            <w:tcBorders>
              <w:top w:val="single" w:sz="4" w:space="0" w:color="auto"/>
              <w:bottom w:val="single" w:sz="4" w:space="0" w:color="auto"/>
            </w:tcBorders>
          </w:tcPr>
          <w:p w14:paraId="211413CB" w14:textId="77777777" w:rsidR="00561CC2" w:rsidRPr="00561CC2" w:rsidRDefault="00561CC2" w:rsidP="00383ECC">
            <w:pPr>
              <w:bidi w:val="0"/>
              <w:spacing w:line="360" w:lineRule="auto"/>
              <w:jc w:val="center"/>
              <w:rPr>
                <w:b/>
                <w:bCs/>
                <w:sz w:val="28"/>
                <w:szCs w:val="28"/>
              </w:rPr>
            </w:pPr>
            <w:r w:rsidRPr="00561CC2">
              <w:rPr>
                <w:b/>
                <w:bCs/>
                <w:sz w:val="28"/>
                <w:szCs w:val="28"/>
              </w:rPr>
              <w:t>IBS</w:t>
            </w:r>
          </w:p>
        </w:tc>
        <w:tc>
          <w:tcPr>
            <w:tcW w:w="924" w:type="pct"/>
            <w:vMerge w:val="restart"/>
            <w:tcBorders>
              <w:top w:val="single" w:sz="4" w:space="0" w:color="auto"/>
            </w:tcBorders>
          </w:tcPr>
          <w:p w14:paraId="1A481416" w14:textId="77777777" w:rsidR="00561CC2" w:rsidRPr="00561CC2" w:rsidRDefault="00561CC2" w:rsidP="00383ECC">
            <w:pPr>
              <w:bidi w:val="0"/>
              <w:spacing w:line="360" w:lineRule="auto"/>
              <w:jc w:val="center"/>
              <w:rPr>
                <w:b/>
                <w:bCs/>
              </w:rPr>
            </w:pPr>
            <w:r w:rsidRPr="00561CC2">
              <w:rPr>
                <w:b/>
                <w:bCs/>
                <w:sz w:val="28"/>
                <w:szCs w:val="28"/>
              </w:rPr>
              <w:t>P-value</w:t>
            </w:r>
            <w:r w:rsidRPr="00561CC2">
              <w:rPr>
                <w:b/>
                <w:bCs/>
                <w:sz w:val="28"/>
                <w:szCs w:val="28"/>
                <w:vertAlign w:val="superscript"/>
              </w:rPr>
              <w:t>#</w:t>
            </w:r>
          </w:p>
        </w:tc>
      </w:tr>
      <w:tr w:rsidR="00561CC2" w:rsidRPr="00561CC2" w14:paraId="37983DDB" w14:textId="77777777" w:rsidTr="00383ECC">
        <w:trPr>
          <w:trHeight w:val="285"/>
        </w:trPr>
        <w:tc>
          <w:tcPr>
            <w:tcW w:w="1319" w:type="pct"/>
            <w:vMerge/>
            <w:tcBorders>
              <w:top w:val="single" w:sz="4" w:space="0" w:color="auto"/>
            </w:tcBorders>
            <w:noWrap/>
            <w:hideMark/>
          </w:tcPr>
          <w:p w14:paraId="17630A67" w14:textId="77777777" w:rsidR="00561CC2" w:rsidRPr="00561CC2" w:rsidRDefault="00561CC2" w:rsidP="00383ECC">
            <w:pPr>
              <w:bidi w:val="0"/>
              <w:spacing w:line="360" w:lineRule="auto"/>
              <w:rPr>
                <w:b/>
                <w:bCs/>
              </w:rPr>
            </w:pPr>
          </w:p>
        </w:tc>
        <w:tc>
          <w:tcPr>
            <w:tcW w:w="904" w:type="pct"/>
            <w:tcBorders>
              <w:top w:val="single" w:sz="4" w:space="0" w:color="auto"/>
            </w:tcBorders>
          </w:tcPr>
          <w:p w14:paraId="4D92D83A" w14:textId="77777777" w:rsidR="00561CC2" w:rsidRPr="00561CC2" w:rsidRDefault="00561CC2" w:rsidP="00383ECC">
            <w:pPr>
              <w:bidi w:val="0"/>
              <w:spacing w:line="360" w:lineRule="auto"/>
              <w:jc w:val="center"/>
              <w:rPr>
                <w:b/>
                <w:bCs/>
                <w:sz w:val="28"/>
                <w:szCs w:val="28"/>
              </w:rPr>
            </w:pPr>
            <w:r w:rsidRPr="00561CC2">
              <w:rPr>
                <w:b/>
                <w:bCs/>
                <w:sz w:val="28"/>
                <w:szCs w:val="28"/>
              </w:rPr>
              <w:t>IBS-D</w:t>
            </w:r>
          </w:p>
        </w:tc>
        <w:tc>
          <w:tcPr>
            <w:tcW w:w="926" w:type="pct"/>
            <w:tcBorders>
              <w:top w:val="single" w:sz="4" w:space="0" w:color="auto"/>
            </w:tcBorders>
            <w:noWrap/>
            <w:hideMark/>
          </w:tcPr>
          <w:p w14:paraId="157DF580" w14:textId="77777777" w:rsidR="00561CC2" w:rsidRPr="00561CC2" w:rsidRDefault="00561CC2" w:rsidP="00383ECC">
            <w:pPr>
              <w:bidi w:val="0"/>
              <w:spacing w:line="360" w:lineRule="auto"/>
              <w:jc w:val="center"/>
              <w:rPr>
                <w:b/>
                <w:bCs/>
                <w:sz w:val="28"/>
                <w:szCs w:val="28"/>
              </w:rPr>
            </w:pPr>
            <w:r w:rsidRPr="00561CC2">
              <w:rPr>
                <w:b/>
                <w:bCs/>
                <w:sz w:val="28"/>
                <w:szCs w:val="28"/>
              </w:rPr>
              <w:t>IBS-C</w:t>
            </w:r>
          </w:p>
        </w:tc>
        <w:tc>
          <w:tcPr>
            <w:tcW w:w="927" w:type="pct"/>
          </w:tcPr>
          <w:p w14:paraId="1C3FED78" w14:textId="77777777" w:rsidR="00561CC2" w:rsidRPr="00561CC2" w:rsidRDefault="00561CC2" w:rsidP="00383ECC">
            <w:pPr>
              <w:bidi w:val="0"/>
              <w:spacing w:line="360" w:lineRule="auto"/>
              <w:jc w:val="center"/>
            </w:pPr>
            <w:r w:rsidRPr="00561CC2">
              <w:rPr>
                <w:b/>
                <w:bCs/>
                <w:sz w:val="28"/>
                <w:szCs w:val="28"/>
              </w:rPr>
              <w:t>IBS-M</w:t>
            </w:r>
          </w:p>
        </w:tc>
        <w:tc>
          <w:tcPr>
            <w:tcW w:w="924" w:type="pct"/>
            <w:vMerge/>
          </w:tcPr>
          <w:p w14:paraId="5B85D063" w14:textId="77777777" w:rsidR="00561CC2" w:rsidRPr="00561CC2" w:rsidRDefault="00561CC2" w:rsidP="00383ECC">
            <w:pPr>
              <w:bidi w:val="0"/>
              <w:spacing w:line="360" w:lineRule="auto"/>
            </w:pPr>
          </w:p>
        </w:tc>
      </w:tr>
      <w:tr w:rsidR="00561CC2" w:rsidRPr="00561CC2" w14:paraId="1B731F59" w14:textId="77777777" w:rsidTr="00383ECC">
        <w:trPr>
          <w:trHeight w:val="285"/>
        </w:trPr>
        <w:tc>
          <w:tcPr>
            <w:tcW w:w="1319" w:type="pct"/>
            <w:noWrap/>
          </w:tcPr>
          <w:p w14:paraId="6689D6DE" w14:textId="77777777" w:rsidR="00561CC2" w:rsidRPr="00561CC2" w:rsidRDefault="00561CC2" w:rsidP="00383ECC">
            <w:pPr>
              <w:bidi w:val="0"/>
              <w:spacing w:line="360" w:lineRule="auto"/>
              <w:jc w:val="center"/>
              <w:rPr>
                <w:b/>
                <w:bCs/>
              </w:rPr>
            </w:pPr>
          </w:p>
        </w:tc>
        <w:tc>
          <w:tcPr>
            <w:tcW w:w="904" w:type="pct"/>
          </w:tcPr>
          <w:p w14:paraId="5104FA75" w14:textId="77777777" w:rsidR="00561CC2" w:rsidRPr="00561CC2" w:rsidRDefault="00561CC2" w:rsidP="00383ECC">
            <w:pPr>
              <w:bidi w:val="0"/>
              <w:spacing w:line="360" w:lineRule="auto"/>
              <w:jc w:val="center"/>
            </w:pPr>
            <w:r w:rsidRPr="00561CC2">
              <w:t>51</w:t>
            </w:r>
          </w:p>
        </w:tc>
        <w:tc>
          <w:tcPr>
            <w:tcW w:w="926" w:type="pct"/>
            <w:noWrap/>
          </w:tcPr>
          <w:p w14:paraId="4709455A" w14:textId="77777777" w:rsidR="00561CC2" w:rsidRPr="00561CC2" w:rsidRDefault="00561CC2" w:rsidP="00383ECC">
            <w:pPr>
              <w:bidi w:val="0"/>
              <w:spacing w:line="360" w:lineRule="auto"/>
              <w:jc w:val="center"/>
            </w:pPr>
            <w:r w:rsidRPr="00561CC2">
              <w:t>22</w:t>
            </w:r>
          </w:p>
        </w:tc>
        <w:tc>
          <w:tcPr>
            <w:tcW w:w="927" w:type="pct"/>
          </w:tcPr>
          <w:p w14:paraId="49B66849" w14:textId="77777777" w:rsidR="00561CC2" w:rsidRPr="00561CC2" w:rsidRDefault="00561CC2" w:rsidP="00383ECC">
            <w:pPr>
              <w:bidi w:val="0"/>
              <w:spacing w:line="360" w:lineRule="auto"/>
              <w:jc w:val="center"/>
            </w:pPr>
            <w:r w:rsidRPr="00561CC2">
              <w:t>11</w:t>
            </w:r>
          </w:p>
        </w:tc>
        <w:tc>
          <w:tcPr>
            <w:tcW w:w="924" w:type="pct"/>
          </w:tcPr>
          <w:p w14:paraId="75CB8325" w14:textId="77777777" w:rsidR="00561CC2" w:rsidRPr="00561CC2" w:rsidRDefault="00561CC2" w:rsidP="00383ECC">
            <w:pPr>
              <w:bidi w:val="0"/>
              <w:spacing w:line="360" w:lineRule="auto"/>
              <w:jc w:val="center"/>
              <w:rPr>
                <w:b/>
                <w:bCs/>
              </w:rPr>
            </w:pPr>
          </w:p>
        </w:tc>
      </w:tr>
      <w:tr w:rsidR="00561CC2" w:rsidRPr="00561CC2" w14:paraId="063B0EA4" w14:textId="77777777" w:rsidTr="00383ECC">
        <w:trPr>
          <w:trHeight w:val="285"/>
        </w:trPr>
        <w:tc>
          <w:tcPr>
            <w:tcW w:w="1319" w:type="pct"/>
            <w:noWrap/>
            <w:hideMark/>
          </w:tcPr>
          <w:p w14:paraId="2A866B61" w14:textId="77777777" w:rsidR="00561CC2" w:rsidRPr="00561CC2" w:rsidRDefault="00561CC2" w:rsidP="00D2110D">
            <w:pPr>
              <w:bidi w:val="0"/>
              <w:spacing w:line="360" w:lineRule="auto"/>
              <w:jc w:val="both"/>
              <w:rPr>
                <w:b/>
                <w:bCs/>
              </w:rPr>
            </w:pPr>
            <w:r w:rsidRPr="00561CC2">
              <w:rPr>
                <w:b/>
                <w:bCs/>
              </w:rPr>
              <w:t>Egg white</w:t>
            </w:r>
          </w:p>
        </w:tc>
        <w:tc>
          <w:tcPr>
            <w:tcW w:w="904" w:type="pct"/>
            <w:vAlign w:val="center"/>
          </w:tcPr>
          <w:p w14:paraId="01D23E1C" w14:textId="77777777" w:rsidR="00561CC2" w:rsidRPr="00561CC2" w:rsidRDefault="00561CC2" w:rsidP="00383ECC">
            <w:pPr>
              <w:bidi w:val="0"/>
              <w:spacing w:line="360" w:lineRule="auto"/>
              <w:jc w:val="center"/>
            </w:pPr>
            <w:r w:rsidRPr="00561CC2">
              <w:rPr>
                <w:color w:val="000000"/>
              </w:rPr>
              <w:t>0(0%)</w:t>
            </w:r>
          </w:p>
        </w:tc>
        <w:tc>
          <w:tcPr>
            <w:tcW w:w="926" w:type="pct"/>
            <w:noWrap/>
            <w:vAlign w:val="center"/>
            <w:hideMark/>
          </w:tcPr>
          <w:p w14:paraId="79A571CA" w14:textId="77777777" w:rsidR="00561CC2" w:rsidRPr="00561CC2" w:rsidRDefault="00561CC2" w:rsidP="00383ECC">
            <w:pPr>
              <w:bidi w:val="0"/>
              <w:spacing w:line="360" w:lineRule="auto"/>
              <w:jc w:val="center"/>
            </w:pPr>
            <w:r w:rsidRPr="00561CC2">
              <w:rPr>
                <w:color w:val="000000"/>
              </w:rPr>
              <w:t>22(100%)</w:t>
            </w:r>
          </w:p>
        </w:tc>
        <w:tc>
          <w:tcPr>
            <w:tcW w:w="927" w:type="pct"/>
            <w:vAlign w:val="center"/>
          </w:tcPr>
          <w:p w14:paraId="5B0B465F" w14:textId="77777777" w:rsidR="00561CC2" w:rsidRPr="00561CC2" w:rsidRDefault="00561CC2" w:rsidP="00383ECC">
            <w:pPr>
              <w:bidi w:val="0"/>
              <w:spacing w:line="360" w:lineRule="auto"/>
              <w:jc w:val="center"/>
            </w:pPr>
            <w:r w:rsidRPr="00561CC2">
              <w:rPr>
                <w:color w:val="000000"/>
              </w:rPr>
              <w:t>11(100%)</w:t>
            </w:r>
          </w:p>
        </w:tc>
        <w:tc>
          <w:tcPr>
            <w:tcW w:w="924" w:type="pct"/>
          </w:tcPr>
          <w:p w14:paraId="5A97A252" w14:textId="77777777" w:rsidR="00561CC2" w:rsidRPr="00561CC2" w:rsidRDefault="00561CC2" w:rsidP="00383ECC">
            <w:pPr>
              <w:bidi w:val="0"/>
              <w:spacing w:line="360" w:lineRule="auto"/>
              <w:jc w:val="center"/>
              <w:rPr>
                <w:b/>
                <w:bCs/>
              </w:rPr>
            </w:pPr>
            <w:r w:rsidRPr="00561CC2">
              <w:rPr>
                <w:b/>
                <w:bCs/>
              </w:rPr>
              <w:t>&lt;0.001*</w:t>
            </w:r>
          </w:p>
        </w:tc>
      </w:tr>
      <w:tr w:rsidR="00561CC2" w:rsidRPr="00561CC2" w14:paraId="57FA6A12" w14:textId="77777777" w:rsidTr="00383ECC">
        <w:trPr>
          <w:trHeight w:val="285"/>
        </w:trPr>
        <w:tc>
          <w:tcPr>
            <w:tcW w:w="1319" w:type="pct"/>
            <w:noWrap/>
            <w:hideMark/>
          </w:tcPr>
          <w:p w14:paraId="22AD5DCE" w14:textId="77777777" w:rsidR="00561CC2" w:rsidRPr="00561CC2" w:rsidRDefault="00561CC2" w:rsidP="00D2110D">
            <w:pPr>
              <w:bidi w:val="0"/>
              <w:spacing w:line="360" w:lineRule="auto"/>
              <w:jc w:val="both"/>
              <w:rPr>
                <w:b/>
                <w:bCs/>
              </w:rPr>
            </w:pPr>
            <w:r w:rsidRPr="00561CC2">
              <w:rPr>
                <w:b/>
                <w:bCs/>
              </w:rPr>
              <w:t xml:space="preserve">Cow milk </w:t>
            </w:r>
          </w:p>
        </w:tc>
        <w:tc>
          <w:tcPr>
            <w:tcW w:w="904" w:type="pct"/>
            <w:vAlign w:val="center"/>
          </w:tcPr>
          <w:p w14:paraId="6FF47276" w14:textId="77777777" w:rsidR="00561CC2" w:rsidRPr="00561CC2" w:rsidRDefault="00561CC2" w:rsidP="00383ECC">
            <w:pPr>
              <w:bidi w:val="0"/>
              <w:spacing w:line="360" w:lineRule="auto"/>
              <w:jc w:val="center"/>
            </w:pPr>
            <w:r w:rsidRPr="00561CC2">
              <w:rPr>
                <w:color w:val="000000"/>
              </w:rPr>
              <w:t>9(21.4%)</w:t>
            </w:r>
          </w:p>
        </w:tc>
        <w:tc>
          <w:tcPr>
            <w:tcW w:w="926" w:type="pct"/>
            <w:noWrap/>
            <w:vAlign w:val="center"/>
            <w:hideMark/>
          </w:tcPr>
          <w:p w14:paraId="0FD815C7" w14:textId="77777777" w:rsidR="00561CC2" w:rsidRPr="00561CC2" w:rsidRDefault="00561CC2" w:rsidP="00383ECC">
            <w:pPr>
              <w:bidi w:val="0"/>
              <w:spacing w:line="360" w:lineRule="auto"/>
              <w:jc w:val="center"/>
            </w:pPr>
            <w:r w:rsidRPr="00561CC2">
              <w:rPr>
                <w:color w:val="000000"/>
              </w:rPr>
              <w:t>22(100%)</w:t>
            </w:r>
          </w:p>
        </w:tc>
        <w:tc>
          <w:tcPr>
            <w:tcW w:w="927" w:type="pct"/>
            <w:vAlign w:val="center"/>
          </w:tcPr>
          <w:p w14:paraId="6FC81EF9" w14:textId="77777777" w:rsidR="00561CC2" w:rsidRPr="00561CC2" w:rsidRDefault="00561CC2" w:rsidP="00383ECC">
            <w:pPr>
              <w:bidi w:val="0"/>
              <w:spacing w:line="360" w:lineRule="auto"/>
              <w:jc w:val="center"/>
            </w:pPr>
            <w:r w:rsidRPr="00561CC2">
              <w:rPr>
                <w:color w:val="000000"/>
              </w:rPr>
              <w:t>11(100%)</w:t>
            </w:r>
          </w:p>
        </w:tc>
        <w:tc>
          <w:tcPr>
            <w:tcW w:w="924" w:type="pct"/>
          </w:tcPr>
          <w:p w14:paraId="6B5932B0" w14:textId="77777777" w:rsidR="00561CC2" w:rsidRPr="00561CC2" w:rsidRDefault="00561CC2" w:rsidP="00383ECC">
            <w:pPr>
              <w:bidi w:val="0"/>
              <w:spacing w:line="360" w:lineRule="auto"/>
              <w:jc w:val="center"/>
            </w:pPr>
            <w:r w:rsidRPr="00561CC2">
              <w:rPr>
                <w:b/>
                <w:bCs/>
              </w:rPr>
              <w:t>&lt;0.001*</w:t>
            </w:r>
          </w:p>
        </w:tc>
      </w:tr>
      <w:tr w:rsidR="00561CC2" w:rsidRPr="00561CC2" w14:paraId="49F0C68F" w14:textId="77777777" w:rsidTr="00383ECC">
        <w:trPr>
          <w:trHeight w:val="285"/>
        </w:trPr>
        <w:tc>
          <w:tcPr>
            <w:tcW w:w="1319" w:type="pct"/>
            <w:noWrap/>
            <w:hideMark/>
          </w:tcPr>
          <w:p w14:paraId="3CC4102D" w14:textId="77777777" w:rsidR="00561CC2" w:rsidRPr="00561CC2" w:rsidRDefault="00561CC2" w:rsidP="00D2110D">
            <w:pPr>
              <w:bidi w:val="0"/>
              <w:spacing w:line="360" w:lineRule="auto"/>
              <w:jc w:val="both"/>
              <w:rPr>
                <w:b/>
                <w:bCs/>
              </w:rPr>
            </w:pPr>
            <w:r w:rsidRPr="00561CC2">
              <w:rPr>
                <w:b/>
                <w:bCs/>
              </w:rPr>
              <w:t xml:space="preserve">Wheat </w:t>
            </w:r>
          </w:p>
        </w:tc>
        <w:tc>
          <w:tcPr>
            <w:tcW w:w="904" w:type="pct"/>
            <w:vAlign w:val="center"/>
          </w:tcPr>
          <w:p w14:paraId="48AD6DCE" w14:textId="77777777" w:rsidR="00561CC2" w:rsidRPr="00561CC2" w:rsidRDefault="00561CC2" w:rsidP="00383ECC">
            <w:pPr>
              <w:bidi w:val="0"/>
              <w:spacing w:line="360" w:lineRule="auto"/>
              <w:jc w:val="center"/>
            </w:pPr>
            <w:r w:rsidRPr="00561CC2">
              <w:rPr>
                <w:color w:val="000000"/>
              </w:rPr>
              <w:t>0(0%)</w:t>
            </w:r>
          </w:p>
        </w:tc>
        <w:tc>
          <w:tcPr>
            <w:tcW w:w="926" w:type="pct"/>
            <w:noWrap/>
            <w:vAlign w:val="center"/>
            <w:hideMark/>
          </w:tcPr>
          <w:p w14:paraId="405A6169" w14:textId="77777777" w:rsidR="00561CC2" w:rsidRPr="00561CC2" w:rsidRDefault="00561CC2" w:rsidP="00383ECC">
            <w:pPr>
              <w:bidi w:val="0"/>
              <w:spacing w:line="360" w:lineRule="auto"/>
              <w:jc w:val="center"/>
            </w:pPr>
            <w:r w:rsidRPr="00561CC2">
              <w:rPr>
                <w:color w:val="000000"/>
              </w:rPr>
              <w:t>17(77.3%)</w:t>
            </w:r>
          </w:p>
        </w:tc>
        <w:tc>
          <w:tcPr>
            <w:tcW w:w="927" w:type="pct"/>
            <w:vAlign w:val="center"/>
          </w:tcPr>
          <w:p w14:paraId="6657D05C" w14:textId="77777777" w:rsidR="00561CC2" w:rsidRPr="00561CC2" w:rsidRDefault="00561CC2" w:rsidP="00383ECC">
            <w:pPr>
              <w:bidi w:val="0"/>
              <w:spacing w:line="360" w:lineRule="auto"/>
              <w:jc w:val="center"/>
            </w:pPr>
            <w:r w:rsidRPr="00561CC2">
              <w:rPr>
                <w:color w:val="000000"/>
              </w:rPr>
              <w:t>11(100%)</w:t>
            </w:r>
          </w:p>
        </w:tc>
        <w:tc>
          <w:tcPr>
            <w:tcW w:w="924" w:type="pct"/>
          </w:tcPr>
          <w:p w14:paraId="51E143BF" w14:textId="77777777" w:rsidR="00561CC2" w:rsidRPr="00561CC2" w:rsidRDefault="00561CC2" w:rsidP="00383ECC">
            <w:pPr>
              <w:bidi w:val="0"/>
              <w:spacing w:line="360" w:lineRule="auto"/>
              <w:jc w:val="center"/>
            </w:pPr>
            <w:r w:rsidRPr="00561CC2">
              <w:rPr>
                <w:b/>
                <w:bCs/>
              </w:rPr>
              <w:t>&lt;0.001*</w:t>
            </w:r>
          </w:p>
        </w:tc>
      </w:tr>
      <w:tr w:rsidR="00561CC2" w:rsidRPr="00561CC2" w14:paraId="6E33A9FB" w14:textId="77777777" w:rsidTr="00383ECC">
        <w:trPr>
          <w:trHeight w:val="285"/>
        </w:trPr>
        <w:tc>
          <w:tcPr>
            <w:tcW w:w="1319" w:type="pct"/>
            <w:noWrap/>
            <w:hideMark/>
          </w:tcPr>
          <w:p w14:paraId="34FE436D" w14:textId="77777777" w:rsidR="00561CC2" w:rsidRPr="00561CC2" w:rsidRDefault="00561CC2" w:rsidP="00D2110D">
            <w:pPr>
              <w:bidi w:val="0"/>
              <w:spacing w:line="360" w:lineRule="auto"/>
              <w:jc w:val="both"/>
              <w:rPr>
                <w:b/>
                <w:bCs/>
              </w:rPr>
            </w:pPr>
            <w:r w:rsidRPr="00561CC2">
              <w:rPr>
                <w:b/>
                <w:bCs/>
              </w:rPr>
              <w:t>Soy</w:t>
            </w:r>
          </w:p>
        </w:tc>
        <w:tc>
          <w:tcPr>
            <w:tcW w:w="904" w:type="pct"/>
            <w:vAlign w:val="center"/>
          </w:tcPr>
          <w:p w14:paraId="196D8085" w14:textId="77777777" w:rsidR="00561CC2" w:rsidRPr="00561CC2" w:rsidRDefault="00561CC2" w:rsidP="00383ECC">
            <w:pPr>
              <w:bidi w:val="0"/>
              <w:spacing w:line="360" w:lineRule="auto"/>
              <w:jc w:val="center"/>
            </w:pPr>
            <w:r w:rsidRPr="00561CC2">
              <w:rPr>
                <w:color w:val="000000"/>
              </w:rPr>
              <w:t>0(0%)</w:t>
            </w:r>
          </w:p>
        </w:tc>
        <w:tc>
          <w:tcPr>
            <w:tcW w:w="926" w:type="pct"/>
            <w:noWrap/>
            <w:vAlign w:val="center"/>
            <w:hideMark/>
          </w:tcPr>
          <w:p w14:paraId="18E83294" w14:textId="77777777" w:rsidR="00561CC2" w:rsidRPr="00561CC2" w:rsidRDefault="00561CC2" w:rsidP="00383ECC">
            <w:pPr>
              <w:bidi w:val="0"/>
              <w:spacing w:line="360" w:lineRule="auto"/>
              <w:jc w:val="center"/>
            </w:pPr>
            <w:r w:rsidRPr="00561CC2">
              <w:rPr>
                <w:color w:val="000000"/>
              </w:rPr>
              <w:t>9(40.9%)</w:t>
            </w:r>
          </w:p>
        </w:tc>
        <w:tc>
          <w:tcPr>
            <w:tcW w:w="927" w:type="pct"/>
            <w:vAlign w:val="center"/>
          </w:tcPr>
          <w:p w14:paraId="1EE91D74" w14:textId="77777777" w:rsidR="00561CC2" w:rsidRPr="00561CC2" w:rsidRDefault="00561CC2" w:rsidP="00383ECC">
            <w:pPr>
              <w:bidi w:val="0"/>
              <w:spacing w:line="360" w:lineRule="auto"/>
              <w:jc w:val="center"/>
              <w:rPr>
                <w:b/>
                <w:bCs/>
              </w:rPr>
            </w:pPr>
            <w:r w:rsidRPr="00561CC2">
              <w:rPr>
                <w:color w:val="000000"/>
              </w:rPr>
              <w:t>11(100%)</w:t>
            </w:r>
          </w:p>
        </w:tc>
        <w:tc>
          <w:tcPr>
            <w:tcW w:w="924" w:type="pct"/>
          </w:tcPr>
          <w:p w14:paraId="701B9BC4" w14:textId="77777777" w:rsidR="00561CC2" w:rsidRPr="00561CC2" w:rsidRDefault="00561CC2" w:rsidP="00383ECC">
            <w:pPr>
              <w:bidi w:val="0"/>
              <w:spacing w:line="360" w:lineRule="auto"/>
              <w:jc w:val="center"/>
            </w:pPr>
            <w:r w:rsidRPr="00561CC2">
              <w:rPr>
                <w:b/>
                <w:bCs/>
              </w:rPr>
              <w:t>&lt;0.001*</w:t>
            </w:r>
          </w:p>
        </w:tc>
      </w:tr>
      <w:tr w:rsidR="00561CC2" w:rsidRPr="00561CC2" w14:paraId="11741EA9" w14:textId="77777777" w:rsidTr="00383ECC">
        <w:trPr>
          <w:trHeight w:val="285"/>
        </w:trPr>
        <w:tc>
          <w:tcPr>
            <w:tcW w:w="1319" w:type="pct"/>
            <w:noWrap/>
            <w:hideMark/>
          </w:tcPr>
          <w:p w14:paraId="4F0D0515" w14:textId="77777777" w:rsidR="00561CC2" w:rsidRPr="00561CC2" w:rsidRDefault="00561CC2" w:rsidP="00D2110D">
            <w:pPr>
              <w:bidi w:val="0"/>
              <w:spacing w:line="360" w:lineRule="auto"/>
              <w:jc w:val="both"/>
              <w:rPr>
                <w:b/>
                <w:bCs/>
              </w:rPr>
            </w:pPr>
            <w:r w:rsidRPr="00561CC2">
              <w:rPr>
                <w:b/>
                <w:bCs/>
              </w:rPr>
              <w:t>Peanut</w:t>
            </w:r>
          </w:p>
        </w:tc>
        <w:tc>
          <w:tcPr>
            <w:tcW w:w="904" w:type="pct"/>
            <w:vAlign w:val="center"/>
          </w:tcPr>
          <w:p w14:paraId="4188DD0E" w14:textId="77777777" w:rsidR="00561CC2" w:rsidRPr="00561CC2" w:rsidRDefault="00561CC2" w:rsidP="00383ECC">
            <w:pPr>
              <w:bidi w:val="0"/>
              <w:spacing w:line="360" w:lineRule="auto"/>
              <w:jc w:val="center"/>
            </w:pPr>
            <w:r w:rsidRPr="00561CC2">
              <w:rPr>
                <w:color w:val="000000"/>
              </w:rPr>
              <w:t>0(0%)</w:t>
            </w:r>
          </w:p>
        </w:tc>
        <w:tc>
          <w:tcPr>
            <w:tcW w:w="926" w:type="pct"/>
            <w:noWrap/>
            <w:vAlign w:val="center"/>
            <w:hideMark/>
          </w:tcPr>
          <w:p w14:paraId="3A95478A" w14:textId="77777777" w:rsidR="00561CC2" w:rsidRPr="00561CC2" w:rsidRDefault="00561CC2" w:rsidP="00383ECC">
            <w:pPr>
              <w:bidi w:val="0"/>
              <w:spacing w:line="360" w:lineRule="auto"/>
              <w:jc w:val="center"/>
            </w:pPr>
            <w:r w:rsidRPr="00561CC2">
              <w:rPr>
                <w:color w:val="000000"/>
              </w:rPr>
              <w:t>9(40.9%)</w:t>
            </w:r>
          </w:p>
        </w:tc>
        <w:tc>
          <w:tcPr>
            <w:tcW w:w="927" w:type="pct"/>
            <w:vAlign w:val="center"/>
          </w:tcPr>
          <w:p w14:paraId="0BE650BA" w14:textId="77777777" w:rsidR="00561CC2" w:rsidRPr="00561CC2" w:rsidRDefault="00561CC2" w:rsidP="00383ECC">
            <w:pPr>
              <w:bidi w:val="0"/>
              <w:spacing w:line="360" w:lineRule="auto"/>
              <w:jc w:val="center"/>
              <w:rPr>
                <w:b/>
                <w:bCs/>
              </w:rPr>
            </w:pPr>
            <w:r w:rsidRPr="00561CC2">
              <w:rPr>
                <w:color w:val="000000"/>
              </w:rPr>
              <w:t>11(100%)</w:t>
            </w:r>
          </w:p>
        </w:tc>
        <w:tc>
          <w:tcPr>
            <w:tcW w:w="924" w:type="pct"/>
          </w:tcPr>
          <w:p w14:paraId="1DB3B003" w14:textId="77777777" w:rsidR="00561CC2" w:rsidRPr="00561CC2" w:rsidRDefault="00561CC2" w:rsidP="00383ECC">
            <w:pPr>
              <w:bidi w:val="0"/>
              <w:spacing w:line="360" w:lineRule="auto"/>
              <w:jc w:val="center"/>
            </w:pPr>
            <w:r w:rsidRPr="00561CC2">
              <w:rPr>
                <w:b/>
                <w:bCs/>
              </w:rPr>
              <w:t>&lt;0.001*</w:t>
            </w:r>
          </w:p>
        </w:tc>
      </w:tr>
      <w:tr w:rsidR="00791A3E" w:rsidRPr="00561CC2" w14:paraId="64951D16" w14:textId="77777777" w:rsidTr="00997D04">
        <w:trPr>
          <w:trHeight w:val="285"/>
        </w:trPr>
        <w:tc>
          <w:tcPr>
            <w:tcW w:w="1319" w:type="pct"/>
            <w:noWrap/>
            <w:hideMark/>
          </w:tcPr>
          <w:p w14:paraId="2EC8FC62" w14:textId="77777777" w:rsidR="00791A3E" w:rsidRPr="00561CC2" w:rsidRDefault="00791A3E" w:rsidP="00D2110D">
            <w:pPr>
              <w:bidi w:val="0"/>
              <w:spacing w:line="360" w:lineRule="auto"/>
              <w:jc w:val="both"/>
              <w:rPr>
                <w:b/>
                <w:bCs/>
              </w:rPr>
            </w:pPr>
            <w:r w:rsidRPr="00561CC2">
              <w:rPr>
                <w:b/>
                <w:bCs/>
              </w:rPr>
              <w:t xml:space="preserve">Tomato </w:t>
            </w:r>
          </w:p>
        </w:tc>
        <w:tc>
          <w:tcPr>
            <w:tcW w:w="904" w:type="pct"/>
            <w:vAlign w:val="center"/>
          </w:tcPr>
          <w:p w14:paraId="6F86FDE9" w14:textId="77777777" w:rsidR="00791A3E" w:rsidRPr="00561CC2" w:rsidRDefault="00791A3E" w:rsidP="00383ECC">
            <w:pPr>
              <w:bidi w:val="0"/>
              <w:spacing w:line="360" w:lineRule="auto"/>
              <w:jc w:val="center"/>
            </w:pPr>
            <w:r w:rsidRPr="00561CC2">
              <w:rPr>
                <w:color w:val="000000"/>
              </w:rPr>
              <w:t>0(0%)</w:t>
            </w:r>
          </w:p>
        </w:tc>
        <w:tc>
          <w:tcPr>
            <w:tcW w:w="926" w:type="pct"/>
            <w:noWrap/>
            <w:vAlign w:val="center"/>
            <w:hideMark/>
          </w:tcPr>
          <w:p w14:paraId="28C7CA55" w14:textId="77777777" w:rsidR="00791A3E" w:rsidRPr="00561CC2" w:rsidRDefault="00791A3E" w:rsidP="00383ECC">
            <w:pPr>
              <w:bidi w:val="0"/>
              <w:spacing w:line="360" w:lineRule="auto"/>
              <w:jc w:val="center"/>
            </w:pPr>
            <w:r w:rsidRPr="00561CC2">
              <w:rPr>
                <w:color w:val="000000"/>
              </w:rPr>
              <w:t>9(40.9%)</w:t>
            </w:r>
          </w:p>
        </w:tc>
        <w:tc>
          <w:tcPr>
            <w:tcW w:w="927" w:type="pct"/>
            <w:vAlign w:val="center"/>
          </w:tcPr>
          <w:p w14:paraId="13A9EDEE" w14:textId="77777777" w:rsidR="00791A3E" w:rsidRPr="00561CC2" w:rsidRDefault="00791A3E" w:rsidP="00383ECC">
            <w:pPr>
              <w:bidi w:val="0"/>
              <w:spacing w:line="360" w:lineRule="auto"/>
              <w:jc w:val="center"/>
              <w:rPr>
                <w:b/>
                <w:bCs/>
              </w:rPr>
            </w:pPr>
            <w:r w:rsidRPr="00561CC2">
              <w:rPr>
                <w:color w:val="000000"/>
              </w:rPr>
              <w:t>11(100%)</w:t>
            </w:r>
          </w:p>
        </w:tc>
        <w:tc>
          <w:tcPr>
            <w:tcW w:w="924" w:type="pct"/>
            <w:vMerge w:val="restart"/>
          </w:tcPr>
          <w:p w14:paraId="06E018A8" w14:textId="77777777" w:rsidR="00965DBE" w:rsidRDefault="00791A3E" w:rsidP="00965DBE">
            <w:pPr>
              <w:bidi w:val="0"/>
              <w:spacing w:line="360" w:lineRule="auto"/>
              <w:jc w:val="center"/>
              <w:rPr>
                <w:b/>
                <w:bCs/>
              </w:rPr>
            </w:pPr>
            <w:r w:rsidRPr="00561CC2">
              <w:rPr>
                <w:b/>
                <w:bCs/>
              </w:rPr>
              <w:t>&lt;0.001*</w:t>
            </w:r>
          </w:p>
          <w:p w14:paraId="79198F23" w14:textId="644A0649" w:rsidR="00791A3E" w:rsidRPr="00561CC2" w:rsidRDefault="00791A3E" w:rsidP="00965DBE">
            <w:pPr>
              <w:bidi w:val="0"/>
              <w:spacing w:line="360" w:lineRule="auto"/>
              <w:jc w:val="center"/>
            </w:pPr>
            <w:r w:rsidRPr="00561CC2">
              <w:rPr>
                <w:b/>
                <w:bCs/>
              </w:rPr>
              <w:t>&lt;0.001*</w:t>
            </w:r>
          </w:p>
        </w:tc>
      </w:tr>
      <w:tr w:rsidR="00791A3E" w:rsidRPr="00561CC2" w14:paraId="09E8702A" w14:textId="77777777" w:rsidTr="00997D04">
        <w:trPr>
          <w:trHeight w:val="285"/>
        </w:trPr>
        <w:tc>
          <w:tcPr>
            <w:tcW w:w="1319" w:type="pct"/>
            <w:noWrap/>
            <w:hideMark/>
          </w:tcPr>
          <w:p w14:paraId="4789BA12" w14:textId="77777777" w:rsidR="00791A3E" w:rsidRPr="00561CC2" w:rsidRDefault="00791A3E" w:rsidP="00D2110D">
            <w:pPr>
              <w:bidi w:val="0"/>
              <w:spacing w:line="360" w:lineRule="auto"/>
              <w:jc w:val="both"/>
              <w:rPr>
                <w:b/>
                <w:bCs/>
              </w:rPr>
            </w:pPr>
            <w:r w:rsidRPr="00561CC2">
              <w:rPr>
                <w:b/>
                <w:bCs/>
              </w:rPr>
              <w:t>Fish</w:t>
            </w:r>
          </w:p>
        </w:tc>
        <w:tc>
          <w:tcPr>
            <w:tcW w:w="904" w:type="pct"/>
            <w:vAlign w:val="center"/>
          </w:tcPr>
          <w:p w14:paraId="09B41FA8" w14:textId="77777777" w:rsidR="00791A3E" w:rsidRPr="00561CC2" w:rsidRDefault="00791A3E" w:rsidP="00383ECC">
            <w:pPr>
              <w:bidi w:val="0"/>
              <w:spacing w:line="360" w:lineRule="auto"/>
              <w:jc w:val="center"/>
            </w:pPr>
            <w:r w:rsidRPr="00561CC2">
              <w:rPr>
                <w:color w:val="000000"/>
              </w:rPr>
              <w:t>0(0%)</w:t>
            </w:r>
          </w:p>
        </w:tc>
        <w:tc>
          <w:tcPr>
            <w:tcW w:w="926" w:type="pct"/>
            <w:noWrap/>
            <w:vAlign w:val="center"/>
            <w:hideMark/>
          </w:tcPr>
          <w:p w14:paraId="5E2F1EB6" w14:textId="77777777" w:rsidR="00791A3E" w:rsidRPr="00561CC2" w:rsidRDefault="00791A3E" w:rsidP="00383ECC">
            <w:pPr>
              <w:bidi w:val="0"/>
              <w:spacing w:line="360" w:lineRule="auto"/>
              <w:jc w:val="center"/>
            </w:pPr>
            <w:r w:rsidRPr="00561CC2">
              <w:rPr>
                <w:color w:val="000000"/>
              </w:rPr>
              <w:t>9(40.9%)</w:t>
            </w:r>
          </w:p>
        </w:tc>
        <w:tc>
          <w:tcPr>
            <w:tcW w:w="927" w:type="pct"/>
            <w:vAlign w:val="center"/>
          </w:tcPr>
          <w:p w14:paraId="50BA0C2D" w14:textId="77777777" w:rsidR="00791A3E" w:rsidRPr="00561CC2" w:rsidRDefault="00791A3E" w:rsidP="00383ECC">
            <w:pPr>
              <w:bidi w:val="0"/>
              <w:spacing w:line="360" w:lineRule="auto"/>
              <w:jc w:val="center"/>
              <w:rPr>
                <w:b/>
                <w:bCs/>
              </w:rPr>
            </w:pPr>
            <w:r w:rsidRPr="00561CC2">
              <w:rPr>
                <w:color w:val="000000"/>
              </w:rPr>
              <w:t>11(100%)</w:t>
            </w:r>
          </w:p>
        </w:tc>
        <w:tc>
          <w:tcPr>
            <w:tcW w:w="924" w:type="pct"/>
            <w:vMerge/>
          </w:tcPr>
          <w:p w14:paraId="0C71EEF2" w14:textId="050B7BBA" w:rsidR="00791A3E" w:rsidRPr="00561CC2" w:rsidRDefault="00791A3E" w:rsidP="00383ECC">
            <w:pPr>
              <w:bidi w:val="0"/>
              <w:spacing w:line="360" w:lineRule="auto"/>
              <w:jc w:val="center"/>
            </w:pPr>
          </w:p>
        </w:tc>
      </w:tr>
    </w:tbl>
    <w:tbl>
      <w:tblPr>
        <w:tblW w:w="8635" w:type="dxa"/>
        <w:tblLook w:val="04A0" w:firstRow="1" w:lastRow="0" w:firstColumn="1" w:lastColumn="0" w:noHBand="0" w:noVBand="1"/>
        <w:tblCaption w:val="Table [1]: Association between different food allergy and IBS subtypes."/>
      </w:tblPr>
      <w:tblGrid>
        <w:gridCol w:w="1345"/>
        <w:gridCol w:w="2340"/>
        <w:gridCol w:w="2610"/>
        <w:gridCol w:w="2340"/>
      </w:tblGrid>
      <w:tr w:rsidR="00561CC2" w:rsidRPr="00561CC2" w14:paraId="37DE9258" w14:textId="77777777" w:rsidTr="00383ECC">
        <w:trPr>
          <w:trHeight w:val="312"/>
        </w:trPr>
        <w:tc>
          <w:tcPr>
            <w:tcW w:w="8635" w:type="dxa"/>
            <w:gridSpan w:val="4"/>
            <w:tcBorders>
              <w:top w:val="single" w:sz="4" w:space="0" w:color="auto"/>
            </w:tcBorders>
            <w:noWrap/>
            <w:vAlign w:val="bottom"/>
          </w:tcPr>
          <w:p w14:paraId="3523C237" w14:textId="77777777" w:rsidR="00561CC2" w:rsidRPr="00561CC2" w:rsidRDefault="00561CC2" w:rsidP="00383ECC">
            <w:pPr>
              <w:bidi w:val="0"/>
              <w:jc w:val="center"/>
              <w:rPr>
                <w:b/>
                <w:bCs/>
                <w:color w:val="000000"/>
              </w:rPr>
            </w:pPr>
            <w:r w:rsidRPr="00561CC2">
              <w:rPr>
                <w:b/>
                <w:bCs/>
                <w:color w:val="000000"/>
              </w:rPr>
              <w:t>Post-hoc analyses</w:t>
            </w:r>
          </w:p>
        </w:tc>
      </w:tr>
      <w:tr w:rsidR="00561CC2" w:rsidRPr="00561CC2" w14:paraId="7309E0B5" w14:textId="77777777" w:rsidTr="00383ECC">
        <w:trPr>
          <w:trHeight w:val="312"/>
        </w:trPr>
        <w:tc>
          <w:tcPr>
            <w:tcW w:w="1345" w:type="dxa"/>
            <w:tcBorders>
              <w:top w:val="single" w:sz="4" w:space="0" w:color="auto"/>
            </w:tcBorders>
            <w:noWrap/>
            <w:vAlign w:val="bottom"/>
            <w:hideMark/>
          </w:tcPr>
          <w:p w14:paraId="70A1160E" w14:textId="77777777" w:rsidR="00561CC2" w:rsidRPr="00561CC2" w:rsidRDefault="00561CC2" w:rsidP="00383ECC">
            <w:pPr>
              <w:bidi w:val="0"/>
              <w:rPr>
                <w:rFonts w:ascii="Calibri" w:hAnsi="Calibri" w:cs="Calibri"/>
                <w:color w:val="000000"/>
              </w:rPr>
            </w:pPr>
            <w:r w:rsidRPr="00561CC2">
              <w:rPr>
                <w:rFonts w:ascii="Calibri" w:hAnsi="Calibri" w:cs="Calibri"/>
                <w:color w:val="000000"/>
              </w:rPr>
              <w:t> </w:t>
            </w:r>
          </w:p>
        </w:tc>
        <w:tc>
          <w:tcPr>
            <w:tcW w:w="2340" w:type="dxa"/>
            <w:vAlign w:val="center"/>
            <w:hideMark/>
          </w:tcPr>
          <w:p w14:paraId="6ED7F9FD" w14:textId="77777777" w:rsidR="00561CC2" w:rsidRPr="00561CC2" w:rsidRDefault="00561CC2" w:rsidP="00383ECC">
            <w:pPr>
              <w:bidi w:val="0"/>
              <w:jc w:val="center"/>
              <w:rPr>
                <w:color w:val="000000"/>
              </w:rPr>
            </w:pPr>
            <w:r w:rsidRPr="00561CC2">
              <w:rPr>
                <w:color w:val="000000"/>
              </w:rPr>
              <w:t>IBS-D versus IBS-C</w:t>
            </w:r>
          </w:p>
        </w:tc>
        <w:tc>
          <w:tcPr>
            <w:tcW w:w="2610" w:type="dxa"/>
            <w:noWrap/>
            <w:vAlign w:val="center"/>
            <w:hideMark/>
          </w:tcPr>
          <w:p w14:paraId="6E9E561E" w14:textId="77777777" w:rsidR="00561CC2" w:rsidRPr="00561CC2" w:rsidRDefault="00561CC2" w:rsidP="00383ECC">
            <w:pPr>
              <w:bidi w:val="0"/>
              <w:jc w:val="center"/>
              <w:rPr>
                <w:color w:val="000000"/>
              </w:rPr>
            </w:pPr>
            <w:r w:rsidRPr="00561CC2">
              <w:rPr>
                <w:color w:val="000000"/>
              </w:rPr>
              <w:t>IBS-D versus IBS-M</w:t>
            </w:r>
          </w:p>
        </w:tc>
        <w:tc>
          <w:tcPr>
            <w:tcW w:w="2340" w:type="dxa"/>
            <w:vAlign w:val="center"/>
            <w:hideMark/>
          </w:tcPr>
          <w:p w14:paraId="4B5ABCCD" w14:textId="77777777" w:rsidR="00561CC2" w:rsidRPr="00561CC2" w:rsidRDefault="00561CC2" w:rsidP="00383ECC">
            <w:pPr>
              <w:bidi w:val="0"/>
              <w:jc w:val="center"/>
              <w:rPr>
                <w:color w:val="000000"/>
              </w:rPr>
            </w:pPr>
            <w:r w:rsidRPr="00561CC2">
              <w:rPr>
                <w:color w:val="000000"/>
              </w:rPr>
              <w:t>IBS-C-versus IBS-M</w:t>
            </w:r>
          </w:p>
        </w:tc>
      </w:tr>
      <w:tr w:rsidR="00561CC2" w:rsidRPr="00561CC2" w14:paraId="1A82827B" w14:textId="77777777" w:rsidTr="00383ECC">
        <w:trPr>
          <w:trHeight w:val="312"/>
        </w:trPr>
        <w:tc>
          <w:tcPr>
            <w:tcW w:w="1345" w:type="dxa"/>
            <w:noWrap/>
            <w:vAlign w:val="center"/>
            <w:hideMark/>
          </w:tcPr>
          <w:p w14:paraId="5CFE7098" w14:textId="77777777" w:rsidR="00561CC2" w:rsidRPr="00561CC2" w:rsidRDefault="00561CC2" w:rsidP="00D2110D">
            <w:pPr>
              <w:bidi w:val="0"/>
              <w:jc w:val="both"/>
              <w:rPr>
                <w:color w:val="000000"/>
              </w:rPr>
            </w:pPr>
            <w:r w:rsidRPr="00561CC2">
              <w:rPr>
                <w:color w:val="000000"/>
              </w:rPr>
              <w:t>Egg white</w:t>
            </w:r>
          </w:p>
        </w:tc>
        <w:tc>
          <w:tcPr>
            <w:tcW w:w="2340" w:type="dxa"/>
            <w:vAlign w:val="center"/>
            <w:hideMark/>
          </w:tcPr>
          <w:p w14:paraId="28326657" w14:textId="77777777" w:rsidR="00561CC2" w:rsidRPr="00561CC2" w:rsidRDefault="00561CC2" w:rsidP="00383ECC">
            <w:pPr>
              <w:bidi w:val="0"/>
              <w:jc w:val="center"/>
              <w:rPr>
                <w:color w:val="000000"/>
              </w:rPr>
            </w:pPr>
            <w:r w:rsidRPr="00561CC2">
              <w:rPr>
                <w:color w:val="000000"/>
              </w:rPr>
              <w:t>&lt;0.001*</w:t>
            </w:r>
          </w:p>
        </w:tc>
        <w:tc>
          <w:tcPr>
            <w:tcW w:w="2610" w:type="dxa"/>
            <w:vAlign w:val="center"/>
            <w:hideMark/>
          </w:tcPr>
          <w:p w14:paraId="308CD965" w14:textId="77777777" w:rsidR="00561CC2" w:rsidRPr="00561CC2" w:rsidRDefault="00561CC2" w:rsidP="00383ECC">
            <w:pPr>
              <w:bidi w:val="0"/>
              <w:jc w:val="center"/>
              <w:rPr>
                <w:color w:val="000000"/>
              </w:rPr>
            </w:pPr>
            <w:r w:rsidRPr="00561CC2">
              <w:rPr>
                <w:color w:val="000000"/>
              </w:rPr>
              <w:t>&lt;0.001*</w:t>
            </w:r>
          </w:p>
        </w:tc>
        <w:tc>
          <w:tcPr>
            <w:tcW w:w="2340" w:type="dxa"/>
            <w:vAlign w:val="center"/>
            <w:hideMark/>
          </w:tcPr>
          <w:p w14:paraId="267CBD9A" w14:textId="77777777" w:rsidR="00561CC2" w:rsidRPr="00561CC2" w:rsidRDefault="00561CC2" w:rsidP="00383ECC">
            <w:pPr>
              <w:bidi w:val="0"/>
              <w:jc w:val="center"/>
              <w:rPr>
                <w:color w:val="000000"/>
              </w:rPr>
            </w:pPr>
            <w:r w:rsidRPr="00561CC2">
              <w:rPr>
                <w:color w:val="000000"/>
              </w:rPr>
              <w:t>NA</w:t>
            </w:r>
          </w:p>
        </w:tc>
      </w:tr>
      <w:tr w:rsidR="00561CC2" w:rsidRPr="00561CC2" w14:paraId="305A5571" w14:textId="77777777" w:rsidTr="00383ECC">
        <w:trPr>
          <w:trHeight w:val="312"/>
        </w:trPr>
        <w:tc>
          <w:tcPr>
            <w:tcW w:w="1345" w:type="dxa"/>
            <w:noWrap/>
            <w:vAlign w:val="center"/>
            <w:hideMark/>
          </w:tcPr>
          <w:p w14:paraId="1BD471BE" w14:textId="77777777" w:rsidR="00561CC2" w:rsidRPr="00561CC2" w:rsidRDefault="00561CC2" w:rsidP="00D2110D">
            <w:pPr>
              <w:bidi w:val="0"/>
              <w:jc w:val="both"/>
              <w:rPr>
                <w:color w:val="000000"/>
              </w:rPr>
            </w:pPr>
            <w:r w:rsidRPr="00561CC2">
              <w:rPr>
                <w:color w:val="000000"/>
              </w:rPr>
              <w:t xml:space="preserve">Cow milk </w:t>
            </w:r>
          </w:p>
        </w:tc>
        <w:tc>
          <w:tcPr>
            <w:tcW w:w="2340" w:type="dxa"/>
            <w:vAlign w:val="center"/>
            <w:hideMark/>
          </w:tcPr>
          <w:p w14:paraId="401C3D52" w14:textId="77777777" w:rsidR="00561CC2" w:rsidRPr="00561CC2" w:rsidRDefault="00561CC2" w:rsidP="00383ECC">
            <w:pPr>
              <w:bidi w:val="0"/>
              <w:jc w:val="center"/>
              <w:rPr>
                <w:color w:val="000000"/>
              </w:rPr>
            </w:pPr>
            <w:r w:rsidRPr="00561CC2">
              <w:rPr>
                <w:color w:val="000000"/>
              </w:rPr>
              <w:t>&lt;0.001*</w:t>
            </w:r>
          </w:p>
        </w:tc>
        <w:tc>
          <w:tcPr>
            <w:tcW w:w="2610" w:type="dxa"/>
            <w:vAlign w:val="center"/>
            <w:hideMark/>
          </w:tcPr>
          <w:p w14:paraId="16694E94" w14:textId="77777777" w:rsidR="00561CC2" w:rsidRPr="00561CC2" w:rsidRDefault="00561CC2" w:rsidP="00383ECC">
            <w:pPr>
              <w:bidi w:val="0"/>
              <w:jc w:val="center"/>
              <w:rPr>
                <w:color w:val="000000"/>
              </w:rPr>
            </w:pPr>
            <w:r w:rsidRPr="00561CC2">
              <w:rPr>
                <w:color w:val="000000"/>
              </w:rPr>
              <w:t>&lt;0.001*</w:t>
            </w:r>
          </w:p>
        </w:tc>
        <w:tc>
          <w:tcPr>
            <w:tcW w:w="2340" w:type="dxa"/>
            <w:vAlign w:val="center"/>
            <w:hideMark/>
          </w:tcPr>
          <w:p w14:paraId="60F84ACC" w14:textId="77777777" w:rsidR="00561CC2" w:rsidRPr="00561CC2" w:rsidRDefault="00561CC2" w:rsidP="00383ECC">
            <w:pPr>
              <w:bidi w:val="0"/>
              <w:jc w:val="center"/>
              <w:rPr>
                <w:color w:val="000000"/>
              </w:rPr>
            </w:pPr>
            <w:r w:rsidRPr="00561CC2">
              <w:rPr>
                <w:color w:val="000000"/>
              </w:rPr>
              <w:t>NA</w:t>
            </w:r>
          </w:p>
        </w:tc>
      </w:tr>
      <w:tr w:rsidR="00561CC2" w:rsidRPr="00561CC2" w14:paraId="6850B59D" w14:textId="77777777" w:rsidTr="00383ECC">
        <w:trPr>
          <w:trHeight w:val="312"/>
        </w:trPr>
        <w:tc>
          <w:tcPr>
            <w:tcW w:w="1345" w:type="dxa"/>
            <w:noWrap/>
            <w:vAlign w:val="center"/>
            <w:hideMark/>
          </w:tcPr>
          <w:p w14:paraId="148CA805" w14:textId="77777777" w:rsidR="00561CC2" w:rsidRPr="00561CC2" w:rsidRDefault="00561CC2" w:rsidP="00D2110D">
            <w:pPr>
              <w:bidi w:val="0"/>
              <w:jc w:val="both"/>
              <w:rPr>
                <w:color w:val="000000"/>
              </w:rPr>
            </w:pPr>
            <w:r w:rsidRPr="00561CC2">
              <w:rPr>
                <w:color w:val="000000"/>
              </w:rPr>
              <w:t xml:space="preserve">Wheat </w:t>
            </w:r>
          </w:p>
        </w:tc>
        <w:tc>
          <w:tcPr>
            <w:tcW w:w="2340" w:type="dxa"/>
            <w:vAlign w:val="center"/>
            <w:hideMark/>
          </w:tcPr>
          <w:p w14:paraId="731684BB" w14:textId="77777777" w:rsidR="00561CC2" w:rsidRPr="00561CC2" w:rsidRDefault="00561CC2" w:rsidP="00383ECC">
            <w:pPr>
              <w:bidi w:val="0"/>
              <w:jc w:val="center"/>
              <w:rPr>
                <w:color w:val="000000"/>
              </w:rPr>
            </w:pPr>
            <w:r w:rsidRPr="00561CC2">
              <w:rPr>
                <w:color w:val="000000"/>
              </w:rPr>
              <w:t>&lt;0.001*</w:t>
            </w:r>
          </w:p>
        </w:tc>
        <w:tc>
          <w:tcPr>
            <w:tcW w:w="2610" w:type="dxa"/>
            <w:vAlign w:val="center"/>
            <w:hideMark/>
          </w:tcPr>
          <w:p w14:paraId="41EEEDA0" w14:textId="77777777" w:rsidR="00561CC2" w:rsidRPr="00561CC2" w:rsidRDefault="00561CC2" w:rsidP="00383ECC">
            <w:pPr>
              <w:bidi w:val="0"/>
              <w:jc w:val="center"/>
              <w:rPr>
                <w:color w:val="000000"/>
              </w:rPr>
            </w:pPr>
            <w:r w:rsidRPr="00561CC2">
              <w:rPr>
                <w:color w:val="000000"/>
              </w:rPr>
              <w:t>&lt;0.001*</w:t>
            </w:r>
          </w:p>
        </w:tc>
        <w:tc>
          <w:tcPr>
            <w:tcW w:w="2340" w:type="dxa"/>
            <w:noWrap/>
            <w:vAlign w:val="bottom"/>
            <w:hideMark/>
          </w:tcPr>
          <w:p w14:paraId="061ED7FD" w14:textId="77777777" w:rsidR="00561CC2" w:rsidRPr="00561CC2" w:rsidRDefault="00561CC2" w:rsidP="00383ECC">
            <w:pPr>
              <w:bidi w:val="0"/>
              <w:jc w:val="center"/>
              <w:rPr>
                <w:rFonts w:ascii="Calibri" w:hAnsi="Calibri" w:cs="Calibri"/>
                <w:color w:val="000000"/>
              </w:rPr>
            </w:pPr>
            <w:r w:rsidRPr="00561CC2">
              <w:rPr>
                <w:rFonts w:ascii="Calibri" w:hAnsi="Calibri" w:cs="Calibri"/>
                <w:color w:val="000000"/>
              </w:rPr>
              <w:t>0.111</w:t>
            </w:r>
          </w:p>
        </w:tc>
      </w:tr>
      <w:tr w:rsidR="00561CC2" w:rsidRPr="00561CC2" w14:paraId="3701B11F" w14:textId="77777777" w:rsidTr="00383ECC">
        <w:trPr>
          <w:trHeight w:val="312"/>
        </w:trPr>
        <w:tc>
          <w:tcPr>
            <w:tcW w:w="1345" w:type="dxa"/>
            <w:noWrap/>
            <w:vAlign w:val="center"/>
            <w:hideMark/>
          </w:tcPr>
          <w:p w14:paraId="7B54246B" w14:textId="77777777" w:rsidR="00561CC2" w:rsidRPr="00561CC2" w:rsidRDefault="00561CC2" w:rsidP="00D2110D">
            <w:pPr>
              <w:bidi w:val="0"/>
              <w:jc w:val="both"/>
              <w:rPr>
                <w:color w:val="000000"/>
              </w:rPr>
            </w:pPr>
            <w:r w:rsidRPr="00561CC2">
              <w:rPr>
                <w:color w:val="000000"/>
              </w:rPr>
              <w:t>Soy</w:t>
            </w:r>
          </w:p>
        </w:tc>
        <w:tc>
          <w:tcPr>
            <w:tcW w:w="2340" w:type="dxa"/>
            <w:vAlign w:val="center"/>
            <w:hideMark/>
          </w:tcPr>
          <w:p w14:paraId="66061BA6" w14:textId="77777777" w:rsidR="00561CC2" w:rsidRPr="00561CC2" w:rsidRDefault="00561CC2" w:rsidP="00383ECC">
            <w:pPr>
              <w:bidi w:val="0"/>
              <w:jc w:val="center"/>
              <w:rPr>
                <w:color w:val="000000"/>
              </w:rPr>
            </w:pPr>
            <w:r w:rsidRPr="00561CC2">
              <w:rPr>
                <w:color w:val="000000"/>
              </w:rPr>
              <w:t>&lt;0.001*</w:t>
            </w:r>
          </w:p>
        </w:tc>
        <w:tc>
          <w:tcPr>
            <w:tcW w:w="2610" w:type="dxa"/>
            <w:vAlign w:val="center"/>
            <w:hideMark/>
          </w:tcPr>
          <w:p w14:paraId="135F9609" w14:textId="77777777" w:rsidR="00561CC2" w:rsidRPr="00561CC2" w:rsidRDefault="00561CC2" w:rsidP="00383ECC">
            <w:pPr>
              <w:bidi w:val="0"/>
              <w:jc w:val="center"/>
              <w:rPr>
                <w:color w:val="000000"/>
              </w:rPr>
            </w:pPr>
            <w:r w:rsidRPr="00561CC2">
              <w:rPr>
                <w:color w:val="000000"/>
              </w:rPr>
              <w:t>&lt;0.001*</w:t>
            </w:r>
          </w:p>
        </w:tc>
        <w:tc>
          <w:tcPr>
            <w:tcW w:w="2340" w:type="dxa"/>
            <w:noWrap/>
            <w:vAlign w:val="bottom"/>
            <w:hideMark/>
          </w:tcPr>
          <w:p w14:paraId="550B8BDE" w14:textId="77777777" w:rsidR="00561CC2" w:rsidRPr="00561CC2" w:rsidRDefault="00561CC2" w:rsidP="00383ECC">
            <w:pPr>
              <w:bidi w:val="0"/>
              <w:jc w:val="center"/>
              <w:rPr>
                <w:rFonts w:ascii="Calibri" w:hAnsi="Calibri" w:cs="Calibri"/>
                <w:color w:val="000000"/>
              </w:rPr>
            </w:pPr>
            <w:r w:rsidRPr="00561CC2">
              <w:rPr>
                <w:rFonts w:ascii="Calibri" w:hAnsi="Calibri" w:cs="Calibri"/>
                <w:color w:val="000000"/>
              </w:rPr>
              <w:t>0.001*</w:t>
            </w:r>
          </w:p>
        </w:tc>
      </w:tr>
      <w:tr w:rsidR="00561CC2" w:rsidRPr="00561CC2" w14:paraId="5A210737" w14:textId="77777777" w:rsidTr="00383ECC">
        <w:trPr>
          <w:trHeight w:val="312"/>
        </w:trPr>
        <w:tc>
          <w:tcPr>
            <w:tcW w:w="1345" w:type="dxa"/>
            <w:noWrap/>
            <w:vAlign w:val="center"/>
            <w:hideMark/>
          </w:tcPr>
          <w:p w14:paraId="56F4B433" w14:textId="77777777" w:rsidR="00561CC2" w:rsidRPr="00561CC2" w:rsidRDefault="00561CC2" w:rsidP="00D2110D">
            <w:pPr>
              <w:bidi w:val="0"/>
              <w:jc w:val="both"/>
              <w:rPr>
                <w:color w:val="000000"/>
              </w:rPr>
            </w:pPr>
            <w:r w:rsidRPr="00561CC2">
              <w:rPr>
                <w:color w:val="000000"/>
              </w:rPr>
              <w:t>Peanut</w:t>
            </w:r>
          </w:p>
        </w:tc>
        <w:tc>
          <w:tcPr>
            <w:tcW w:w="2340" w:type="dxa"/>
            <w:vAlign w:val="center"/>
            <w:hideMark/>
          </w:tcPr>
          <w:p w14:paraId="04B1DC60" w14:textId="77777777" w:rsidR="00561CC2" w:rsidRPr="00561CC2" w:rsidRDefault="00561CC2" w:rsidP="00383ECC">
            <w:pPr>
              <w:bidi w:val="0"/>
              <w:jc w:val="center"/>
              <w:rPr>
                <w:color w:val="000000"/>
              </w:rPr>
            </w:pPr>
            <w:r w:rsidRPr="00561CC2">
              <w:rPr>
                <w:color w:val="000000"/>
              </w:rPr>
              <w:t>&lt;0.001*</w:t>
            </w:r>
          </w:p>
        </w:tc>
        <w:tc>
          <w:tcPr>
            <w:tcW w:w="2610" w:type="dxa"/>
            <w:vAlign w:val="center"/>
            <w:hideMark/>
          </w:tcPr>
          <w:p w14:paraId="36600C2B" w14:textId="77777777" w:rsidR="00561CC2" w:rsidRPr="00561CC2" w:rsidRDefault="00561CC2" w:rsidP="00383ECC">
            <w:pPr>
              <w:bidi w:val="0"/>
              <w:jc w:val="center"/>
              <w:rPr>
                <w:color w:val="000000"/>
              </w:rPr>
            </w:pPr>
            <w:r w:rsidRPr="00561CC2">
              <w:rPr>
                <w:color w:val="000000"/>
              </w:rPr>
              <w:t>&lt;0.001*</w:t>
            </w:r>
          </w:p>
        </w:tc>
        <w:tc>
          <w:tcPr>
            <w:tcW w:w="2340" w:type="dxa"/>
            <w:noWrap/>
            <w:vAlign w:val="bottom"/>
            <w:hideMark/>
          </w:tcPr>
          <w:p w14:paraId="1DBF976E" w14:textId="77777777" w:rsidR="00561CC2" w:rsidRPr="00561CC2" w:rsidRDefault="00561CC2" w:rsidP="00383ECC">
            <w:pPr>
              <w:bidi w:val="0"/>
              <w:jc w:val="center"/>
              <w:rPr>
                <w:rFonts w:ascii="Calibri" w:hAnsi="Calibri" w:cs="Calibri"/>
                <w:color w:val="000000"/>
              </w:rPr>
            </w:pPr>
            <w:r w:rsidRPr="00561CC2">
              <w:rPr>
                <w:rFonts w:ascii="Calibri" w:hAnsi="Calibri" w:cs="Calibri"/>
                <w:color w:val="000000"/>
              </w:rPr>
              <w:t>0.001*</w:t>
            </w:r>
          </w:p>
        </w:tc>
      </w:tr>
      <w:tr w:rsidR="00561CC2" w:rsidRPr="00561CC2" w14:paraId="70928195" w14:textId="77777777" w:rsidTr="00383ECC">
        <w:trPr>
          <w:trHeight w:val="312"/>
        </w:trPr>
        <w:tc>
          <w:tcPr>
            <w:tcW w:w="1345" w:type="dxa"/>
            <w:noWrap/>
            <w:vAlign w:val="center"/>
            <w:hideMark/>
          </w:tcPr>
          <w:p w14:paraId="401EA1EC" w14:textId="77777777" w:rsidR="00561CC2" w:rsidRPr="00561CC2" w:rsidRDefault="00561CC2" w:rsidP="00D2110D">
            <w:pPr>
              <w:bidi w:val="0"/>
              <w:jc w:val="both"/>
              <w:rPr>
                <w:color w:val="000000"/>
              </w:rPr>
            </w:pPr>
            <w:r w:rsidRPr="00561CC2">
              <w:rPr>
                <w:color w:val="000000"/>
              </w:rPr>
              <w:t xml:space="preserve">Tomato </w:t>
            </w:r>
          </w:p>
        </w:tc>
        <w:tc>
          <w:tcPr>
            <w:tcW w:w="2340" w:type="dxa"/>
            <w:vAlign w:val="center"/>
            <w:hideMark/>
          </w:tcPr>
          <w:p w14:paraId="7236A583" w14:textId="77777777" w:rsidR="00561CC2" w:rsidRPr="00561CC2" w:rsidRDefault="00561CC2" w:rsidP="00383ECC">
            <w:pPr>
              <w:bidi w:val="0"/>
              <w:jc w:val="center"/>
              <w:rPr>
                <w:color w:val="000000"/>
              </w:rPr>
            </w:pPr>
            <w:r w:rsidRPr="00561CC2">
              <w:rPr>
                <w:color w:val="000000"/>
              </w:rPr>
              <w:t>&lt;0.001*</w:t>
            </w:r>
          </w:p>
        </w:tc>
        <w:tc>
          <w:tcPr>
            <w:tcW w:w="2610" w:type="dxa"/>
            <w:vAlign w:val="center"/>
            <w:hideMark/>
          </w:tcPr>
          <w:p w14:paraId="35787712" w14:textId="77777777" w:rsidR="00561CC2" w:rsidRPr="00561CC2" w:rsidRDefault="00561CC2" w:rsidP="00383ECC">
            <w:pPr>
              <w:bidi w:val="0"/>
              <w:jc w:val="center"/>
              <w:rPr>
                <w:color w:val="000000"/>
              </w:rPr>
            </w:pPr>
            <w:r w:rsidRPr="00561CC2">
              <w:rPr>
                <w:color w:val="000000"/>
              </w:rPr>
              <w:t>&lt;0.001*</w:t>
            </w:r>
          </w:p>
        </w:tc>
        <w:tc>
          <w:tcPr>
            <w:tcW w:w="2340" w:type="dxa"/>
            <w:noWrap/>
            <w:vAlign w:val="bottom"/>
            <w:hideMark/>
          </w:tcPr>
          <w:p w14:paraId="697CB757" w14:textId="77777777" w:rsidR="00561CC2" w:rsidRPr="00561CC2" w:rsidRDefault="00561CC2" w:rsidP="00383ECC">
            <w:pPr>
              <w:bidi w:val="0"/>
              <w:jc w:val="center"/>
              <w:rPr>
                <w:rFonts w:ascii="Calibri" w:hAnsi="Calibri" w:cs="Calibri"/>
                <w:color w:val="000000"/>
              </w:rPr>
            </w:pPr>
            <w:r w:rsidRPr="00561CC2">
              <w:rPr>
                <w:rFonts w:ascii="Calibri" w:hAnsi="Calibri" w:cs="Calibri"/>
                <w:color w:val="000000"/>
              </w:rPr>
              <w:t>0.001*</w:t>
            </w:r>
          </w:p>
        </w:tc>
      </w:tr>
      <w:tr w:rsidR="00561CC2" w:rsidRPr="00561CC2" w14:paraId="5C5A0B5E" w14:textId="77777777" w:rsidTr="00383ECC">
        <w:trPr>
          <w:trHeight w:val="312"/>
        </w:trPr>
        <w:tc>
          <w:tcPr>
            <w:tcW w:w="1345" w:type="dxa"/>
            <w:tcBorders>
              <w:bottom w:val="single" w:sz="4" w:space="0" w:color="auto"/>
            </w:tcBorders>
            <w:noWrap/>
            <w:vAlign w:val="center"/>
            <w:hideMark/>
          </w:tcPr>
          <w:p w14:paraId="3F82306F" w14:textId="77777777" w:rsidR="00561CC2" w:rsidRPr="00561CC2" w:rsidRDefault="00561CC2" w:rsidP="00D2110D">
            <w:pPr>
              <w:bidi w:val="0"/>
              <w:jc w:val="both"/>
              <w:rPr>
                <w:color w:val="000000"/>
              </w:rPr>
            </w:pPr>
            <w:r w:rsidRPr="00561CC2">
              <w:rPr>
                <w:color w:val="000000"/>
              </w:rPr>
              <w:t>Fish</w:t>
            </w:r>
          </w:p>
        </w:tc>
        <w:tc>
          <w:tcPr>
            <w:tcW w:w="2340" w:type="dxa"/>
            <w:tcBorders>
              <w:bottom w:val="single" w:sz="4" w:space="0" w:color="auto"/>
            </w:tcBorders>
            <w:vAlign w:val="center"/>
            <w:hideMark/>
          </w:tcPr>
          <w:p w14:paraId="0088DD2F" w14:textId="77777777" w:rsidR="00561CC2" w:rsidRPr="00561CC2" w:rsidRDefault="00561CC2" w:rsidP="00383ECC">
            <w:pPr>
              <w:bidi w:val="0"/>
              <w:jc w:val="center"/>
              <w:rPr>
                <w:color w:val="000000"/>
              </w:rPr>
            </w:pPr>
            <w:r w:rsidRPr="00561CC2">
              <w:rPr>
                <w:color w:val="000000"/>
              </w:rPr>
              <w:t>&lt;0.001*</w:t>
            </w:r>
          </w:p>
        </w:tc>
        <w:tc>
          <w:tcPr>
            <w:tcW w:w="2610" w:type="dxa"/>
            <w:tcBorders>
              <w:bottom w:val="single" w:sz="4" w:space="0" w:color="auto"/>
            </w:tcBorders>
            <w:vAlign w:val="center"/>
            <w:hideMark/>
          </w:tcPr>
          <w:p w14:paraId="1D99F2CC" w14:textId="77777777" w:rsidR="00561CC2" w:rsidRPr="00561CC2" w:rsidRDefault="00561CC2" w:rsidP="00383ECC">
            <w:pPr>
              <w:bidi w:val="0"/>
              <w:jc w:val="center"/>
              <w:rPr>
                <w:color w:val="000000"/>
              </w:rPr>
            </w:pPr>
            <w:r w:rsidRPr="00561CC2">
              <w:rPr>
                <w:color w:val="000000"/>
              </w:rPr>
              <w:t>&lt;0.001*</w:t>
            </w:r>
          </w:p>
        </w:tc>
        <w:tc>
          <w:tcPr>
            <w:tcW w:w="2340" w:type="dxa"/>
            <w:tcBorders>
              <w:bottom w:val="single" w:sz="4" w:space="0" w:color="auto"/>
            </w:tcBorders>
            <w:noWrap/>
            <w:vAlign w:val="bottom"/>
            <w:hideMark/>
          </w:tcPr>
          <w:p w14:paraId="360441B8" w14:textId="77777777" w:rsidR="00561CC2" w:rsidRPr="00561CC2" w:rsidRDefault="00561CC2" w:rsidP="00383ECC">
            <w:pPr>
              <w:keepNext/>
              <w:bidi w:val="0"/>
              <w:jc w:val="center"/>
              <w:rPr>
                <w:rFonts w:ascii="Calibri" w:hAnsi="Calibri" w:cs="Calibri"/>
                <w:color w:val="000000"/>
              </w:rPr>
            </w:pPr>
            <w:r w:rsidRPr="00561CC2">
              <w:rPr>
                <w:rFonts w:ascii="Calibri" w:hAnsi="Calibri" w:cs="Calibri"/>
                <w:color w:val="000000"/>
              </w:rPr>
              <w:t>0.001*</w:t>
            </w:r>
          </w:p>
        </w:tc>
      </w:tr>
    </w:tbl>
    <w:p w14:paraId="0B049E42" w14:textId="77777777" w:rsidR="006E4A13" w:rsidRPr="006E4A13" w:rsidRDefault="006E4A13" w:rsidP="00E31819">
      <w:pPr>
        <w:bidi w:val="0"/>
        <w:spacing w:after="160" w:line="360" w:lineRule="auto"/>
        <w:rPr>
          <w:color w:val="00B050"/>
          <w:szCs w:val="36"/>
        </w:rPr>
      </w:pPr>
      <w:r w:rsidRPr="006E4A13">
        <w:rPr>
          <w:color w:val="00B050"/>
          <w:szCs w:val="36"/>
          <w:vertAlign w:val="superscript"/>
        </w:rPr>
        <w:t xml:space="preserve"># </w:t>
      </w:r>
      <w:r w:rsidRPr="006E4A13">
        <w:rPr>
          <w:color w:val="00B050"/>
          <w:szCs w:val="36"/>
        </w:rPr>
        <w:t>Chi square test used. *Statistically significant as p&lt;0.05.</w:t>
      </w:r>
    </w:p>
    <w:p w14:paraId="0019C0EC" w14:textId="36FEA0CB" w:rsidR="00DD1927" w:rsidRDefault="00DD1927" w:rsidP="00EB4D85">
      <w:pPr>
        <w:bidi w:val="0"/>
        <w:spacing w:after="160" w:line="480" w:lineRule="auto"/>
        <w:ind w:firstLine="720"/>
        <w:jc w:val="both"/>
        <w:rPr>
          <w:b/>
          <w:bCs/>
        </w:rPr>
      </w:pPr>
      <w:r w:rsidRPr="00DD1927">
        <w:t>The relation</w:t>
      </w:r>
      <w:r w:rsidR="00383ECC">
        <w:t>ship</w:t>
      </w:r>
      <w:r w:rsidRPr="00DD1927">
        <w:t xml:space="preserve"> between food allergies and risk factors revealed that strong associations existed. Males made up 59.5% of those with food allergies, and 50% had a positive family history. </w:t>
      </w:r>
      <w:r w:rsidRPr="007D0803">
        <w:t>Smoking was moderately associated, with 11.9% of the allergy group being smokers</w:t>
      </w:r>
      <w:r w:rsidR="00383ECC">
        <w:t xml:space="preserve"> </w:t>
      </w:r>
      <w:r w:rsidRPr="00DD1927">
        <w:rPr>
          <w:b/>
          <w:bCs/>
        </w:rPr>
        <w:t xml:space="preserve">Tab </w:t>
      </w:r>
      <w:r w:rsidR="00EB4D85">
        <w:rPr>
          <w:b/>
          <w:bCs/>
        </w:rPr>
        <w:t>[</w:t>
      </w:r>
      <w:r w:rsidR="00EB4D85" w:rsidRPr="00EB4D85">
        <w:rPr>
          <w:b/>
          <w:bCs/>
        </w:rPr>
        <w:t>2]</w:t>
      </w:r>
    </w:p>
    <w:p w14:paraId="5CB60B73" w14:textId="43F46411" w:rsidR="00BC2A2F" w:rsidRPr="00E31819" w:rsidRDefault="00BC2A2F" w:rsidP="00BC2A2F">
      <w:pPr>
        <w:pStyle w:val="Caption"/>
        <w:rPr>
          <w:b w:val="0"/>
          <w:bCs w:val="0"/>
        </w:rPr>
      </w:pPr>
      <w:r w:rsidRPr="00E31819">
        <w:rPr>
          <w:b w:val="0"/>
          <w:bCs w:val="0"/>
        </w:rPr>
        <w:t>Tab</w:t>
      </w:r>
      <w:r w:rsidRPr="00E31819">
        <w:rPr>
          <w:b w:val="0"/>
          <w:bCs w:val="0"/>
        </w:rPr>
        <w:fldChar w:fldCharType="begin"/>
      </w:r>
      <w:r w:rsidRPr="00E31819">
        <w:rPr>
          <w:b w:val="0"/>
          <w:bCs w:val="0"/>
        </w:rPr>
        <w:instrText xml:space="preserve"> SEQ Table \* ARABIC </w:instrText>
      </w:r>
      <w:r w:rsidRPr="00E31819">
        <w:rPr>
          <w:b w:val="0"/>
          <w:bCs w:val="0"/>
        </w:rPr>
        <w:fldChar w:fldCharType="separate"/>
      </w:r>
      <w:r w:rsidR="009D6283">
        <w:rPr>
          <w:b w:val="0"/>
          <w:bCs w:val="0"/>
          <w:noProof/>
        </w:rPr>
        <w:t>2</w:t>
      </w:r>
      <w:r w:rsidRPr="00E31819">
        <w:rPr>
          <w:b w:val="0"/>
          <w:bCs w:val="0"/>
        </w:rPr>
        <w:fldChar w:fldCharType="end"/>
      </w:r>
      <w:r w:rsidRPr="00E31819">
        <w:rPr>
          <w:b w:val="0"/>
          <w:bCs w:val="0"/>
        </w:rPr>
        <w:t xml:space="preserve">. Association between Food allergy and risk factors. </w:t>
      </w:r>
    </w:p>
    <w:tbl>
      <w:tblPr>
        <w:tblW w:w="8752" w:type="dxa"/>
        <w:tblLook w:val="04A0" w:firstRow="1" w:lastRow="0" w:firstColumn="1" w:lastColumn="0" w:noHBand="0" w:noVBand="1"/>
        <w:tblCaption w:val="Table [2]: Association between Food allergy and risk factors "/>
      </w:tblPr>
      <w:tblGrid>
        <w:gridCol w:w="1525"/>
        <w:gridCol w:w="925"/>
        <w:gridCol w:w="586"/>
        <w:gridCol w:w="1018"/>
        <w:gridCol w:w="833"/>
        <w:gridCol w:w="895"/>
        <w:gridCol w:w="1080"/>
        <w:gridCol w:w="1260"/>
        <w:gridCol w:w="630"/>
      </w:tblGrid>
      <w:tr w:rsidR="0048653D" w:rsidRPr="0048653D" w14:paraId="58D818C2" w14:textId="77777777" w:rsidTr="00BC2A2F">
        <w:trPr>
          <w:trHeight w:val="288"/>
        </w:trPr>
        <w:tc>
          <w:tcPr>
            <w:tcW w:w="1525" w:type="dxa"/>
            <w:tcBorders>
              <w:top w:val="single" w:sz="4" w:space="0" w:color="auto"/>
            </w:tcBorders>
            <w:noWrap/>
            <w:vAlign w:val="bottom"/>
            <w:hideMark/>
          </w:tcPr>
          <w:p w14:paraId="6DE1DB5B" w14:textId="77777777" w:rsidR="0048653D" w:rsidRPr="0048653D" w:rsidRDefault="0048653D" w:rsidP="0048653D">
            <w:pPr>
              <w:bidi w:val="0"/>
              <w:rPr>
                <w:color w:val="000000"/>
                <w:sz w:val="22"/>
                <w:szCs w:val="22"/>
              </w:rPr>
            </w:pPr>
            <w:r w:rsidRPr="0048653D">
              <w:rPr>
                <w:color w:val="000000"/>
                <w:sz w:val="22"/>
                <w:szCs w:val="22"/>
              </w:rPr>
              <w:t> </w:t>
            </w:r>
          </w:p>
        </w:tc>
        <w:tc>
          <w:tcPr>
            <w:tcW w:w="925" w:type="dxa"/>
            <w:tcBorders>
              <w:top w:val="single" w:sz="4" w:space="0" w:color="auto"/>
            </w:tcBorders>
            <w:noWrap/>
            <w:vAlign w:val="bottom"/>
            <w:hideMark/>
          </w:tcPr>
          <w:p w14:paraId="0CA9229B" w14:textId="77777777" w:rsidR="0048653D" w:rsidRPr="0048653D" w:rsidRDefault="0048653D" w:rsidP="0048653D">
            <w:pPr>
              <w:bidi w:val="0"/>
              <w:rPr>
                <w:color w:val="000000"/>
                <w:sz w:val="22"/>
                <w:szCs w:val="22"/>
              </w:rPr>
            </w:pPr>
            <w:r w:rsidRPr="0048653D">
              <w:rPr>
                <w:color w:val="000000"/>
                <w:sz w:val="22"/>
                <w:szCs w:val="22"/>
              </w:rPr>
              <w:t> </w:t>
            </w:r>
          </w:p>
        </w:tc>
        <w:tc>
          <w:tcPr>
            <w:tcW w:w="1604" w:type="dxa"/>
            <w:gridSpan w:val="2"/>
            <w:tcBorders>
              <w:top w:val="single" w:sz="4" w:space="0" w:color="auto"/>
            </w:tcBorders>
            <w:noWrap/>
            <w:vAlign w:val="bottom"/>
            <w:hideMark/>
          </w:tcPr>
          <w:p w14:paraId="4FA14131" w14:textId="77777777" w:rsidR="0048653D" w:rsidRPr="0048653D" w:rsidRDefault="0048653D" w:rsidP="0048653D">
            <w:pPr>
              <w:bidi w:val="0"/>
              <w:jc w:val="center"/>
              <w:rPr>
                <w:color w:val="000000"/>
                <w:sz w:val="22"/>
                <w:szCs w:val="22"/>
              </w:rPr>
            </w:pPr>
            <w:r w:rsidRPr="0048653D">
              <w:rPr>
                <w:color w:val="000000"/>
                <w:sz w:val="22"/>
                <w:szCs w:val="22"/>
              </w:rPr>
              <w:t>Food allergy</w:t>
            </w:r>
          </w:p>
        </w:tc>
        <w:tc>
          <w:tcPr>
            <w:tcW w:w="1728" w:type="dxa"/>
            <w:gridSpan w:val="2"/>
            <w:tcBorders>
              <w:top w:val="single" w:sz="4" w:space="0" w:color="auto"/>
            </w:tcBorders>
            <w:noWrap/>
            <w:vAlign w:val="bottom"/>
            <w:hideMark/>
          </w:tcPr>
          <w:p w14:paraId="784EC712" w14:textId="77777777" w:rsidR="0048653D" w:rsidRPr="0048653D" w:rsidRDefault="0048653D" w:rsidP="0048653D">
            <w:pPr>
              <w:bidi w:val="0"/>
              <w:jc w:val="center"/>
              <w:rPr>
                <w:color w:val="000000"/>
                <w:sz w:val="22"/>
                <w:szCs w:val="22"/>
              </w:rPr>
            </w:pPr>
            <w:r w:rsidRPr="0048653D">
              <w:rPr>
                <w:color w:val="000000"/>
                <w:sz w:val="22"/>
                <w:szCs w:val="22"/>
              </w:rPr>
              <w:t>No food allergy</w:t>
            </w:r>
          </w:p>
        </w:tc>
        <w:tc>
          <w:tcPr>
            <w:tcW w:w="2970" w:type="dxa"/>
            <w:gridSpan w:val="3"/>
            <w:tcBorders>
              <w:top w:val="single" w:sz="4" w:space="0" w:color="auto"/>
            </w:tcBorders>
            <w:noWrap/>
            <w:vAlign w:val="bottom"/>
            <w:hideMark/>
          </w:tcPr>
          <w:p w14:paraId="0137E851" w14:textId="77777777" w:rsidR="0048653D" w:rsidRPr="0048653D" w:rsidRDefault="0048653D" w:rsidP="0048653D">
            <w:pPr>
              <w:bidi w:val="0"/>
              <w:jc w:val="center"/>
              <w:rPr>
                <w:color w:val="000000"/>
                <w:sz w:val="22"/>
                <w:szCs w:val="22"/>
              </w:rPr>
            </w:pPr>
            <w:r w:rsidRPr="0048653D">
              <w:rPr>
                <w:color w:val="000000"/>
                <w:sz w:val="22"/>
                <w:szCs w:val="22"/>
              </w:rPr>
              <w:t>Test of association</w:t>
            </w:r>
          </w:p>
        </w:tc>
      </w:tr>
      <w:tr w:rsidR="0048653D" w:rsidRPr="0048653D" w14:paraId="32226DB9" w14:textId="77777777" w:rsidTr="00BC2A2F">
        <w:trPr>
          <w:trHeight w:val="288"/>
        </w:trPr>
        <w:tc>
          <w:tcPr>
            <w:tcW w:w="1525" w:type="dxa"/>
            <w:tcBorders>
              <w:bottom w:val="single" w:sz="4" w:space="0" w:color="auto"/>
            </w:tcBorders>
            <w:noWrap/>
            <w:vAlign w:val="bottom"/>
            <w:hideMark/>
          </w:tcPr>
          <w:p w14:paraId="753AA031" w14:textId="77777777" w:rsidR="0048653D" w:rsidRPr="0048653D" w:rsidRDefault="0048653D" w:rsidP="0048653D">
            <w:pPr>
              <w:bidi w:val="0"/>
              <w:rPr>
                <w:color w:val="000000"/>
                <w:sz w:val="22"/>
                <w:szCs w:val="22"/>
              </w:rPr>
            </w:pPr>
            <w:r w:rsidRPr="0048653D">
              <w:rPr>
                <w:color w:val="000000"/>
                <w:sz w:val="22"/>
                <w:szCs w:val="22"/>
              </w:rPr>
              <w:t> </w:t>
            </w:r>
          </w:p>
        </w:tc>
        <w:tc>
          <w:tcPr>
            <w:tcW w:w="925" w:type="dxa"/>
            <w:tcBorders>
              <w:bottom w:val="single" w:sz="4" w:space="0" w:color="auto"/>
            </w:tcBorders>
            <w:noWrap/>
            <w:vAlign w:val="bottom"/>
            <w:hideMark/>
          </w:tcPr>
          <w:p w14:paraId="65207BAC" w14:textId="77777777" w:rsidR="0048653D" w:rsidRPr="0048653D" w:rsidRDefault="0048653D" w:rsidP="0048653D">
            <w:pPr>
              <w:bidi w:val="0"/>
              <w:rPr>
                <w:color w:val="000000"/>
                <w:sz w:val="22"/>
                <w:szCs w:val="22"/>
              </w:rPr>
            </w:pPr>
            <w:r w:rsidRPr="0048653D">
              <w:rPr>
                <w:color w:val="000000"/>
                <w:sz w:val="22"/>
                <w:szCs w:val="22"/>
              </w:rPr>
              <w:t> </w:t>
            </w:r>
          </w:p>
        </w:tc>
        <w:tc>
          <w:tcPr>
            <w:tcW w:w="586" w:type="dxa"/>
            <w:tcBorders>
              <w:bottom w:val="single" w:sz="4" w:space="0" w:color="auto"/>
            </w:tcBorders>
            <w:noWrap/>
            <w:vAlign w:val="bottom"/>
            <w:hideMark/>
          </w:tcPr>
          <w:p w14:paraId="2A3569B3" w14:textId="77777777" w:rsidR="0048653D" w:rsidRPr="0048653D" w:rsidRDefault="0048653D" w:rsidP="0048653D">
            <w:pPr>
              <w:bidi w:val="0"/>
              <w:jc w:val="center"/>
              <w:rPr>
                <w:color w:val="000000"/>
                <w:sz w:val="22"/>
                <w:szCs w:val="22"/>
              </w:rPr>
            </w:pPr>
            <w:r w:rsidRPr="0048653D">
              <w:rPr>
                <w:color w:val="000000"/>
                <w:sz w:val="22"/>
                <w:szCs w:val="22"/>
              </w:rPr>
              <w:t>42</w:t>
            </w:r>
          </w:p>
        </w:tc>
        <w:tc>
          <w:tcPr>
            <w:tcW w:w="1018" w:type="dxa"/>
            <w:tcBorders>
              <w:bottom w:val="single" w:sz="4" w:space="0" w:color="auto"/>
            </w:tcBorders>
            <w:noWrap/>
            <w:vAlign w:val="bottom"/>
            <w:hideMark/>
          </w:tcPr>
          <w:p w14:paraId="5E24C74D" w14:textId="77777777" w:rsidR="0048653D" w:rsidRPr="0048653D" w:rsidRDefault="0048653D" w:rsidP="0048653D">
            <w:pPr>
              <w:bidi w:val="0"/>
              <w:rPr>
                <w:color w:val="000000"/>
                <w:sz w:val="22"/>
                <w:szCs w:val="22"/>
              </w:rPr>
            </w:pPr>
            <w:r w:rsidRPr="0048653D">
              <w:rPr>
                <w:color w:val="000000"/>
                <w:sz w:val="22"/>
                <w:szCs w:val="22"/>
              </w:rPr>
              <w:t> </w:t>
            </w:r>
          </w:p>
        </w:tc>
        <w:tc>
          <w:tcPr>
            <w:tcW w:w="833" w:type="dxa"/>
            <w:tcBorders>
              <w:bottom w:val="single" w:sz="4" w:space="0" w:color="auto"/>
            </w:tcBorders>
            <w:noWrap/>
            <w:vAlign w:val="bottom"/>
            <w:hideMark/>
          </w:tcPr>
          <w:p w14:paraId="43FEB58E" w14:textId="77777777" w:rsidR="0048653D" w:rsidRPr="0048653D" w:rsidRDefault="0048653D" w:rsidP="0048653D">
            <w:pPr>
              <w:bidi w:val="0"/>
              <w:jc w:val="center"/>
              <w:rPr>
                <w:color w:val="000000"/>
                <w:sz w:val="22"/>
                <w:szCs w:val="22"/>
              </w:rPr>
            </w:pPr>
            <w:r w:rsidRPr="0048653D">
              <w:rPr>
                <w:color w:val="000000"/>
                <w:sz w:val="22"/>
                <w:szCs w:val="22"/>
              </w:rPr>
              <w:t>42</w:t>
            </w:r>
          </w:p>
        </w:tc>
        <w:tc>
          <w:tcPr>
            <w:tcW w:w="895" w:type="dxa"/>
            <w:tcBorders>
              <w:bottom w:val="single" w:sz="4" w:space="0" w:color="auto"/>
            </w:tcBorders>
            <w:noWrap/>
            <w:vAlign w:val="bottom"/>
            <w:hideMark/>
          </w:tcPr>
          <w:p w14:paraId="1D87E799" w14:textId="77777777" w:rsidR="0048653D" w:rsidRPr="0048653D" w:rsidRDefault="0048653D" w:rsidP="0048653D">
            <w:pPr>
              <w:bidi w:val="0"/>
              <w:rPr>
                <w:color w:val="000000"/>
                <w:sz w:val="22"/>
                <w:szCs w:val="22"/>
              </w:rPr>
            </w:pPr>
            <w:r w:rsidRPr="0048653D">
              <w:rPr>
                <w:color w:val="000000"/>
                <w:sz w:val="22"/>
                <w:szCs w:val="22"/>
              </w:rPr>
              <w:t> </w:t>
            </w:r>
          </w:p>
        </w:tc>
        <w:tc>
          <w:tcPr>
            <w:tcW w:w="1080" w:type="dxa"/>
            <w:tcBorders>
              <w:bottom w:val="single" w:sz="4" w:space="0" w:color="auto"/>
            </w:tcBorders>
            <w:noWrap/>
            <w:vAlign w:val="bottom"/>
            <w:hideMark/>
          </w:tcPr>
          <w:p w14:paraId="01CC985A" w14:textId="77777777" w:rsidR="0048653D" w:rsidRPr="0048653D" w:rsidRDefault="0048653D" w:rsidP="0048653D">
            <w:pPr>
              <w:bidi w:val="0"/>
              <w:rPr>
                <w:color w:val="000000"/>
                <w:sz w:val="22"/>
                <w:szCs w:val="22"/>
              </w:rPr>
            </w:pPr>
            <w:r w:rsidRPr="0048653D">
              <w:rPr>
                <w:color w:val="000000"/>
                <w:sz w:val="22"/>
                <w:szCs w:val="22"/>
              </w:rPr>
              <w:t>p-value</w:t>
            </w:r>
          </w:p>
        </w:tc>
        <w:tc>
          <w:tcPr>
            <w:tcW w:w="1890" w:type="dxa"/>
            <w:gridSpan w:val="2"/>
            <w:tcBorders>
              <w:bottom w:val="single" w:sz="4" w:space="0" w:color="auto"/>
            </w:tcBorders>
            <w:noWrap/>
            <w:vAlign w:val="bottom"/>
            <w:hideMark/>
          </w:tcPr>
          <w:p w14:paraId="20FD57EA" w14:textId="77777777" w:rsidR="0048653D" w:rsidRPr="0048653D" w:rsidRDefault="0048653D" w:rsidP="0048653D">
            <w:pPr>
              <w:bidi w:val="0"/>
              <w:jc w:val="center"/>
              <w:rPr>
                <w:color w:val="000000"/>
                <w:sz w:val="22"/>
                <w:szCs w:val="22"/>
              </w:rPr>
            </w:pPr>
            <w:r w:rsidRPr="0048653D">
              <w:rPr>
                <w:color w:val="000000"/>
                <w:sz w:val="22"/>
                <w:szCs w:val="22"/>
              </w:rPr>
              <w:t>Strength of association</w:t>
            </w:r>
          </w:p>
        </w:tc>
      </w:tr>
      <w:tr w:rsidR="0048653D" w:rsidRPr="0048653D" w14:paraId="1188770A" w14:textId="77777777" w:rsidTr="00BC2A2F">
        <w:trPr>
          <w:trHeight w:val="288"/>
        </w:trPr>
        <w:tc>
          <w:tcPr>
            <w:tcW w:w="1525" w:type="dxa"/>
            <w:vMerge w:val="restart"/>
            <w:tcBorders>
              <w:top w:val="single" w:sz="4" w:space="0" w:color="auto"/>
            </w:tcBorders>
            <w:noWrap/>
            <w:vAlign w:val="bottom"/>
            <w:hideMark/>
          </w:tcPr>
          <w:p w14:paraId="6DD82826" w14:textId="77777777" w:rsidR="0048653D" w:rsidRPr="0048653D" w:rsidRDefault="0048653D" w:rsidP="0048653D">
            <w:pPr>
              <w:bidi w:val="0"/>
              <w:rPr>
                <w:color w:val="000000"/>
                <w:sz w:val="22"/>
                <w:szCs w:val="22"/>
              </w:rPr>
            </w:pPr>
            <w:r w:rsidRPr="0048653D">
              <w:rPr>
                <w:color w:val="000000"/>
                <w:sz w:val="22"/>
                <w:szCs w:val="22"/>
              </w:rPr>
              <w:t>Sex</w:t>
            </w:r>
          </w:p>
          <w:p w14:paraId="188920C2" w14:textId="77777777" w:rsidR="0048653D" w:rsidRPr="0048653D" w:rsidRDefault="0048653D" w:rsidP="0048653D">
            <w:pPr>
              <w:bidi w:val="0"/>
              <w:rPr>
                <w:color w:val="000000"/>
                <w:sz w:val="22"/>
                <w:szCs w:val="22"/>
              </w:rPr>
            </w:pPr>
            <w:r w:rsidRPr="0048653D">
              <w:rPr>
                <w:color w:val="000000"/>
                <w:sz w:val="22"/>
                <w:szCs w:val="22"/>
              </w:rPr>
              <w:t> </w:t>
            </w:r>
          </w:p>
        </w:tc>
        <w:tc>
          <w:tcPr>
            <w:tcW w:w="925" w:type="dxa"/>
            <w:tcBorders>
              <w:top w:val="single" w:sz="4" w:space="0" w:color="auto"/>
            </w:tcBorders>
            <w:noWrap/>
            <w:vAlign w:val="bottom"/>
            <w:hideMark/>
          </w:tcPr>
          <w:p w14:paraId="5FBA7C21" w14:textId="77777777" w:rsidR="0048653D" w:rsidRPr="0048653D" w:rsidRDefault="0048653D" w:rsidP="0048653D">
            <w:pPr>
              <w:bidi w:val="0"/>
              <w:rPr>
                <w:color w:val="000000"/>
                <w:sz w:val="22"/>
                <w:szCs w:val="22"/>
              </w:rPr>
            </w:pPr>
            <w:r w:rsidRPr="0048653D">
              <w:rPr>
                <w:color w:val="000000"/>
                <w:sz w:val="22"/>
                <w:szCs w:val="22"/>
              </w:rPr>
              <w:t>Male</w:t>
            </w:r>
          </w:p>
        </w:tc>
        <w:tc>
          <w:tcPr>
            <w:tcW w:w="586" w:type="dxa"/>
            <w:tcBorders>
              <w:top w:val="single" w:sz="4" w:space="0" w:color="auto"/>
            </w:tcBorders>
            <w:noWrap/>
            <w:vAlign w:val="bottom"/>
            <w:hideMark/>
          </w:tcPr>
          <w:p w14:paraId="1038ED09" w14:textId="77777777" w:rsidR="0048653D" w:rsidRPr="0048653D" w:rsidRDefault="0048653D" w:rsidP="0048653D">
            <w:pPr>
              <w:bidi w:val="0"/>
              <w:jc w:val="center"/>
              <w:rPr>
                <w:color w:val="000000"/>
                <w:sz w:val="22"/>
                <w:szCs w:val="22"/>
              </w:rPr>
            </w:pPr>
            <w:r w:rsidRPr="0048653D">
              <w:rPr>
                <w:color w:val="000000"/>
                <w:sz w:val="22"/>
                <w:szCs w:val="22"/>
              </w:rPr>
              <w:t>25</w:t>
            </w:r>
          </w:p>
        </w:tc>
        <w:tc>
          <w:tcPr>
            <w:tcW w:w="1018" w:type="dxa"/>
            <w:tcBorders>
              <w:top w:val="single" w:sz="4" w:space="0" w:color="auto"/>
            </w:tcBorders>
            <w:noWrap/>
            <w:vAlign w:val="bottom"/>
            <w:hideMark/>
          </w:tcPr>
          <w:p w14:paraId="72EA2D16" w14:textId="77777777" w:rsidR="0048653D" w:rsidRPr="0048653D" w:rsidRDefault="0048653D" w:rsidP="0048653D">
            <w:pPr>
              <w:bidi w:val="0"/>
              <w:jc w:val="center"/>
              <w:rPr>
                <w:color w:val="000000"/>
                <w:sz w:val="22"/>
                <w:szCs w:val="22"/>
              </w:rPr>
            </w:pPr>
            <w:r w:rsidRPr="0048653D">
              <w:rPr>
                <w:color w:val="000000"/>
                <w:sz w:val="22"/>
                <w:szCs w:val="22"/>
              </w:rPr>
              <w:t>59.5%</w:t>
            </w:r>
          </w:p>
        </w:tc>
        <w:tc>
          <w:tcPr>
            <w:tcW w:w="833" w:type="dxa"/>
            <w:tcBorders>
              <w:top w:val="single" w:sz="4" w:space="0" w:color="auto"/>
            </w:tcBorders>
            <w:noWrap/>
            <w:vAlign w:val="bottom"/>
            <w:hideMark/>
          </w:tcPr>
          <w:p w14:paraId="1CD09563" w14:textId="77777777" w:rsidR="0048653D" w:rsidRPr="0048653D" w:rsidRDefault="0048653D" w:rsidP="0048653D">
            <w:pPr>
              <w:bidi w:val="0"/>
              <w:jc w:val="center"/>
              <w:rPr>
                <w:color w:val="000000"/>
                <w:sz w:val="22"/>
                <w:szCs w:val="22"/>
              </w:rPr>
            </w:pPr>
            <w:r w:rsidRPr="0048653D">
              <w:rPr>
                <w:color w:val="000000"/>
                <w:sz w:val="22"/>
                <w:szCs w:val="22"/>
              </w:rPr>
              <w:t>0</w:t>
            </w:r>
          </w:p>
        </w:tc>
        <w:tc>
          <w:tcPr>
            <w:tcW w:w="895" w:type="dxa"/>
            <w:tcBorders>
              <w:top w:val="single" w:sz="4" w:space="0" w:color="auto"/>
            </w:tcBorders>
            <w:noWrap/>
            <w:vAlign w:val="bottom"/>
            <w:hideMark/>
          </w:tcPr>
          <w:p w14:paraId="08FFBC21" w14:textId="77777777" w:rsidR="0048653D" w:rsidRPr="0048653D" w:rsidRDefault="0048653D" w:rsidP="0048653D">
            <w:pPr>
              <w:bidi w:val="0"/>
              <w:jc w:val="center"/>
              <w:rPr>
                <w:color w:val="000000"/>
                <w:sz w:val="22"/>
                <w:szCs w:val="22"/>
              </w:rPr>
            </w:pPr>
            <w:r w:rsidRPr="0048653D">
              <w:rPr>
                <w:color w:val="000000"/>
                <w:sz w:val="22"/>
                <w:szCs w:val="22"/>
              </w:rPr>
              <w:t>0.0%</w:t>
            </w:r>
          </w:p>
        </w:tc>
        <w:tc>
          <w:tcPr>
            <w:tcW w:w="1080" w:type="dxa"/>
            <w:tcBorders>
              <w:top w:val="single" w:sz="4" w:space="0" w:color="auto"/>
            </w:tcBorders>
            <w:noWrap/>
            <w:vAlign w:val="bottom"/>
            <w:hideMark/>
          </w:tcPr>
          <w:p w14:paraId="55E0E433" w14:textId="77777777" w:rsidR="0048653D" w:rsidRPr="0048653D" w:rsidRDefault="0048653D" w:rsidP="0048653D">
            <w:pPr>
              <w:bidi w:val="0"/>
              <w:rPr>
                <w:color w:val="000000"/>
                <w:sz w:val="22"/>
                <w:szCs w:val="22"/>
              </w:rPr>
            </w:pPr>
            <w:r w:rsidRPr="0048653D">
              <w:rPr>
                <w:color w:val="000000"/>
                <w:sz w:val="22"/>
                <w:szCs w:val="22"/>
              </w:rPr>
              <w:t>p &lt; 0.001</w:t>
            </w:r>
          </w:p>
        </w:tc>
        <w:tc>
          <w:tcPr>
            <w:tcW w:w="1260" w:type="dxa"/>
            <w:tcBorders>
              <w:top w:val="single" w:sz="4" w:space="0" w:color="auto"/>
            </w:tcBorders>
            <w:noWrap/>
            <w:vAlign w:val="bottom"/>
            <w:hideMark/>
          </w:tcPr>
          <w:p w14:paraId="2F9F6ACB" w14:textId="77777777" w:rsidR="0048653D" w:rsidRPr="0048653D" w:rsidRDefault="0048653D" w:rsidP="0048653D">
            <w:pPr>
              <w:bidi w:val="0"/>
              <w:rPr>
                <w:color w:val="000000"/>
                <w:sz w:val="22"/>
                <w:szCs w:val="22"/>
              </w:rPr>
            </w:pPr>
            <w:r w:rsidRPr="0048653D">
              <w:rPr>
                <w:color w:val="000000"/>
                <w:sz w:val="22"/>
                <w:szCs w:val="22"/>
              </w:rPr>
              <w:t>Cramer's V</w:t>
            </w:r>
          </w:p>
        </w:tc>
        <w:tc>
          <w:tcPr>
            <w:tcW w:w="630" w:type="dxa"/>
            <w:tcBorders>
              <w:top w:val="single" w:sz="4" w:space="0" w:color="auto"/>
            </w:tcBorders>
            <w:noWrap/>
            <w:vAlign w:val="bottom"/>
            <w:hideMark/>
          </w:tcPr>
          <w:p w14:paraId="11D0C7AA" w14:textId="77777777" w:rsidR="0048653D" w:rsidRPr="0048653D" w:rsidRDefault="0048653D" w:rsidP="0048653D">
            <w:pPr>
              <w:bidi w:val="0"/>
              <w:jc w:val="right"/>
              <w:rPr>
                <w:color w:val="000000"/>
                <w:sz w:val="22"/>
                <w:szCs w:val="22"/>
              </w:rPr>
            </w:pPr>
            <w:r w:rsidRPr="0048653D">
              <w:rPr>
                <w:color w:val="000000"/>
                <w:sz w:val="22"/>
                <w:szCs w:val="22"/>
              </w:rPr>
              <w:t>0.65</w:t>
            </w:r>
          </w:p>
        </w:tc>
      </w:tr>
      <w:tr w:rsidR="0048653D" w:rsidRPr="0048653D" w14:paraId="27422A76" w14:textId="77777777" w:rsidTr="00BC2A2F">
        <w:trPr>
          <w:trHeight w:val="288"/>
        </w:trPr>
        <w:tc>
          <w:tcPr>
            <w:tcW w:w="1525" w:type="dxa"/>
            <w:vMerge/>
            <w:noWrap/>
            <w:vAlign w:val="bottom"/>
            <w:hideMark/>
          </w:tcPr>
          <w:p w14:paraId="3B4B698A" w14:textId="77777777" w:rsidR="0048653D" w:rsidRPr="0048653D" w:rsidRDefault="0048653D" w:rsidP="0048653D">
            <w:pPr>
              <w:bidi w:val="0"/>
              <w:rPr>
                <w:color w:val="000000"/>
                <w:sz w:val="22"/>
                <w:szCs w:val="22"/>
              </w:rPr>
            </w:pPr>
          </w:p>
        </w:tc>
        <w:tc>
          <w:tcPr>
            <w:tcW w:w="925" w:type="dxa"/>
            <w:noWrap/>
            <w:vAlign w:val="bottom"/>
            <w:hideMark/>
          </w:tcPr>
          <w:p w14:paraId="571CA1BB" w14:textId="77777777" w:rsidR="0048653D" w:rsidRPr="0048653D" w:rsidRDefault="0048653D" w:rsidP="0048653D">
            <w:pPr>
              <w:bidi w:val="0"/>
              <w:rPr>
                <w:color w:val="000000"/>
                <w:sz w:val="22"/>
                <w:szCs w:val="22"/>
              </w:rPr>
            </w:pPr>
            <w:r w:rsidRPr="0048653D">
              <w:rPr>
                <w:color w:val="000000"/>
                <w:sz w:val="22"/>
                <w:szCs w:val="22"/>
              </w:rPr>
              <w:t>Female</w:t>
            </w:r>
          </w:p>
        </w:tc>
        <w:tc>
          <w:tcPr>
            <w:tcW w:w="586" w:type="dxa"/>
            <w:noWrap/>
            <w:vAlign w:val="bottom"/>
            <w:hideMark/>
          </w:tcPr>
          <w:p w14:paraId="00757188" w14:textId="77777777" w:rsidR="0048653D" w:rsidRPr="0048653D" w:rsidRDefault="0048653D" w:rsidP="0048653D">
            <w:pPr>
              <w:bidi w:val="0"/>
              <w:jc w:val="center"/>
              <w:rPr>
                <w:color w:val="000000"/>
                <w:sz w:val="22"/>
                <w:szCs w:val="22"/>
              </w:rPr>
            </w:pPr>
            <w:r w:rsidRPr="0048653D">
              <w:rPr>
                <w:color w:val="000000"/>
                <w:sz w:val="22"/>
                <w:szCs w:val="22"/>
              </w:rPr>
              <w:t>17</w:t>
            </w:r>
          </w:p>
        </w:tc>
        <w:tc>
          <w:tcPr>
            <w:tcW w:w="1018" w:type="dxa"/>
            <w:noWrap/>
            <w:vAlign w:val="bottom"/>
            <w:hideMark/>
          </w:tcPr>
          <w:p w14:paraId="349125C7" w14:textId="77777777" w:rsidR="0048653D" w:rsidRPr="0048653D" w:rsidRDefault="0048653D" w:rsidP="0048653D">
            <w:pPr>
              <w:bidi w:val="0"/>
              <w:jc w:val="center"/>
              <w:rPr>
                <w:color w:val="000000"/>
                <w:sz w:val="22"/>
                <w:szCs w:val="22"/>
              </w:rPr>
            </w:pPr>
            <w:r w:rsidRPr="0048653D">
              <w:rPr>
                <w:color w:val="000000"/>
                <w:sz w:val="22"/>
                <w:szCs w:val="22"/>
              </w:rPr>
              <w:t>40.5%</w:t>
            </w:r>
          </w:p>
        </w:tc>
        <w:tc>
          <w:tcPr>
            <w:tcW w:w="833" w:type="dxa"/>
            <w:noWrap/>
            <w:vAlign w:val="bottom"/>
            <w:hideMark/>
          </w:tcPr>
          <w:p w14:paraId="3F63260D" w14:textId="77777777" w:rsidR="0048653D" w:rsidRPr="0048653D" w:rsidRDefault="0048653D" w:rsidP="0048653D">
            <w:pPr>
              <w:bidi w:val="0"/>
              <w:jc w:val="center"/>
              <w:rPr>
                <w:color w:val="000000"/>
                <w:sz w:val="22"/>
                <w:szCs w:val="22"/>
              </w:rPr>
            </w:pPr>
            <w:r w:rsidRPr="0048653D">
              <w:rPr>
                <w:color w:val="000000"/>
                <w:sz w:val="22"/>
                <w:szCs w:val="22"/>
              </w:rPr>
              <w:t>42</w:t>
            </w:r>
          </w:p>
        </w:tc>
        <w:tc>
          <w:tcPr>
            <w:tcW w:w="895" w:type="dxa"/>
            <w:noWrap/>
            <w:vAlign w:val="bottom"/>
            <w:hideMark/>
          </w:tcPr>
          <w:p w14:paraId="59B78F22" w14:textId="77777777" w:rsidR="0048653D" w:rsidRPr="0048653D" w:rsidRDefault="0048653D" w:rsidP="0048653D">
            <w:pPr>
              <w:bidi w:val="0"/>
              <w:jc w:val="center"/>
              <w:rPr>
                <w:color w:val="000000"/>
                <w:sz w:val="22"/>
                <w:szCs w:val="22"/>
              </w:rPr>
            </w:pPr>
            <w:r w:rsidRPr="0048653D">
              <w:rPr>
                <w:color w:val="000000"/>
                <w:sz w:val="22"/>
                <w:szCs w:val="22"/>
              </w:rPr>
              <w:t>100.0%</w:t>
            </w:r>
          </w:p>
        </w:tc>
        <w:tc>
          <w:tcPr>
            <w:tcW w:w="1080" w:type="dxa"/>
            <w:noWrap/>
            <w:vAlign w:val="bottom"/>
            <w:hideMark/>
          </w:tcPr>
          <w:p w14:paraId="71FAFBBE" w14:textId="77777777" w:rsidR="0048653D" w:rsidRPr="0048653D" w:rsidRDefault="0048653D" w:rsidP="0048653D">
            <w:pPr>
              <w:bidi w:val="0"/>
              <w:rPr>
                <w:color w:val="000000"/>
                <w:sz w:val="22"/>
                <w:szCs w:val="22"/>
              </w:rPr>
            </w:pPr>
            <w:r w:rsidRPr="0048653D">
              <w:rPr>
                <w:color w:val="000000"/>
                <w:sz w:val="22"/>
                <w:szCs w:val="22"/>
              </w:rPr>
              <w:t> </w:t>
            </w:r>
          </w:p>
        </w:tc>
        <w:tc>
          <w:tcPr>
            <w:tcW w:w="1260" w:type="dxa"/>
            <w:noWrap/>
            <w:vAlign w:val="bottom"/>
            <w:hideMark/>
          </w:tcPr>
          <w:p w14:paraId="4498938C" w14:textId="77777777" w:rsidR="0048653D" w:rsidRPr="0048653D" w:rsidRDefault="0048653D" w:rsidP="0048653D">
            <w:pPr>
              <w:bidi w:val="0"/>
              <w:rPr>
                <w:color w:val="000000"/>
                <w:sz w:val="22"/>
                <w:szCs w:val="22"/>
              </w:rPr>
            </w:pPr>
            <w:r w:rsidRPr="0048653D">
              <w:rPr>
                <w:color w:val="000000"/>
                <w:sz w:val="22"/>
                <w:szCs w:val="22"/>
              </w:rPr>
              <w:t> </w:t>
            </w:r>
          </w:p>
        </w:tc>
        <w:tc>
          <w:tcPr>
            <w:tcW w:w="630" w:type="dxa"/>
            <w:noWrap/>
            <w:vAlign w:val="bottom"/>
            <w:hideMark/>
          </w:tcPr>
          <w:p w14:paraId="2C612E83" w14:textId="77777777" w:rsidR="0048653D" w:rsidRPr="0048653D" w:rsidRDefault="0048653D" w:rsidP="0048653D">
            <w:pPr>
              <w:bidi w:val="0"/>
              <w:rPr>
                <w:color w:val="000000"/>
                <w:sz w:val="22"/>
                <w:szCs w:val="22"/>
              </w:rPr>
            </w:pPr>
            <w:r w:rsidRPr="0048653D">
              <w:rPr>
                <w:color w:val="000000"/>
                <w:sz w:val="22"/>
                <w:szCs w:val="22"/>
              </w:rPr>
              <w:t> </w:t>
            </w:r>
          </w:p>
        </w:tc>
      </w:tr>
      <w:tr w:rsidR="0048653D" w:rsidRPr="0048653D" w14:paraId="0472658A" w14:textId="77777777" w:rsidTr="00BC2A2F">
        <w:trPr>
          <w:trHeight w:val="288"/>
        </w:trPr>
        <w:tc>
          <w:tcPr>
            <w:tcW w:w="1525" w:type="dxa"/>
            <w:noWrap/>
            <w:vAlign w:val="bottom"/>
            <w:hideMark/>
          </w:tcPr>
          <w:p w14:paraId="3063C6A9" w14:textId="77777777" w:rsidR="0048653D" w:rsidRPr="0048653D" w:rsidRDefault="0048653D" w:rsidP="0048653D">
            <w:pPr>
              <w:bidi w:val="0"/>
              <w:rPr>
                <w:color w:val="000000"/>
                <w:sz w:val="22"/>
                <w:szCs w:val="22"/>
              </w:rPr>
            </w:pPr>
            <w:r w:rsidRPr="0048653D">
              <w:rPr>
                <w:color w:val="000000"/>
                <w:sz w:val="22"/>
                <w:szCs w:val="22"/>
              </w:rPr>
              <w:t>Family history</w:t>
            </w:r>
          </w:p>
        </w:tc>
        <w:tc>
          <w:tcPr>
            <w:tcW w:w="925" w:type="dxa"/>
            <w:noWrap/>
            <w:vAlign w:val="bottom"/>
            <w:hideMark/>
          </w:tcPr>
          <w:p w14:paraId="7EC91A68" w14:textId="77777777" w:rsidR="0048653D" w:rsidRPr="0048653D" w:rsidRDefault="0048653D" w:rsidP="0048653D">
            <w:pPr>
              <w:bidi w:val="0"/>
              <w:rPr>
                <w:color w:val="000000"/>
                <w:sz w:val="22"/>
                <w:szCs w:val="22"/>
              </w:rPr>
            </w:pPr>
            <w:r w:rsidRPr="0048653D">
              <w:rPr>
                <w:color w:val="000000"/>
                <w:sz w:val="22"/>
                <w:szCs w:val="22"/>
              </w:rPr>
              <w:t>Positive</w:t>
            </w:r>
          </w:p>
        </w:tc>
        <w:tc>
          <w:tcPr>
            <w:tcW w:w="586" w:type="dxa"/>
            <w:noWrap/>
            <w:vAlign w:val="bottom"/>
            <w:hideMark/>
          </w:tcPr>
          <w:p w14:paraId="0406FFE5" w14:textId="77777777" w:rsidR="0048653D" w:rsidRPr="0048653D" w:rsidRDefault="0048653D" w:rsidP="0048653D">
            <w:pPr>
              <w:bidi w:val="0"/>
              <w:jc w:val="center"/>
              <w:rPr>
                <w:color w:val="000000"/>
                <w:sz w:val="22"/>
                <w:szCs w:val="22"/>
              </w:rPr>
            </w:pPr>
            <w:r w:rsidRPr="0048653D">
              <w:rPr>
                <w:color w:val="000000"/>
                <w:sz w:val="22"/>
                <w:szCs w:val="22"/>
              </w:rPr>
              <w:t>21</w:t>
            </w:r>
          </w:p>
        </w:tc>
        <w:tc>
          <w:tcPr>
            <w:tcW w:w="1018" w:type="dxa"/>
            <w:noWrap/>
            <w:vAlign w:val="bottom"/>
            <w:hideMark/>
          </w:tcPr>
          <w:p w14:paraId="1B93AE43" w14:textId="77777777" w:rsidR="0048653D" w:rsidRPr="0048653D" w:rsidRDefault="0048653D" w:rsidP="0048653D">
            <w:pPr>
              <w:bidi w:val="0"/>
              <w:jc w:val="center"/>
              <w:rPr>
                <w:color w:val="000000"/>
                <w:sz w:val="22"/>
                <w:szCs w:val="22"/>
              </w:rPr>
            </w:pPr>
            <w:r w:rsidRPr="0048653D">
              <w:rPr>
                <w:color w:val="000000"/>
                <w:sz w:val="22"/>
                <w:szCs w:val="22"/>
              </w:rPr>
              <w:t>50.0%</w:t>
            </w:r>
          </w:p>
        </w:tc>
        <w:tc>
          <w:tcPr>
            <w:tcW w:w="833" w:type="dxa"/>
            <w:noWrap/>
            <w:vAlign w:val="bottom"/>
            <w:hideMark/>
          </w:tcPr>
          <w:p w14:paraId="0B91116A" w14:textId="77777777" w:rsidR="0048653D" w:rsidRPr="0048653D" w:rsidRDefault="0048653D" w:rsidP="0048653D">
            <w:pPr>
              <w:bidi w:val="0"/>
              <w:jc w:val="center"/>
              <w:rPr>
                <w:color w:val="000000"/>
                <w:sz w:val="22"/>
                <w:szCs w:val="22"/>
              </w:rPr>
            </w:pPr>
            <w:r w:rsidRPr="0048653D">
              <w:rPr>
                <w:color w:val="000000"/>
                <w:sz w:val="22"/>
                <w:szCs w:val="22"/>
              </w:rPr>
              <w:t>0</w:t>
            </w:r>
          </w:p>
        </w:tc>
        <w:tc>
          <w:tcPr>
            <w:tcW w:w="895" w:type="dxa"/>
            <w:noWrap/>
            <w:vAlign w:val="bottom"/>
            <w:hideMark/>
          </w:tcPr>
          <w:p w14:paraId="5755D783" w14:textId="77777777" w:rsidR="0048653D" w:rsidRPr="0048653D" w:rsidRDefault="0048653D" w:rsidP="0048653D">
            <w:pPr>
              <w:bidi w:val="0"/>
              <w:jc w:val="center"/>
              <w:rPr>
                <w:color w:val="000000"/>
                <w:sz w:val="22"/>
                <w:szCs w:val="22"/>
              </w:rPr>
            </w:pPr>
            <w:r w:rsidRPr="0048653D">
              <w:rPr>
                <w:color w:val="000000"/>
                <w:sz w:val="22"/>
                <w:szCs w:val="22"/>
              </w:rPr>
              <w:t>0.0%</w:t>
            </w:r>
          </w:p>
        </w:tc>
        <w:tc>
          <w:tcPr>
            <w:tcW w:w="1080" w:type="dxa"/>
            <w:noWrap/>
            <w:vAlign w:val="bottom"/>
            <w:hideMark/>
          </w:tcPr>
          <w:p w14:paraId="1339ABC9" w14:textId="77777777" w:rsidR="0048653D" w:rsidRPr="0048653D" w:rsidRDefault="0048653D" w:rsidP="0048653D">
            <w:pPr>
              <w:bidi w:val="0"/>
              <w:rPr>
                <w:color w:val="000000"/>
                <w:sz w:val="22"/>
                <w:szCs w:val="22"/>
              </w:rPr>
            </w:pPr>
            <w:r w:rsidRPr="0048653D">
              <w:rPr>
                <w:color w:val="000000"/>
                <w:sz w:val="22"/>
                <w:szCs w:val="22"/>
              </w:rPr>
              <w:t>p &lt; 0.001</w:t>
            </w:r>
          </w:p>
        </w:tc>
        <w:tc>
          <w:tcPr>
            <w:tcW w:w="1260" w:type="dxa"/>
            <w:noWrap/>
            <w:vAlign w:val="bottom"/>
            <w:hideMark/>
          </w:tcPr>
          <w:p w14:paraId="268006C7" w14:textId="77777777" w:rsidR="0048653D" w:rsidRPr="0048653D" w:rsidRDefault="0048653D" w:rsidP="0048653D">
            <w:pPr>
              <w:bidi w:val="0"/>
              <w:rPr>
                <w:color w:val="000000"/>
                <w:sz w:val="22"/>
                <w:szCs w:val="22"/>
              </w:rPr>
            </w:pPr>
            <w:r w:rsidRPr="0048653D">
              <w:rPr>
                <w:color w:val="000000"/>
                <w:sz w:val="22"/>
                <w:szCs w:val="22"/>
              </w:rPr>
              <w:t>Cramer's V</w:t>
            </w:r>
          </w:p>
        </w:tc>
        <w:tc>
          <w:tcPr>
            <w:tcW w:w="630" w:type="dxa"/>
            <w:noWrap/>
            <w:vAlign w:val="bottom"/>
            <w:hideMark/>
          </w:tcPr>
          <w:p w14:paraId="1890C215" w14:textId="77777777" w:rsidR="0048653D" w:rsidRPr="0048653D" w:rsidRDefault="0048653D" w:rsidP="0048653D">
            <w:pPr>
              <w:bidi w:val="0"/>
              <w:jc w:val="right"/>
              <w:rPr>
                <w:color w:val="000000"/>
                <w:sz w:val="22"/>
                <w:szCs w:val="22"/>
              </w:rPr>
            </w:pPr>
            <w:r w:rsidRPr="0048653D">
              <w:rPr>
                <w:color w:val="000000"/>
                <w:sz w:val="22"/>
                <w:szCs w:val="22"/>
              </w:rPr>
              <w:t>0.58</w:t>
            </w:r>
          </w:p>
        </w:tc>
      </w:tr>
      <w:tr w:rsidR="0048653D" w:rsidRPr="0048653D" w14:paraId="615668AA" w14:textId="77777777" w:rsidTr="00BC2A2F">
        <w:trPr>
          <w:trHeight w:val="288"/>
        </w:trPr>
        <w:tc>
          <w:tcPr>
            <w:tcW w:w="1525" w:type="dxa"/>
            <w:tcBorders>
              <w:bottom w:val="single" w:sz="4" w:space="0" w:color="auto"/>
            </w:tcBorders>
            <w:noWrap/>
            <w:vAlign w:val="bottom"/>
            <w:hideMark/>
          </w:tcPr>
          <w:p w14:paraId="33AE24AB" w14:textId="77777777" w:rsidR="0048653D" w:rsidRPr="0048653D" w:rsidRDefault="0048653D" w:rsidP="0048653D">
            <w:pPr>
              <w:bidi w:val="0"/>
              <w:rPr>
                <w:color w:val="000000"/>
                <w:sz w:val="22"/>
                <w:szCs w:val="22"/>
              </w:rPr>
            </w:pPr>
            <w:r w:rsidRPr="0048653D">
              <w:rPr>
                <w:color w:val="000000"/>
                <w:sz w:val="22"/>
                <w:szCs w:val="22"/>
              </w:rPr>
              <w:t>Smoking</w:t>
            </w:r>
          </w:p>
        </w:tc>
        <w:tc>
          <w:tcPr>
            <w:tcW w:w="925" w:type="dxa"/>
            <w:tcBorders>
              <w:bottom w:val="single" w:sz="4" w:space="0" w:color="auto"/>
            </w:tcBorders>
            <w:noWrap/>
            <w:vAlign w:val="bottom"/>
            <w:hideMark/>
          </w:tcPr>
          <w:p w14:paraId="3AC17D2D" w14:textId="77777777" w:rsidR="0048653D" w:rsidRPr="0048653D" w:rsidRDefault="0048653D" w:rsidP="0048653D">
            <w:pPr>
              <w:bidi w:val="0"/>
              <w:rPr>
                <w:color w:val="000000"/>
                <w:sz w:val="22"/>
                <w:szCs w:val="22"/>
              </w:rPr>
            </w:pPr>
            <w:r w:rsidRPr="0048653D">
              <w:rPr>
                <w:color w:val="000000"/>
                <w:sz w:val="22"/>
                <w:szCs w:val="22"/>
              </w:rPr>
              <w:t>Positive</w:t>
            </w:r>
          </w:p>
        </w:tc>
        <w:tc>
          <w:tcPr>
            <w:tcW w:w="586" w:type="dxa"/>
            <w:tcBorders>
              <w:bottom w:val="single" w:sz="4" w:space="0" w:color="auto"/>
            </w:tcBorders>
            <w:noWrap/>
            <w:vAlign w:val="bottom"/>
            <w:hideMark/>
          </w:tcPr>
          <w:p w14:paraId="2BEC0502" w14:textId="77777777" w:rsidR="0048653D" w:rsidRPr="0048653D" w:rsidRDefault="0048653D" w:rsidP="0048653D">
            <w:pPr>
              <w:bidi w:val="0"/>
              <w:jc w:val="center"/>
              <w:rPr>
                <w:color w:val="000000"/>
                <w:sz w:val="22"/>
                <w:szCs w:val="22"/>
              </w:rPr>
            </w:pPr>
            <w:r w:rsidRPr="0048653D">
              <w:rPr>
                <w:color w:val="000000"/>
                <w:sz w:val="22"/>
                <w:szCs w:val="22"/>
              </w:rPr>
              <w:t>5</w:t>
            </w:r>
          </w:p>
        </w:tc>
        <w:tc>
          <w:tcPr>
            <w:tcW w:w="1018" w:type="dxa"/>
            <w:tcBorders>
              <w:bottom w:val="single" w:sz="4" w:space="0" w:color="auto"/>
            </w:tcBorders>
            <w:noWrap/>
            <w:vAlign w:val="bottom"/>
            <w:hideMark/>
          </w:tcPr>
          <w:p w14:paraId="1888F984" w14:textId="77777777" w:rsidR="0048653D" w:rsidRPr="0048653D" w:rsidRDefault="0048653D" w:rsidP="0048653D">
            <w:pPr>
              <w:bidi w:val="0"/>
              <w:jc w:val="center"/>
              <w:rPr>
                <w:color w:val="000000"/>
                <w:sz w:val="22"/>
                <w:szCs w:val="22"/>
              </w:rPr>
            </w:pPr>
            <w:r w:rsidRPr="0048653D">
              <w:rPr>
                <w:color w:val="000000"/>
                <w:sz w:val="22"/>
                <w:szCs w:val="22"/>
              </w:rPr>
              <w:t>11.9%</w:t>
            </w:r>
          </w:p>
        </w:tc>
        <w:tc>
          <w:tcPr>
            <w:tcW w:w="833" w:type="dxa"/>
            <w:tcBorders>
              <w:bottom w:val="single" w:sz="4" w:space="0" w:color="auto"/>
            </w:tcBorders>
            <w:noWrap/>
            <w:vAlign w:val="bottom"/>
            <w:hideMark/>
          </w:tcPr>
          <w:p w14:paraId="59D903FC" w14:textId="77777777" w:rsidR="0048653D" w:rsidRPr="0048653D" w:rsidRDefault="0048653D" w:rsidP="0048653D">
            <w:pPr>
              <w:bidi w:val="0"/>
              <w:jc w:val="center"/>
              <w:rPr>
                <w:color w:val="000000"/>
                <w:sz w:val="22"/>
                <w:szCs w:val="22"/>
              </w:rPr>
            </w:pPr>
            <w:r w:rsidRPr="0048653D">
              <w:rPr>
                <w:color w:val="000000"/>
                <w:sz w:val="22"/>
                <w:szCs w:val="22"/>
              </w:rPr>
              <w:t>0</w:t>
            </w:r>
          </w:p>
        </w:tc>
        <w:tc>
          <w:tcPr>
            <w:tcW w:w="895" w:type="dxa"/>
            <w:tcBorders>
              <w:bottom w:val="single" w:sz="4" w:space="0" w:color="auto"/>
            </w:tcBorders>
            <w:noWrap/>
            <w:vAlign w:val="bottom"/>
            <w:hideMark/>
          </w:tcPr>
          <w:p w14:paraId="757ABBE0" w14:textId="77777777" w:rsidR="0048653D" w:rsidRPr="0048653D" w:rsidRDefault="0048653D" w:rsidP="0048653D">
            <w:pPr>
              <w:bidi w:val="0"/>
              <w:jc w:val="center"/>
              <w:rPr>
                <w:color w:val="000000"/>
                <w:sz w:val="22"/>
                <w:szCs w:val="22"/>
              </w:rPr>
            </w:pPr>
            <w:r w:rsidRPr="0048653D">
              <w:rPr>
                <w:color w:val="000000"/>
                <w:sz w:val="22"/>
                <w:szCs w:val="22"/>
              </w:rPr>
              <w:t>0.0%</w:t>
            </w:r>
          </w:p>
        </w:tc>
        <w:tc>
          <w:tcPr>
            <w:tcW w:w="1080" w:type="dxa"/>
            <w:tcBorders>
              <w:bottom w:val="single" w:sz="4" w:space="0" w:color="auto"/>
            </w:tcBorders>
            <w:noWrap/>
            <w:vAlign w:val="bottom"/>
            <w:hideMark/>
          </w:tcPr>
          <w:p w14:paraId="00867EB5" w14:textId="77777777" w:rsidR="0048653D" w:rsidRPr="0048653D" w:rsidRDefault="0048653D" w:rsidP="0048653D">
            <w:pPr>
              <w:bidi w:val="0"/>
              <w:jc w:val="right"/>
              <w:rPr>
                <w:color w:val="000000"/>
                <w:sz w:val="22"/>
                <w:szCs w:val="22"/>
              </w:rPr>
            </w:pPr>
            <w:r w:rsidRPr="0048653D">
              <w:rPr>
                <w:color w:val="000000"/>
                <w:sz w:val="22"/>
                <w:szCs w:val="22"/>
              </w:rPr>
              <w:t>0.028</w:t>
            </w:r>
          </w:p>
        </w:tc>
        <w:tc>
          <w:tcPr>
            <w:tcW w:w="1260" w:type="dxa"/>
            <w:tcBorders>
              <w:bottom w:val="single" w:sz="4" w:space="0" w:color="auto"/>
            </w:tcBorders>
            <w:noWrap/>
            <w:vAlign w:val="bottom"/>
            <w:hideMark/>
          </w:tcPr>
          <w:p w14:paraId="42B7A2D2" w14:textId="77777777" w:rsidR="0048653D" w:rsidRPr="0048653D" w:rsidRDefault="0048653D" w:rsidP="0048653D">
            <w:pPr>
              <w:bidi w:val="0"/>
              <w:rPr>
                <w:color w:val="000000"/>
                <w:sz w:val="22"/>
                <w:szCs w:val="22"/>
              </w:rPr>
            </w:pPr>
            <w:r w:rsidRPr="0048653D">
              <w:rPr>
                <w:color w:val="000000"/>
                <w:sz w:val="22"/>
                <w:szCs w:val="22"/>
              </w:rPr>
              <w:t>Cramer's V</w:t>
            </w:r>
          </w:p>
        </w:tc>
        <w:tc>
          <w:tcPr>
            <w:tcW w:w="630" w:type="dxa"/>
            <w:tcBorders>
              <w:bottom w:val="single" w:sz="4" w:space="0" w:color="auto"/>
            </w:tcBorders>
            <w:noWrap/>
            <w:vAlign w:val="bottom"/>
            <w:hideMark/>
          </w:tcPr>
          <w:p w14:paraId="19EE2D8E" w14:textId="77777777" w:rsidR="0048653D" w:rsidRPr="0048653D" w:rsidRDefault="0048653D" w:rsidP="0048653D">
            <w:pPr>
              <w:bidi w:val="0"/>
              <w:jc w:val="right"/>
              <w:rPr>
                <w:color w:val="000000"/>
                <w:sz w:val="22"/>
                <w:szCs w:val="22"/>
              </w:rPr>
            </w:pPr>
            <w:r w:rsidRPr="0048653D">
              <w:rPr>
                <w:color w:val="000000"/>
                <w:sz w:val="22"/>
                <w:szCs w:val="22"/>
              </w:rPr>
              <w:t>0.25</w:t>
            </w:r>
          </w:p>
        </w:tc>
      </w:tr>
    </w:tbl>
    <w:p w14:paraId="10A533F5" w14:textId="77777777" w:rsidR="0048653D" w:rsidRPr="009E0D69" w:rsidRDefault="0048653D" w:rsidP="0048653D">
      <w:pPr>
        <w:bidi w:val="0"/>
        <w:spacing w:after="160" w:line="480" w:lineRule="auto"/>
        <w:ind w:firstLine="720"/>
        <w:jc w:val="both"/>
      </w:pPr>
    </w:p>
    <w:p w14:paraId="5F517A3E" w14:textId="41E80DC8" w:rsidR="0048653D" w:rsidRDefault="00651CC2" w:rsidP="0048653D">
      <w:pPr>
        <w:bidi w:val="0"/>
        <w:spacing w:after="160" w:line="480" w:lineRule="auto"/>
        <w:ind w:firstLine="720"/>
        <w:jc w:val="both"/>
        <w:rPr>
          <w:color w:val="000000" w:themeColor="text1"/>
        </w:rPr>
      </w:pPr>
      <w:r w:rsidRPr="00651CC2">
        <w:rPr>
          <w:color w:val="000000" w:themeColor="text1"/>
        </w:rPr>
        <w:t xml:space="preserve">The association between food allergies and IgE levels emphasized that for egg </w:t>
      </w:r>
      <w:r w:rsidR="005A754B">
        <w:rPr>
          <w:color w:val="000000" w:themeColor="text1"/>
        </w:rPr>
        <w:t>whites</w:t>
      </w:r>
      <w:r w:rsidRPr="00651CC2">
        <w:rPr>
          <w:color w:val="000000" w:themeColor="text1"/>
        </w:rPr>
        <w:t xml:space="preserve">, 48.5% of positive cases had high IgE, with no high IgE in negative cases. Cow milk allergy had 38.1% of positive cases with high IgE. Wheat allergy showed a </w:t>
      </w:r>
      <w:r w:rsidR="005A754B">
        <w:rPr>
          <w:color w:val="000000" w:themeColor="text1"/>
        </w:rPr>
        <w:t>more vital</w:t>
      </w:r>
      <w:r w:rsidRPr="00651CC2">
        <w:rPr>
          <w:color w:val="000000" w:themeColor="text1"/>
        </w:rPr>
        <w:t xml:space="preserve"> link, with 57.1% of positive cases having high IgE. Soy, peanut, tomato, and fish allergies had 80% of positive cases with high IgE, showing </w:t>
      </w:r>
      <w:r w:rsidR="005A754B">
        <w:rPr>
          <w:color w:val="000000" w:themeColor="text1"/>
        </w:rPr>
        <w:t>powerful</w:t>
      </w:r>
      <w:r w:rsidRPr="00651CC2">
        <w:rPr>
          <w:color w:val="000000" w:themeColor="text1"/>
        </w:rPr>
        <w:t xml:space="preserve"> associations </w:t>
      </w:r>
      <w:r w:rsidR="00DD1927">
        <w:rPr>
          <w:b/>
          <w:bCs/>
          <w:color w:val="000000" w:themeColor="text1"/>
        </w:rPr>
        <w:t xml:space="preserve">Tab </w:t>
      </w:r>
      <w:r w:rsidR="00EB4D85" w:rsidRPr="00EB4D85">
        <w:rPr>
          <w:b/>
          <w:bCs/>
          <w:color w:val="000000" w:themeColor="text1"/>
        </w:rPr>
        <w:t>[</w:t>
      </w:r>
      <w:r w:rsidR="00EB4D85">
        <w:rPr>
          <w:b/>
          <w:bCs/>
          <w:color w:val="000000" w:themeColor="text1"/>
        </w:rPr>
        <w:t>3</w:t>
      </w:r>
      <w:r w:rsidR="00EB4D85" w:rsidRPr="00EB4D85">
        <w:rPr>
          <w:b/>
          <w:bCs/>
          <w:color w:val="000000" w:themeColor="text1"/>
        </w:rPr>
        <w:t>]</w:t>
      </w:r>
      <w:r w:rsidR="001A4C2F">
        <w:rPr>
          <w:b/>
          <w:bCs/>
          <w:color w:val="000000" w:themeColor="text1"/>
        </w:rPr>
        <w:t>.</w:t>
      </w:r>
    </w:p>
    <w:p w14:paraId="47A9AD90" w14:textId="07ACAE4F" w:rsidR="00BC2A2F" w:rsidRPr="00E31819" w:rsidRDefault="00BC2A2F" w:rsidP="008C40FA">
      <w:pPr>
        <w:pStyle w:val="Caption"/>
        <w:rPr>
          <w:b w:val="0"/>
          <w:bCs w:val="0"/>
        </w:rPr>
      </w:pPr>
      <w:r w:rsidRPr="00E31819">
        <w:rPr>
          <w:b w:val="0"/>
          <w:bCs w:val="0"/>
        </w:rPr>
        <w:t xml:space="preserve">Tab </w:t>
      </w:r>
      <w:r w:rsidRPr="00E31819">
        <w:rPr>
          <w:b w:val="0"/>
          <w:bCs w:val="0"/>
        </w:rPr>
        <w:fldChar w:fldCharType="begin"/>
      </w:r>
      <w:r w:rsidRPr="00E31819">
        <w:rPr>
          <w:b w:val="0"/>
          <w:bCs w:val="0"/>
        </w:rPr>
        <w:instrText xml:space="preserve"> SEQ Table \* ARABIC </w:instrText>
      </w:r>
      <w:r w:rsidRPr="00E31819">
        <w:rPr>
          <w:b w:val="0"/>
          <w:bCs w:val="0"/>
        </w:rPr>
        <w:fldChar w:fldCharType="separate"/>
      </w:r>
      <w:r w:rsidR="009D6283">
        <w:rPr>
          <w:b w:val="0"/>
          <w:bCs w:val="0"/>
          <w:noProof/>
        </w:rPr>
        <w:t>3</w:t>
      </w:r>
      <w:r w:rsidRPr="00E31819">
        <w:rPr>
          <w:b w:val="0"/>
          <w:bCs w:val="0"/>
        </w:rPr>
        <w:fldChar w:fldCharType="end"/>
      </w:r>
      <w:r w:rsidR="008C40FA" w:rsidRPr="00E31819">
        <w:rPr>
          <w:b w:val="0"/>
          <w:bCs w:val="0"/>
        </w:rPr>
        <w:t>. Association between IgE level and different food allergies.</w:t>
      </w:r>
    </w:p>
    <w:tbl>
      <w:tblPr>
        <w:tblW w:w="8630" w:type="dxa"/>
        <w:tblLayout w:type="fixed"/>
        <w:tblLook w:val="04A0" w:firstRow="1" w:lastRow="0" w:firstColumn="1" w:lastColumn="0" w:noHBand="0" w:noVBand="1"/>
        <w:tblCaption w:val="Table [3]: Association between IgE level and different food allergy "/>
      </w:tblPr>
      <w:tblGrid>
        <w:gridCol w:w="1900"/>
        <w:gridCol w:w="939"/>
        <w:gridCol w:w="751"/>
        <w:gridCol w:w="810"/>
        <w:gridCol w:w="900"/>
        <w:gridCol w:w="990"/>
        <w:gridCol w:w="1080"/>
        <w:gridCol w:w="1260"/>
      </w:tblGrid>
      <w:tr w:rsidR="0048653D" w:rsidRPr="0048653D" w14:paraId="223A37B0" w14:textId="77777777" w:rsidTr="00BC2A2F">
        <w:trPr>
          <w:trHeight w:val="288"/>
        </w:trPr>
        <w:tc>
          <w:tcPr>
            <w:tcW w:w="1900" w:type="dxa"/>
            <w:vMerge w:val="restart"/>
            <w:tcBorders>
              <w:top w:val="single" w:sz="4" w:space="0" w:color="auto"/>
            </w:tcBorders>
            <w:vAlign w:val="center"/>
            <w:hideMark/>
          </w:tcPr>
          <w:p w14:paraId="26069BC4" w14:textId="77777777" w:rsidR="0048653D" w:rsidRPr="0048653D" w:rsidRDefault="0048653D" w:rsidP="0048653D">
            <w:pPr>
              <w:bidi w:val="0"/>
              <w:jc w:val="center"/>
              <w:rPr>
                <w:b/>
                <w:bCs/>
                <w:color w:val="000000"/>
                <w:sz w:val="22"/>
                <w:szCs w:val="22"/>
              </w:rPr>
            </w:pPr>
            <w:r w:rsidRPr="0048653D">
              <w:rPr>
                <w:b/>
                <w:bCs/>
                <w:color w:val="000000"/>
                <w:sz w:val="22"/>
                <w:szCs w:val="22"/>
              </w:rPr>
              <w:t>Type of food allergy</w:t>
            </w:r>
          </w:p>
        </w:tc>
        <w:tc>
          <w:tcPr>
            <w:tcW w:w="939" w:type="dxa"/>
            <w:vMerge w:val="restart"/>
            <w:tcBorders>
              <w:top w:val="single" w:sz="4" w:space="0" w:color="auto"/>
            </w:tcBorders>
            <w:vAlign w:val="center"/>
            <w:hideMark/>
          </w:tcPr>
          <w:p w14:paraId="66926EDD" w14:textId="77777777" w:rsidR="0048653D" w:rsidRPr="0048653D" w:rsidRDefault="0048653D" w:rsidP="0048653D">
            <w:pPr>
              <w:bidi w:val="0"/>
              <w:jc w:val="center"/>
              <w:rPr>
                <w:b/>
                <w:bCs/>
                <w:color w:val="000000"/>
                <w:sz w:val="22"/>
                <w:szCs w:val="22"/>
              </w:rPr>
            </w:pPr>
            <w:r w:rsidRPr="0048653D">
              <w:rPr>
                <w:b/>
                <w:bCs/>
                <w:color w:val="000000"/>
                <w:sz w:val="22"/>
                <w:szCs w:val="22"/>
              </w:rPr>
              <w:t>number of cases</w:t>
            </w:r>
          </w:p>
        </w:tc>
        <w:tc>
          <w:tcPr>
            <w:tcW w:w="3451" w:type="dxa"/>
            <w:gridSpan w:val="4"/>
            <w:tcBorders>
              <w:top w:val="single" w:sz="4" w:space="0" w:color="auto"/>
            </w:tcBorders>
            <w:noWrap/>
            <w:vAlign w:val="center"/>
            <w:hideMark/>
          </w:tcPr>
          <w:p w14:paraId="1AB40B20" w14:textId="77777777" w:rsidR="0048653D" w:rsidRPr="0048653D" w:rsidRDefault="0048653D" w:rsidP="0048653D">
            <w:pPr>
              <w:bidi w:val="0"/>
              <w:jc w:val="center"/>
              <w:rPr>
                <w:b/>
                <w:bCs/>
                <w:color w:val="000000"/>
                <w:sz w:val="22"/>
                <w:szCs w:val="22"/>
              </w:rPr>
            </w:pPr>
            <w:r w:rsidRPr="0048653D">
              <w:rPr>
                <w:b/>
                <w:bCs/>
                <w:color w:val="000000"/>
                <w:sz w:val="22"/>
                <w:szCs w:val="22"/>
              </w:rPr>
              <w:t>Ig E results</w:t>
            </w:r>
          </w:p>
        </w:tc>
        <w:tc>
          <w:tcPr>
            <w:tcW w:w="2340" w:type="dxa"/>
            <w:gridSpan w:val="2"/>
            <w:tcBorders>
              <w:top w:val="single" w:sz="4" w:space="0" w:color="auto"/>
            </w:tcBorders>
            <w:noWrap/>
            <w:vAlign w:val="center"/>
            <w:hideMark/>
          </w:tcPr>
          <w:p w14:paraId="081B8140" w14:textId="77777777" w:rsidR="0048653D" w:rsidRPr="0048653D" w:rsidRDefault="0048653D" w:rsidP="0048653D">
            <w:pPr>
              <w:bidi w:val="0"/>
              <w:jc w:val="center"/>
              <w:rPr>
                <w:b/>
                <w:bCs/>
                <w:color w:val="000000"/>
                <w:sz w:val="22"/>
                <w:szCs w:val="22"/>
              </w:rPr>
            </w:pPr>
            <w:r w:rsidRPr="0048653D">
              <w:rPr>
                <w:b/>
                <w:bCs/>
                <w:color w:val="000000"/>
                <w:sz w:val="22"/>
                <w:szCs w:val="22"/>
              </w:rPr>
              <w:t>Test of association</w:t>
            </w:r>
          </w:p>
        </w:tc>
      </w:tr>
      <w:tr w:rsidR="0048653D" w:rsidRPr="0048653D" w14:paraId="3602B649" w14:textId="77777777" w:rsidTr="00BC2A2F">
        <w:trPr>
          <w:trHeight w:val="862"/>
        </w:trPr>
        <w:tc>
          <w:tcPr>
            <w:tcW w:w="1900" w:type="dxa"/>
            <w:vMerge/>
            <w:tcBorders>
              <w:bottom w:val="single" w:sz="4" w:space="0" w:color="auto"/>
            </w:tcBorders>
            <w:vAlign w:val="center"/>
            <w:hideMark/>
          </w:tcPr>
          <w:p w14:paraId="2E7720B2" w14:textId="77777777" w:rsidR="0048653D" w:rsidRPr="0048653D" w:rsidRDefault="0048653D" w:rsidP="0048653D">
            <w:pPr>
              <w:bidi w:val="0"/>
              <w:rPr>
                <w:b/>
                <w:bCs/>
                <w:color w:val="000000"/>
                <w:sz w:val="22"/>
                <w:szCs w:val="22"/>
              </w:rPr>
            </w:pPr>
          </w:p>
        </w:tc>
        <w:tc>
          <w:tcPr>
            <w:tcW w:w="939" w:type="dxa"/>
            <w:vMerge/>
            <w:tcBorders>
              <w:bottom w:val="single" w:sz="4" w:space="0" w:color="auto"/>
            </w:tcBorders>
            <w:vAlign w:val="center"/>
            <w:hideMark/>
          </w:tcPr>
          <w:p w14:paraId="2B2E2AA0" w14:textId="77777777" w:rsidR="0048653D" w:rsidRPr="0048653D" w:rsidRDefault="0048653D" w:rsidP="0048653D">
            <w:pPr>
              <w:bidi w:val="0"/>
              <w:rPr>
                <w:b/>
                <w:bCs/>
                <w:color w:val="000000"/>
                <w:sz w:val="22"/>
                <w:szCs w:val="22"/>
              </w:rPr>
            </w:pPr>
          </w:p>
        </w:tc>
        <w:tc>
          <w:tcPr>
            <w:tcW w:w="1561" w:type="dxa"/>
            <w:gridSpan w:val="2"/>
            <w:tcBorders>
              <w:bottom w:val="single" w:sz="4" w:space="0" w:color="auto"/>
            </w:tcBorders>
            <w:noWrap/>
            <w:vAlign w:val="center"/>
            <w:hideMark/>
          </w:tcPr>
          <w:p w14:paraId="25260D6D" w14:textId="77777777" w:rsidR="0048653D" w:rsidRPr="0048653D" w:rsidRDefault="0048653D" w:rsidP="0048653D">
            <w:pPr>
              <w:bidi w:val="0"/>
              <w:jc w:val="center"/>
              <w:rPr>
                <w:b/>
                <w:bCs/>
                <w:color w:val="000000"/>
                <w:sz w:val="22"/>
                <w:szCs w:val="22"/>
              </w:rPr>
            </w:pPr>
            <w:r w:rsidRPr="0048653D">
              <w:rPr>
                <w:b/>
                <w:bCs/>
                <w:color w:val="000000"/>
                <w:sz w:val="22"/>
                <w:szCs w:val="22"/>
              </w:rPr>
              <w:t>High Ig E</w:t>
            </w:r>
          </w:p>
        </w:tc>
        <w:tc>
          <w:tcPr>
            <w:tcW w:w="1890" w:type="dxa"/>
            <w:gridSpan w:val="2"/>
            <w:tcBorders>
              <w:bottom w:val="single" w:sz="4" w:space="0" w:color="auto"/>
            </w:tcBorders>
            <w:noWrap/>
            <w:vAlign w:val="center"/>
            <w:hideMark/>
          </w:tcPr>
          <w:p w14:paraId="3FDDC525" w14:textId="77777777" w:rsidR="0048653D" w:rsidRPr="0048653D" w:rsidRDefault="0048653D" w:rsidP="0048653D">
            <w:pPr>
              <w:bidi w:val="0"/>
              <w:jc w:val="center"/>
              <w:rPr>
                <w:b/>
                <w:bCs/>
                <w:color w:val="000000"/>
                <w:sz w:val="22"/>
                <w:szCs w:val="22"/>
              </w:rPr>
            </w:pPr>
            <w:r w:rsidRPr="0048653D">
              <w:rPr>
                <w:b/>
                <w:bCs/>
                <w:color w:val="000000"/>
                <w:sz w:val="22"/>
                <w:szCs w:val="22"/>
              </w:rPr>
              <w:t>Normal Ig E</w:t>
            </w:r>
          </w:p>
        </w:tc>
        <w:tc>
          <w:tcPr>
            <w:tcW w:w="1080" w:type="dxa"/>
            <w:tcBorders>
              <w:bottom w:val="single" w:sz="4" w:space="0" w:color="auto"/>
            </w:tcBorders>
            <w:noWrap/>
            <w:vAlign w:val="center"/>
            <w:hideMark/>
          </w:tcPr>
          <w:p w14:paraId="39E0FF46" w14:textId="77777777" w:rsidR="0048653D" w:rsidRPr="0048653D" w:rsidRDefault="0048653D" w:rsidP="0048653D">
            <w:pPr>
              <w:bidi w:val="0"/>
              <w:jc w:val="center"/>
              <w:rPr>
                <w:b/>
                <w:bCs/>
                <w:color w:val="000000"/>
                <w:sz w:val="22"/>
                <w:szCs w:val="22"/>
              </w:rPr>
            </w:pPr>
            <w:r w:rsidRPr="0048653D">
              <w:rPr>
                <w:b/>
                <w:bCs/>
                <w:color w:val="000000"/>
                <w:sz w:val="22"/>
                <w:szCs w:val="22"/>
              </w:rPr>
              <w:t>p-value</w:t>
            </w:r>
          </w:p>
        </w:tc>
        <w:tc>
          <w:tcPr>
            <w:tcW w:w="1260" w:type="dxa"/>
            <w:tcBorders>
              <w:bottom w:val="single" w:sz="4" w:space="0" w:color="auto"/>
            </w:tcBorders>
            <w:vAlign w:val="center"/>
            <w:hideMark/>
          </w:tcPr>
          <w:p w14:paraId="07ADEA50" w14:textId="77777777" w:rsidR="0048653D" w:rsidRPr="0048653D" w:rsidRDefault="0048653D" w:rsidP="0048653D">
            <w:pPr>
              <w:bidi w:val="0"/>
              <w:jc w:val="center"/>
              <w:rPr>
                <w:b/>
                <w:bCs/>
                <w:color w:val="000000"/>
                <w:sz w:val="22"/>
                <w:szCs w:val="22"/>
              </w:rPr>
            </w:pPr>
            <w:r w:rsidRPr="0048653D">
              <w:rPr>
                <w:b/>
                <w:bCs/>
                <w:color w:val="000000"/>
                <w:sz w:val="22"/>
                <w:szCs w:val="22"/>
              </w:rPr>
              <w:t>Strength of association</w:t>
            </w:r>
          </w:p>
        </w:tc>
      </w:tr>
      <w:tr w:rsidR="0048653D" w:rsidRPr="0048653D" w14:paraId="75CD61D4" w14:textId="77777777" w:rsidTr="00BC2A2F">
        <w:trPr>
          <w:trHeight w:val="288"/>
        </w:trPr>
        <w:tc>
          <w:tcPr>
            <w:tcW w:w="1900" w:type="dxa"/>
            <w:tcBorders>
              <w:top w:val="single" w:sz="4" w:space="0" w:color="auto"/>
            </w:tcBorders>
            <w:noWrap/>
            <w:vAlign w:val="bottom"/>
            <w:hideMark/>
          </w:tcPr>
          <w:p w14:paraId="2117E357" w14:textId="77777777" w:rsidR="0048653D" w:rsidRPr="0048653D" w:rsidRDefault="0048653D" w:rsidP="0048653D">
            <w:pPr>
              <w:bidi w:val="0"/>
              <w:rPr>
                <w:color w:val="000000"/>
                <w:sz w:val="22"/>
                <w:szCs w:val="22"/>
              </w:rPr>
            </w:pPr>
            <w:r w:rsidRPr="0048653D">
              <w:rPr>
                <w:color w:val="000000"/>
                <w:sz w:val="22"/>
                <w:szCs w:val="22"/>
              </w:rPr>
              <w:t>Egg white</w:t>
            </w:r>
          </w:p>
        </w:tc>
        <w:tc>
          <w:tcPr>
            <w:tcW w:w="939" w:type="dxa"/>
            <w:tcBorders>
              <w:top w:val="single" w:sz="4" w:space="0" w:color="auto"/>
            </w:tcBorders>
            <w:noWrap/>
            <w:vAlign w:val="center"/>
            <w:hideMark/>
          </w:tcPr>
          <w:p w14:paraId="2C794BC3" w14:textId="77777777" w:rsidR="0048653D" w:rsidRPr="0048653D" w:rsidRDefault="0048653D" w:rsidP="0048653D">
            <w:pPr>
              <w:bidi w:val="0"/>
              <w:rPr>
                <w:color w:val="000000"/>
                <w:sz w:val="22"/>
                <w:szCs w:val="22"/>
              </w:rPr>
            </w:pPr>
            <w:r w:rsidRPr="0048653D">
              <w:rPr>
                <w:color w:val="000000"/>
                <w:sz w:val="22"/>
                <w:szCs w:val="22"/>
              </w:rPr>
              <w:t> </w:t>
            </w:r>
          </w:p>
        </w:tc>
        <w:tc>
          <w:tcPr>
            <w:tcW w:w="751" w:type="dxa"/>
            <w:tcBorders>
              <w:top w:val="single" w:sz="4" w:space="0" w:color="auto"/>
            </w:tcBorders>
            <w:noWrap/>
            <w:vAlign w:val="center"/>
            <w:hideMark/>
          </w:tcPr>
          <w:p w14:paraId="445C326F" w14:textId="77777777" w:rsidR="0048653D" w:rsidRPr="0048653D" w:rsidRDefault="0048653D" w:rsidP="0048653D">
            <w:pPr>
              <w:bidi w:val="0"/>
              <w:jc w:val="center"/>
              <w:rPr>
                <w:b/>
                <w:bCs/>
                <w:color w:val="000000"/>
                <w:sz w:val="22"/>
                <w:szCs w:val="22"/>
              </w:rPr>
            </w:pPr>
            <w:r w:rsidRPr="0048653D">
              <w:rPr>
                <w:b/>
                <w:bCs/>
                <w:color w:val="000000"/>
                <w:sz w:val="22"/>
                <w:szCs w:val="22"/>
              </w:rPr>
              <w:t> </w:t>
            </w:r>
          </w:p>
        </w:tc>
        <w:tc>
          <w:tcPr>
            <w:tcW w:w="810" w:type="dxa"/>
            <w:tcBorders>
              <w:top w:val="single" w:sz="4" w:space="0" w:color="auto"/>
            </w:tcBorders>
            <w:noWrap/>
            <w:vAlign w:val="center"/>
            <w:hideMark/>
          </w:tcPr>
          <w:p w14:paraId="2007A7D0" w14:textId="77777777" w:rsidR="0048653D" w:rsidRPr="0048653D" w:rsidRDefault="0048653D" w:rsidP="0048653D">
            <w:pPr>
              <w:bidi w:val="0"/>
              <w:jc w:val="center"/>
              <w:rPr>
                <w:b/>
                <w:bCs/>
                <w:color w:val="000000"/>
                <w:sz w:val="22"/>
                <w:szCs w:val="22"/>
              </w:rPr>
            </w:pPr>
          </w:p>
        </w:tc>
        <w:tc>
          <w:tcPr>
            <w:tcW w:w="900" w:type="dxa"/>
            <w:tcBorders>
              <w:top w:val="single" w:sz="4" w:space="0" w:color="auto"/>
            </w:tcBorders>
            <w:noWrap/>
            <w:vAlign w:val="center"/>
            <w:hideMark/>
          </w:tcPr>
          <w:p w14:paraId="60BDA815" w14:textId="77777777" w:rsidR="0048653D" w:rsidRPr="0048653D" w:rsidRDefault="0048653D" w:rsidP="0048653D">
            <w:pPr>
              <w:bidi w:val="0"/>
              <w:jc w:val="center"/>
              <w:rPr>
                <w:b/>
                <w:bCs/>
                <w:color w:val="000000"/>
                <w:sz w:val="22"/>
                <w:szCs w:val="22"/>
              </w:rPr>
            </w:pPr>
            <w:r w:rsidRPr="0048653D">
              <w:rPr>
                <w:b/>
                <w:bCs/>
                <w:color w:val="000000"/>
                <w:sz w:val="22"/>
                <w:szCs w:val="22"/>
              </w:rPr>
              <w:t> </w:t>
            </w:r>
          </w:p>
        </w:tc>
        <w:tc>
          <w:tcPr>
            <w:tcW w:w="990" w:type="dxa"/>
            <w:tcBorders>
              <w:top w:val="single" w:sz="4" w:space="0" w:color="auto"/>
            </w:tcBorders>
            <w:noWrap/>
            <w:vAlign w:val="center"/>
            <w:hideMark/>
          </w:tcPr>
          <w:p w14:paraId="66E61F71" w14:textId="77777777" w:rsidR="0048653D" w:rsidRPr="0048653D" w:rsidRDefault="0048653D" w:rsidP="0048653D">
            <w:pPr>
              <w:bidi w:val="0"/>
              <w:jc w:val="center"/>
              <w:rPr>
                <w:b/>
                <w:bCs/>
                <w:color w:val="000000"/>
                <w:sz w:val="22"/>
                <w:szCs w:val="22"/>
              </w:rPr>
            </w:pPr>
            <w:r w:rsidRPr="0048653D">
              <w:rPr>
                <w:b/>
                <w:bCs/>
                <w:color w:val="000000"/>
                <w:sz w:val="22"/>
                <w:szCs w:val="22"/>
              </w:rPr>
              <w:t> </w:t>
            </w:r>
          </w:p>
        </w:tc>
        <w:tc>
          <w:tcPr>
            <w:tcW w:w="1080" w:type="dxa"/>
            <w:tcBorders>
              <w:top w:val="single" w:sz="4" w:space="0" w:color="auto"/>
            </w:tcBorders>
            <w:noWrap/>
            <w:vAlign w:val="center"/>
            <w:hideMark/>
          </w:tcPr>
          <w:p w14:paraId="25512EE2" w14:textId="77777777" w:rsidR="0048653D" w:rsidRPr="0048653D" w:rsidRDefault="0048653D" w:rsidP="0048653D">
            <w:pPr>
              <w:bidi w:val="0"/>
              <w:jc w:val="center"/>
              <w:rPr>
                <w:b/>
                <w:bCs/>
                <w:color w:val="000000"/>
                <w:sz w:val="22"/>
                <w:szCs w:val="22"/>
              </w:rPr>
            </w:pPr>
          </w:p>
        </w:tc>
        <w:tc>
          <w:tcPr>
            <w:tcW w:w="1260" w:type="dxa"/>
            <w:tcBorders>
              <w:top w:val="single" w:sz="4" w:space="0" w:color="auto"/>
            </w:tcBorders>
            <w:vAlign w:val="center"/>
            <w:hideMark/>
          </w:tcPr>
          <w:p w14:paraId="36805F1B" w14:textId="77777777" w:rsidR="0048653D" w:rsidRPr="0048653D" w:rsidRDefault="0048653D" w:rsidP="0048653D">
            <w:pPr>
              <w:bidi w:val="0"/>
              <w:rPr>
                <w:b/>
                <w:bCs/>
                <w:color w:val="000000"/>
                <w:sz w:val="22"/>
                <w:szCs w:val="22"/>
              </w:rPr>
            </w:pPr>
            <w:r w:rsidRPr="0048653D">
              <w:rPr>
                <w:b/>
                <w:bCs/>
                <w:color w:val="000000"/>
                <w:sz w:val="22"/>
                <w:szCs w:val="22"/>
              </w:rPr>
              <w:t> </w:t>
            </w:r>
          </w:p>
        </w:tc>
      </w:tr>
      <w:tr w:rsidR="0048653D" w:rsidRPr="0048653D" w14:paraId="310A22F7" w14:textId="77777777" w:rsidTr="00BC2A2F">
        <w:trPr>
          <w:trHeight w:val="288"/>
        </w:trPr>
        <w:tc>
          <w:tcPr>
            <w:tcW w:w="1900" w:type="dxa"/>
            <w:noWrap/>
            <w:vAlign w:val="bottom"/>
            <w:hideMark/>
          </w:tcPr>
          <w:p w14:paraId="632EE5BE" w14:textId="77777777" w:rsidR="0048653D" w:rsidRPr="0048653D" w:rsidRDefault="0048653D" w:rsidP="0048653D">
            <w:pPr>
              <w:bidi w:val="0"/>
              <w:jc w:val="right"/>
              <w:rPr>
                <w:color w:val="000000"/>
                <w:sz w:val="22"/>
                <w:szCs w:val="22"/>
              </w:rPr>
            </w:pPr>
            <w:r w:rsidRPr="0048653D">
              <w:rPr>
                <w:color w:val="000000"/>
                <w:sz w:val="22"/>
                <w:szCs w:val="22"/>
              </w:rPr>
              <w:t>positive</w:t>
            </w:r>
          </w:p>
        </w:tc>
        <w:tc>
          <w:tcPr>
            <w:tcW w:w="939" w:type="dxa"/>
            <w:noWrap/>
            <w:vAlign w:val="bottom"/>
            <w:hideMark/>
          </w:tcPr>
          <w:p w14:paraId="1930A13D" w14:textId="77777777" w:rsidR="0048653D" w:rsidRPr="0048653D" w:rsidRDefault="0048653D" w:rsidP="0048653D">
            <w:pPr>
              <w:bidi w:val="0"/>
              <w:jc w:val="center"/>
              <w:rPr>
                <w:color w:val="000000"/>
                <w:sz w:val="22"/>
                <w:szCs w:val="22"/>
              </w:rPr>
            </w:pPr>
            <w:r w:rsidRPr="0048653D">
              <w:rPr>
                <w:color w:val="000000"/>
                <w:sz w:val="22"/>
                <w:szCs w:val="22"/>
              </w:rPr>
              <w:t>33</w:t>
            </w:r>
          </w:p>
        </w:tc>
        <w:tc>
          <w:tcPr>
            <w:tcW w:w="751" w:type="dxa"/>
            <w:noWrap/>
            <w:vAlign w:val="bottom"/>
            <w:hideMark/>
          </w:tcPr>
          <w:p w14:paraId="79A65442" w14:textId="77777777" w:rsidR="0048653D" w:rsidRPr="0048653D" w:rsidRDefault="0048653D" w:rsidP="0048653D">
            <w:pPr>
              <w:bidi w:val="0"/>
              <w:jc w:val="center"/>
              <w:rPr>
                <w:color w:val="000000"/>
                <w:sz w:val="22"/>
                <w:szCs w:val="22"/>
              </w:rPr>
            </w:pPr>
            <w:r w:rsidRPr="0048653D">
              <w:rPr>
                <w:color w:val="000000"/>
                <w:sz w:val="22"/>
                <w:szCs w:val="22"/>
              </w:rPr>
              <w:t>16</w:t>
            </w:r>
          </w:p>
        </w:tc>
        <w:tc>
          <w:tcPr>
            <w:tcW w:w="810" w:type="dxa"/>
            <w:noWrap/>
            <w:vAlign w:val="bottom"/>
            <w:hideMark/>
          </w:tcPr>
          <w:p w14:paraId="7CFB6388" w14:textId="77777777" w:rsidR="0048653D" w:rsidRPr="0048653D" w:rsidRDefault="0048653D" w:rsidP="0048653D">
            <w:pPr>
              <w:bidi w:val="0"/>
              <w:jc w:val="center"/>
              <w:rPr>
                <w:color w:val="000000"/>
                <w:sz w:val="22"/>
                <w:szCs w:val="22"/>
              </w:rPr>
            </w:pPr>
            <w:r w:rsidRPr="0048653D">
              <w:rPr>
                <w:color w:val="000000"/>
                <w:sz w:val="22"/>
                <w:szCs w:val="22"/>
              </w:rPr>
              <w:t>48.5%</w:t>
            </w:r>
          </w:p>
        </w:tc>
        <w:tc>
          <w:tcPr>
            <w:tcW w:w="900" w:type="dxa"/>
            <w:noWrap/>
            <w:vAlign w:val="bottom"/>
            <w:hideMark/>
          </w:tcPr>
          <w:p w14:paraId="5326467A" w14:textId="77777777" w:rsidR="0048653D" w:rsidRPr="0048653D" w:rsidRDefault="0048653D" w:rsidP="0048653D">
            <w:pPr>
              <w:bidi w:val="0"/>
              <w:jc w:val="center"/>
              <w:rPr>
                <w:color w:val="000000"/>
                <w:sz w:val="22"/>
                <w:szCs w:val="22"/>
              </w:rPr>
            </w:pPr>
            <w:r w:rsidRPr="0048653D">
              <w:rPr>
                <w:color w:val="000000"/>
                <w:sz w:val="22"/>
                <w:szCs w:val="22"/>
              </w:rPr>
              <w:t>17</w:t>
            </w:r>
          </w:p>
        </w:tc>
        <w:tc>
          <w:tcPr>
            <w:tcW w:w="990" w:type="dxa"/>
            <w:noWrap/>
            <w:vAlign w:val="bottom"/>
            <w:hideMark/>
          </w:tcPr>
          <w:p w14:paraId="7E6A89B6" w14:textId="77777777" w:rsidR="0048653D" w:rsidRPr="0048653D" w:rsidRDefault="0048653D" w:rsidP="0048653D">
            <w:pPr>
              <w:bidi w:val="0"/>
              <w:jc w:val="center"/>
              <w:rPr>
                <w:color w:val="000000"/>
                <w:sz w:val="22"/>
                <w:szCs w:val="22"/>
              </w:rPr>
            </w:pPr>
            <w:r w:rsidRPr="0048653D">
              <w:rPr>
                <w:color w:val="000000"/>
                <w:sz w:val="22"/>
                <w:szCs w:val="22"/>
              </w:rPr>
              <w:t>51.5%</w:t>
            </w:r>
          </w:p>
        </w:tc>
        <w:tc>
          <w:tcPr>
            <w:tcW w:w="1080" w:type="dxa"/>
            <w:noWrap/>
            <w:vAlign w:val="center"/>
            <w:hideMark/>
          </w:tcPr>
          <w:p w14:paraId="583211B0" w14:textId="77777777" w:rsidR="0048653D" w:rsidRPr="0048653D" w:rsidRDefault="0048653D" w:rsidP="0048653D">
            <w:pPr>
              <w:bidi w:val="0"/>
              <w:jc w:val="center"/>
              <w:rPr>
                <w:color w:val="000000"/>
                <w:sz w:val="22"/>
                <w:szCs w:val="22"/>
              </w:rPr>
            </w:pPr>
            <w:r w:rsidRPr="0048653D">
              <w:rPr>
                <w:color w:val="000000"/>
                <w:sz w:val="22"/>
                <w:szCs w:val="22"/>
              </w:rPr>
              <w:t>p &lt; 0.001</w:t>
            </w:r>
          </w:p>
        </w:tc>
        <w:tc>
          <w:tcPr>
            <w:tcW w:w="1260" w:type="dxa"/>
            <w:noWrap/>
            <w:vAlign w:val="bottom"/>
            <w:hideMark/>
          </w:tcPr>
          <w:p w14:paraId="13DD6F79" w14:textId="77777777" w:rsidR="0048653D" w:rsidRPr="0048653D" w:rsidRDefault="0048653D" w:rsidP="0048653D">
            <w:pPr>
              <w:bidi w:val="0"/>
              <w:jc w:val="center"/>
              <w:rPr>
                <w:color w:val="000000"/>
                <w:sz w:val="22"/>
                <w:szCs w:val="22"/>
              </w:rPr>
            </w:pPr>
            <w:r w:rsidRPr="0048653D">
              <w:rPr>
                <w:color w:val="000000"/>
                <w:sz w:val="22"/>
                <w:szCs w:val="22"/>
              </w:rPr>
              <w:t>0.6</w:t>
            </w:r>
          </w:p>
        </w:tc>
      </w:tr>
      <w:tr w:rsidR="0048653D" w:rsidRPr="0048653D" w14:paraId="356DAC2C" w14:textId="77777777" w:rsidTr="00BC2A2F">
        <w:trPr>
          <w:trHeight w:val="288"/>
        </w:trPr>
        <w:tc>
          <w:tcPr>
            <w:tcW w:w="1900" w:type="dxa"/>
            <w:noWrap/>
            <w:vAlign w:val="bottom"/>
            <w:hideMark/>
          </w:tcPr>
          <w:p w14:paraId="6CEC256F" w14:textId="77777777" w:rsidR="0048653D" w:rsidRPr="0048653D" w:rsidRDefault="0048653D" w:rsidP="0048653D">
            <w:pPr>
              <w:bidi w:val="0"/>
              <w:jc w:val="right"/>
              <w:rPr>
                <w:color w:val="000000"/>
                <w:sz w:val="22"/>
                <w:szCs w:val="22"/>
              </w:rPr>
            </w:pPr>
            <w:r w:rsidRPr="0048653D">
              <w:rPr>
                <w:color w:val="000000"/>
                <w:sz w:val="22"/>
                <w:szCs w:val="22"/>
              </w:rPr>
              <w:t>negative</w:t>
            </w:r>
          </w:p>
        </w:tc>
        <w:tc>
          <w:tcPr>
            <w:tcW w:w="939" w:type="dxa"/>
            <w:noWrap/>
            <w:vAlign w:val="bottom"/>
            <w:hideMark/>
          </w:tcPr>
          <w:p w14:paraId="3A650D02" w14:textId="77777777" w:rsidR="0048653D" w:rsidRPr="0048653D" w:rsidRDefault="0048653D" w:rsidP="0048653D">
            <w:pPr>
              <w:bidi w:val="0"/>
              <w:jc w:val="center"/>
              <w:rPr>
                <w:color w:val="000000"/>
                <w:sz w:val="22"/>
                <w:szCs w:val="22"/>
              </w:rPr>
            </w:pPr>
            <w:r w:rsidRPr="0048653D">
              <w:rPr>
                <w:color w:val="000000"/>
                <w:sz w:val="22"/>
                <w:szCs w:val="22"/>
              </w:rPr>
              <w:t>51</w:t>
            </w:r>
          </w:p>
        </w:tc>
        <w:tc>
          <w:tcPr>
            <w:tcW w:w="751" w:type="dxa"/>
            <w:noWrap/>
            <w:vAlign w:val="bottom"/>
            <w:hideMark/>
          </w:tcPr>
          <w:p w14:paraId="51B0DEF7" w14:textId="77777777" w:rsidR="0048653D" w:rsidRPr="0048653D" w:rsidRDefault="0048653D" w:rsidP="0048653D">
            <w:pPr>
              <w:bidi w:val="0"/>
              <w:jc w:val="center"/>
              <w:rPr>
                <w:color w:val="000000"/>
                <w:sz w:val="22"/>
                <w:szCs w:val="22"/>
              </w:rPr>
            </w:pPr>
            <w:r w:rsidRPr="0048653D">
              <w:rPr>
                <w:color w:val="000000"/>
                <w:sz w:val="22"/>
                <w:szCs w:val="22"/>
              </w:rPr>
              <w:t>0</w:t>
            </w:r>
          </w:p>
        </w:tc>
        <w:tc>
          <w:tcPr>
            <w:tcW w:w="810" w:type="dxa"/>
            <w:noWrap/>
            <w:vAlign w:val="bottom"/>
            <w:hideMark/>
          </w:tcPr>
          <w:p w14:paraId="09669063" w14:textId="77777777" w:rsidR="0048653D" w:rsidRPr="0048653D" w:rsidRDefault="0048653D" w:rsidP="0048653D">
            <w:pPr>
              <w:bidi w:val="0"/>
              <w:jc w:val="center"/>
              <w:rPr>
                <w:color w:val="000000"/>
                <w:sz w:val="22"/>
                <w:szCs w:val="22"/>
              </w:rPr>
            </w:pPr>
            <w:r w:rsidRPr="0048653D">
              <w:rPr>
                <w:color w:val="000000"/>
                <w:sz w:val="22"/>
                <w:szCs w:val="22"/>
              </w:rPr>
              <w:t>0.0%</w:t>
            </w:r>
          </w:p>
        </w:tc>
        <w:tc>
          <w:tcPr>
            <w:tcW w:w="900" w:type="dxa"/>
            <w:noWrap/>
            <w:vAlign w:val="bottom"/>
            <w:hideMark/>
          </w:tcPr>
          <w:p w14:paraId="3EBDD399" w14:textId="77777777" w:rsidR="0048653D" w:rsidRPr="0048653D" w:rsidRDefault="0048653D" w:rsidP="0048653D">
            <w:pPr>
              <w:bidi w:val="0"/>
              <w:jc w:val="center"/>
              <w:rPr>
                <w:color w:val="000000"/>
                <w:sz w:val="22"/>
                <w:szCs w:val="22"/>
              </w:rPr>
            </w:pPr>
            <w:r w:rsidRPr="0048653D">
              <w:rPr>
                <w:color w:val="000000"/>
                <w:sz w:val="22"/>
                <w:szCs w:val="22"/>
              </w:rPr>
              <w:t>51</w:t>
            </w:r>
          </w:p>
        </w:tc>
        <w:tc>
          <w:tcPr>
            <w:tcW w:w="990" w:type="dxa"/>
            <w:noWrap/>
            <w:vAlign w:val="bottom"/>
            <w:hideMark/>
          </w:tcPr>
          <w:p w14:paraId="136B5FD0" w14:textId="77777777" w:rsidR="0048653D" w:rsidRPr="0048653D" w:rsidRDefault="0048653D" w:rsidP="0048653D">
            <w:pPr>
              <w:bidi w:val="0"/>
              <w:jc w:val="center"/>
              <w:rPr>
                <w:color w:val="000000"/>
                <w:sz w:val="22"/>
                <w:szCs w:val="22"/>
              </w:rPr>
            </w:pPr>
            <w:r w:rsidRPr="0048653D">
              <w:rPr>
                <w:color w:val="000000"/>
                <w:sz w:val="22"/>
                <w:szCs w:val="22"/>
              </w:rPr>
              <w:t>100.0%</w:t>
            </w:r>
          </w:p>
        </w:tc>
        <w:tc>
          <w:tcPr>
            <w:tcW w:w="1080" w:type="dxa"/>
            <w:noWrap/>
            <w:vAlign w:val="center"/>
            <w:hideMark/>
          </w:tcPr>
          <w:p w14:paraId="19477021" w14:textId="77777777" w:rsidR="0048653D" w:rsidRPr="0048653D" w:rsidRDefault="0048653D" w:rsidP="0048653D">
            <w:pPr>
              <w:bidi w:val="0"/>
              <w:jc w:val="center"/>
              <w:rPr>
                <w:color w:val="000000"/>
                <w:sz w:val="22"/>
                <w:szCs w:val="22"/>
              </w:rPr>
            </w:pPr>
            <w:r w:rsidRPr="0048653D">
              <w:rPr>
                <w:color w:val="000000"/>
                <w:sz w:val="22"/>
                <w:szCs w:val="22"/>
              </w:rPr>
              <w:t> </w:t>
            </w:r>
          </w:p>
        </w:tc>
        <w:tc>
          <w:tcPr>
            <w:tcW w:w="1260" w:type="dxa"/>
            <w:noWrap/>
            <w:vAlign w:val="bottom"/>
            <w:hideMark/>
          </w:tcPr>
          <w:p w14:paraId="64A552FD" w14:textId="77777777" w:rsidR="0048653D" w:rsidRPr="0048653D" w:rsidRDefault="0048653D" w:rsidP="0048653D">
            <w:pPr>
              <w:bidi w:val="0"/>
              <w:jc w:val="center"/>
              <w:rPr>
                <w:color w:val="000000"/>
                <w:sz w:val="22"/>
                <w:szCs w:val="22"/>
              </w:rPr>
            </w:pPr>
            <w:r w:rsidRPr="0048653D">
              <w:rPr>
                <w:color w:val="000000"/>
                <w:sz w:val="22"/>
                <w:szCs w:val="22"/>
              </w:rPr>
              <w:t> </w:t>
            </w:r>
          </w:p>
        </w:tc>
      </w:tr>
      <w:tr w:rsidR="0048653D" w:rsidRPr="0048653D" w14:paraId="569CD471" w14:textId="77777777" w:rsidTr="00BC2A2F">
        <w:trPr>
          <w:trHeight w:val="288"/>
        </w:trPr>
        <w:tc>
          <w:tcPr>
            <w:tcW w:w="1900" w:type="dxa"/>
            <w:noWrap/>
            <w:vAlign w:val="bottom"/>
            <w:hideMark/>
          </w:tcPr>
          <w:p w14:paraId="4B72DBEA" w14:textId="77777777" w:rsidR="0048653D" w:rsidRPr="0048653D" w:rsidRDefault="0048653D" w:rsidP="0048653D">
            <w:pPr>
              <w:bidi w:val="0"/>
              <w:rPr>
                <w:color w:val="000000"/>
                <w:sz w:val="22"/>
                <w:szCs w:val="22"/>
              </w:rPr>
            </w:pPr>
            <w:r w:rsidRPr="0048653D">
              <w:rPr>
                <w:color w:val="000000"/>
                <w:sz w:val="22"/>
                <w:szCs w:val="22"/>
              </w:rPr>
              <w:t xml:space="preserve">Cow milk </w:t>
            </w:r>
          </w:p>
        </w:tc>
        <w:tc>
          <w:tcPr>
            <w:tcW w:w="939" w:type="dxa"/>
            <w:noWrap/>
            <w:vAlign w:val="center"/>
            <w:hideMark/>
          </w:tcPr>
          <w:p w14:paraId="106B883C" w14:textId="77777777" w:rsidR="0048653D" w:rsidRPr="0048653D" w:rsidRDefault="0048653D" w:rsidP="0048653D">
            <w:pPr>
              <w:bidi w:val="0"/>
              <w:rPr>
                <w:color w:val="000000"/>
                <w:sz w:val="22"/>
                <w:szCs w:val="22"/>
              </w:rPr>
            </w:pPr>
            <w:r w:rsidRPr="0048653D">
              <w:rPr>
                <w:color w:val="000000"/>
                <w:sz w:val="22"/>
                <w:szCs w:val="22"/>
              </w:rPr>
              <w:t> </w:t>
            </w:r>
          </w:p>
        </w:tc>
        <w:tc>
          <w:tcPr>
            <w:tcW w:w="751" w:type="dxa"/>
            <w:noWrap/>
            <w:vAlign w:val="center"/>
            <w:hideMark/>
          </w:tcPr>
          <w:p w14:paraId="085632AD" w14:textId="77777777" w:rsidR="0048653D" w:rsidRPr="0048653D" w:rsidRDefault="0048653D" w:rsidP="0048653D">
            <w:pPr>
              <w:bidi w:val="0"/>
              <w:jc w:val="center"/>
              <w:rPr>
                <w:b/>
                <w:bCs/>
                <w:color w:val="000000"/>
                <w:sz w:val="22"/>
                <w:szCs w:val="22"/>
              </w:rPr>
            </w:pPr>
            <w:r w:rsidRPr="0048653D">
              <w:rPr>
                <w:b/>
                <w:bCs/>
                <w:color w:val="000000"/>
                <w:sz w:val="22"/>
                <w:szCs w:val="22"/>
              </w:rPr>
              <w:t> </w:t>
            </w:r>
          </w:p>
        </w:tc>
        <w:tc>
          <w:tcPr>
            <w:tcW w:w="810" w:type="dxa"/>
            <w:noWrap/>
            <w:vAlign w:val="center"/>
            <w:hideMark/>
          </w:tcPr>
          <w:p w14:paraId="6DE2D842" w14:textId="77777777" w:rsidR="0048653D" w:rsidRPr="0048653D" w:rsidRDefault="0048653D" w:rsidP="0048653D">
            <w:pPr>
              <w:bidi w:val="0"/>
              <w:jc w:val="center"/>
              <w:rPr>
                <w:b/>
                <w:bCs/>
                <w:color w:val="000000"/>
                <w:sz w:val="22"/>
                <w:szCs w:val="22"/>
              </w:rPr>
            </w:pPr>
          </w:p>
        </w:tc>
        <w:tc>
          <w:tcPr>
            <w:tcW w:w="900" w:type="dxa"/>
            <w:noWrap/>
            <w:vAlign w:val="center"/>
            <w:hideMark/>
          </w:tcPr>
          <w:p w14:paraId="328F4BC5" w14:textId="77777777" w:rsidR="0048653D" w:rsidRPr="0048653D" w:rsidRDefault="0048653D" w:rsidP="0048653D">
            <w:pPr>
              <w:bidi w:val="0"/>
              <w:jc w:val="center"/>
              <w:rPr>
                <w:b/>
                <w:bCs/>
                <w:color w:val="000000"/>
                <w:sz w:val="22"/>
                <w:szCs w:val="22"/>
              </w:rPr>
            </w:pPr>
            <w:r w:rsidRPr="0048653D">
              <w:rPr>
                <w:b/>
                <w:bCs/>
                <w:color w:val="000000"/>
                <w:sz w:val="22"/>
                <w:szCs w:val="22"/>
              </w:rPr>
              <w:t> </w:t>
            </w:r>
          </w:p>
        </w:tc>
        <w:tc>
          <w:tcPr>
            <w:tcW w:w="990" w:type="dxa"/>
            <w:noWrap/>
            <w:vAlign w:val="center"/>
            <w:hideMark/>
          </w:tcPr>
          <w:p w14:paraId="3E5A9EB5" w14:textId="77777777" w:rsidR="0048653D" w:rsidRPr="0048653D" w:rsidRDefault="0048653D" w:rsidP="0048653D">
            <w:pPr>
              <w:bidi w:val="0"/>
              <w:jc w:val="center"/>
              <w:rPr>
                <w:b/>
                <w:bCs/>
                <w:color w:val="000000"/>
                <w:sz w:val="22"/>
                <w:szCs w:val="22"/>
              </w:rPr>
            </w:pPr>
            <w:r w:rsidRPr="0048653D">
              <w:rPr>
                <w:b/>
                <w:bCs/>
                <w:color w:val="000000"/>
                <w:sz w:val="22"/>
                <w:szCs w:val="22"/>
              </w:rPr>
              <w:t> </w:t>
            </w:r>
          </w:p>
        </w:tc>
        <w:tc>
          <w:tcPr>
            <w:tcW w:w="1080" w:type="dxa"/>
            <w:noWrap/>
            <w:vAlign w:val="center"/>
            <w:hideMark/>
          </w:tcPr>
          <w:p w14:paraId="35874CF0" w14:textId="77777777" w:rsidR="0048653D" w:rsidRPr="0048653D" w:rsidRDefault="0048653D" w:rsidP="0048653D">
            <w:pPr>
              <w:bidi w:val="0"/>
              <w:jc w:val="center"/>
              <w:rPr>
                <w:b/>
                <w:bCs/>
                <w:color w:val="000000"/>
                <w:sz w:val="22"/>
                <w:szCs w:val="22"/>
              </w:rPr>
            </w:pPr>
          </w:p>
        </w:tc>
        <w:tc>
          <w:tcPr>
            <w:tcW w:w="1260" w:type="dxa"/>
            <w:vAlign w:val="center"/>
            <w:hideMark/>
          </w:tcPr>
          <w:p w14:paraId="229F5C18" w14:textId="77777777" w:rsidR="0048653D" w:rsidRPr="0048653D" w:rsidRDefault="0048653D" w:rsidP="0048653D">
            <w:pPr>
              <w:bidi w:val="0"/>
              <w:rPr>
                <w:b/>
                <w:bCs/>
                <w:color w:val="000000"/>
                <w:sz w:val="22"/>
                <w:szCs w:val="22"/>
              </w:rPr>
            </w:pPr>
            <w:r w:rsidRPr="0048653D">
              <w:rPr>
                <w:b/>
                <w:bCs/>
                <w:color w:val="000000"/>
                <w:sz w:val="22"/>
                <w:szCs w:val="22"/>
              </w:rPr>
              <w:t> </w:t>
            </w:r>
          </w:p>
        </w:tc>
      </w:tr>
      <w:tr w:rsidR="0048653D" w:rsidRPr="0048653D" w14:paraId="09A4649A" w14:textId="77777777" w:rsidTr="00BC2A2F">
        <w:trPr>
          <w:trHeight w:val="288"/>
        </w:trPr>
        <w:tc>
          <w:tcPr>
            <w:tcW w:w="1900" w:type="dxa"/>
            <w:noWrap/>
            <w:vAlign w:val="bottom"/>
            <w:hideMark/>
          </w:tcPr>
          <w:p w14:paraId="598ED714" w14:textId="77777777" w:rsidR="0048653D" w:rsidRPr="0048653D" w:rsidRDefault="0048653D" w:rsidP="0048653D">
            <w:pPr>
              <w:bidi w:val="0"/>
              <w:jc w:val="right"/>
              <w:rPr>
                <w:color w:val="000000"/>
                <w:sz w:val="22"/>
                <w:szCs w:val="22"/>
              </w:rPr>
            </w:pPr>
            <w:r w:rsidRPr="0048653D">
              <w:rPr>
                <w:color w:val="000000"/>
                <w:sz w:val="22"/>
                <w:szCs w:val="22"/>
              </w:rPr>
              <w:t>positive</w:t>
            </w:r>
          </w:p>
        </w:tc>
        <w:tc>
          <w:tcPr>
            <w:tcW w:w="939" w:type="dxa"/>
            <w:noWrap/>
            <w:vAlign w:val="bottom"/>
            <w:hideMark/>
          </w:tcPr>
          <w:p w14:paraId="57DE06E9" w14:textId="77777777" w:rsidR="0048653D" w:rsidRPr="0048653D" w:rsidRDefault="0048653D" w:rsidP="0048653D">
            <w:pPr>
              <w:bidi w:val="0"/>
              <w:jc w:val="center"/>
              <w:rPr>
                <w:color w:val="000000"/>
                <w:sz w:val="22"/>
                <w:szCs w:val="22"/>
              </w:rPr>
            </w:pPr>
            <w:r w:rsidRPr="0048653D">
              <w:rPr>
                <w:color w:val="000000"/>
                <w:sz w:val="22"/>
                <w:szCs w:val="22"/>
              </w:rPr>
              <w:t>42</w:t>
            </w:r>
          </w:p>
        </w:tc>
        <w:tc>
          <w:tcPr>
            <w:tcW w:w="751" w:type="dxa"/>
            <w:noWrap/>
            <w:vAlign w:val="bottom"/>
            <w:hideMark/>
          </w:tcPr>
          <w:p w14:paraId="7BBC0104" w14:textId="77777777" w:rsidR="0048653D" w:rsidRPr="0048653D" w:rsidRDefault="0048653D" w:rsidP="0048653D">
            <w:pPr>
              <w:bidi w:val="0"/>
              <w:jc w:val="center"/>
              <w:rPr>
                <w:color w:val="000000"/>
                <w:sz w:val="22"/>
                <w:szCs w:val="22"/>
              </w:rPr>
            </w:pPr>
            <w:r w:rsidRPr="0048653D">
              <w:rPr>
                <w:color w:val="000000"/>
                <w:sz w:val="22"/>
                <w:szCs w:val="22"/>
              </w:rPr>
              <w:t>16</w:t>
            </w:r>
          </w:p>
        </w:tc>
        <w:tc>
          <w:tcPr>
            <w:tcW w:w="810" w:type="dxa"/>
            <w:noWrap/>
            <w:vAlign w:val="bottom"/>
            <w:hideMark/>
          </w:tcPr>
          <w:p w14:paraId="767FF7A0" w14:textId="77777777" w:rsidR="0048653D" w:rsidRPr="0048653D" w:rsidRDefault="0048653D" w:rsidP="0048653D">
            <w:pPr>
              <w:bidi w:val="0"/>
              <w:jc w:val="center"/>
              <w:rPr>
                <w:color w:val="000000"/>
                <w:sz w:val="22"/>
                <w:szCs w:val="22"/>
              </w:rPr>
            </w:pPr>
            <w:r w:rsidRPr="0048653D">
              <w:rPr>
                <w:color w:val="000000"/>
                <w:sz w:val="22"/>
                <w:szCs w:val="22"/>
              </w:rPr>
              <w:t>38.1%</w:t>
            </w:r>
          </w:p>
        </w:tc>
        <w:tc>
          <w:tcPr>
            <w:tcW w:w="900" w:type="dxa"/>
            <w:noWrap/>
            <w:vAlign w:val="bottom"/>
            <w:hideMark/>
          </w:tcPr>
          <w:p w14:paraId="264BBB06" w14:textId="77777777" w:rsidR="0048653D" w:rsidRPr="0048653D" w:rsidRDefault="0048653D" w:rsidP="0048653D">
            <w:pPr>
              <w:bidi w:val="0"/>
              <w:jc w:val="center"/>
              <w:rPr>
                <w:color w:val="000000"/>
                <w:sz w:val="22"/>
                <w:szCs w:val="22"/>
              </w:rPr>
            </w:pPr>
            <w:r w:rsidRPr="0048653D">
              <w:rPr>
                <w:color w:val="000000"/>
                <w:sz w:val="22"/>
                <w:szCs w:val="22"/>
              </w:rPr>
              <w:t>26</w:t>
            </w:r>
          </w:p>
        </w:tc>
        <w:tc>
          <w:tcPr>
            <w:tcW w:w="990" w:type="dxa"/>
            <w:noWrap/>
            <w:vAlign w:val="bottom"/>
            <w:hideMark/>
          </w:tcPr>
          <w:p w14:paraId="42529F6F" w14:textId="77777777" w:rsidR="0048653D" w:rsidRPr="0048653D" w:rsidRDefault="0048653D" w:rsidP="0048653D">
            <w:pPr>
              <w:bidi w:val="0"/>
              <w:jc w:val="center"/>
              <w:rPr>
                <w:color w:val="000000"/>
                <w:sz w:val="22"/>
                <w:szCs w:val="22"/>
              </w:rPr>
            </w:pPr>
            <w:r w:rsidRPr="0048653D">
              <w:rPr>
                <w:color w:val="000000"/>
                <w:sz w:val="22"/>
                <w:szCs w:val="22"/>
              </w:rPr>
              <w:t>61.9%</w:t>
            </w:r>
          </w:p>
        </w:tc>
        <w:tc>
          <w:tcPr>
            <w:tcW w:w="1080" w:type="dxa"/>
            <w:noWrap/>
            <w:vAlign w:val="center"/>
            <w:hideMark/>
          </w:tcPr>
          <w:p w14:paraId="76BB3F63" w14:textId="77777777" w:rsidR="0048653D" w:rsidRPr="0048653D" w:rsidRDefault="0048653D" w:rsidP="0048653D">
            <w:pPr>
              <w:bidi w:val="0"/>
              <w:jc w:val="center"/>
              <w:rPr>
                <w:color w:val="000000"/>
                <w:sz w:val="22"/>
                <w:szCs w:val="22"/>
              </w:rPr>
            </w:pPr>
            <w:r w:rsidRPr="0048653D">
              <w:rPr>
                <w:color w:val="000000"/>
                <w:sz w:val="22"/>
                <w:szCs w:val="22"/>
              </w:rPr>
              <w:t>p &lt; 0.001</w:t>
            </w:r>
          </w:p>
        </w:tc>
        <w:tc>
          <w:tcPr>
            <w:tcW w:w="1260" w:type="dxa"/>
            <w:noWrap/>
            <w:vAlign w:val="center"/>
            <w:hideMark/>
          </w:tcPr>
          <w:p w14:paraId="087B9F8C" w14:textId="77777777" w:rsidR="0048653D" w:rsidRPr="0048653D" w:rsidRDefault="0048653D" w:rsidP="0048653D">
            <w:pPr>
              <w:bidi w:val="0"/>
              <w:jc w:val="center"/>
              <w:rPr>
                <w:color w:val="000000"/>
                <w:sz w:val="22"/>
                <w:szCs w:val="22"/>
              </w:rPr>
            </w:pPr>
            <w:r w:rsidRPr="0048653D">
              <w:rPr>
                <w:color w:val="000000"/>
                <w:sz w:val="22"/>
                <w:szCs w:val="22"/>
              </w:rPr>
              <w:t>0.49</w:t>
            </w:r>
          </w:p>
        </w:tc>
      </w:tr>
      <w:tr w:rsidR="0048653D" w:rsidRPr="0048653D" w14:paraId="0E932F21" w14:textId="77777777" w:rsidTr="00BC2A2F">
        <w:trPr>
          <w:trHeight w:val="288"/>
        </w:trPr>
        <w:tc>
          <w:tcPr>
            <w:tcW w:w="1900" w:type="dxa"/>
            <w:noWrap/>
            <w:vAlign w:val="bottom"/>
            <w:hideMark/>
          </w:tcPr>
          <w:p w14:paraId="02B417E7" w14:textId="77777777" w:rsidR="0048653D" w:rsidRPr="0048653D" w:rsidRDefault="0048653D" w:rsidP="0048653D">
            <w:pPr>
              <w:bidi w:val="0"/>
              <w:jc w:val="right"/>
              <w:rPr>
                <w:color w:val="000000"/>
                <w:sz w:val="22"/>
                <w:szCs w:val="22"/>
              </w:rPr>
            </w:pPr>
            <w:r w:rsidRPr="0048653D">
              <w:rPr>
                <w:color w:val="000000"/>
                <w:sz w:val="22"/>
                <w:szCs w:val="22"/>
              </w:rPr>
              <w:t>negative</w:t>
            </w:r>
          </w:p>
        </w:tc>
        <w:tc>
          <w:tcPr>
            <w:tcW w:w="939" w:type="dxa"/>
            <w:noWrap/>
            <w:vAlign w:val="bottom"/>
            <w:hideMark/>
          </w:tcPr>
          <w:p w14:paraId="5205B5FC" w14:textId="77777777" w:rsidR="0048653D" w:rsidRPr="0048653D" w:rsidRDefault="0048653D" w:rsidP="0048653D">
            <w:pPr>
              <w:bidi w:val="0"/>
              <w:jc w:val="center"/>
              <w:rPr>
                <w:color w:val="000000"/>
                <w:sz w:val="22"/>
                <w:szCs w:val="22"/>
              </w:rPr>
            </w:pPr>
            <w:r w:rsidRPr="0048653D">
              <w:rPr>
                <w:color w:val="000000"/>
                <w:sz w:val="22"/>
                <w:szCs w:val="22"/>
              </w:rPr>
              <w:t>42</w:t>
            </w:r>
          </w:p>
        </w:tc>
        <w:tc>
          <w:tcPr>
            <w:tcW w:w="751" w:type="dxa"/>
            <w:noWrap/>
            <w:vAlign w:val="bottom"/>
            <w:hideMark/>
          </w:tcPr>
          <w:p w14:paraId="40235FD0" w14:textId="77777777" w:rsidR="0048653D" w:rsidRPr="0048653D" w:rsidRDefault="0048653D" w:rsidP="0048653D">
            <w:pPr>
              <w:bidi w:val="0"/>
              <w:jc w:val="center"/>
              <w:rPr>
                <w:color w:val="000000"/>
                <w:sz w:val="22"/>
                <w:szCs w:val="22"/>
              </w:rPr>
            </w:pPr>
            <w:r w:rsidRPr="0048653D">
              <w:rPr>
                <w:color w:val="000000"/>
                <w:sz w:val="22"/>
                <w:szCs w:val="22"/>
              </w:rPr>
              <w:t>0</w:t>
            </w:r>
          </w:p>
        </w:tc>
        <w:tc>
          <w:tcPr>
            <w:tcW w:w="810" w:type="dxa"/>
            <w:noWrap/>
            <w:vAlign w:val="bottom"/>
            <w:hideMark/>
          </w:tcPr>
          <w:p w14:paraId="281F822F" w14:textId="77777777" w:rsidR="0048653D" w:rsidRPr="0048653D" w:rsidRDefault="0048653D" w:rsidP="0048653D">
            <w:pPr>
              <w:bidi w:val="0"/>
              <w:jc w:val="center"/>
              <w:rPr>
                <w:color w:val="000000"/>
                <w:sz w:val="22"/>
                <w:szCs w:val="22"/>
              </w:rPr>
            </w:pPr>
            <w:r w:rsidRPr="0048653D">
              <w:rPr>
                <w:color w:val="000000"/>
                <w:sz w:val="22"/>
                <w:szCs w:val="22"/>
              </w:rPr>
              <w:t>0.0%</w:t>
            </w:r>
          </w:p>
        </w:tc>
        <w:tc>
          <w:tcPr>
            <w:tcW w:w="900" w:type="dxa"/>
            <w:noWrap/>
            <w:vAlign w:val="bottom"/>
            <w:hideMark/>
          </w:tcPr>
          <w:p w14:paraId="5BD213D3" w14:textId="77777777" w:rsidR="0048653D" w:rsidRPr="0048653D" w:rsidRDefault="0048653D" w:rsidP="0048653D">
            <w:pPr>
              <w:bidi w:val="0"/>
              <w:jc w:val="center"/>
              <w:rPr>
                <w:color w:val="000000"/>
                <w:sz w:val="22"/>
                <w:szCs w:val="22"/>
              </w:rPr>
            </w:pPr>
            <w:r w:rsidRPr="0048653D">
              <w:rPr>
                <w:color w:val="000000"/>
                <w:sz w:val="22"/>
                <w:szCs w:val="22"/>
              </w:rPr>
              <w:t>42</w:t>
            </w:r>
          </w:p>
        </w:tc>
        <w:tc>
          <w:tcPr>
            <w:tcW w:w="990" w:type="dxa"/>
            <w:noWrap/>
            <w:vAlign w:val="bottom"/>
            <w:hideMark/>
          </w:tcPr>
          <w:p w14:paraId="254F5BD2" w14:textId="77777777" w:rsidR="0048653D" w:rsidRPr="0048653D" w:rsidRDefault="0048653D" w:rsidP="0048653D">
            <w:pPr>
              <w:bidi w:val="0"/>
              <w:jc w:val="center"/>
              <w:rPr>
                <w:color w:val="000000"/>
                <w:sz w:val="22"/>
                <w:szCs w:val="22"/>
              </w:rPr>
            </w:pPr>
            <w:r w:rsidRPr="0048653D">
              <w:rPr>
                <w:color w:val="000000"/>
                <w:sz w:val="22"/>
                <w:szCs w:val="22"/>
              </w:rPr>
              <w:t>100.0%</w:t>
            </w:r>
          </w:p>
        </w:tc>
        <w:tc>
          <w:tcPr>
            <w:tcW w:w="1080" w:type="dxa"/>
            <w:noWrap/>
            <w:vAlign w:val="center"/>
            <w:hideMark/>
          </w:tcPr>
          <w:p w14:paraId="70825CC8" w14:textId="77777777" w:rsidR="0048653D" w:rsidRPr="0048653D" w:rsidRDefault="0048653D" w:rsidP="0048653D">
            <w:pPr>
              <w:bidi w:val="0"/>
              <w:jc w:val="center"/>
              <w:rPr>
                <w:color w:val="000000"/>
                <w:sz w:val="22"/>
                <w:szCs w:val="22"/>
              </w:rPr>
            </w:pPr>
            <w:r w:rsidRPr="0048653D">
              <w:rPr>
                <w:color w:val="000000"/>
                <w:sz w:val="22"/>
                <w:szCs w:val="22"/>
              </w:rPr>
              <w:t> </w:t>
            </w:r>
          </w:p>
        </w:tc>
        <w:tc>
          <w:tcPr>
            <w:tcW w:w="1260" w:type="dxa"/>
            <w:noWrap/>
            <w:vAlign w:val="bottom"/>
            <w:hideMark/>
          </w:tcPr>
          <w:p w14:paraId="542E4829" w14:textId="77777777" w:rsidR="0048653D" w:rsidRPr="0048653D" w:rsidRDefault="0048653D" w:rsidP="0048653D">
            <w:pPr>
              <w:bidi w:val="0"/>
              <w:jc w:val="center"/>
              <w:rPr>
                <w:color w:val="000000"/>
                <w:sz w:val="22"/>
                <w:szCs w:val="22"/>
              </w:rPr>
            </w:pPr>
            <w:r w:rsidRPr="0048653D">
              <w:rPr>
                <w:color w:val="000000"/>
                <w:sz w:val="22"/>
                <w:szCs w:val="22"/>
              </w:rPr>
              <w:t> </w:t>
            </w:r>
          </w:p>
        </w:tc>
      </w:tr>
      <w:tr w:rsidR="0048653D" w:rsidRPr="0048653D" w14:paraId="74D3B3DD" w14:textId="77777777" w:rsidTr="00BC2A2F">
        <w:trPr>
          <w:trHeight w:val="288"/>
        </w:trPr>
        <w:tc>
          <w:tcPr>
            <w:tcW w:w="1900" w:type="dxa"/>
            <w:noWrap/>
            <w:vAlign w:val="bottom"/>
            <w:hideMark/>
          </w:tcPr>
          <w:p w14:paraId="3F83BD7C" w14:textId="77777777" w:rsidR="0048653D" w:rsidRPr="0048653D" w:rsidRDefault="0048653D" w:rsidP="0048653D">
            <w:pPr>
              <w:bidi w:val="0"/>
              <w:rPr>
                <w:color w:val="000000"/>
                <w:sz w:val="22"/>
                <w:szCs w:val="22"/>
              </w:rPr>
            </w:pPr>
            <w:r w:rsidRPr="0048653D">
              <w:rPr>
                <w:color w:val="000000"/>
                <w:sz w:val="22"/>
                <w:szCs w:val="22"/>
              </w:rPr>
              <w:t xml:space="preserve">Wheat </w:t>
            </w:r>
          </w:p>
        </w:tc>
        <w:tc>
          <w:tcPr>
            <w:tcW w:w="939" w:type="dxa"/>
            <w:noWrap/>
            <w:vAlign w:val="center"/>
            <w:hideMark/>
          </w:tcPr>
          <w:p w14:paraId="3C09163D" w14:textId="77777777" w:rsidR="0048653D" w:rsidRPr="0048653D" w:rsidRDefault="0048653D" w:rsidP="0048653D">
            <w:pPr>
              <w:bidi w:val="0"/>
              <w:rPr>
                <w:color w:val="000000"/>
                <w:sz w:val="22"/>
                <w:szCs w:val="22"/>
              </w:rPr>
            </w:pPr>
            <w:r w:rsidRPr="0048653D">
              <w:rPr>
                <w:color w:val="000000"/>
                <w:sz w:val="22"/>
                <w:szCs w:val="22"/>
              </w:rPr>
              <w:t> </w:t>
            </w:r>
          </w:p>
        </w:tc>
        <w:tc>
          <w:tcPr>
            <w:tcW w:w="751" w:type="dxa"/>
            <w:noWrap/>
            <w:vAlign w:val="center"/>
            <w:hideMark/>
          </w:tcPr>
          <w:p w14:paraId="43A6F3FB" w14:textId="77777777" w:rsidR="0048653D" w:rsidRPr="0048653D" w:rsidRDefault="0048653D" w:rsidP="0048653D">
            <w:pPr>
              <w:bidi w:val="0"/>
              <w:jc w:val="center"/>
              <w:rPr>
                <w:b/>
                <w:bCs/>
                <w:color w:val="000000"/>
                <w:sz w:val="22"/>
                <w:szCs w:val="22"/>
              </w:rPr>
            </w:pPr>
            <w:r w:rsidRPr="0048653D">
              <w:rPr>
                <w:b/>
                <w:bCs/>
                <w:color w:val="000000"/>
                <w:sz w:val="22"/>
                <w:szCs w:val="22"/>
              </w:rPr>
              <w:t> </w:t>
            </w:r>
          </w:p>
        </w:tc>
        <w:tc>
          <w:tcPr>
            <w:tcW w:w="810" w:type="dxa"/>
            <w:noWrap/>
            <w:vAlign w:val="center"/>
            <w:hideMark/>
          </w:tcPr>
          <w:p w14:paraId="76EACB82" w14:textId="77777777" w:rsidR="0048653D" w:rsidRPr="0048653D" w:rsidRDefault="0048653D" w:rsidP="0048653D">
            <w:pPr>
              <w:bidi w:val="0"/>
              <w:jc w:val="center"/>
              <w:rPr>
                <w:b/>
                <w:bCs/>
                <w:color w:val="000000"/>
                <w:sz w:val="22"/>
                <w:szCs w:val="22"/>
              </w:rPr>
            </w:pPr>
          </w:p>
        </w:tc>
        <w:tc>
          <w:tcPr>
            <w:tcW w:w="900" w:type="dxa"/>
            <w:noWrap/>
            <w:vAlign w:val="center"/>
            <w:hideMark/>
          </w:tcPr>
          <w:p w14:paraId="288E2693" w14:textId="77777777" w:rsidR="0048653D" w:rsidRPr="0048653D" w:rsidRDefault="0048653D" w:rsidP="0048653D">
            <w:pPr>
              <w:bidi w:val="0"/>
              <w:jc w:val="center"/>
              <w:rPr>
                <w:b/>
                <w:bCs/>
                <w:color w:val="000000"/>
                <w:sz w:val="22"/>
                <w:szCs w:val="22"/>
              </w:rPr>
            </w:pPr>
            <w:r w:rsidRPr="0048653D">
              <w:rPr>
                <w:b/>
                <w:bCs/>
                <w:color w:val="000000"/>
                <w:sz w:val="22"/>
                <w:szCs w:val="22"/>
              </w:rPr>
              <w:t> </w:t>
            </w:r>
          </w:p>
        </w:tc>
        <w:tc>
          <w:tcPr>
            <w:tcW w:w="990" w:type="dxa"/>
            <w:noWrap/>
            <w:vAlign w:val="center"/>
            <w:hideMark/>
          </w:tcPr>
          <w:p w14:paraId="706AA20D" w14:textId="77777777" w:rsidR="0048653D" w:rsidRPr="0048653D" w:rsidRDefault="0048653D" w:rsidP="0048653D">
            <w:pPr>
              <w:bidi w:val="0"/>
              <w:jc w:val="center"/>
              <w:rPr>
                <w:b/>
                <w:bCs/>
                <w:color w:val="000000"/>
                <w:sz w:val="22"/>
                <w:szCs w:val="22"/>
              </w:rPr>
            </w:pPr>
            <w:r w:rsidRPr="0048653D">
              <w:rPr>
                <w:b/>
                <w:bCs/>
                <w:color w:val="000000"/>
                <w:sz w:val="22"/>
                <w:szCs w:val="22"/>
              </w:rPr>
              <w:t> </w:t>
            </w:r>
          </w:p>
        </w:tc>
        <w:tc>
          <w:tcPr>
            <w:tcW w:w="1080" w:type="dxa"/>
            <w:noWrap/>
            <w:vAlign w:val="center"/>
            <w:hideMark/>
          </w:tcPr>
          <w:p w14:paraId="45D7C5F5" w14:textId="77777777" w:rsidR="0048653D" w:rsidRPr="0048653D" w:rsidRDefault="0048653D" w:rsidP="0048653D">
            <w:pPr>
              <w:bidi w:val="0"/>
              <w:jc w:val="center"/>
              <w:rPr>
                <w:b/>
                <w:bCs/>
                <w:color w:val="000000"/>
                <w:sz w:val="22"/>
                <w:szCs w:val="22"/>
              </w:rPr>
            </w:pPr>
          </w:p>
        </w:tc>
        <w:tc>
          <w:tcPr>
            <w:tcW w:w="1260" w:type="dxa"/>
            <w:vAlign w:val="center"/>
            <w:hideMark/>
          </w:tcPr>
          <w:p w14:paraId="01D21DF3" w14:textId="77777777" w:rsidR="0048653D" w:rsidRPr="0048653D" w:rsidRDefault="0048653D" w:rsidP="0048653D">
            <w:pPr>
              <w:bidi w:val="0"/>
              <w:rPr>
                <w:b/>
                <w:bCs/>
                <w:color w:val="000000"/>
                <w:sz w:val="22"/>
                <w:szCs w:val="22"/>
              </w:rPr>
            </w:pPr>
            <w:r w:rsidRPr="0048653D">
              <w:rPr>
                <w:b/>
                <w:bCs/>
                <w:color w:val="000000"/>
                <w:sz w:val="22"/>
                <w:szCs w:val="22"/>
              </w:rPr>
              <w:t> </w:t>
            </w:r>
          </w:p>
        </w:tc>
      </w:tr>
      <w:tr w:rsidR="0048653D" w:rsidRPr="0048653D" w14:paraId="1AA63FA9" w14:textId="77777777" w:rsidTr="00BC2A2F">
        <w:trPr>
          <w:trHeight w:val="288"/>
        </w:trPr>
        <w:tc>
          <w:tcPr>
            <w:tcW w:w="1900" w:type="dxa"/>
            <w:noWrap/>
            <w:vAlign w:val="bottom"/>
            <w:hideMark/>
          </w:tcPr>
          <w:p w14:paraId="78A81527" w14:textId="77777777" w:rsidR="0048653D" w:rsidRPr="0048653D" w:rsidRDefault="0048653D" w:rsidP="0048653D">
            <w:pPr>
              <w:bidi w:val="0"/>
              <w:jc w:val="right"/>
              <w:rPr>
                <w:color w:val="000000"/>
                <w:sz w:val="22"/>
                <w:szCs w:val="22"/>
              </w:rPr>
            </w:pPr>
            <w:r w:rsidRPr="0048653D">
              <w:rPr>
                <w:color w:val="000000"/>
                <w:sz w:val="22"/>
                <w:szCs w:val="22"/>
              </w:rPr>
              <w:t>positive</w:t>
            </w:r>
          </w:p>
        </w:tc>
        <w:tc>
          <w:tcPr>
            <w:tcW w:w="939" w:type="dxa"/>
            <w:noWrap/>
            <w:vAlign w:val="bottom"/>
            <w:hideMark/>
          </w:tcPr>
          <w:p w14:paraId="63407147" w14:textId="77777777" w:rsidR="0048653D" w:rsidRPr="0048653D" w:rsidRDefault="0048653D" w:rsidP="0048653D">
            <w:pPr>
              <w:bidi w:val="0"/>
              <w:jc w:val="center"/>
              <w:rPr>
                <w:color w:val="000000"/>
                <w:sz w:val="22"/>
                <w:szCs w:val="22"/>
              </w:rPr>
            </w:pPr>
            <w:r w:rsidRPr="0048653D">
              <w:rPr>
                <w:color w:val="000000"/>
                <w:sz w:val="22"/>
                <w:szCs w:val="22"/>
              </w:rPr>
              <w:t>28</w:t>
            </w:r>
          </w:p>
        </w:tc>
        <w:tc>
          <w:tcPr>
            <w:tcW w:w="751" w:type="dxa"/>
            <w:noWrap/>
            <w:vAlign w:val="bottom"/>
            <w:hideMark/>
          </w:tcPr>
          <w:p w14:paraId="3A46913A" w14:textId="77777777" w:rsidR="0048653D" w:rsidRPr="0048653D" w:rsidRDefault="0048653D" w:rsidP="0048653D">
            <w:pPr>
              <w:bidi w:val="0"/>
              <w:jc w:val="center"/>
              <w:rPr>
                <w:color w:val="000000"/>
                <w:sz w:val="22"/>
                <w:szCs w:val="22"/>
              </w:rPr>
            </w:pPr>
            <w:r w:rsidRPr="0048653D">
              <w:rPr>
                <w:color w:val="000000"/>
                <w:sz w:val="22"/>
                <w:szCs w:val="22"/>
              </w:rPr>
              <w:t>16</w:t>
            </w:r>
          </w:p>
        </w:tc>
        <w:tc>
          <w:tcPr>
            <w:tcW w:w="810" w:type="dxa"/>
            <w:noWrap/>
            <w:vAlign w:val="bottom"/>
            <w:hideMark/>
          </w:tcPr>
          <w:p w14:paraId="403E2F25" w14:textId="77777777" w:rsidR="0048653D" w:rsidRPr="0048653D" w:rsidRDefault="0048653D" w:rsidP="0048653D">
            <w:pPr>
              <w:bidi w:val="0"/>
              <w:jc w:val="center"/>
              <w:rPr>
                <w:color w:val="000000"/>
                <w:sz w:val="22"/>
                <w:szCs w:val="22"/>
              </w:rPr>
            </w:pPr>
            <w:r w:rsidRPr="0048653D">
              <w:rPr>
                <w:color w:val="000000"/>
                <w:sz w:val="22"/>
                <w:szCs w:val="22"/>
              </w:rPr>
              <w:t>57.1%</w:t>
            </w:r>
          </w:p>
        </w:tc>
        <w:tc>
          <w:tcPr>
            <w:tcW w:w="900" w:type="dxa"/>
            <w:noWrap/>
            <w:vAlign w:val="bottom"/>
            <w:hideMark/>
          </w:tcPr>
          <w:p w14:paraId="2CA36673" w14:textId="77777777" w:rsidR="0048653D" w:rsidRPr="0048653D" w:rsidRDefault="0048653D" w:rsidP="0048653D">
            <w:pPr>
              <w:bidi w:val="0"/>
              <w:jc w:val="center"/>
              <w:rPr>
                <w:color w:val="000000"/>
                <w:sz w:val="22"/>
                <w:szCs w:val="22"/>
              </w:rPr>
            </w:pPr>
            <w:r w:rsidRPr="0048653D">
              <w:rPr>
                <w:color w:val="000000"/>
                <w:sz w:val="22"/>
                <w:szCs w:val="22"/>
              </w:rPr>
              <w:t>12</w:t>
            </w:r>
          </w:p>
        </w:tc>
        <w:tc>
          <w:tcPr>
            <w:tcW w:w="990" w:type="dxa"/>
            <w:noWrap/>
            <w:vAlign w:val="bottom"/>
            <w:hideMark/>
          </w:tcPr>
          <w:p w14:paraId="139E129C" w14:textId="77777777" w:rsidR="0048653D" w:rsidRPr="0048653D" w:rsidRDefault="0048653D" w:rsidP="0048653D">
            <w:pPr>
              <w:bidi w:val="0"/>
              <w:jc w:val="center"/>
              <w:rPr>
                <w:color w:val="000000"/>
                <w:sz w:val="22"/>
                <w:szCs w:val="22"/>
              </w:rPr>
            </w:pPr>
            <w:r w:rsidRPr="0048653D">
              <w:rPr>
                <w:color w:val="000000"/>
                <w:sz w:val="22"/>
                <w:szCs w:val="22"/>
              </w:rPr>
              <w:t>42.9%</w:t>
            </w:r>
          </w:p>
        </w:tc>
        <w:tc>
          <w:tcPr>
            <w:tcW w:w="1080" w:type="dxa"/>
            <w:noWrap/>
            <w:vAlign w:val="center"/>
            <w:hideMark/>
          </w:tcPr>
          <w:p w14:paraId="323CB36E" w14:textId="77777777" w:rsidR="0048653D" w:rsidRPr="0048653D" w:rsidRDefault="0048653D" w:rsidP="0048653D">
            <w:pPr>
              <w:bidi w:val="0"/>
              <w:jc w:val="center"/>
              <w:rPr>
                <w:color w:val="000000"/>
                <w:sz w:val="22"/>
                <w:szCs w:val="22"/>
              </w:rPr>
            </w:pPr>
            <w:r w:rsidRPr="0048653D">
              <w:rPr>
                <w:color w:val="000000"/>
                <w:sz w:val="22"/>
                <w:szCs w:val="22"/>
              </w:rPr>
              <w:t>p &lt; 0.001</w:t>
            </w:r>
          </w:p>
        </w:tc>
        <w:tc>
          <w:tcPr>
            <w:tcW w:w="1260" w:type="dxa"/>
            <w:noWrap/>
            <w:vAlign w:val="center"/>
            <w:hideMark/>
          </w:tcPr>
          <w:p w14:paraId="5DBC44BF" w14:textId="77777777" w:rsidR="0048653D" w:rsidRPr="0048653D" w:rsidRDefault="0048653D" w:rsidP="0048653D">
            <w:pPr>
              <w:bidi w:val="0"/>
              <w:jc w:val="center"/>
              <w:rPr>
                <w:color w:val="000000"/>
                <w:sz w:val="22"/>
                <w:szCs w:val="22"/>
              </w:rPr>
            </w:pPr>
            <w:r w:rsidRPr="0048653D">
              <w:rPr>
                <w:color w:val="000000"/>
                <w:sz w:val="22"/>
                <w:szCs w:val="22"/>
              </w:rPr>
              <w:t>0.69</w:t>
            </w:r>
          </w:p>
        </w:tc>
      </w:tr>
      <w:tr w:rsidR="0048653D" w:rsidRPr="0048653D" w14:paraId="1366171B" w14:textId="77777777" w:rsidTr="00BC2A2F">
        <w:trPr>
          <w:trHeight w:val="288"/>
        </w:trPr>
        <w:tc>
          <w:tcPr>
            <w:tcW w:w="1900" w:type="dxa"/>
            <w:noWrap/>
            <w:vAlign w:val="bottom"/>
            <w:hideMark/>
          </w:tcPr>
          <w:p w14:paraId="76E4FBED" w14:textId="77777777" w:rsidR="0048653D" w:rsidRPr="0048653D" w:rsidRDefault="0048653D" w:rsidP="0048653D">
            <w:pPr>
              <w:bidi w:val="0"/>
              <w:jc w:val="right"/>
              <w:rPr>
                <w:color w:val="000000"/>
                <w:sz w:val="22"/>
                <w:szCs w:val="22"/>
              </w:rPr>
            </w:pPr>
            <w:r w:rsidRPr="0048653D">
              <w:rPr>
                <w:color w:val="000000"/>
                <w:sz w:val="22"/>
                <w:szCs w:val="22"/>
              </w:rPr>
              <w:t>negative</w:t>
            </w:r>
          </w:p>
        </w:tc>
        <w:tc>
          <w:tcPr>
            <w:tcW w:w="939" w:type="dxa"/>
            <w:noWrap/>
            <w:vAlign w:val="bottom"/>
            <w:hideMark/>
          </w:tcPr>
          <w:p w14:paraId="49A1A284" w14:textId="77777777" w:rsidR="0048653D" w:rsidRPr="0048653D" w:rsidRDefault="0048653D" w:rsidP="0048653D">
            <w:pPr>
              <w:bidi w:val="0"/>
              <w:jc w:val="center"/>
              <w:rPr>
                <w:color w:val="000000"/>
                <w:sz w:val="22"/>
                <w:szCs w:val="22"/>
              </w:rPr>
            </w:pPr>
            <w:r w:rsidRPr="0048653D">
              <w:rPr>
                <w:color w:val="000000"/>
                <w:sz w:val="22"/>
                <w:szCs w:val="22"/>
              </w:rPr>
              <w:t>56</w:t>
            </w:r>
          </w:p>
        </w:tc>
        <w:tc>
          <w:tcPr>
            <w:tcW w:w="751" w:type="dxa"/>
            <w:noWrap/>
            <w:vAlign w:val="bottom"/>
            <w:hideMark/>
          </w:tcPr>
          <w:p w14:paraId="58E47FB0" w14:textId="77777777" w:rsidR="0048653D" w:rsidRPr="0048653D" w:rsidRDefault="0048653D" w:rsidP="0048653D">
            <w:pPr>
              <w:bidi w:val="0"/>
              <w:jc w:val="center"/>
              <w:rPr>
                <w:color w:val="000000"/>
                <w:sz w:val="22"/>
                <w:szCs w:val="22"/>
              </w:rPr>
            </w:pPr>
            <w:r w:rsidRPr="0048653D">
              <w:rPr>
                <w:color w:val="000000"/>
                <w:sz w:val="22"/>
                <w:szCs w:val="22"/>
              </w:rPr>
              <w:t>0</w:t>
            </w:r>
          </w:p>
        </w:tc>
        <w:tc>
          <w:tcPr>
            <w:tcW w:w="810" w:type="dxa"/>
            <w:noWrap/>
            <w:vAlign w:val="bottom"/>
            <w:hideMark/>
          </w:tcPr>
          <w:p w14:paraId="510365B1" w14:textId="77777777" w:rsidR="0048653D" w:rsidRPr="0048653D" w:rsidRDefault="0048653D" w:rsidP="0048653D">
            <w:pPr>
              <w:bidi w:val="0"/>
              <w:jc w:val="center"/>
              <w:rPr>
                <w:color w:val="000000"/>
                <w:sz w:val="22"/>
                <w:szCs w:val="22"/>
              </w:rPr>
            </w:pPr>
            <w:r w:rsidRPr="0048653D">
              <w:rPr>
                <w:color w:val="000000"/>
                <w:sz w:val="22"/>
                <w:szCs w:val="22"/>
              </w:rPr>
              <w:t>0.0%</w:t>
            </w:r>
          </w:p>
        </w:tc>
        <w:tc>
          <w:tcPr>
            <w:tcW w:w="900" w:type="dxa"/>
            <w:noWrap/>
            <w:vAlign w:val="bottom"/>
            <w:hideMark/>
          </w:tcPr>
          <w:p w14:paraId="0A612094" w14:textId="77777777" w:rsidR="0048653D" w:rsidRPr="0048653D" w:rsidRDefault="0048653D" w:rsidP="0048653D">
            <w:pPr>
              <w:bidi w:val="0"/>
              <w:jc w:val="center"/>
              <w:rPr>
                <w:color w:val="000000"/>
                <w:sz w:val="22"/>
                <w:szCs w:val="22"/>
              </w:rPr>
            </w:pPr>
            <w:r w:rsidRPr="0048653D">
              <w:rPr>
                <w:color w:val="000000"/>
                <w:sz w:val="22"/>
                <w:szCs w:val="22"/>
              </w:rPr>
              <w:t>56</w:t>
            </w:r>
          </w:p>
        </w:tc>
        <w:tc>
          <w:tcPr>
            <w:tcW w:w="990" w:type="dxa"/>
            <w:noWrap/>
            <w:vAlign w:val="bottom"/>
            <w:hideMark/>
          </w:tcPr>
          <w:p w14:paraId="4B2B891C" w14:textId="77777777" w:rsidR="0048653D" w:rsidRPr="0048653D" w:rsidRDefault="0048653D" w:rsidP="0048653D">
            <w:pPr>
              <w:bidi w:val="0"/>
              <w:jc w:val="center"/>
              <w:rPr>
                <w:color w:val="000000"/>
                <w:sz w:val="22"/>
                <w:szCs w:val="22"/>
              </w:rPr>
            </w:pPr>
            <w:r w:rsidRPr="0048653D">
              <w:rPr>
                <w:color w:val="000000"/>
                <w:sz w:val="22"/>
                <w:szCs w:val="22"/>
              </w:rPr>
              <w:t>100.0%</w:t>
            </w:r>
          </w:p>
        </w:tc>
        <w:tc>
          <w:tcPr>
            <w:tcW w:w="1080" w:type="dxa"/>
            <w:noWrap/>
            <w:vAlign w:val="center"/>
            <w:hideMark/>
          </w:tcPr>
          <w:p w14:paraId="6037CB9D" w14:textId="77777777" w:rsidR="0048653D" w:rsidRPr="0048653D" w:rsidRDefault="0048653D" w:rsidP="0048653D">
            <w:pPr>
              <w:bidi w:val="0"/>
              <w:jc w:val="center"/>
              <w:rPr>
                <w:color w:val="000000"/>
                <w:sz w:val="22"/>
                <w:szCs w:val="22"/>
              </w:rPr>
            </w:pPr>
            <w:r w:rsidRPr="0048653D">
              <w:rPr>
                <w:color w:val="000000"/>
                <w:sz w:val="22"/>
                <w:szCs w:val="22"/>
              </w:rPr>
              <w:t> </w:t>
            </w:r>
          </w:p>
        </w:tc>
        <w:tc>
          <w:tcPr>
            <w:tcW w:w="1260" w:type="dxa"/>
            <w:noWrap/>
            <w:vAlign w:val="bottom"/>
            <w:hideMark/>
          </w:tcPr>
          <w:p w14:paraId="578B3B12" w14:textId="77777777" w:rsidR="0048653D" w:rsidRPr="0048653D" w:rsidRDefault="0048653D" w:rsidP="0048653D">
            <w:pPr>
              <w:bidi w:val="0"/>
              <w:jc w:val="center"/>
              <w:rPr>
                <w:color w:val="000000"/>
                <w:sz w:val="22"/>
                <w:szCs w:val="22"/>
              </w:rPr>
            </w:pPr>
            <w:r w:rsidRPr="0048653D">
              <w:rPr>
                <w:color w:val="000000"/>
                <w:sz w:val="22"/>
                <w:szCs w:val="22"/>
              </w:rPr>
              <w:t> </w:t>
            </w:r>
          </w:p>
        </w:tc>
      </w:tr>
      <w:tr w:rsidR="0048653D" w:rsidRPr="0048653D" w14:paraId="76C432F0" w14:textId="77777777" w:rsidTr="00BC2A2F">
        <w:trPr>
          <w:trHeight w:val="288"/>
        </w:trPr>
        <w:tc>
          <w:tcPr>
            <w:tcW w:w="1900" w:type="dxa"/>
            <w:noWrap/>
            <w:vAlign w:val="bottom"/>
            <w:hideMark/>
          </w:tcPr>
          <w:p w14:paraId="4E911A0F" w14:textId="77777777" w:rsidR="0048653D" w:rsidRPr="0048653D" w:rsidRDefault="0048653D" w:rsidP="0048653D">
            <w:pPr>
              <w:bidi w:val="0"/>
              <w:rPr>
                <w:color w:val="000000"/>
                <w:sz w:val="22"/>
                <w:szCs w:val="22"/>
              </w:rPr>
            </w:pPr>
            <w:r w:rsidRPr="0048653D">
              <w:rPr>
                <w:color w:val="000000"/>
                <w:sz w:val="22"/>
                <w:szCs w:val="22"/>
              </w:rPr>
              <w:t>Soy</w:t>
            </w:r>
          </w:p>
        </w:tc>
        <w:tc>
          <w:tcPr>
            <w:tcW w:w="939" w:type="dxa"/>
            <w:noWrap/>
            <w:vAlign w:val="center"/>
            <w:hideMark/>
          </w:tcPr>
          <w:p w14:paraId="2FA19495" w14:textId="77777777" w:rsidR="0048653D" w:rsidRPr="0048653D" w:rsidRDefault="0048653D" w:rsidP="0048653D">
            <w:pPr>
              <w:bidi w:val="0"/>
              <w:rPr>
                <w:color w:val="000000"/>
                <w:sz w:val="22"/>
                <w:szCs w:val="22"/>
              </w:rPr>
            </w:pPr>
            <w:r w:rsidRPr="0048653D">
              <w:rPr>
                <w:color w:val="000000"/>
                <w:sz w:val="22"/>
                <w:szCs w:val="22"/>
              </w:rPr>
              <w:t> </w:t>
            </w:r>
          </w:p>
        </w:tc>
        <w:tc>
          <w:tcPr>
            <w:tcW w:w="751" w:type="dxa"/>
            <w:noWrap/>
            <w:vAlign w:val="center"/>
            <w:hideMark/>
          </w:tcPr>
          <w:p w14:paraId="64CDD784" w14:textId="77777777" w:rsidR="0048653D" w:rsidRPr="0048653D" w:rsidRDefault="0048653D" w:rsidP="0048653D">
            <w:pPr>
              <w:bidi w:val="0"/>
              <w:jc w:val="center"/>
              <w:rPr>
                <w:b/>
                <w:bCs/>
                <w:color w:val="000000"/>
                <w:sz w:val="22"/>
                <w:szCs w:val="22"/>
              </w:rPr>
            </w:pPr>
            <w:r w:rsidRPr="0048653D">
              <w:rPr>
                <w:b/>
                <w:bCs/>
                <w:color w:val="000000"/>
                <w:sz w:val="22"/>
                <w:szCs w:val="22"/>
              </w:rPr>
              <w:t> </w:t>
            </w:r>
          </w:p>
        </w:tc>
        <w:tc>
          <w:tcPr>
            <w:tcW w:w="810" w:type="dxa"/>
            <w:noWrap/>
            <w:vAlign w:val="center"/>
            <w:hideMark/>
          </w:tcPr>
          <w:p w14:paraId="47D1D66B" w14:textId="77777777" w:rsidR="0048653D" w:rsidRPr="0048653D" w:rsidRDefault="0048653D" w:rsidP="0048653D">
            <w:pPr>
              <w:bidi w:val="0"/>
              <w:jc w:val="center"/>
              <w:rPr>
                <w:b/>
                <w:bCs/>
                <w:color w:val="000000"/>
                <w:sz w:val="22"/>
                <w:szCs w:val="22"/>
              </w:rPr>
            </w:pPr>
          </w:p>
        </w:tc>
        <w:tc>
          <w:tcPr>
            <w:tcW w:w="900" w:type="dxa"/>
            <w:noWrap/>
            <w:vAlign w:val="center"/>
            <w:hideMark/>
          </w:tcPr>
          <w:p w14:paraId="581B9D30" w14:textId="77777777" w:rsidR="0048653D" w:rsidRPr="0048653D" w:rsidRDefault="0048653D" w:rsidP="0048653D">
            <w:pPr>
              <w:bidi w:val="0"/>
              <w:jc w:val="center"/>
              <w:rPr>
                <w:b/>
                <w:bCs/>
                <w:color w:val="000000"/>
                <w:sz w:val="22"/>
                <w:szCs w:val="22"/>
              </w:rPr>
            </w:pPr>
            <w:r w:rsidRPr="0048653D">
              <w:rPr>
                <w:b/>
                <w:bCs/>
                <w:color w:val="000000"/>
                <w:sz w:val="22"/>
                <w:szCs w:val="22"/>
              </w:rPr>
              <w:t> </w:t>
            </w:r>
          </w:p>
        </w:tc>
        <w:tc>
          <w:tcPr>
            <w:tcW w:w="990" w:type="dxa"/>
            <w:noWrap/>
            <w:vAlign w:val="center"/>
            <w:hideMark/>
          </w:tcPr>
          <w:p w14:paraId="366A1DDE" w14:textId="77777777" w:rsidR="0048653D" w:rsidRPr="0048653D" w:rsidRDefault="0048653D" w:rsidP="0048653D">
            <w:pPr>
              <w:bidi w:val="0"/>
              <w:jc w:val="center"/>
              <w:rPr>
                <w:b/>
                <w:bCs/>
                <w:color w:val="000000"/>
                <w:sz w:val="22"/>
                <w:szCs w:val="22"/>
              </w:rPr>
            </w:pPr>
            <w:r w:rsidRPr="0048653D">
              <w:rPr>
                <w:b/>
                <w:bCs/>
                <w:color w:val="000000"/>
                <w:sz w:val="22"/>
                <w:szCs w:val="22"/>
              </w:rPr>
              <w:t> </w:t>
            </w:r>
          </w:p>
        </w:tc>
        <w:tc>
          <w:tcPr>
            <w:tcW w:w="1080" w:type="dxa"/>
            <w:noWrap/>
            <w:vAlign w:val="center"/>
            <w:hideMark/>
          </w:tcPr>
          <w:p w14:paraId="2008A8EA" w14:textId="77777777" w:rsidR="0048653D" w:rsidRPr="0048653D" w:rsidRDefault="0048653D" w:rsidP="0048653D">
            <w:pPr>
              <w:bidi w:val="0"/>
              <w:jc w:val="center"/>
              <w:rPr>
                <w:b/>
                <w:bCs/>
                <w:color w:val="000000"/>
                <w:sz w:val="22"/>
                <w:szCs w:val="22"/>
              </w:rPr>
            </w:pPr>
          </w:p>
        </w:tc>
        <w:tc>
          <w:tcPr>
            <w:tcW w:w="1260" w:type="dxa"/>
            <w:vAlign w:val="center"/>
            <w:hideMark/>
          </w:tcPr>
          <w:p w14:paraId="0744D5A1" w14:textId="77777777" w:rsidR="0048653D" w:rsidRPr="0048653D" w:rsidRDefault="0048653D" w:rsidP="0048653D">
            <w:pPr>
              <w:bidi w:val="0"/>
              <w:rPr>
                <w:b/>
                <w:bCs/>
                <w:color w:val="000000"/>
                <w:sz w:val="22"/>
                <w:szCs w:val="22"/>
              </w:rPr>
            </w:pPr>
            <w:r w:rsidRPr="0048653D">
              <w:rPr>
                <w:b/>
                <w:bCs/>
                <w:color w:val="000000"/>
                <w:sz w:val="22"/>
                <w:szCs w:val="22"/>
              </w:rPr>
              <w:t> </w:t>
            </w:r>
          </w:p>
        </w:tc>
      </w:tr>
      <w:tr w:rsidR="0048653D" w:rsidRPr="0048653D" w14:paraId="1B635F43" w14:textId="77777777" w:rsidTr="00BC2A2F">
        <w:trPr>
          <w:trHeight w:val="288"/>
        </w:trPr>
        <w:tc>
          <w:tcPr>
            <w:tcW w:w="1900" w:type="dxa"/>
            <w:noWrap/>
            <w:vAlign w:val="bottom"/>
            <w:hideMark/>
          </w:tcPr>
          <w:p w14:paraId="5FE31CE4" w14:textId="77777777" w:rsidR="0048653D" w:rsidRPr="0048653D" w:rsidRDefault="0048653D" w:rsidP="0048653D">
            <w:pPr>
              <w:bidi w:val="0"/>
              <w:jc w:val="right"/>
              <w:rPr>
                <w:color w:val="000000"/>
                <w:sz w:val="22"/>
                <w:szCs w:val="22"/>
              </w:rPr>
            </w:pPr>
            <w:r w:rsidRPr="0048653D">
              <w:rPr>
                <w:color w:val="000000"/>
                <w:sz w:val="22"/>
                <w:szCs w:val="22"/>
              </w:rPr>
              <w:t>positive</w:t>
            </w:r>
          </w:p>
        </w:tc>
        <w:tc>
          <w:tcPr>
            <w:tcW w:w="939" w:type="dxa"/>
            <w:noWrap/>
            <w:vAlign w:val="bottom"/>
            <w:hideMark/>
          </w:tcPr>
          <w:p w14:paraId="26D852D6" w14:textId="77777777" w:rsidR="0048653D" w:rsidRPr="0048653D" w:rsidRDefault="0048653D" w:rsidP="0048653D">
            <w:pPr>
              <w:bidi w:val="0"/>
              <w:jc w:val="center"/>
              <w:rPr>
                <w:color w:val="000000"/>
                <w:sz w:val="22"/>
                <w:szCs w:val="22"/>
              </w:rPr>
            </w:pPr>
            <w:r w:rsidRPr="0048653D">
              <w:rPr>
                <w:color w:val="000000"/>
                <w:sz w:val="22"/>
                <w:szCs w:val="22"/>
              </w:rPr>
              <w:t>20</w:t>
            </w:r>
          </w:p>
        </w:tc>
        <w:tc>
          <w:tcPr>
            <w:tcW w:w="751" w:type="dxa"/>
            <w:noWrap/>
            <w:vAlign w:val="bottom"/>
            <w:hideMark/>
          </w:tcPr>
          <w:p w14:paraId="53EEA6D2" w14:textId="77777777" w:rsidR="0048653D" w:rsidRPr="0048653D" w:rsidRDefault="0048653D" w:rsidP="0048653D">
            <w:pPr>
              <w:bidi w:val="0"/>
              <w:jc w:val="center"/>
              <w:rPr>
                <w:color w:val="000000"/>
                <w:sz w:val="22"/>
                <w:szCs w:val="22"/>
              </w:rPr>
            </w:pPr>
            <w:r w:rsidRPr="0048653D">
              <w:rPr>
                <w:color w:val="000000"/>
                <w:sz w:val="22"/>
                <w:szCs w:val="22"/>
              </w:rPr>
              <w:t>16</w:t>
            </w:r>
          </w:p>
        </w:tc>
        <w:tc>
          <w:tcPr>
            <w:tcW w:w="810" w:type="dxa"/>
            <w:noWrap/>
            <w:vAlign w:val="bottom"/>
            <w:hideMark/>
          </w:tcPr>
          <w:p w14:paraId="0582A048" w14:textId="77777777" w:rsidR="0048653D" w:rsidRPr="0048653D" w:rsidRDefault="0048653D" w:rsidP="0048653D">
            <w:pPr>
              <w:bidi w:val="0"/>
              <w:jc w:val="center"/>
              <w:rPr>
                <w:color w:val="000000"/>
                <w:sz w:val="22"/>
                <w:szCs w:val="22"/>
              </w:rPr>
            </w:pPr>
            <w:r w:rsidRPr="0048653D">
              <w:rPr>
                <w:color w:val="000000"/>
                <w:sz w:val="22"/>
                <w:szCs w:val="22"/>
              </w:rPr>
              <w:t>80.0%</w:t>
            </w:r>
          </w:p>
        </w:tc>
        <w:tc>
          <w:tcPr>
            <w:tcW w:w="900" w:type="dxa"/>
            <w:noWrap/>
            <w:vAlign w:val="bottom"/>
            <w:hideMark/>
          </w:tcPr>
          <w:p w14:paraId="7F4BA366" w14:textId="77777777" w:rsidR="0048653D" w:rsidRPr="0048653D" w:rsidRDefault="0048653D" w:rsidP="0048653D">
            <w:pPr>
              <w:bidi w:val="0"/>
              <w:jc w:val="center"/>
              <w:rPr>
                <w:color w:val="000000"/>
                <w:sz w:val="22"/>
                <w:szCs w:val="22"/>
              </w:rPr>
            </w:pPr>
            <w:r w:rsidRPr="0048653D">
              <w:rPr>
                <w:color w:val="000000"/>
                <w:sz w:val="22"/>
                <w:szCs w:val="22"/>
              </w:rPr>
              <w:t>4</w:t>
            </w:r>
          </w:p>
        </w:tc>
        <w:tc>
          <w:tcPr>
            <w:tcW w:w="990" w:type="dxa"/>
            <w:noWrap/>
            <w:vAlign w:val="bottom"/>
            <w:hideMark/>
          </w:tcPr>
          <w:p w14:paraId="13C87791" w14:textId="77777777" w:rsidR="0048653D" w:rsidRPr="0048653D" w:rsidRDefault="0048653D" w:rsidP="0048653D">
            <w:pPr>
              <w:bidi w:val="0"/>
              <w:jc w:val="center"/>
              <w:rPr>
                <w:color w:val="000000"/>
                <w:sz w:val="22"/>
                <w:szCs w:val="22"/>
              </w:rPr>
            </w:pPr>
            <w:r w:rsidRPr="0048653D">
              <w:rPr>
                <w:color w:val="000000"/>
                <w:sz w:val="22"/>
                <w:szCs w:val="22"/>
              </w:rPr>
              <w:t>20.0%</w:t>
            </w:r>
          </w:p>
        </w:tc>
        <w:tc>
          <w:tcPr>
            <w:tcW w:w="1080" w:type="dxa"/>
            <w:noWrap/>
            <w:vAlign w:val="center"/>
            <w:hideMark/>
          </w:tcPr>
          <w:p w14:paraId="0C9FC4BB" w14:textId="77777777" w:rsidR="0048653D" w:rsidRPr="0048653D" w:rsidRDefault="0048653D" w:rsidP="0048653D">
            <w:pPr>
              <w:bidi w:val="0"/>
              <w:jc w:val="center"/>
              <w:rPr>
                <w:color w:val="000000"/>
                <w:sz w:val="22"/>
                <w:szCs w:val="22"/>
              </w:rPr>
            </w:pPr>
            <w:r w:rsidRPr="0048653D">
              <w:rPr>
                <w:color w:val="000000"/>
                <w:sz w:val="22"/>
                <w:szCs w:val="22"/>
              </w:rPr>
              <w:t>p &lt; 0.001</w:t>
            </w:r>
          </w:p>
        </w:tc>
        <w:tc>
          <w:tcPr>
            <w:tcW w:w="1260" w:type="dxa"/>
            <w:noWrap/>
            <w:vAlign w:val="center"/>
            <w:hideMark/>
          </w:tcPr>
          <w:p w14:paraId="684ADF3F" w14:textId="77777777" w:rsidR="0048653D" w:rsidRPr="0048653D" w:rsidRDefault="0048653D" w:rsidP="0048653D">
            <w:pPr>
              <w:bidi w:val="0"/>
              <w:jc w:val="center"/>
              <w:rPr>
                <w:color w:val="000000"/>
                <w:sz w:val="22"/>
                <w:szCs w:val="22"/>
              </w:rPr>
            </w:pPr>
            <w:r w:rsidRPr="0048653D">
              <w:rPr>
                <w:color w:val="000000"/>
                <w:sz w:val="22"/>
                <w:szCs w:val="22"/>
              </w:rPr>
              <w:t>0.8</w:t>
            </w:r>
          </w:p>
        </w:tc>
      </w:tr>
      <w:tr w:rsidR="0048653D" w:rsidRPr="0048653D" w14:paraId="57289FBE" w14:textId="77777777" w:rsidTr="00BC2A2F">
        <w:trPr>
          <w:trHeight w:val="288"/>
        </w:trPr>
        <w:tc>
          <w:tcPr>
            <w:tcW w:w="1900" w:type="dxa"/>
            <w:noWrap/>
            <w:vAlign w:val="bottom"/>
            <w:hideMark/>
          </w:tcPr>
          <w:p w14:paraId="4E4A4BFB" w14:textId="77777777" w:rsidR="0048653D" w:rsidRPr="0048653D" w:rsidRDefault="0048653D" w:rsidP="0048653D">
            <w:pPr>
              <w:bidi w:val="0"/>
              <w:jc w:val="right"/>
              <w:rPr>
                <w:color w:val="000000"/>
                <w:sz w:val="22"/>
                <w:szCs w:val="22"/>
              </w:rPr>
            </w:pPr>
            <w:r w:rsidRPr="0048653D">
              <w:rPr>
                <w:color w:val="000000"/>
                <w:sz w:val="22"/>
                <w:szCs w:val="22"/>
              </w:rPr>
              <w:t>negative</w:t>
            </w:r>
          </w:p>
        </w:tc>
        <w:tc>
          <w:tcPr>
            <w:tcW w:w="939" w:type="dxa"/>
            <w:noWrap/>
            <w:vAlign w:val="bottom"/>
            <w:hideMark/>
          </w:tcPr>
          <w:p w14:paraId="1351B055" w14:textId="77777777" w:rsidR="0048653D" w:rsidRPr="0048653D" w:rsidRDefault="0048653D" w:rsidP="0048653D">
            <w:pPr>
              <w:bidi w:val="0"/>
              <w:jc w:val="center"/>
              <w:rPr>
                <w:color w:val="000000"/>
                <w:sz w:val="22"/>
                <w:szCs w:val="22"/>
              </w:rPr>
            </w:pPr>
            <w:r w:rsidRPr="0048653D">
              <w:rPr>
                <w:color w:val="000000"/>
                <w:sz w:val="22"/>
                <w:szCs w:val="22"/>
              </w:rPr>
              <w:t>64</w:t>
            </w:r>
          </w:p>
        </w:tc>
        <w:tc>
          <w:tcPr>
            <w:tcW w:w="751" w:type="dxa"/>
            <w:noWrap/>
            <w:vAlign w:val="bottom"/>
            <w:hideMark/>
          </w:tcPr>
          <w:p w14:paraId="3FE65FAE" w14:textId="77777777" w:rsidR="0048653D" w:rsidRPr="0048653D" w:rsidRDefault="0048653D" w:rsidP="0048653D">
            <w:pPr>
              <w:bidi w:val="0"/>
              <w:jc w:val="center"/>
              <w:rPr>
                <w:color w:val="000000"/>
                <w:sz w:val="22"/>
                <w:szCs w:val="22"/>
              </w:rPr>
            </w:pPr>
            <w:r w:rsidRPr="0048653D">
              <w:rPr>
                <w:color w:val="000000"/>
                <w:sz w:val="22"/>
                <w:szCs w:val="22"/>
              </w:rPr>
              <w:t>0</w:t>
            </w:r>
          </w:p>
        </w:tc>
        <w:tc>
          <w:tcPr>
            <w:tcW w:w="810" w:type="dxa"/>
            <w:noWrap/>
            <w:vAlign w:val="bottom"/>
            <w:hideMark/>
          </w:tcPr>
          <w:p w14:paraId="03F175E6" w14:textId="77777777" w:rsidR="0048653D" w:rsidRPr="0048653D" w:rsidRDefault="0048653D" w:rsidP="0048653D">
            <w:pPr>
              <w:bidi w:val="0"/>
              <w:jc w:val="center"/>
              <w:rPr>
                <w:color w:val="000000"/>
                <w:sz w:val="22"/>
                <w:szCs w:val="22"/>
              </w:rPr>
            </w:pPr>
            <w:r w:rsidRPr="0048653D">
              <w:rPr>
                <w:color w:val="000000"/>
                <w:sz w:val="22"/>
                <w:szCs w:val="22"/>
              </w:rPr>
              <w:t>0.0%</w:t>
            </w:r>
          </w:p>
        </w:tc>
        <w:tc>
          <w:tcPr>
            <w:tcW w:w="900" w:type="dxa"/>
            <w:noWrap/>
            <w:vAlign w:val="bottom"/>
            <w:hideMark/>
          </w:tcPr>
          <w:p w14:paraId="6144AA4E" w14:textId="77777777" w:rsidR="0048653D" w:rsidRPr="0048653D" w:rsidRDefault="0048653D" w:rsidP="0048653D">
            <w:pPr>
              <w:bidi w:val="0"/>
              <w:jc w:val="center"/>
              <w:rPr>
                <w:color w:val="000000"/>
                <w:sz w:val="22"/>
                <w:szCs w:val="22"/>
              </w:rPr>
            </w:pPr>
            <w:r w:rsidRPr="0048653D">
              <w:rPr>
                <w:color w:val="000000"/>
                <w:sz w:val="22"/>
                <w:szCs w:val="22"/>
              </w:rPr>
              <w:t>64</w:t>
            </w:r>
          </w:p>
        </w:tc>
        <w:tc>
          <w:tcPr>
            <w:tcW w:w="990" w:type="dxa"/>
            <w:noWrap/>
            <w:vAlign w:val="bottom"/>
            <w:hideMark/>
          </w:tcPr>
          <w:p w14:paraId="2246638E" w14:textId="77777777" w:rsidR="0048653D" w:rsidRPr="0048653D" w:rsidRDefault="0048653D" w:rsidP="0048653D">
            <w:pPr>
              <w:bidi w:val="0"/>
              <w:jc w:val="center"/>
              <w:rPr>
                <w:color w:val="000000"/>
                <w:sz w:val="22"/>
                <w:szCs w:val="22"/>
              </w:rPr>
            </w:pPr>
            <w:r w:rsidRPr="0048653D">
              <w:rPr>
                <w:color w:val="000000"/>
                <w:sz w:val="22"/>
                <w:szCs w:val="22"/>
              </w:rPr>
              <w:t>100.0%</w:t>
            </w:r>
          </w:p>
        </w:tc>
        <w:tc>
          <w:tcPr>
            <w:tcW w:w="1080" w:type="dxa"/>
            <w:noWrap/>
            <w:vAlign w:val="center"/>
            <w:hideMark/>
          </w:tcPr>
          <w:p w14:paraId="016603AD" w14:textId="77777777" w:rsidR="0048653D" w:rsidRPr="0048653D" w:rsidRDefault="0048653D" w:rsidP="0048653D">
            <w:pPr>
              <w:bidi w:val="0"/>
              <w:jc w:val="center"/>
              <w:rPr>
                <w:color w:val="000000"/>
                <w:sz w:val="22"/>
                <w:szCs w:val="22"/>
              </w:rPr>
            </w:pPr>
            <w:r w:rsidRPr="0048653D">
              <w:rPr>
                <w:color w:val="000000"/>
                <w:sz w:val="22"/>
                <w:szCs w:val="22"/>
              </w:rPr>
              <w:t> </w:t>
            </w:r>
          </w:p>
        </w:tc>
        <w:tc>
          <w:tcPr>
            <w:tcW w:w="1260" w:type="dxa"/>
            <w:noWrap/>
            <w:vAlign w:val="bottom"/>
            <w:hideMark/>
          </w:tcPr>
          <w:p w14:paraId="41A7A318" w14:textId="77777777" w:rsidR="0048653D" w:rsidRPr="0048653D" w:rsidRDefault="0048653D" w:rsidP="0048653D">
            <w:pPr>
              <w:bidi w:val="0"/>
              <w:jc w:val="center"/>
              <w:rPr>
                <w:color w:val="000000"/>
                <w:sz w:val="22"/>
                <w:szCs w:val="22"/>
              </w:rPr>
            </w:pPr>
            <w:r w:rsidRPr="0048653D">
              <w:rPr>
                <w:color w:val="000000"/>
                <w:sz w:val="22"/>
                <w:szCs w:val="22"/>
              </w:rPr>
              <w:t> </w:t>
            </w:r>
          </w:p>
        </w:tc>
      </w:tr>
      <w:tr w:rsidR="0048653D" w:rsidRPr="0048653D" w14:paraId="69B793A8" w14:textId="77777777" w:rsidTr="00BC2A2F">
        <w:trPr>
          <w:trHeight w:val="288"/>
        </w:trPr>
        <w:tc>
          <w:tcPr>
            <w:tcW w:w="1900" w:type="dxa"/>
            <w:noWrap/>
            <w:vAlign w:val="bottom"/>
            <w:hideMark/>
          </w:tcPr>
          <w:p w14:paraId="4C852107" w14:textId="77777777" w:rsidR="0048653D" w:rsidRPr="0048653D" w:rsidRDefault="0048653D" w:rsidP="0048653D">
            <w:pPr>
              <w:bidi w:val="0"/>
              <w:rPr>
                <w:color w:val="000000"/>
                <w:sz w:val="22"/>
                <w:szCs w:val="22"/>
              </w:rPr>
            </w:pPr>
            <w:r w:rsidRPr="0048653D">
              <w:rPr>
                <w:color w:val="000000"/>
                <w:sz w:val="22"/>
                <w:szCs w:val="22"/>
              </w:rPr>
              <w:t>Peanut</w:t>
            </w:r>
          </w:p>
        </w:tc>
        <w:tc>
          <w:tcPr>
            <w:tcW w:w="939" w:type="dxa"/>
            <w:noWrap/>
            <w:vAlign w:val="center"/>
            <w:hideMark/>
          </w:tcPr>
          <w:p w14:paraId="2A50DDB0" w14:textId="77777777" w:rsidR="0048653D" w:rsidRPr="0048653D" w:rsidRDefault="0048653D" w:rsidP="0048653D">
            <w:pPr>
              <w:bidi w:val="0"/>
              <w:rPr>
                <w:color w:val="000000"/>
                <w:sz w:val="22"/>
                <w:szCs w:val="22"/>
              </w:rPr>
            </w:pPr>
            <w:r w:rsidRPr="0048653D">
              <w:rPr>
                <w:color w:val="000000"/>
                <w:sz w:val="22"/>
                <w:szCs w:val="22"/>
              </w:rPr>
              <w:t> </w:t>
            </w:r>
          </w:p>
        </w:tc>
        <w:tc>
          <w:tcPr>
            <w:tcW w:w="751" w:type="dxa"/>
            <w:noWrap/>
            <w:vAlign w:val="center"/>
            <w:hideMark/>
          </w:tcPr>
          <w:p w14:paraId="7B558219" w14:textId="77777777" w:rsidR="0048653D" w:rsidRPr="0048653D" w:rsidRDefault="0048653D" w:rsidP="0048653D">
            <w:pPr>
              <w:bidi w:val="0"/>
              <w:jc w:val="center"/>
              <w:rPr>
                <w:b/>
                <w:bCs/>
                <w:color w:val="000000"/>
                <w:sz w:val="22"/>
                <w:szCs w:val="22"/>
              </w:rPr>
            </w:pPr>
            <w:r w:rsidRPr="0048653D">
              <w:rPr>
                <w:b/>
                <w:bCs/>
                <w:color w:val="000000"/>
                <w:sz w:val="22"/>
                <w:szCs w:val="22"/>
              </w:rPr>
              <w:t> </w:t>
            </w:r>
          </w:p>
        </w:tc>
        <w:tc>
          <w:tcPr>
            <w:tcW w:w="810" w:type="dxa"/>
            <w:noWrap/>
            <w:vAlign w:val="center"/>
            <w:hideMark/>
          </w:tcPr>
          <w:p w14:paraId="1A6CFF22" w14:textId="77777777" w:rsidR="0048653D" w:rsidRPr="0048653D" w:rsidRDefault="0048653D" w:rsidP="0048653D">
            <w:pPr>
              <w:bidi w:val="0"/>
              <w:jc w:val="center"/>
              <w:rPr>
                <w:b/>
                <w:bCs/>
                <w:color w:val="000000"/>
                <w:sz w:val="22"/>
                <w:szCs w:val="22"/>
              </w:rPr>
            </w:pPr>
          </w:p>
        </w:tc>
        <w:tc>
          <w:tcPr>
            <w:tcW w:w="900" w:type="dxa"/>
            <w:noWrap/>
            <w:vAlign w:val="center"/>
            <w:hideMark/>
          </w:tcPr>
          <w:p w14:paraId="62846D2D" w14:textId="77777777" w:rsidR="0048653D" w:rsidRPr="0048653D" w:rsidRDefault="0048653D" w:rsidP="0048653D">
            <w:pPr>
              <w:bidi w:val="0"/>
              <w:jc w:val="center"/>
              <w:rPr>
                <w:b/>
                <w:bCs/>
                <w:color w:val="000000"/>
                <w:sz w:val="22"/>
                <w:szCs w:val="22"/>
              </w:rPr>
            </w:pPr>
            <w:r w:rsidRPr="0048653D">
              <w:rPr>
                <w:b/>
                <w:bCs/>
                <w:color w:val="000000"/>
                <w:sz w:val="22"/>
                <w:szCs w:val="22"/>
              </w:rPr>
              <w:t> </w:t>
            </w:r>
          </w:p>
        </w:tc>
        <w:tc>
          <w:tcPr>
            <w:tcW w:w="990" w:type="dxa"/>
            <w:noWrap/>
            <w:vAlign w:val="center"/>
            <w:hideMark/>
          </w:tcPr>
          <w:p w14:paraId="0D5D4F89" w14:textId="77777777" w:rsidR="0048653D" w:rsidRPr="0048653D" w:rsidRDefault="0048653D" w:rsidP="0048653D">
            <w:pPr>
              <w:bidi w:val="0"/>
              <w:jc w:val="center"/>
              <w:rPr>
                <w:b/>
                <w:bCs/>
                <w:color w:val="000000"/>
                <w:sz w:val="22"/>
                <w:szCs w:val="22"/>
              </w:rPr>
            </w:pPr>
            <w:r w:rsidRPr="0048653D">
              <w:rPr>
                <w:b/>
                <w:bCs/>
                <w:color w:val="000000"/>
                <w:sz w:val="22"/>
                <w:szCs w:val="22"/>
              </w:rPr>
              <w:t> </w:t>
            </w:r>
          </w:p>
        </w:tc>
        <w:tc>
          <w:tcPr>
            <w:tcW w:w="1080" w:type="dxa"/>
            <w:noWrap/>
            <w:vAlign w:val="center"/>
            <w:hideMark/>
          </w:tcPr>
          <w:p w14:paraId="4FC0FBBB" w14:textId="77777777" w:rsidR="0048653D" w:rsidRPr="0048653D" w:rsidRDefault="0048653D" w:rsidP="0048653D">
            <w:pPr>
              <w:bidi w:val="0"/>
              <w:jc w:val="center"/>
              <w:rPr>
                <w:b/>
                <w:bCs/>
                <w:color w:val="000000"/>
                <w:sz w:val="22"/>
                <w:szCs w:val="22"/>
              </w:rPr>
            </w:pPr>
          </w:p>
        </w:tc>
        <w:tc>
          <w:tcPr>
            <w:tcW w:w="1260" w:type="dxa"/>
            <w:vAlign w:val="center"/>
            <w:hideMark/>
          </w:tcPr>
          <w:p w14:paraId="39862148" w14:textId="77777777" w:rsidR="0048653D" w:rsidRPr="0048653D" w:rsidRDefault="0048653D" w:rsidP="0048653D">
            <w:pPr>
              <w:bidi w:val="0"/>
              <w:rPr>
                <w:b/>
                <w:bCs/>
                <w:color w:val="000000"/>
                <w:sz w:val="22"/>
                <w:szCs w:val="22"/>
              </w:rPr>
            </w:pPr>
            <w:r w:rsidRPr="0048653D">
              <w:rPr>
                <w:b/>
                <w:bCs/>
                <w:color w:val="000000"/>
                <w:sz w:val="22"/>
                <w:szCs w:val="22"/>
              </w:rPr>
              <w:t> </w:t>
            </w:r>
          </w:p>
        </w:tc>
      </w:tr>
      <w:tr w:rsidR="0048653D" w:rsidRPr="0048653D" w14:paraId="45097653" w14:textId="77777777" w:rsidTr="00BC2A2F">
        <w:trPr>
          <w:trHeight w:val="288"/>
        </w:trPr>
        <w:tc>
          <w:tcPr>
            <w:tcW w:w="1900" w:type="dxa"/>
            <w:noWrap/>
            <w:vAlign w:val="bottom"/>
            <w:hideMark/>
          </w:tcPr>
          <w:p w14:paraId="42A87F54" w14:textId="77777777" w:rsidR="0048653D" w:rsidRPr="0048653D" w:rsidRDefault="0048653D" w:rsidP="0048653D">
            <w:pPr>
              <w:bidi w:val="0"/>
              <w:jc w:val="right"/>
              <w:rPr>
                <w:color w:val="000000"/>
                <w:sz w:val="22"/>
                <w:szCs w:val="22"/>
              </w:rPr>
            </w:pPr>
            <w:r w:rsidRPr="0048653D">
              <w:rPr>
                <w:color w:val="000000"/>
                <w:sz w:val="22"/>
                <w:szCs w:val="22"/>
              </w:rPr>
              <w:t>positive</w:t>
            </w:r>
          </w:p>
        </w:tc>
        <w:tc>
          <w:tcPr>
            <w:tcW w:w="939" w:type="dxa"/>
            <w:noWrap/>
            <w:vAlign w:val="bottom"/>
            <w:hideMark/>
          </w:tcPr>
          <w:p w14:paraId="5529978D" w14:textId="77777777" w:rsidR="0048653D" w:rsidRPr="0048653D" w:rsidRDefault="0048653D" w:rsidP="0048653D">
            <w:pPr>
              <w:bidi w:val="0"/>
              <w:jc w:val="center"/>
              <w:rPr>
                <w:color w:val="000000"/>
                <w:sz w:val="22"/>
                <w:szCs w:val="22"/>
              </w:rPr>
            </w:pPr>
            <w:r w:rsidRPr="0048653D">
              <w:rPr>
                <w:color w:val="000000"/>
                <w:sz w:val="22"/>
                <w:szCs w:val="22"/>
              </w:rPr>
              <w:t>20</w:t>
            </w:r>
          </w:p>
        </w:tc>
        <w:tc>
          <w:tcPr>
            <w:tcW w:w="751" w:type="dxa"/>
            <w:noWrap/>
            <w:vAlign w:val="bottom"/>
            <w:hideMark/>
          </w:tcPr>
          <w:p w14:paraId="37A7D47D" w14:textId="77777777" w:rsidR="0048653D" w:rsidRPr="0048653D" w:rsidRDefault="0048653D" w:rsidP="0048653D">
            <w:pPr>
              <w:bidi w:val="0"/>
              <w:jc w:val="center"/>
              <w:rPr>
                <w:color w:val="000000"/>
                <w:sz w:val="22"/>
                <w:szCs w:val="22"/>
              </w:rPr>
            </w:pPr>
            <w:r w:rsidRPr="0048653D">
              <w:rPr>
                <w:color w:val="000000"/>
                <w:sz w:val="22"/>
                <w:szCs w:val="22"/>
              </w:rPr>
              <w:t>16</w:t>
            </w:r>
          </w:p>
        </w:tc>
        <w:tc>
          <w:tcPr>
            <w:tcW w:w="810" w:type="dxa"/>
            <w:noWrap/>
            <w:vAlign w:val="bottom"/>
            <w:hideMark/>
          </w:tcPr>
          <w:p w14:paraId="3C8F9833" w14:textId="77777777" w:rsidR="0048653D" w:rsidRPr="0048653D" w:rsidRDefault="0048653D" w:rsidP="0048653D">
            <w:pPr>
              <w:bidi w:val="0"/>
              <w:jc w:val="center"/>
              <w:rPr>
                <w:color w:val="000000"/>
                <w:sz w:val="22"/>
                <w:szCs w:val="22"/>
              </w:rPr>
            </w:pPr>
            <w:r w:rsidRPr="0048653D">
              <w:rPr>
                <w:color w:val="000000"/>
                <w:sz w:val="22"/>
                <w:szCs w:val="22"/>
              </w:rPr>
              <w:t>80.0%</w:t>
            </w:r>
          </w:p>
        </w:tc>
        <w:tc>
          <w:tcPr>
            <w:tcW w:w="900" w:type="dxa"/>
            <w:noWrap/>
            <w:vAlign w:val="bottom"/>
            <w:hideMark/>
          </w:tcPr>
          <w:p w14:paraId="6BCEBFBB" w14:textId="77777777" w:rsidR="0048653D" w:rsidRPr="0048653D" w:rsidRDefault="0048653D" w:rsidP="0048653D">
            <w:pPr>
              <w:bidi w:val="0"/>
              <w:jc w:val="center"/>
              <w:rPr>
                <w:color w:val="000000"/>
                <w:sz w:val="22"/>
                <w:szCs w:val="22"/>
              </w:rPr>
            </w:pPr>
            <w:r w:rsidRPr="0048653D">
              <w:rPr>
                <w:color w:val="000000"/>
                <w:sz w:val="22"/>
                <w:szCs w:val="22"/>
              </w:rPr>
              <w:t>4</w:t>
            </w:r>
          </w:p>
        </w:tc>
        <w:tc>
          <w:tcPr>
            <w:tcW w:w="990" w:type="dxa"/>
            <w:noWrap/>
            <w:vAlign w:val="bottom"/>
            <w:hideMark/>
          </w:tcPr>
          <w:p w14:paraId="759E55A7" w14:textId="77777777" w:rsidR="0048653D" w:rsidRPr="0048653D" w:rsidRDefault="0048653D" w:rsidP="0048653D">
            <w:pPr>
              <w:bidi w:val="0"/>
              <w:jc w:val="center"/>
              <w:rPr>
                <w:color w:val="000000"/>
                <w:sz w:val="22"/>
                <w:szCs w:val="22"/>
              </w:rPr>
            </w:pPr>
            <w:r w:rsidRPr="0048653D">
              <w:rPr>
                <w:color w:val="000000"/>
                <w:sz w:val="22"/>
                <w:szCs w:val="22"/>
              </w:rPr>
              <w:t>20.0%</w:t>
            </w:r>
          </w:p>
        </w:tc>
        <w:tc>
          <w:tcPr>
            <w:tcW w:w="1080" w:type="dxa"/>
            <w:noWrap/>
            <w:vAlign w:val="center"/>
            <w:hideMark/>
          </w:tcPr>
          <w:p w14:paraId="5648D716" w14:textId="77777777" w:rsidR="0048653D" w:rsidRPr="0048653D" w:rsidRDefault="0048653D" w:rsidP="0048653D">
            <w:pPr>
              <w:bidi w:val="0"/>
              <w:jc w:val="center"/>
              <w:rPr>
                <w:color w:val="000000"/>
                <w:sz w:val="22"/>
                <w:szCs w:val="22"/>
              </w:rPr>
            </w:pPr>
            <w:r w:rsidRPr="0048653D">
              <w:rPr>
                <w:color w:val="000000"/>
                <w:sz w:val="22"/>
                <w:szCs w:val="22"/>
              </w:rPr>
              <w:t>p &lt; 0.001</w:t>
            </w:r>
          </w:p>
        </w:tc>
        <w:tc>
          <w:tcPr>
            <w:tcW w:w="1260" w:type="dxa"/>
            <w:noWrap/>
            <w:vAlign w:val="center"/>
            <w:hideMark/>
          </w:tcPr>
          <w:p w14:paraId="437044BA" w14:textId="77777777" w:rsidR="0048653D" w:rsidRPr="0048653D" w:rsidRDefault="0048653D" w:rsidP="0048653D">
            <w:pPr>
              <w:bidi w:val="0"/>
              <w:jc w:val="center"/>
              <w:rPr>
                <w:color w:val="000000"/>
                <w:sz w:val="22"/>
                <w:szCs w:val="22"/>
              </w:rPr>
            </w:pPr>
            <w:r w:rsidRPr="0048653D">
              <w:rPr>
                <w:color w:val="000000"/>
                <w:sz w:val="22"/>
                <w:szCs w:val="22"/>
              </w:rPr>
              <w:t>0.8</w:t>
            </w:r>
          </w:p>
        </w:tc>
      </w:tr>
      <w:tr w:rsidR="0048653D" w:rsidRPr="0048653D" w14:paraId="1384686E" w14:textId="77777777" w:rsidTr="00BC2A2F">
        <w:trPr>
          <w:trHeight w:val="288"/>
        </w:trPr>
        <w:tc>
          <w:tcPr>
            <w:tcW w:w="1900" w:type="dxa"/>
            <w:noWrap/>
            <w:vAlign w:val="bottom"/>
            <w:hideMark/>
          </w:tcPr>
          <w:p w14:paraId="170D376E" w14:textId="77777777" w:rsidR="0048653D" w:rsidRPr="0048653D" w:rsidRDefault="0048653D" w:rsidP="0048653D">
            <w:pPr>
              <w:bidi w:val="0"/>
              <w:jc w:val="right"/>
              <w:rPr>
                <w:color w:val="000000"/>
                <w:sz w:val="22"/>
                <w:szCs w:val="22"/>
              </w:rPr>
            </w:pPr>
            <w:r w:rsidRPr="0048653D">
              <w:rPr>
                <w:color w:val="000000"/>
                <w:sz w:val="22"/>
                <w:szCs w:val="22"/>
              </w:rPr>
              <w:t>negative</w:t>
            </w:r>
          </w:p>
        </w:tc>
        <w:tc>
          <w:tcPr>
            <w:tcW w:w="939" w:type="dxa"/>
            <w:noWrap/>
            <w:vAlign w:val="bottom"/>
            <w:hideMark/>
          </w:tcPr>
          <w:p w14:paraId="7114324D" w14:textId="77777777" w:rsidR="0048653D" w:rsidRPr="0048653D" w:rsidRDefault="0048653D" w:rsidP="0048653D">
            <w:pPr>
              <w:bidi w:val="0"/>
              <w:jc w:val="center"/>
              <w:rPr>
                <w:color w:val="000000"/>
                <w:sz w:val="22"/>
                <w:szCs w:val="22"/>
              </w:rPr>
            </w:pPr>
            <w:r w:rsidRPr="0048653D">
              <w:rPr>
                <w:color w:val="000000"/>
                <w:sz w:val="22"/>
                <w:szCs w:val="22"/>
              </w:rPr>
              <w:t>64</w:t>
            </w:r>
          </w:p>
        </w:tc>
        <w:tc>
          <w:tcPr>
            <w:tcW w:w="751" w:type="dxa"/>
            <w:noWrap/>
            <w:vAlign w:val="bottom"/>
            <w:hideMark/>
          </w:tcPr>
          <w:p w14:paraId="2EDAAEC8" w14:textId="77777777" w:rsidR="0048653D" w:rsidRPr="0048653D" w:rsidRDefault="0048653D" w:rsidP="0048653D">
            <w:pPr>
              <w:bidi w:val="0"/>
              <w:jc w:val="center"/>
              <w:rPr>
                <w:color w:val="000000"/>
                <w:sz w:val="22"/>
                <w:szCs w:val="22"/>
              </w:rPr>
            </w:pPr>
            <w:r w:rsidRPr="0048653D">
              <w:rPr>
                <w:color w:val="000000"/>
                <w:sz w:val="22"/>
                <w:szCs w:val="22"/>
              </w:rPr>
              <w:t>0</w:t>
            </w:r>
          </w:p>
        </w:tc>
        <w:tc>
          <w:tcPr>
            <w:tcW w:w="810" w:type="dxa"/>
            <w:noWrap/>
            <w:vAlign w:val="bottom"/>
            <w:hideMark/>
          </w:tcPr>
          <w:p w14:paraId="166FFD69" w14:textId="77777777" w:rsidR="0048653D" w:rsidRPr="0048653D" w:rsidRDefault="0048653D" w:rsidP="0048653D">
            <w:pPr>
              <w:bidi w:val="0"/>
              <w:jc w:val="center"/>
              <w:rPr>
                <w:color w:val="000000"/>
                <w:sz w:val="22"/>
                <w:szCs w:val="22"/>
              </w:rPr>
            </w:pPr>
            <w:r w:rsidRPr="0048653D">
              <w:rPr>
                <w:color w:val="000000"/>
                <w:sz w:val="22"/>
                <w:szCs w:val="22"/>
              </w:rPr>
              <w:t>0.0%</w:t>
            </w:r>
          </w:p>
        </w:tc>
        <w:tc>
          <w:tcPr>
            <w:tcW w:w="900" w:type="dxa"/>
            <w:noWrap/>
            <w:vAlign w:val="bottom"/>
            <w:hideMark/>
          </w:tcPr>
          <w:p w14:paraId="615954F2" w14:textId="77777777" w:rsidR="0048653D" w:rsidRPr="0048653D" w:rsidRDefault="0048653D" w:rsidP="0048653D">
            <w:pPr>
              <w:bidi w:val="0"/>
              <w:jc w:val="center"/>
              <w:rPr>
                <w:color w:val="000000"/>
                <w:sz w:val="22"/>
                <w:szCs w:val="22"/>
              </w:rPr>
            </w:pPr>
            <w:r w:rsidRPr="0048653D">
              <w:rPr>
                <w:color w:val="000000"/>
                <w:sz w:val="22"/>
                <w:szCs w:val="22"/>
              </w:rPr>
              <w:t>64</w:t>
            </w:r>
          </w:p>
        </w:tc>
        <w:tc>
          <w:tcPr>
            <w:tcW w:w="990" w:type="dxa"/>
            <w:noWrap/>
            <w:vAlign w:val="bottom"/>
            <w:hideMark/>
          </w:tcPr>
          <w:p w14:paraId="3B1CC3C5" w14:textId="77777777" w:rsidR="0048653D" w:rsidRPr="0048653D" w:rsidRDefault="0048653D" w:rsidP="0048653D">
            <w:pPr>
              <w:bidi w:val="0"/>
              <w:jc w:val="center"/>
              <w:rPr>
                <w:color w:val="000000"/>
                <w:sz w:val="22"/>
                <w:szCs w:val="22"/>
              </w:rPr>
            </w:pPr>
            <w:r w:rsidRPr="0048653D">
              <w:rPr>
                <w:color w:val="000000"/>
                <w:sz w:val="22"/>
                <w:szCs w:val="22"/>
              </w:rPr>
              <w:t>100.0%</w:t>
            </w:r>
          </w:p>
        </w:tc>
        <w:tc>
          <w:tcPr>
            <w:tcW w:w="1080" w:type="dxa"/>
            <w:noWrap/>
            <w:vAlign w:val="center"/>
            <w:hideMark/>
          </w:tcPr>
          <w:p w14:paraId="598F4012" w14:textId="77777777" w:rsidR="0048653D" w:rsidRPr="0048653D" w:rsidRDefault="0048653D" w:rsidP="0048653D">
            <w:pPr>
              <w:bidi w:val="0"/>
              <w:jc w:val="center"/>
              <w:rPr>
                <w:color w:val="000000"/>
                <w:sz w:val="22"/>
                <w:szCs w:val="22"/>
              </w:rPr>
            </w:pPr>
            <w:r w:rsidRPr="0048653D">
              <w:rPr>
                <w:color w:val="000000"/>
                <w:sz w:val="22"/>
                <w:szCs w:val="22"/>
              </w:rPr>
              <w:t> </w:t>
            </w:r>
          </w:p>
        </w:tc>
        <w:tc>
          <w:tcPr>
            <w:tcW w:w="1260" w:type="dxa"/>
            <w:noWrap/>
            <w:vAlign w:val="bottom"/>
            <w:hideMark/>
          </w:tcPr>
          <w:p w14:paraId="6799D4C5" w14:textId="77777777" w:rsidR="0048653D" w:rsidRPr="0048653D" w:rsidRDefault="0048653D" w:rsidP="0048653D">
            <w:pPr>
              <w:bidi w:val="0"/>
              <w:jc w:val="center"/>
              <w:rPr>
                <w:color w:val="000000"/>
                <w:sz w:val="22"/>
                <w:szCs w:val="22"/>
              </w:rPr>
            </w:pPr>
            <w:r w:rsidRPr="0048653D">
              <w:rPr>
                <w:color w:val="000000"/>
                <w:sz w:val="22"/>
                <w:szCs w:val="22"/>
              </w:rPr>
              <w:t> </w:t>
            </w:r>
          </w:p>
        </w:tc>
      </w:tr>
      <w:tr w:rsidR="0048653D" w:rsidRPr="0048653D" w14:paraId="7DC6059E" w14:textId="77777777" w:rsidTr="00BC2A2F">
        <w:trPr>
          <w:trHeight w:val="288"/>
        </w:trPr>
        <w:tc>
          <w:tcPr>
            <w:tcW w:w="1900" w:type="dxa"/>
            <w:noWrap/>
            <w:vAlign w:val="bottom"/>
            <w:hideMark/>
          </w:tcPr>
          <w:p w14:paraId="59A6F5C9" w14:textId="77777777" w:rsidR="0048653D" w:rsidRPr="0048653D" w:rsidRDefault="0048653D" w:rsidP="0048653D">
            <w:pPr>
              <w:bidi w:val="0"/>
              <w:rPr>
                <w:color w:val="000000"/>
                <w:sz w:val="22"/>
                <w:szCs w:val="22"/>
              </w:rPr>
            </w:pPr>
            <w:r w:rsidRPr="0048653D">
              <w:rPr>
                <w:color w:val="000000"/>
                <w:sz w:val="22"/>
                <w:szCs w:val="22"/>
              </w:rPr>
              <w:t xml:space="preserve">Tomato </w:t>
            </w:r>
          </w:p>
        </w:tc>
        <w:tc>
          <w:tcPr>
            <w:tcW w:w="939" w:type="dxa"/>
            <w:noWrap/>
            <w:vAlign w:val="center"/>
            <w:hideMark/>
          </w:tcPr>
          <w:p w14:paraId="75301834" w14:textId="77777777" w:rsidR="0048653D" w:rsidRPr="0048653D" w:rsidRDefault="0048653D" w:rsidP="0048653D">
            <w:pPr>
              <w:bidi w:val="0"/>
              <w:rPr>
                <w:color w:val="000000"/>
                <w:sz w:val="22"/>
                <w:szCs w:val="22"/>
              </w:rPr>
            </w:pPr>
            <w:r w:rsidRPr="0048653D">
              <w:rPr>
                <w:color w:val="000000"/>
                <w:sz w:val="22"/>
                <w:szCs w:val="22"/>
              </w:rPr>
              <w:t> </w:t>
            </w:r>
          </w:p>
        </w:tc>
        <w:tc>
          <w:tcPr>
            <w:tcW w:w="751" w:type="dxa"/>
            <w:noWrap/>
            <w:vAlign w:val="center"/>
            <w:hideMark/>
          </w:tcPr>
          <w:p w14:paraId="511D6A37" w14:textId="77777777" w:rsidR="0048653D" w:rsidRPr="0048653D" w:rsidRDefault="0048653D" w:rsidP="0048653D">
            <w:pPr>
              <w:bidi w:val="0"/>
              <w:jc w:val="center"/>
              <w:rPr>
                <w:b/>
                <w:bCs/>
                <w:color w:val="000000"/>
                <w:sz w:val="22"/>
                <w:szCs w:val="22"/>
              </w:rPr>
            </w:pPr>
            <w:r w:rsidRPr="0048653D">
              <w:rPr>
                <w:b/>
                <w:bCs/>
                <w:color w:val="000000"/>
                <w:sz w:val="22"/>
                <w:szCs w:val="22"/>
              </w:rPr>
              <w:t> </w:t>
            </w:r>
          </w:p>
        </w:tc>
        <w:tc>
          <w:tcPr>
            <w:tcW w:w="810" w:type="dxa"/>
            <w:noWrap/>
            <w:vAlign w:val="center"/>
            <w:hideMark/>
          </w:tcPr>
          <w:p w14:paraId="7080AC66" w14:textId="77777777" w:rsidR="0048653D" w:rsidRPr="0048653D" w:rsidRDefault="0048653D" w:rsidP="0048653D">
            <w:pPr>
              <w:bidi w:val="0"/>
              <w:jc w:val="center"/>
              <w:rPr>
                <w:b/>
                <w:bCs/>
                <w:color w:val="000000"/>
                <w:sz w:val="22"/>
                <w:szCs w:val="22"/>
              </w:rPr>
            </w:pPr>
          </w:p>
        </w:tc>
        <w:tc>
          <w:tcPr>
            <w:tcW w:w="900" w:type="dxa"/>
            <w:noWrap/>
            <w:vAlign w:val="center"/>
            <w:hideMark/>
          </w:tcPr>
          <w:p w14:paraId="1362BEE4" w14:textId="77777777" w:rsidR="0048653D" w:rsidRPr="0048653D" w:rsidRDefault="0048653D" w:rsidP="0048653D">
            <w:pPr>
              <w:bidi w:val="0"/>
              <w:jc w:val="center"/>
              <w:rPr>
                <w:b/>
                <w:bCs/>
                <w:color w:val="000000"/>
                <w:sz w:val="22"/>
                <w:szCs w:val="22"/>
              </w:rPr>
            </w:pPr>
            <w:r w:rsidRPr="0048653D">
              <w:rPr>
                <w:b/>
                <w:bCs/>
                <w:color w:val="000000"/>
                <w:sz w:val="22"/>
                <w:szCs w:val="22"/>
              </w:rPr>
              <w:t> </w:t>
            </w:r>
          </w:p>
        </w:tc>
        <w:tc>
          <w:tcPr>
            <w:tcW w:w="990" w:type="dxa"/>
            <w:noWrap/>
            <w:vAlign w:val="center"/>
            <w:hideMark/>
          </w:tcPr>
          <w:p w14:paraId="4E41F1CA" w14:textId="77777777" w:rsidR="0048653D" w:rsidRPr="0048653D" w:rsidRDefault="0048653D" w:rsidP="0048653D">
            <w:pPr>
              <w:bidi w:val="0"/>
              <w:jc w:val="center"/>
              <w:rPr>
                <w:b/>
                <w:bCs/>
                <w:color w:val="000000"/>
                <w:sz w:val="22"/>
                <w:szCs w:val="22"/>
              </w:rPr>
            </w:pPr>
            <w:r w:rsidRPr="0048653D">
              <w:rPr>
                <w:b/>
                <w:bCs/>
                <w:color w:val="000000"/>
                <w:sz w:val="22"/>
                <w:szCs w:val="22"/>
              </w:rPr>
              <w:t> </w:t>
            </w:r>
          </w:p>
        </w:tc>
        <w:tc>
          <w:tcPr>
            <w:tcW w:w="1080" w:type="dxa"/>
            <w:noWrap/>
            <w:vAlign w:val="center"/>
            <w:hideMark/>
          </w:tcPr>
          <w:p w14:paraId="52E5BEBA" w14:textId="77777777" w:rsidR="0048653D" w:rsidRPr="0048653D" w:rsidRDefault="0048653D" w:rsidP="0048653D">
            <w:pPr>
              <w:bidi w:val="0"/>
              <w:jc w:val="center"/>
              <w:rPr>
                <w:b/>
                <w:bCs/>
                <w:color w:val="000000"/>
                <w:sz w:val="22"/>
                <w:szCs w:val="22"/>
              </w:rPr>
            </w:pPr>
          </w:p>
        </w:tc>
        <w:tc>
          <w:tcPr>
            <w:tcW w:w="1260" w:type="dxa"/>
            <w:vAlign w:val="center"/>
            <w:hideMark/>
          </w:tcPr>
          <w:p w14:paraId="52D2D86F" w14:textId="77777777" w:rsidR="0048653D" w:rsidRPr="0048653D" w:rsidRDefault="0048653D" w:rsidP="0048653D">
            <w:pPr>
              <w:bidi w:val="0"/>
              <w:rPr>
                <w:b/>
                <w:bCs/>
                <w:color w:val="000000"/>
                <w:sz w:val="22"/>
                <w:szCs w:val="22"/>
              </w:rPr>
            </w:pPr>
            <w:r w:rsidRPr="0048653D">
              <w:rPr>
                <w:b/>
                <w:bCs/>
                <w:color w:val="000000"/>
                <w:sz w:val="22"/>
                <w:szCs w:val="22"/>
              </w:rPr>
              <w:t> </w:t>
            </w:r>
          </w:p>
        </w:tc>
      </w:tr>
      <w:tr w:rsidR="0048653D" w:rsidRPr="0048653D" w14:paraId="062A44E2" w14:textId="77777777" w:rsidTr="00BC2A2F">
        <w:trPr>
          <w:trHeight w:val="288"/>
        </w:trPr>
        <w:tc>
          <w:tcPr>
            <w:tcW w:w="1900" w:type="dxa"/>
            <w:noWrap/>
            <w:vAlign w:val="bottom"/>
            <w:hideMark/>
          </w:tcPr>
          <w:p w14:paraId="30D282CC" w14:textId="77777777" w:rsidR="0048653D" w:rsidRPr="0048653D" w:rsidRDefault="0048653D" w:rsidP="0048653D">
            <w:pPr>
              <w:bidi w:val="0"/>
              <w:jc w:val="right"/>
              <w:rPr>
                <w:color w:val="000000"/>
                <w:sz w:val="22"/>
                <w:szCs w:val="22"/>
              </w:rPr>
            </w:pPr>
            <w:r w:rsidRPr="0048653D">
              <w:rPr>
                <w:color w:val="000000"/>
                <w:sz w:val="22"/>
                <w:szCs w:val="22"/>
              </w:rPr>
              <w:t>positive</w:t>
            </w:r>
          </w:p>
        </w:tc>
        <w:tc>
          <w:tcPr>
            <w:tcW w:w="939" w:type="dxa"/>
            <w:noWrap/>
            <w:vAlign w:val="bottom"/>
            <w:hideMark/>
          </w:tcPr>
          <w:p w14:paraId="16F0A474" w14:textId="77777777" w:rsidR="0048653D" w:rsidRPr="0048653D" w:rsidRDefault="0048653D" w:rsidP="0048653D">
            <w:pPr>
              <w:bidi w:val="0"/>
              <w:jc w:val="center"/>
              <w:rPr>
                <w:color w:val="000000"/>
                <w:sz w:val="22"/>
                <w:szCs w:val="22"/>
              </w:rPr>
            </w:pPr>
            <w:r w:rsidRPr="0048653D">
              <w:rPr>
                <w:color w:val="000000"/>
                <w:sz w:val="22"/>
                <w:szCs w:val="22"/>
              </w:rPr>
              <w:t>20</w:t>
            </w:r>
          </w:p>
        </w:tc>
        <w:tc>
          <w:tcPr>
            <w:tcW w:w="751" w:type="dxa"/>
            <w:noWrap/>
            <w:vAlign w:val="bottom"/>
            <w:hideMark/>
          </w:tcPr>
          <w:p w14:paraId="28E1AF8A" w14:textId="77777777" w:rsidR="0048653D" w:rsidRPr="0048653D" w:rsidRDefault="0048653D" w:rsidP="0048653D">
            <w:pPr>
              <w:bidi w:val="0"/>
              <w:jc w:val="center"/>
              <w:rPr>
                <w:color w:val="000000"/>
                <w:sz w:val="22"/>
                <w:szCs w:val="22"/>
              </w:rPr>
            </w:pPr>
            <w:r w:rsidRPr="0048653D">
              <w:rPr>
                <w:color w:val="000000"/>
                <w:sz w:val="22"/>
                <w:szCs w:val="22"/>
              </w:rPr>
              <w:t>16</w:t>
            </w:r>
          </w:p>
        </w:tc>
        <w:tc>
          <w:tcPr>
            <w:tcW w:w="810" w:type="dxa"/>
            <w:noWrap/>
            <w:vAlign w:val="bottom"/>
            <w:hideMark/>
          </w:tcPr>
          <w:p w14:paraId="7517F9DA" w14:textId="77777777" w:rsidR="0048653D" w:rsidRPr="0048653D" w:rsidRDefault="0048653D" w:rsidP="0048653D">
            <w:pPr>
              <w:bidi w:val="0"/>
              <w:jc w:val="center"/>
              <w:rPr>
                <w:color w:val="000000"/>
                <w:sz w:val="22"/>
                <w:szCs w:val="22"/>
              </w:rPr>
            </w:pPr>
            <w:r w:rsidRPr="0048653D">
              <w:rPr>
                <w:color w:val="000000"/>
                <w:sz w:val="22"/>
                <w:szCs w:val="22"/>
              </w:rPr>
              <w:t>80.0%</w:t>
            </w:r>
          </w:p>
        </w:tc>
        <w:tc>
          <w:tcPr>
            <w:tcW w:w="900" w:type="dxa"/>
            <w:noWrap/>
            <w:vAlign w:val="bottom"/>
            <w:hideMark/>
          </w:tcPr>
          <w:p w14:paraId="33D90D4B" w14:textId="77777777" w:rsidR="0048653D" w:rsidRPr="0048653D" w:rsidRDefault="0048653D" w:rsidP="0048653D">
            <w:pPr>
              <w:bidi w:val="0"/>
              <w:jc w:val="center"/>
              <w:rPr>
                <w:color w:val="000000"/>
                <w:sz w:val="22"/>
                <w:szCs w:val="22"/>
              </w:rPr>
            </w:pPr>
            <w:r w:rsidRPr="0048653D">
              <w:rPr>
                <w:color w:val="000000"/>
                <w:sz w:val="22"/>
                <w:szCs w:val="22"/>
              </w:rPr>
              <w:t>4</w:t>
            </w:r>
          </w:p>
        </w:tc>
        <w:tc>
          <w:tcPr>
            <w:tcW w:w="990" w:type="dxa"/>
            <w:noWrap/>
            <w:vAlign w:val="bottom"/>
            <w:hideMark/>
          </w:tcPr>
          <w:p w14:paraId="28DFBBB5" w14:textId="77777777" w:rsidR="0048653D" w:rsidRPr="0048653D" w:rsidRDefault="0048653D" w:rsidP="0048653D">
            <w:pPr>
              <w:bidi w:val="0"/>
              <w:jc w:val="center"/>
              <w:rPr>
                <w:color w:val="000000"/>
                <w:sz w:val="22"/>
                <w:szCs w:val="22"/>
              </w:rPr>
            </w:pPr>
            <w:r w:rsidRPr="0048653D">
              <w:rPr>
                <w:color w:val="000000"/>
                <w:sz w:val="22"/>
                <w:szCs w:val="22"/>
              </w:rPr>
              <w:t>20.0%</w:t>
            </w:r>
          </w:p>
        </w:tc>
        <w:tc>
          <w:tcPr>
            <w:tcW w:w="1080" w:type="dxa"/>
            <w:noWrap/>
            <w:vAlign w:val="center"/>
            <w:hideMark/>
          </w:tcPr>
          <w:p w14:paraId="2A30D0D8" w14:textId="77777777" w:rsidR="0048653D" w:rsidRPr="0048653D" w:rsidRDefault="0048653D" w:rsidP="0048653D">
            <w:pPr>
              <w:bidi w:val="0"/>
              <w:jc w:val="center"/>
              <w:rPr>
                <w:color w:val="000000"/>
                <w:sz w:val="22"/>
                <w:szCs w:val="22"/>
              </w:rPr>
            </w:pPr>
            <w:r w:rsidRPr="0048653D">
              <w:rPr>
                <w:color w:val="000000"/>
                <w:sz w:val="22"/>
                <w:szCs w:val="22"/>
              </w:rPr>
              <w:t>p &lt; 0.001</w:t>
            </w:r>
          </w:p>
        </w:tc>
        <w:tc>
          <w:tcPr>
            <w:tcW w:w="1260" w:type="dxa"/>
            <w:noWrap/>
            <w:vAlign w:val="center"/>
            <w:hideMark/>
          </w:tcPr>
          <w:p w14:paraId="2DC8A9E3" w14:textId="77777777" w:rsidR="0048653D" w:rsidRPr="0048653D" w:rsidRDefault="0048653D" w:rsidP="0048653D">
            <w:pPr>
              <w:bidi w:val="0"/>
              <w:jc w:val="center"/>
              <w:rPr>
                <w:color w:val="000000"/>
                <w:sz w:val="22"/>
                <w:szCs w:val="22"/>
              </w:rPr>
            </w:pPr>
            <w:r w:rsidRPr="0048653D">
              <w:rPr>
                <w:color w:val="000000"/>
                <w:sz w:val="22"/>
                <w:szCs w:val="22"/>
              </w:rPr>
              <w:t>0.8</w:t>
            </w:r>
          </w:p>
        </w:tc>
      </w:tr>
      <w:tr w:rsidR="0048653D" w:rsidRPr="0048653D" w14:paraId="769947BE" w14:textId="77777777" w:rsidTr="00BC2A2F">
        <w:trPr>
          <w:trHeight w:val="288"/>
        </w:trPr>
        <w:tc>
          <w:tcPr>
            <w:tcW w:w="1900" w:type="dxa"/>
            <w:noWrap/>
            <w:vAlign w:val="bottom"/>
            <w:hideMark/>
          </w:tcPr>
          <w:p w14:paraId="1EA1364B" w14:textId="77777777" w:rsidR="0048653D" w:rsidRPr="0048653D" w:rsidRDefault="0048653D" w:rsidP="0048653D">
            <w:pPr>
              <w:bidi w:val="0"/>
              <w:jc w:val="right"/>
              <w:rPr>
                <w:color w:val="000000"/>
                <w:sz w:val="22"/>
                <w:szCs w:val="22"/>
              </w:rPr>
            </w:pPr>
            <w:r w:rsidRPr="0048653D">
              <w:rPr>
                <w:color w:val="000000"/>
                <w:sz w:val="22"/>
                <w:szCs w:val="22"/>
              </w:rPr>
              <w:t>negative</w:t>
            </w:r>
          </w:p>
        </w:tc>
        <w:tc>
          <w:tcPr>
            <w:tcW w:w="939" w:type="dxa"/>
            <w:noWrap/>
            <w:vAlign w:val="bottom"/>
            <w:hideMark/>
          </w:tcPr>
          <w:p w14:paraId="29ACAAD2" w14:textId="77777777" w:rsidR="0048653D" w:rsidRPr="0048653D" w:rsidRDefault="0048653D" w:rsidP="0048653D">
            <w:pPr>
              <w:bidi w:val="0"/>
              <w:jc w:val="center"/>
              <w:rPr>
                <w:color w:val="000000"/>
                <w:sz w:val="22"/>
                <w:szCs w:val="22"/>
              </w:rPr>
            </w:pPr>
            <w:r w:rsidRPr="0048653D">
              <w:rPr>
                <w:color w:val="000000"/>
                <w:sz w:val="22"/>
                <w:szCs w:val="22"/>
              </w:rPr>
              <w:t>64</w:t>
            </w:r>
          </w:p>
        </w:tc>
        <w:tc>
          <w:tcPr>
            <w:tcW w:w="751" w:type="dxa"/>
            <w:noWrap/>
            <w:vAlign w:val="bottom"/>
            <w:hideMark/>
          </w:tcPr>
          <w:p w14:paraId="60221061" w14:textId="77777777" w:rsidR="0048653D" w:rsidRPr="0048653D" w:rsidRDefault="0048653D" w:rsidP="0048653D">
            <w:pPr>
              <w:bidi w:val="0"/>
              <w:jc w:val="center"/>
              <w:rPr>
                <w:color w:val="000000"/>
                <w:sz w:val="22"/>
                <w:szCs w:val="22"/>
              </w:rPr>
            </w:pPr>
            <w:r w:rsidRPr="0048653D">
              <w:rPr>
                <w:color w:val="000000"/>
                <w:sz w:val="22"/>
                <w:szCs w:val="22"/>
              </w:rPr>
              <w:t>0</w:t>
            </w:r>
          </w:p>
        </w:tc>
        <w:tc>
          <w:tcPr>
            <w:tcW w:w="810" w:type="dxa"/>
            <w:noWrap/>
            <w:vAlign w:val="bottom"/>
            <w:hideMark/>
          </w:tcPr>
          <w:p w14:paraId="15DB4E21" w14:textId="77777777" w:rsidR="0048653D" w:rsidRPr="0048653D" w:rsidRDefault="0048653D" w:rsidP="0048653D">
            <w:pPr>
              <w:bidi w:val="0"/>
              <w:jc w:val="center"/>
              <w:rPr>
                <w:color w:val="000000"/>
                <w:sz w:val="22"/>
                <w:szCs w:val="22"/>
              </w:rPr>
            </w:pPr>
            <w:r w:rsidRPr="0048653D">
              <w:rPr>
                <w:color w:val="000000"/>
                <w:sz w:val="22"/>
                <w:szCs w:val="22"/>
              </w:rPr>
              <w:t>0.0%</w:t>
            </w:r>
          </w:p>
        </w:tc>
        <w:tc>
          <w:tcPr>
            <w:tcW w:w="900" w:type="dxa"/>
            <w:noWrap/>
            <w:vAlign w:val="bottom"/>
            <w:hideMark/>
          </w:tcPr>
          <w:p w14:paraId="19510941" w14:textId="77777777" w:rsidR="0048653D" w:rsidRPr="0048653D" w:rsidRDefault="0048653D" w:rsidP="0048653D">
            <w:pPr>
              <w:bidi w:val="0"/>
              <w:jc w:val="center"/>
              <w:rPr>
                <w:color w:val="000000"/>
                <w:sz w:val="22"/>
                <w:szCs w:val="22"/>
              </w:rPr>
            </w:pPr>
            <w:r w:rsidRPr="0048653D">
              <w:rPr>
                <w:color w:val="000000"/>
                <w:sz w:val="22"/>
                <w:szCs w:val="22"/>
              </w:rPr>
              <w:t>64</w:t>
            </w:r>
          </w:p>
        </w:tc>
        <w:tc>
          <w:tcPr>
            <w:tcW w:w="990" w:type="dxa"/>
            <w:noWrap/>
            <w:vAlign w:val="bottom"/>
            <w:hideMark/>
          </w:tcPr>
          <w:p w14:paraId="54DCBE1B" w14:textId="77777777" w:rsidR="0048653D" w:rsidRPr="0048653D" w:rsidRDefault="0048653D" w:rsidP="0048653D">
            <w:pPr>
              <w:bidi w:val="0"/>
              <w:jc w:val="center"/>
              <w:rPr>
                <w:color w:val="000000"/>
                <w:sz w:val="22"/>
                <w:szCs w:val="22"/>
              </w:rPr>
            </w:pPr>
            <w:r w:rsidRPr="0048653D">
              <w:rPr>
                <w:color w:val="000000"/>
                <w:sz w:val="22"/>
                <w:szCs w:val="22"/>
              </w:rPr>
              <w:t>100.0%</w:t>
            </w:r>
          </w:p>
        </w:tc>
        <w:tc>
          <w:tcPr>
            <w:tcW w:w="1080" w:type="dxa"/>
            <w:noWrap/>
            <w:vAlign w:val="center"/>
            <w:hideMark/>
          </w:tcPr>
          <w:p w14:paraId="3375F431" w14:textId="77777777" w:rsidR="0048653D" w:rsidRPr="0048653D" w:rsidRDefault="0048653D" w:rsidP="0048653D">
            <w:pPr>
              <w:bidi w:val="0"/>
              <w:jc w:val="center"/>
              <w:rPr>
                <w:color w:val="000000"/>
                <w:sz w:val="22"/>
                <w:szCs w:val="22"/>
              </w:rPr>
            </w:pPr>
            <w:r w:rsidRPr="0048653D">
              <w:rPr>
                <w:color w:val="000000"/>
                <w:sz w:val="22"/>
                <w:szCs w:val="22"/>
              </w:rPr>
              <w:t> </w:t>
            </w:r>
          </w:p>
        </w:tc>
        <w:tc>
          <w:tcPr>
            <w:tcW w:w="1260" w:type="dxa"/>
            <w:noWrap/>
            <w:vAlign w:val="bottom"/>
            <w:hideMark/>
          </w:tcPr>
          <w:p w14:paraId="4F25C23C" w14:textId="77777777" w:rsidR="0048653D" w:rsidRPr="0048653D" w:rsidRDefault="0048653D" w:rsidP="0048653D">
            <w:pPr>
              <w:bidi w:val="0"/>
              <w:jc w:val="center"/>
              <w:rPr>
                <w:color w:val="000000"/>
                <w:sz w:val="22"/>
                <w:szCs w:val="22"/>
              </w:rPr>
            </w:pPr>
            <w:r w:rsidRPr="0048653D">
              <w:rPr>
                <w:color w:val="000000"/>
                <w:sz w:val="22"/>
                <w:szCs w:val="22"/>
              </w:rPr>
              <w:t> </w:t>
            </w:r>
          </w:p>
        </w:tc>
      </w:tr>
      <w:tr w:rsidR="0048653D" w:rsidRPr="0048653D" w14:paraId="3A93A483" w14:textId="77777777" w:rsidTr="00BC2A2F">
        <w:trPr>
          <w:trHeight w:val="288"/>
        </w:trPr>
        <w:tc>
          <w:tcPr>
            <w:tcW w:w="1900" w:type="dxa"/>
            <w:noWrap/>
            <w:vAlign w:val="bottom"/>
            <w:hideMark/>
          </w:tcPr>
          <w:p w14:paraId="71623CF4" w14:textId="77777777" w:rsidR="0048653D" w:rsidRPr="0048653D" w:rsidRDefault="0048653D" w:rsidP="0048653D">
            <w:pPr>
              <w:bidi w:val="0"/>
              <w:rPr>
                <w:color w:val="000000"/>
                <w:sz w:val="22"/>
                <w:szCs w:val="22"/>
              </w:rPr>
            </w:pPr>
            <w:r w:rsidRPr="0048653D">
              <w:rPr>
                <w:color w:val="000000"/>
                <w:sz w:val="22"/>
                <w:szCs w:val="22"/>
              </w:rPr>
              <w:t>Fish</w:t>
            </w:r>
          </w:p>
        </w:tc>
        <w:tc>
          <w:tcPr>
            <w:tcW w:w="939" w:type="dxa"/>
            <w:noWrap/>
            <w:vAlign w:val="center"/>
            <w:hideMark/>
          </w:tcPr>
          <w:p w14:paraId="60C9636F" w14:textId="77777777" w:rsidR="0048653D" w:rsidRPr="0048653D" w:rsidRDefault="0048653D" w:rsidP="0048653D">
            <w:pPr>
              <w:bidi w:val="0"/>
              <w:rPr>
                <w:color w:val="000000"/>
                <w:sz w:val="22"/>
                <w:szCs w:val="22"/>
              </w:rPr>
            </w:pPr>
            <w:r w:rsidRPr="0048653D">
              <w:rPr>
                <w:color w:val="000000"/>
                <w:sz w:val="22"/>
                <w:szCs w:val="22"/>
              </w:rPr>
              <w:t> </w:t>
            </w:r>
          </w:p>
        </w:tc>
        <w:tc>
          <w:tcPr>
            <w:tcW w:w="751" w:type="dxa"/>
            <w:noWrap/>
            <w:vAlign w:val="center"/>
            <w:hideMark/>
          </w:tcPr>
          <w:p w14:paraId="28F890D6" w14:textId="77777777" w:rsidR="0048653D" w:rsidRPr="0048653D" w:rsidRDefault="0048653D" w:rsidP="0048653D">
            <w:pPr>
              <w:bidi w:val="0"/>
              <w:jc w:val="center"/>
              <w:rPr>
                <w:b/>
                <w:bCs/>
                <w:color w:val="000000"/>
                <w:sz w:val="22"/>
                <w:szCs w:val="22"/>
              </w:rPr>
            </w:pPr>
            <w:r w:rsidRPr="0048653D">
              <w:rPr>
                <w:b/>
                <w:bCs/>
                <w:color w:val="000000"/>
                <w:sz w:val="22"/>
                <w:szCs w:val="22"/>
              </w:rPr>
              <w:t> </w:t>
            </w:r>
          </w:p>
        </w:tc>
        <w:tc>
          <w:tcPr>
            <w:tcW w:w="810" w:type="dxa"/>
            <w:noWrap/>
            <w:vAlign w:val="center"/>
            <w:hideMark/>
          </w:tcPr>
          <w:p w14:paraId="62D930B7" w14:textId="77777777" w:rsidR="0048653D" w:rsidRPr="0048653D" w:rsidRDefault="0048653D" w:rsidP="0048653D">
            <w:pPr>
              <w:bidi w:val="0"/>
              <w:jc w:val="center"/>
              <w:rPr>
                <w:b/>
                <w:bCs/>
                <w:color w:val="000000"/>
                <w:sz w:val="22"/>
                <w:szCs w:val="22"/>
              </w:rPr>
            </w:pPr>
          </w:p>
        </w:tc>
        <w:tc>
          <w:tcPr>
            <w:tcW w:w="900" w:type="dxa"/>
            <w:noWrap/>
            <w:vAlign w:val="center"/>
            <w:hideMark/>
          </w:tcPr>
          <w:p w14:paraId="412EC78E" w14:textId="77777777" w:rsidR="0048653D" w:rsidRPr="0048653D" w:rsidRDefault="0048653D" w:rsidP="0048653D">
            <w:pPr>
              <w:bidi w:val="0"/>
              <w:jc w:val="center"/>
              <w:rPr>
                <w:b/>
                <w:bCs/>
                <w:color w:val="000000"/>
                <w:sz w:val="22"/>
                <w:szCs w:val="22"/>
              </w:rPr>
            </w:pPr>
            <w:r w:rsidRPr="0048653D">
              <w:rPr>
                <w:b/>
                <w:bCs/>
                <w:color w:val="000000"/>
                <w:sz w:val="22"/>
                <w:szCs w:val="22"/>
              </w:rPr>
              <w:t> </w:t>
            </w:r>
          </w:p>
        </w:tc>
        <w:tc>
          <w:tcPr>
            <w:tcW w:w="990" w:type="dxa"/>
            <w:noWrap/>
            <w:vAlign w:val="center"/>
            <w:hideMark/>
          </w:tcPr>
          <w:p w14:paraId="3AAA5BB7" w14:textId="77777777" w:rsidR="0048653D" w:rsidRPr="0048653D" w:rsidRDefault="0048653D" w:rsidP="0048653D">
            <w:pPr>
              <w:bidi w:val="0"/>
              <w:jc w:val="center"/>
              <w:rPr>
                <w:b/>
                <w:bCs/>
                <w:color w:val="000000"/>
                <w:sz w:val="22"/>
                <w:szCs w:val="22"/>
              </w:rPr>
            </w:pPr>
            <w:r w:rsidRPr="0048653D">
              <w:rPr>
                <w:b/>
                <w:bCs/>
                <w:color w:val="000000"/>
                <w:sz w:val="22"/>
                <w:szCs w:val="22"/>
              </w:rPr>
              <w:t> </w:t>
            </w:r>
          </w:p>
        </w:tc>
        <w:tc>
          <w:tcPr>
            <w:tcW w:w="1080" w:type="dxa"/>
            <w:noWrap/>
            <w:vAlign w:val="center"/>
            <w:hideMark/>
          </w:tcPr>
          <w:p w14:paraId="348D601C" w14:textId="77777777" w:rsidR="0048653D" w:rsidRPr="0048653D" w:rsidRDefault="0048653D" w:rsidP="0048653D">
            <w:pPr>
              <w:bidi w:val="0"/>
              <w:jc w:val="center"/>
              <w:rPr>
                <w:b/>
                <w:bCs/>
                <w:color w:val="000000"/>
                <w:sz w:val="22"/>
                <w:szCs w:val="22"/>
              </w:rPr>
            </w:pPr>
          </w:p>
        </w:tc>
        <w:tc>
          <w:tcPr>
            <w:tcW w:w="1260" w:type="dxa"/>
            <w:vAlign w:val="center"/>
            <w:hideMark/>
          </w:tcPr>
          <w:p w14:paraId="2EACE9D7" w14:textId="77777777" w:rsidR="0048653D" w:rsidRPr="0048653D" w:rsidRDefault="0048653D" w:rsidP="0048653D">
            <w:pPr>
              <w:bidi w:val="0"/>
              <w:rPr>
                <w:b/>
                <w:bCs/>
                <w:color w:val="000000"/>
                <w:sz w:val="22"/>
                <w:szCs w:val="22"/>
              </w:rPr>
            </w:pPr>
            <w:r w:rsidRPr="0048653D">
              <w:rPr>
                <w:b/>
                <w:bCs/>
                <w:color w:val="000000"/>
                <w:sz w:val="22"/>
                <w:szCs w:val="22"/>
              </w:rPr>
              <w:t> </w:t>
            </w:r>
          </w:p>
        </w:tc>
      </w:tr>
      <w:tr w:rsidR="0048653D" w:rsidRPr="0048653D" w14:paraId="7B8DDBE3" w14:textId="77777777" w:rsidTr="00BC2A2F">
        <w:trPr>
          <w:trHeight w:val="288"/>
        </w:trPr>
        <w:tc>
          <w:tcPr>
            <w:tcW w:w="1900" w:type="dxa"/>
            <w:noWrap/>
            <w:vAlign w:val="bottom"/>
            <w:hideMark/>
          </w:tcPr>
          <w:p w14:paraId="4D1B1366" w14:textId="77777777" w:rsidR="0048653D" w:rsidRPr="0048653D" w:rsidRDefault="0048653D" w:rsidP="0048653D">
            <w:pPr>
              <w:bidi w:val="0"/>
              <w:jc w:val="right"/>
              <w:rPr>
                <w:color w:val="000000"/>
                <w:sz w:val="22"/>
                <w:szCs w:val="22"/>
              </w:rPr>
            </w:pPr>
            <w:r w:rsidRPr="0048653D">
              <w:rPr>
                <w:color w:val="000000"/>
                <w:sz w:val="22"/>
                <w:szCs w:val="22"/>
              </w:rPr>
              <w:t>positive</w:t>
            </w:r>
          </w:p>
        </w:tc>
        <w:tc>
          <w:tcPr>
            <w:tcW w:w="939" w:type="dxa"/>
            <w:noWrap/>
            <w:vAlign w:val="bottom"/>
            <w:hideMark/>
          </w:tcPr>
          <w:p w14:paraId="22C419C8" w14:textId="77777777" w:rsidR="0048653D" w:rsidRPr="0048653D" w:rsidRDefault="0048653D" w:rsidP="0048653D">
            <w:pPr>
              <w:bidi w:val="0"/>
              <w:jc w:val="center"/>
              <w:rPr>
                <w:color w:val="000000"/>
                <w:sz w:val="22"/>
                <w:szCs w:val="22"/>
              </w:rPr>
            </w:pPr>
            <w:r w:rsidRPr="0048653D">
              <w:rPr>
                <w:color w:val="000000"/>
                <w:sz w:val="22"/>
                <w:szCs w:val="22"/>
              </w:rPr>
              <w:t>20</w:t>
            </w:r>
          </w:p>
        </w:tc>
        <w:tc>
          <w:tcPr>
            <w:tcW w:w="751" w:type="dxa"/>
            <w:noWrap/>
            <w:vAlign w:val="bottom"/>
            <w:hideMark/>
          </w:tcPr>
          <w:p w14:paraId="581DCC72" w14:textId="77777777" w:rsidR="0048653D" w:rsidRPr="0048653D" w:rsidRDefault="0048653D" w:rsidP="0048653D">
            <w:pPr>
              <w:bidi w:val="0"/>
              <w:jc w:val="center"/>
              <w:rPr>
                <w:color w:val="000000"/>
                <w:sz w:val="22"/>
                <w:szCs w:val="22"/>
              </w:rPr>
            </w:pPr>
            <w:r w:rsidRPr="0048653D">
              <w:rPr>
                <w:color w:val="000000"/>
                <w:sz w:val="22"/>
                <w:szCs w:val="22"/>
              </w:rPr>
              <w:t>16</w:t>
            </w:r>
          </w:p>
        </w:tc>
        <w:tc>
          <w:tcPr>
            <w:tcW w:w="810" w:type="dxa"/>
            <w:noWrap/>
            <w:vAlign w:val="bottom"/>
            <w:hideMark/>
          </w:tcPr>
          <w:p w14:paraId="0A391380" w14:textId="77777777" w:rsidR="0048653D" w:rsidRPr="0048653D" w:rsidRDefault="0048653D" w:rsidP="0048653D">
            <w:pPr>
              <w:bidi w:val="0"/>
              <w:jc w:val="center"/>
              <w:rPr>
                <w:color w:val="000000"/>
                <w:sz w:val="22"/>
                <w:szCs w:val="22"/>
              </w:rPr>
            </w:pPr>
            <w:r w:rsidRPr="0048653D">
              <w:rPr>
                <w:color w:val="000000"/>
                <w:sz w:val="22"/>
                <w:szCs w:val="22"/>
              </w:rPr>
              <w:t>80.0%</w:t>
            </w:r>
          </w:p>
        </w:tc>
        <w:tc>
          <w:tcPr>
            <w:tcW w:w="900" w:type="dxa"/>
            <w:noWrap/>
            <w:vAlign w:val="bottom"/>
            <w:hideMark/>
          </w:tcPr>
          <w:p w14:paraId="4AADC00F" w14:textId="77777777" w:rsidR="0048653D" w:rsidRPr="0048653D" w:rsidRDefault="0048653D" w:rsidP="0048653D">
            <w:pPr>
              <w:bidi w:val="0"/>
              <w:jc w:val="center"/>
              <w:rPr>
                <w:color w:val="000000"/>
                <w:sz w:val="22"/>
                <w:szCs w:val="22"/>
              </w:rPr>
            </w:pPr>
            <w:r w:rsidRPr="0048653D">
              <w:rPr>
                <w:color w:val="000000"/>
                <w:sz w:val="22"/>
                <w:szCs w:val="22"/>
              </w:rPr>
              <w:t>4</w:t>
            </w:r>
          </w:p>
        </w:tc>
        <w:tc>
          <w:tcPr>
            <w:tcW w:w="990" w:type="dxa"/>
            <w:noWrap/>
            <w:vAlign w:val="bottom"/>
            <w:hideMark/>
          </w:tcPr>
          <w:p w14:paraId="06ADDFE3" w14:textId="77777777" w:rsidR="0048653D" w:rsidRPr="0048653D" w:rsidRDefault="0048653D" w:rsidP="0048653D">
            <w:pPr>
              <w:bidi w:val="0"/>
              <w:jc w:val="center"/>
              <w:rPr>
                <w:color w:val="000000"/>
                <w:sz w:val="22"/>
                <w:szCs w:val="22"/>
              </w:rPr>
            </w:pPr>
            <w:r w:rsidRPr="0048653D">
              <w:rPr>
                <w:color w:val="000000"/>
                <w:sz w:val="22"/>
                <w:szCs w:val="22"/>
              </w:rPr>
              <w:t>20.0%</w:t>
            </w:r>
          </w:p>
        </w:tc>
        <w:tc>
          <w:tcPr>
            <w:tcW w:w="1080" w:type="dxa"/>
            <w:noWrap/>
            <w:vAlign w:val="center"/>
            <w:hideMark/>
          </w:tcPr>
          <w:p w14:paraId="5772B22C" w14:textId="77777777" w:rsidR="0048653D" w:rsidRPr="0048653D" w:rsidRDefault="0048653D" w:rsidP="0048653D">
            <w:pPr>
              <w:bidi w:val="0"/>
              <w:jc w:val="center"/>
              <w:rPr>
                <w:color w:val="000000"/>
                <w:sz w:val="22"/>
                <w:szCs w:val="22"/>
              </w:rPr>
            </w:pPr>
            <w:r w:rsidRPr="0048653D">
              <w:rPr>
                <w:color w:val="000000"/>
                <w:sz w:val="22"/>
                <w:szCs w:val="22"/>
              </w:rPr>
              <w:t>p &lt; 0.001</w:t>
            </w:r>
          </w:p>
        </w:tc>
        <w:tc>
          <w:tcPr>
            <w:tcW w:w="1260" w:type="dxa"/>
            <w:noWrap/>
            <w:vAlign w:val="center"/>
            <w:hideMark/>
          </w:tcPr>
          <w:p w14:paraId="662A305A" w14:textId="77777777" w:rsidR="0048653D" w:rsidRPr="0048653D" w:rsidRDefault="0048653D" w:rsidP="0048653D">
            <w:pPr>
              <w:bidi w:val="0"/>
              <w:jc w:val="center"/>
              <w:rPr>
                <w:color w:val="000000"/>
                <w:sz w:val="22"/>
                <w:szCs w:val="22"/>
              </w:rPr>
            </w:pPr>
            <w:r w:rsidRPr="0048653D">
              <w:rPr>
                <w:color w:val="000000"/>
                <w:sz w:val="22"/>
                <w:szCs w:val="22"/>
              </w:rPr>
              <w:t>0.8</w:t>
            </w:r>
          </w:p>
        </w:tc>
      </w:tr>
      <w:tr w:rsidR="0048653D" w:rsidRPr="0048653D" w14:paraId="569EEDFC" w14:textId="77777777" w:rsidTr="00BC2A2F">
        <w:trPr>
          <w:trHeight w:val="300"/>
        </w:trPr>
        <w:tc>
          <w:tcPr>
            <w:tcW w:w="1900" w:type="dxa"/>
            <w:tcBorders>
              <w:bottom w:val="single" w:sz="4" w:space="0" w:color="auto"/>
            </w:tcBorders>
            <w:noWrap/>
            <w:vAlign w:val="bottom"/>
            <w:hideMark/>
          </w:tcPr>
          <w:p w14:paraId="0C398296" w14:textId="77777777" w:rsidR="0048653D" w:rsidRPr="0048653D" w:rsidRDefault="0048653D" w:rsidP="0048653D">
            <w:pPr>
              <w:bidi w:val="0"/>
              <w:jc w:val="right"/>
              <w:rPr>
                <w:color w:val="000000"/>
                <w:sz w:val="22"/>
                <w:szCs w:val="22"/>
              </w:rPr>
            </w:pPr>
            <w:r w:rsidRPr="0048653D">
              <w:rPr>
                <w:color w:val="000000"/>
                <w:sz w:val="22"/>
                <w:szCs w:val="22"/>
              </w:rPr>
              <w:t>negative</w:t>
            </w:r>
          </w:p>
        </w:tc>
        <w:tc>
          <w:tcPr>
            <w:tcW w:w="939" w:type="dxa"/>
            <w:tcBorders>
              <w:bottom w:val="single" w:sz="4" w:space="0" w:color="auto"/>
            </w:tcBorders>
            <w:noWrap/>
            <w:vAlign w:val="bottom"/>
            <w:hideMark/>
          </w:tcPr>
          <w:p w14:paraId="1553765B" w14:textId="77777777" w:rsidR="0048653D" w:rsidRPr="0048653D" w:rsidRDefault="0048653D" w:rsidP="0048653D">
            <w:pPr>
              <w:bidi w:val="0"/>
              <w:jc w:val="center"/>
              <w:rPr>
                <w:color w:val="000000"/>
                <w:sz w:val="22"/>
                <w:szCs w:val="22"/>
              </w:rPr>
            </w:pPr>
            <w:r w:rsidRPr="0048653D">
              <w:rPr>
                <w:color w:val="000000"/>
                <w:sz w:val="22"/>
                <w:szCs w:val="22"/>
              </w:rPr>
              <w:t>64</w:t>
            </w:r>
          </w:p>
        </w:tc>
        <w:tc>
          <w:tcPr>
            <w:tcW w:w="751" w:type="dxa"/>
            <w:tcBorders>
              <w:bottom w:val="single" w:sz="4" w:space="0" w:color="auto"/>
            </w:tcBorders>
            <w:noWrap/>
            <w:vAlign w:val="bottom"/>
            <w:hideMark/>
          </w:tcPr>
          <w:p w14:paraId="3DF04DEF" w14:textId="77777777" w:rsidR="0048653D" w:rsidRPr="0048653D" w:rsidRDefault="0048653D" w:rsidP="0048653D">
            <w:pPr>
              <w:bidi w:val="0"/>
              <w:jc w:val="center"/>
              <w:rPr>
                <w:color w:val="000000"/>
                <w:sz w:val="22"/>
                <w:szCs w:val="22"/>
              </w:rPr>
            </w:pPr>
            <w:r w:rsidRPr="0048653D">
              <w:rPr>
                <w:color w:val="000000"/>
                <w:sz w:val="22"/>
                <w:szCs w:val="22"/>
              </w:rPr>
              <w:t>0</w:t>
            </w:r>
          </w:p>
        </w:tc>
        <w:tc>
          <w:tcPr>
            <w:tcW w:w="810" w:type="dxa"/>
            <w:tcBorders>
              <w:bottom w:val="single" w:sz="4" w:space="0" w:color="auto"/>
            </w:tcBorders>
            <w:noWrap/>
            <w:vAlign w:val="bottom"/>
            <w:hideMark/>
          </w:tcPr>
          <w:p w14:paraId="46EAB19A" w14:textId="77777777" w:rsidR="0048653D" w:rsidRPr="0048653D" w:rsidRDefault="0048653D" w:rsidP="0048653D">
            <w:pPr>
              <w:bidi w:val="0"/>
              <w:jc w:val="center"/>
              <w:rPr>
                <w:color w:val="000000"/>
                <w:sz w:val="22"/>
                <w:szCs w:val="22"/>
              </w:rPr>
            </w:pPr>
            <w:r w:rsidRPr="0048653D">
              <w:rPr>
                <w:color w:val="000000"/>
                <w:sz w:val="22"/>
                <w:szCs w:val="22"/>
              </w:rPr>
              <w:t>0.0%</w:t>
            </w:r>
          </w:p>
        </w:tc>
        <w:tc>
          <w:tcPr>
            <w:tcW w:w="900" w:type="dxa"/>
            <w:tcBorders>
              <w:bottom w:val="single" w:sz="4" w:space="0" w:color="auto"/>
            </w:tcBorders>
            <w:noWrap/>
            <w:vAlign w:val="bottom"/>
            <w:hideMark/>
          </w:tcPr>
          <w:p w14:paraId="34AC2A60" w14:textId="77777777" w:rsidR="0048653D" w:rsidRPr="0048653D" w:rsidRDefault="0048653D" w:rsidP="0048653D">
            <w:pPr>
              <w:bidi w:val="0"/>
              <w:jc w:val="center"/>
              <w:rPr>
                <w:color w:val="000000"/>
                <w:sz w:val="22"/>
                <w:szCs w:val="22"/>
              </w:rPr>
            </w:pPr>
            <w:r w:rsidRPr="0048653D">
              <w:rPr>
                <w:color w:val="000000"/>
                <w:sz w:val="22"/>
                <w:szCs w:val="22"/>
              </w:rPr>
              <w:t>64</w:t>
            </w:r>
          </w:p>
        </w:tc>
        <w:tc>
          <w:tcPr>
            <w:tcW w:w="990" w:type="dxa"/>
            <w:tcBorders>
              <w:bottom w:val="single" w:sz="4" w:space="0" w:color="auto"/>
            </w:tcBorders>
            <w:noWrap/>
            <w:vAlign w:val="bottom"/>
            <w:hideMark/>
          </w:tcPr>
          <w:p w14:paraId="4BE27F03" w14:textId="77777777" w:rsidR="0048653D" w:rsidRPr="0048653D" w:rsidRDefault="0048653D" w:rsidP="0048653D">
            <w:pPr>
              <w:bidi w:val="0"/>
              <w:jc w:val="center"/>
              <w:rPr>
                <w:color w:val="000000"/>
                <w:sz w:val="22"/>
                <w:szCs w:val="22"/>
              </w:rPr>
            </w:pPr>
            <w:r w:rsidRPr="0048653D">
              <w:rPr>
                <w:color w:val="000000"/>
                <w:sz w:val="22"/>
                <w:szCs w:val="22"/>
              </w:rPr>
              <w:t>100.0%</w:t>
            </w:r>
          </w:p>
        </w:tc>
        <w:tc>
          <w:tcPr>
            <w:tcW w:w="1080" w:type="dxa"/>
            <w:tcBorders>
              <w:bottom w:val="single" w:sz="4" w:space="0" w:color="auto"/>
            </w:tcBorders>
            <w:noWrap/>
            <w:vAlign w:val="bottom"/>
            <w:hideMark/>
          </w:tcPr>
          <w:p w14:paraId="4B2F83A2" w14:textId="77777777" w:rsidR="0048653D" w:rsidRPr="0048653D" w:rsidRDefault="0048653D" w:rsidP="0048653D">
            <w:pPr>
              <w:bidi w:val="0"/>
              <w:rPr>
                <w:color w:val="000000"/>
                <w:sz w:val="22"/>
                <w:szCs w:val="22"/>
              </w:rPr>
            </w:pPr>
            <w:r w:rsidRPr="0048653D">
              <w:rPr>
                <w:color w:val="000000"/>
                <w:sz w:val="22"/>
                <w:szCs w:val="22"/>
              </w:rPr>
              <w:t> </w:t>
            </w:r>
          </w:p>
        </w:tc>
        <w:tc>
          <w:tcPr>
            <w:tcW w:w="1260" w:type="dxa"/>
            <w:tcBorders>
              <w:bottom w:val="single" w:sz="4" w:space="0" w:color="auto"/>
            </w:tcBorders>
            <w:noWrap/>
            <w:vAlign w:val="center"/>
            <w:hideMark/>
          </w:tcPr>
          <w:p w14:paraId="78D9CD1E" w14:textId="77777777" w:rsidR="0048653D" w:rsidRPr="0048653D" w:rsidRDefault="0048653D" w:rsidP="00D53E90">
            <w:pPr>
              <w:keepNext/>
              <w:bidi w:val="0"/>
              <w:rPr>
                <w:color w:val="000000"/>
                <w:sz w:val="22"/>
                <w:szCs w:val="22"/>
              </w:rPr>
            </w:pPr>
            <w:r w:rsidRPr="0048653D">
              <w:rPr>
                <w:color w:val="000000"/>
                <w:sz w:val="22"/>
                <w:szCs w:val="22"/>
              </w:rPr>
              <w:t> </w:t>
            </w:r>
          </w:p>
        </w:tc>
      </w:tr>
    </w:tbl>
    <w:p w14:paraId="38E1C700" w14:textId="3C9D1240" w:rsidR="00D53E90" w:rsidRPr="00D53E90" w:rsidRDefault="00D53E90" w:rsidP="007D5BD9">
      <w:pPr>
        <w:bidi w:val="0"/>
        <w:jc w:val="both"/>
        <w:rPr>
          <w:color w:val="00B050"/>
          <w:sz w:val="20"/>
          <w:szCs w:val="20"/>
        </w:rPr>
      </w:pPr>
      <w:r w:rsidRPr="00D53E90">
        <w:rPr>
          <w:color w:val="00B050"/>
          <w:sz w:val="20"/>
          <w:szCs w:val="20"/>
        </w:rPr>
        <w:t>% are of rows: 48.5% of cases with positive egg white allergy have high Ig E.</w:t>
      </w:r>
      <w:r w:rsidR="007D5BD9" w:rsidRPr="007D5BD9">
        <w:rPr>
          <w:color w:val="00B050"/>
          <w:sz w:val="20"/>
          <w:szCs w:val="20"/>
        </w:rPr>
        <w:t xml:space="preserve"> </w:t>
      </w:r>
      <w:r w:rsidRPr="00D53E90">
        <w:rPr>
          <w:color w:val="00B050"/>
          <w:sz w:val="20"/>
          <w:szCs w:val="20"/>
        </w:rPr>
        <w:t>The Chi-square test was used. *Statistically significant as p&lt;0.05. Strength of association is provided using Cramer's V.</w:t>
      </w:r>
    </w:p>
    <w:p w14:paraId="6B7A91CD" w14:textId="48769E5B" w:rsidR="000E1FCD" w:rsidRDefault="000E1FCD" w:rsidP="00D53E90">
      <w:pPr>
        <w:bidi w:val="0"/>
        <w:spacing w:after="160" w:line="480" w:lineRule="auto"/>
        <w:ind w:firstLine="720"/>
        <w:jc w:val="both"/>
        <w:rPr>
          <w:rFonts w:asciiTheme="majorBidi" w:eastAsia="SimSun" w:hAnsiTheme="majorBidi" w:cstheme="majorBidi"/>
          <w:b/>
          <w:bCs/>
          <w:color w:val="000000" w:themeColor="text1"/>
          <w:sz w:val="28"/>
          <w:szCs w:val="28"/>
          <w:lang w:eastAsia="zh-CN"/>
        </w:rPr>
      </w:pPr>
      <w:r w:rsidRPr="00083318">
        <w:rPr>
          <w:rFonts w:asciiTheme="majorBidi" w:eastAsia="SimSun" w:hAnsiTheme="majorBidi" w:cstheme="majorBidi"/>
          <w:b/>
          <w:bCs/>
          <w:color w:val="000000" w:themeColor="text1"/>
          <w:sz w:val="28"/>
          <w:szCs w:val="28"/>
          <w:lang w:eastAsia="zh-CN"/>
        </w:rPr>
        <w:t>Discussion</w:t>
      </w:r>
      <w:r w:rsidR="00083318">
        <w:rPr>
          <w:rFonts w:asciiTheme="majorBidi" w:eastAsia="SimSun" w:hAnsiTheme="majorBidi" w:cstheme="majorBidi"/>
          <w:b/>
          <w:bCs/>
          <w:color w:val="000000" w:themeColor="text1"/>
          <w:sz w:val="28"/>
          <w:szCs w:val="28"/>
          <w:lang w:eastAsia="zh-CN"/>
        </w:rPr>
        <w:t>:</w:t>
      </w:r>
    </w:p>
    <w:p w14:paraId="4A95E519" w14:textId="03F526E1" w:rsidR="00476A7B" w:rsidRDefault="00EB4D85" w:rsidP="00EB4D85">
      <w:pPr>
        <w:bidi w:val="0"/>
        <w:spacing w:line="480" w:lineRule="auto"/>
        <w:ind w:firstLine="720"/>
        <w:jc w:val="both"/>
        <w:rPr>
          <w:b/>
          <w:bCs/>
          <w:noProof/>
          <w:color w:val="000000" w:themeColor="text1"/>
        </w:rPr>
      </w:pPr>
      <w:r w:rsidRPr="00EB4D85">
        <w:rPr>
          <w:noProof/>
          <w:color w:val="000000" w:themeColor="text1"/>
        </w:rPr>
        <w:t>The prevalence of IBS is high in individuals with allergic disorders, indicating a potential connection between the two. Adverse food reactions, such as intolerances and allergies, often worsen gastrointe</w:t>
      </w:r>
      <w:r>
        <w:rPr>
          <w:noProof/>
          <w:color w:val="000000" w:themeColor="text1"/>
        </w:rPr>
        <w:t>stinal symptoms in IBS patients</w:t>
      </w:r>
      <w:r w:rsidR="00476A7B" w:rsidRPr="00476A7B">
        <w:rPr>
          <w:noProof/>
          <w:color w:val="000000" w:themeColor="text1"/>
        </w:rPr>
        <w:t xml:space="preserve"> </w:t>
      </w:r>
      <w:r w:rsidR="001D3529" w:rsidRPr="001D3529">
        <w:rPr>
          <w:b/>
          <w:bCs/>
          <w:noProof/>
          <w:color w:val="000000" w:themeColor="text1"/>
        </w:rPr>
        <w:t>[1</w:t>
      </w:r>
      <w:r w:rsidR="001D3529">
        <w:rPr>
          <w:b/>
          <w:bCs/>
          <w:noProof/>
          <w:color w:val="000000" w:themeColor="text1"/>
        </w:rPr>
        <w:t>3</w:t>
      </w:r>
      <w:r w:rsidR="001D3529" w:rsidRPr="001D3529">
        <w:rPr>
          <w:b/>
          <w:bCs/>
          <w:noProof/>
          <w:color w:val="000000" w:themeColor="text1"/>
        </w:rPr>
        <w:t>]</w:t>
      </w:r>
      <w:r w:rsidR="00791A3E">
        <w:rPr>
          <w:b/>
          <w:bCs/>
          <w:noProof/>
          <w:color w:val="000000" w:themeColor="text1"/>
        </w:rPr>
        <w:t>.</w:t>
      </w:r>
    </w:p>
    <w:p w14:paraId="7392BFEC" w14:textId="321086EB" w:rsidR="00AF511F" w:rsidRPr="00476A7B" w:rsidRDefault="00EB4D85" w:rsidP="00EB4D85">
      <w:pPr>
        <w:bidi w:val="0"/>
        <w:spacing w:line="480" w:lineRule="auto"/>
        <w:ind w:firstLine="720"/>
        <w:jc w:val="both"/>
        <w:rPr>
          <w:noProof/>
          <w:color w:val="000000" w:themeColor="text1"/>
        </w:rPr>
      </w:pPr>
      <w:r w:rsidRPr="00EB4D85">
        <w:rPr>
          <w:noProof/>
          <w:color w:val="000000" w:themeColor="text1"/>
        </w:rPr>
        <w:t xml:space="preserve">Our </w:t>
      </w:r>
      <w:r w:rsidR="005A754B">
        <w:rPr>
          <w:noProof/>
          <w:color w:val="000000" w:themeColor="text1"/>
        </w:rPr>
        <w:t xml:space="preserve">research </w:t>
      </w:r>
      <w:r w:rsidR="00D53E90">
        <w:rPr>
          <w:noProof/>
          <w:color w:val="000000" w:themeColor="text1"/>
        </w:rPr>
        <w:t>aimed</w:t>
      </w:r>
      <w:r w:rsidR="005A754B">
        <w:rPr>
          <w:noProof/>
          <w:color w:val="000000" w:themeColor="text1"/>
        </w:rPr>
        <w:t xml:space="preserve"> to investigate how IBS affects patients' lives</w:t>
      </w:r>
      <w:r w:rsidRPr="00EB4D85">
        <w:rPr>
          <w:noProof/>
          <w:color w:val="000000" w:themeColor="text1"/>
        </w:rPr>
        <w:t xml:space="preserve"> and how often</w:t>
      </w:r>
      <w:r>
        <w:rPr>
          <w:noProof/>
          <w:color w:val="000000" w:themeColor="text1"/>
        </w:rPr>
        <w:t xml:space="preserve"> they experience food allergies</w:t>
      </w:r>
      <w:r w:rsidR="00AF511F" w:rsidRPr="00AF511F">
        <w:rPr>
          <w:noProof/>
          <w:color w:val="000000" w:themeColor="text1"/>
        </w:rPr>
        <w:t>.</w:t>
      </w:r>
    </w:p>
    <w:p w14:paraId="4B204CB5" w14:textId="0CD9F802" w:rsidR="004A0FB8" w:rsidRDefault="009F50A1" w:rsidP="00A30D97">
      <w:pPr>
        <w:bidi w:val="0"/>
        <w:spacing w:line="480" w:lineRule="auto"/>
        <w:ind w:firstLine="720"/>
        <w:jc w:val="both"/>
        <w:rPr>
          <w:noProof/>
          <w:color w:val="000000" w:themeColor="text1"/>
        </w:rPr>
      </w:pPr>
      <w:r w:rsidRPr="009F50A1">
        <w:rPr>
          <w:noProof/>
          <w:color w:val="000000" w:themeColor="text1"/>
        </w:rPr>
        <w:t>This study found that 40.5% of IBS patients with food allergies were female, and 59.5% of patients were male. Conversely, all IBS patients who did not have a food allergy were female, with a strong correlation between the sexes in terms of food allergy.</w:t>
      </w:r>
    </w:p>
    <w:p w14:paraId="0B0CB91B" w14:textId="671A8748" w:rsidR="00DD6B3A" w:rsidRDefault="00F56311" w:rsidP="00F56311">
      <w:pPr>
        <w:bidi w:val="0"/>
        <w:spacing w:line="480" w:lineRule="auto"/>
        <w:ind w:firstLine="720"/>
        <w:jc w:val="both"/>
        <w:rPr>
          <w:b/>
          <w:bCs/>
          <w:noProof/>
          <w:color w:val="000000" w:themeColor="text1"/>
        </w:rPr>
      </w:pPr>
      <w:r w:rsidRPr="00F56311">
        <w:rPr>
          <w:noProof/>
          <w:color w:val="000000" w:themeColor="text1"/>
        </w:rPr>
        <w:t xml:space="preserve">Research on food allergies that dates back to the early 1980s has noted a gender bias. According to these and other studies conducted in the 1990s and 2000s, the sex ratio of adult females with food allergies was 6:4 to that of males. More recently, a 2009 literature review stated a 1.8 to 1 ratio in the incidence of IgE-mediated food allergies among those younger than 18 between males and girls, respectively </w:t>
      </w:r>
      <w:r w:rsidR="00DD6B3A" w:rsidRPr="00DD6B3A">
        <w:rPr>
          <w:b/>
          <w:bCs/>
          <w:noProof/>
          <w:color w:val="000000" w:themeColor="text1"/>
        </w:rPr>
        <w:t>[14]</w:t>
      </w:r>
      <w:r w:rsidR="001A4C2F">
        <w:rPr>
          <w:b/>
          <w:bCs/>
          <w:noProof/>
          <w:color w:val="000000" w:themeColor="text1"/>
        </w:rPr>
        <w:t>.</w:t>
      </w:r>
    </w:p>
    <w:p w14:paraId="00B76A95" w14:textId="3C2EA81F" w:rsidR="004B0654" w:rsidRPr="00224EA6" w:rsidRDefault="00224EA6" w:rsidP="00224EA6">
      <w:pPr>
        <w:bidi w:val="0"/>
        <w:spacing w:line="480" w:lineRule="auto"/>
        <w:ind w:firstLine="720"/>
        <w:jc w:val="both"/>
        <w:rPr>
          <w:b/>
          <w:bCs/>
          <w:noProof/>
          <w:color w:val="000000" w:themeColor="text1"/>
        </w:rPr>
      </w:pPr>
      <w:r w:rsidRPr="00224EA6">
        <w:rPr>
          <w:noProof/>
          <w:color w:val="000000" w:themeColor="text1"/>
        </w:rPr>
        <w:t xml:space="preserve">A thorough search of the PubMed literature for IgE-mediated allergy to 11 allergenic foods of international regulatory interest was conducted by Kelly and Caleb. There was no date constraint, and only English-language items were </w:t>
      </w:r>
      <w:r w:rsidR="00D53E90">
        <w:rPr>
          <w:noProof/>
          <w:color w:val="000000" w:themeColor="text1"/>
        </w:rPr>
        <w:t>considered</w:t>
      </w:r>
      <w:r w:rsidRPr="00224EA6">
        <w:rPr>
          <w:noProof/>
          <w:color w:val="000000" w:themeColor="text1"/>
        </w:rPr>
        <w:t xml:space="preserve">. 591 of the 4744 articles that were retrieved fulfilled the inclusion criteria, signifying 17528 individuals who had dietary allergies. In contrast to the male/female ratio of 1.80 for children with food allergies, which was 64.35% for males and 35.65% for females, the adult one (male/female ratio, 0.53), with 34.82% for males and 65.18% for females </w:t>
      </w:r>
      <w:r w:rsidR="00480AC3" w:rsidRPr="00480AC3">
        <w:rPr>
          <w:b/>
          <w:bCs/>
          <w:noProof/>
          <w:color w:val="000000" w:themeColor="text1"/>
        </w:rPr>
        <w:t>[15]</w:t>
      </w:r>
      <w:r w:rsidR="001A4C2F">
        <w:rPr>
          <w:b/>
          <w:bCs/>
          <w:noProof/>
          <w:color w:val="000000" w:themeColor="text1"/>
        </w:rPr>
        <w:t>.</w:t>
      </w:r>
    </w:p>
    <w:p w14:paraId="7224E609" w14:textId="162B0865" w:rsidR="00476A7B" w:rsidRDefault="004A0FB8" w:rsidP="00C402BC">
      <w:pPr>
        <w:bidi w:val="0"/>
        <w:spacing w:line="480" w:lineRule="auto"/>
        <w:ind w:firstLine="720"/>
        <w:jc w:val="both"/>
        <w:rPr>
          <w:noProof/>
          <w:color w:val="000000" w:themeColor="text1"/>
        </w:rPr>
      </w:pPr>
      <w:r w:rsidRPr="004A0FB8">
        <w:rPr>
          <w:noProof/>
          <w:color w:val="000000" w:themeColor="text1"/>
        </w:rPr>
        <w:t>According to this study, 50% of IBS patients with food allergies had a positive family history</w:t>
      </w:r>
      <w:r w:rsidR="00170C32">
        <w:rPr>
          <w:noProof/>
          <w:color w:val="000000" w:themeColor="text1"/>
        </w:rPr>
        <w:t>. In contrast,</w:t>
      </w:r>
      <w:r w:rsidRPr="004A0FB8">
        <w:rPr>
          <w:noProof/>
          <w:color w:val="000000" w:themeColor="text1"/>
        </w:rPr>
        <w:t xml:space="preserve"> none of the IBS patients without food allergies had a family history that could explain how a food allergy and family history are related to the development of IBS</w:t>
      </w:r>
      <w:r w:rsidR="00476A7B" w:rsidRPr="00E130B6">
        <w:rPr>
          <w:noProof/>
          <w:color w:val="000000" w:themeColor="text1"/>
        </w:rPr>
        <w:t>.</w:t>
      </w:r>
      <w:r w:rsidR="00C402BC">
        <w:rPr>
          <w:noProof/>
          <w:color w:val="000000" w:themeColor="text1"/>
        </w:rPr>
        <w:t xml:space="preserve"> </w:t>
      </w:r>
      <w:r w:rsidR="00C402BC" w:rsidRPr="00C402BC">
        <w:rPr>
          <w:noProof/>
          <w:color w:val="000000" w:themeColor="text1"/>
        </w:rPr>
        <w:t xml:space="preserve">These findings need </w:t>
      </w:r>
      <w:r w:rsidR="00170C32">
        <w:rPr>
          <w:noProof/>
          <w:color w:val="000000" w:themeColor="text1"/>
        </w:rPr>
        <w:t>further investigation</w:t>
      </w:r>
      <w:r w:rsidR="00C402BC" w:rsidRPr="00C402BC">
        <w:rPr>
          <w:noProof/>
          <w:color w:val="000000" w:themeColor="text1"/>
        </w:rPr>
        <w:t xml:space="preserve"> so that no more studies discuss the </w:t>
      </w:r>
      <w:r w:rsidR="00170C32">
        <w:rPr>
          <w:noProof/>
          <w:color w:val="000000" w:themeColor="text1"/>
        </w:rPr>
        <w:t>relationship</w:t>
      </w:r>
      <w:r w:rsidR="00C402BC" w:rsidRPr="00C402BC">
        <w:rPr>
          <w:noProof/>
          <w:color w:val="000000" w:themeColor="text1"/>
        </w:rPr>
        <w:t xml:space="preserve"> between family history with IBS and food allergies.</w:t>
      </w:r>
    </w:p>
    <w:p w14:paraId="66DFE937" w14:textId="4A485A2B" w:rsidR="004B0654" w:rsidRPr="00E130B6" w:rsidRDefault="001A4C2F" w:rsidP="00182504">
      <w:pPr>
        <w:bidi w:val="0"/>
        <w:spacing w:line="480" w:lineRule="auto"/>
        <w:ind w:firstLine="720"/>
        <w:jc w:val="both"/>
        <w:rPr>
          <w:noProof/>
          <w:color w:val="000000" w:themeColor="text1"/>
        </w:rPr>
      </w:pPr>
      <w:r>
        <w:rPr>
          <w:noProof/>
          <w:color w:val="000000" w:themeColor="text1"/>
        </w:rPr>
        <w:t>According to research conducted in February 2020 on 400 students from Najran, KSA, males with a positive family history of IBS had a significantly greater incidence of the condition</w:t>
      </w:r>
      <w:r w:rsidR="002B6F8C" w:rsidRPr="002B6F8C">
        <w:rPr>
          <w:noProof/>
          <w:color w:val="000000" w:themeColor="text1"/>
        </w:rPr>
        <w:t xml:space="preserve">. In line with earlier studies, the significant association between a positive family history and the higher prevalence of IBS suggests that having both an IBS-afflicted mother and a father is </w:t>
      </w:r>
      <w:r>
        <w:rPr>
          <w:noProof/>
          <w:color w:val="000000" w:themeColor="text1"/>
        </w:rPr>
        <w:t>a significant</w:t>
      </w:r>
      <w:r w:rsidR="002B6F8C" w:rsidRPr="002B6F8C">
        <w:rPr>
          <w:noProof/>
          <w:color w:val="000000" w:themeColor="text1"/>
        </w:rPr>
        <w:t xml:space="preserve"> independent predictor of IBS. </w:t>
      </w:r>
      <w:r w:rsidR="00170C32">
        <w:rPr>
          <w:noProof/>
          <w:color w:val="000000" w:themeColor="text1"/>
        </w:rPr>
        <w:t>Evidence suggests</w:t>
      </w:r>
      <w:r w:rsidR="002B6F8C" w:rsidRPr="002B6F8C">
        <w:rPr>
          <w:noProof/>
          <w:color w:val="000000" w:themeColor="text1"/>
        </w:rPr>
        <w:t xml:space="preserve"> that the underlying cause of IBS may be a hereditary etiology or a shared home environmental exposure </w:t>
      </w:r>
      <w:r w:rsidR="00CA4B7E" w:rsidRPr="00CA4B7E">
        <w:rPr>
          <w:b/>
          <w:bCs/>
          <w:noProof/>
          <w:color w:val="000000" w:themeColor="text1"/>
        </w:rPr>
        <w:t>[16]</w:t>
      </w:r>
      <w:r>
        <w:rPr>
          <w:b/>
          <w:bCs/>
          <w:noProof/>
          <w:color w:val="000000" w:themeColor="text1"/>
        </w:rPr>
        <w:t>.</w:t>
      </w:r>
    </w:p>
    <w:p w14:paraId="05C81080" w14:textId="61BD2B24" w:rsidR="00476A7B" w:rsidRPr="00E130B6" w:rsidRDefault="002B6F8C" w:rsidP="00E130B6">
      <w:pPr>
        <w:bidi w:val="0"/>
        <w:spacing w:line="480" w:lineRule="auto"/>
        <w:ind w:firstLine="720"/>
        <w:jc w:val="both"/>
        <w:rPr>
          <w:noProof/>
          <w:color w:val="000000" w:themeColor="text1"/>
        </w:rPr>
      </w:pPr>
      <w:r w:rsidRPr="002B6F8C">
        <w:rPr>
          <w:noProof/>
          <w:color w:val="000000" w:themeColor="text1"/>
        </w:rPr>
        <w:t>This study showed that 60.7% had IBS-D, 26.2% had IBS-C, and 13.1% had IBS-M. Also, 40.5% of cases had mild</w:t>
      </w:r>
      <w:r w:rsidR="00170C32">
        <w:rPr>
          <w:noProof/>
          <w:color w:val="000000" w:themeColor="text1"/>
        </w:rPr>
        <w:t xml:space="preserve"> abdominal pain</w:t>
      </w:r>
      <w:r w:rsidRPr="002B6F8C">
        <w:rPr>
          <w:noProof/>
          <w:color w:val="000000" w:themeColor="text1"/>
        </w:rPr>
        <w:t>, while 59.5% had moderate abdominal pain.</w:t>
      </w:r>
    </w:p>
    <w:p w14:paraId="5F7630F7" w14:textId="49F30D14" w:rsidR="00476A7B" w:rsidRPr="004B0654" w:rsidRDefault="002B6F8C" w:rsidP="00CA4B7E">
      <w:pPr>
        <w:bidi w:val="0"/>
        <w:spacing w:line="480" w:lineRule="auto"/>
        <w:ind w:firstLine="720"/>
        <w:jc w:val="both"/>
        <w:rPr>
          <w:noProof/>
          <w:color w:val="000000" w:themeColor="text1"/>
        </w:rPr>
      </w:pPr>
      <w:r w:rsidRPr="002B6F8C">
        <w:rPr>
          <w:noProof/>
          <w:color w:val="000000" w:themeColor="text1"/>
        </w:rPr>
        <w:t xml:space="preserve">Against our findings, Hassanin et al. conducted a study in 2021 that showed that among the IBS patients they evaluated, the IBS-D subtype was more common than the IBS-C subtype: 62.5% of patients had IBS-D, while 20 patients (or 25%) had IBS-C </w:t>
      </w:r>
      <w:r w:rsidRPr="002B6F8C">
        <w:rPr>
          <w:b/>
          <w:bCs/>
          <w:noProof/>
          <w:color w:val="000000" w:themeColor="text1"/>
        </w:rPr>
        <w:t xml:space="preserve">[17]. </w:t>
      </w:r>
      <w:r w:rsidRPr="002B6F8C">
        <w:rPr>
          <w:noProof/>
          <w:color w:val="000000" w:themeColor="text1"/>
        </w:rPr>
        <w:t xml:space="preserve">Also, an Australian study found that the IBS-D subtype was </w:t>
      </w:r>
      <w:r w:rsidR="00170C32">
        <w:rPr>
          <w:noProof/>
          <w:color w:val="000000" w:themeColor="text1"/>
        </w:rPr>
        <w:t>more significant</w:t>
      </w:r>
      <w:r w:rsidRPr="002B6F8C">
        <w:rPr>
          <w:noProof/>
          <w:color w:val="000000" w:themeColor="text1"/>
        </w:rPr>
        <w:t xml:space="preserve"> than the IBS-C su</w:t>
      </w:r>
      <w:r>
        <w:rPr>
          <w:noProof/>
          <w:color w:val="000000" w:themeColor="text1"/>
        </w:rPr>
        <w:t>btype, contrary to our findings</w:t>
      </w:r>
      <w:r w:rsidR="007C70E9" w:rsidRPr="007C70E9">
        <w:rPr>
          <w:noProof/>
          <w:color w:val="000000" w:themeColor="text1"/>
        </w:rPr>
        <w:t xml:space="preserve"> </w:t>
      </w:r>
      <w:r w:rsidR="00CA4B7E" w:rsidRPr="00CA4B7E">
        <w:rPr>
          <w:b/>
          <w:bCs/>
          <w:noProof/>
          <w:color w:val="000000" w:themeColor="text1"/>
        </w:rPr>
        <w:t>[1</w:t>
      </w:r>
      <w:r w:rsidR="00CA4B7E">
        <w:rPr>
          <w:b/>
          <w:bCs/>
          <w:noProof/>
          <w:color w:val="000000" w:themeColor="text1"/>
        </w:rPr>
        <w:t>8</w:t>
      </w:r>
      <w:r w:rsidR="00CA4B7E" w:rsidRPr="00CA4B7E">
        <w:rPr>
          <w:b/>
          <w:bCs/>
          <w:noProof/>
          <w:color w:val="000000" w:themeColor="text1"/>
        </w:rPr>
        <w:t>]</w:t>
      </w:r>
      <w:r w:rsidR="001A4C2F">
        <w:rPr>
          <w:b/>
          <w:bCs/>
          <w:noProof/>
          <w:color w:val="000000" w:themeColor="text1"/>
        </w:rPr>
        <w:t>.</w:t>
      </w:r>
    </w:p>
    <w:p w14:paraId="293BE138" w14:textId="00A18304" w:rsidR="00530E76" w:rsidRPr="006C3A42" w:rsidRDefault="002B6F8C" w:rsidP="00182504">
      <w:pPr>
        <w:bidi w:val="0"/>
        <w:spacing w:line="480" w:lineRule="auto"/>
        <w:ind w:firstLine="720"/>
        <w:jc w:val="both"/>
        <w:rPr>
          <w:noProof/>
          <w:color w:val="000000" w:themeColor="text1"/>
        </w:rPr>
      </w:pPr>
      <w:r w:rsidRPr="002B6F8C">
        <w:rPr>
          <w:noProof/>
          <w:color w:val="000000" w:themeColor="text1"/>
        </w:rPr>
        <w:t xml:space="preserve">Elhosseiny et al. conducted a study to estimate the incidence of IBS and identify risk factors. IBS was found in 31.7% of subjects, with greater incidence in women and those with a family history of IBS. According to the study, of the groups under investigation, 26.6% had IBS-D, 73.4% had IBS-C, and none had the IBS-M variety </w:t>
      </w:r>
      <w:r w:rsidR="00CA4B7E" w:rsidRPr="00CA4B7E">
        <w:rPr>
          <w:b/>
          <w:bCs/>
          <w:noProof/>
          <w:color w:val="000000" w:themeColor="text1"/>
        </w:rPr>
        <w:t>[1</w:t>
      </w:r>
      <w:r w:rsidR="00CA4B7E">
        <w:rPr>
          <w:b/>
          <w:bCs/>
          <w:noProof/>
          <w:color w:val="000000" w:themeColor="text1"/>
        </w:rPr>
        <w:t>9</w:t>
      </w:r>
      <w:r w:rsidR="00CA4B7E" w:rsidRPr="00CA4B7E">
        <w:rPr>
          <w:b/>
          <w:bCs/>
          <w:noProof/>
          <w:color w:val="000000" w:themeColor="text1"/>
        </w:rPr>
        <w:t>]</w:t>
      </w:r>
      <w:r w:rsidR="001A4C2F">
        <w:rPr>
          <w:b/>
          <w:bCs/>
          <w:noProof/>
          <w:color w:val="000000" w:themeColor="text1"/>
        </w:rPr>
        <w:t>.</w:t>
      </w:r>
    </w:p>
    <w:p w14:paraId="537BA3B7" w14:textId="0A4A4927" w:rsidR="00476A7B" w:rsidRPr="00E130B6" w:rsidRDefault="00170C32" w:rsidP="00E130B6">
      <w:pPr>
        <w:bidi w:val="0"/>
        <w:spacing w:line="480" w:lineRule="auto"/>
        <w:ind w:firstLine="720"/>
        <w:jc w:val="both"/>
        <w:rPr>
          <w:noProof/>
          <w:color w:val="000000" w:themeColor="text1"/>
        </w:rPr>
      </w:pPr>
      <w:r>
        <w:rPr>
          <w:noProof/>
          <w:color w:val="000000" w:themeColor="text1"/>
        </w:rPr>
        <w:t>According to this study, serum IgE levels were elevated in 19% of cases, and food allergies accounted for 50%. Also, 39.3% of the patients had an allergy to egg white, 50% to cow milk, 33.3% to wheat, 23.8% to soy, 23.8% to peanut, 23.8% to tomato, and 23.8% to fish</w:t>
      </w:r>
      <w:r w:rsidR="00476A7B" w:rsidRPr="00E130B6">
        <w:rPr>
          <w:noProof/>
          <w:color w:val="000000" w:themeColor="text1"/>
        </w:rPr>
        <w:t>.</w:t>
      </w:r>
    </w:p>
    <w:p w14:paraId="358ACCA5" w14:textId="6F8E057B" w:rsidR="004674A5" w:rsidRPr="004674A5" w:rsidRDefault="00182504" w:rsidP="00182504">
      <w:pPr>
        <w:bidi w:val="0"/>
        <w:spacing w:line="480" w:lineRule="auto"/>
        <w:ind w:firstLine="720"/>
        <w:jc w:val="both"/>
        <w:rPr>
          <w:noProof/>
          <w:color w:val="000000" w:themeColor="text1"/>
        </w:rPr>
      </w:pPr>
      <w:r w:rsidRPr="00182504">
        <w:rPr>
          <w:noProof/>
          <w:color w:val="000000" w:themeColor="text1"/>
        </w:rPr>
        <w:t xml:space="preserve">According to Katsumata et al., </w:t>
      </w:r>
      <w:r w:rsidR="00170C32">
        <w:rPr>
          <w:noProof/>
          <w:color w:val="000000" w:themeColor="text1"/>
        </w:rPr>
        <w:t>little research hasn't been</w:t>
      </w:r>
      <w:r w:rsidRPr="00182504">
        <w:rPr>
          <w:noProof/>
          <w:color w:val="000000" w:themeColor="text1"/>
        </w:rPr>
        <w:t xml:space="preserve"> done on the connection between IBS and serological food hypersensitivity. There is no evidence to show that IBS subjects have a substantially higher incidence of serological food hypersensitivity than healthy controls, despite studies finding a higher frequency of IBS in people who self-report food hypersensitivity. </w:t>
      </w:r>
      <w:r w:rsidR="00584A1B">
        <w:rPr>
          <w:noProof/>
          <w:color w:val="000000" w:themeColor="text1"/>
        </w:rPr>
        <w:t>Studies</w:t>
      </w:r>
      <w:r w:rsidRPr="00182504">
        <w:rPr>
          <w:noProof/>
          <w:color w:val="000000" w:themeColor="text1"/>
        </w:rPr>
        <w:t xml:space="preserve"> have revealed comparable </w:t>
      </w:r>
      <w:r w:rsidR="001A4C2F">
        <w:rPr>
          <w:noProof/>
          <w:color w:val="000000" w:themeColor="text1"/>
        </w:rPr>
        <w:t>food tolerance rates in</w:t>
      </w:r>
      <w:r w:rsidRPr="00182504">
        <w:rPr>
          <w:noProof/>
          <w:color w:val="000000" w:themeColor="text1"/>
        </w:rPr>
        <w:t xml:space="preserve"> healthy people and IBS su</w:t>
      </w:r>
      <w:r>
        <w:rPr>
          <w:noProof/>
          <w:color w:val="000000" w:themeColor="text1"/>
        </w:rPr>
        <w:t>fferers</w:t>
      </w:r>
      <w:r w:rsidR="00DC4E0E" w:rsidRPr="00DC4E0E">
        <w:rPr>
          <w:noProof/>
          <w:color w:val="000000" w:themeColor="text1"/>
        </w:rPr>
        <w:t xml:space="preserve"> </w:t>
      </w:r>
      <w:r w:rsidR="00CA4B7E">
        <w:rPr>
          <w:b/>
          <w:bCs/>
          <w:noProof/>
          <w:color w:val="000000" w:themeColor="text1"/>
        </w:rPr>
        <w:t>[20</w:t>
      </w:r>
      <w:r w:rsidR="00CA4B7E" w:rsidRPr="00CA4B7E">
        <w:rPr>
          <w:b/>
          <w:bCs/>
          <w:noProof/>
          <w:color w:val="000000" w:themeColor="text1"/>
        </w:rPr>
        <w:t>]</w:t>
      </w:r>
      <w:r w:rsidR="001A4C2F">
        <w:rPr>
          <w:b/>
          <w:bCs/>
          <w:noProof/>
          <w:color w:val="000000" w:themeColor="text1"/>
        </w:rPr>
        <w:t>.</w:t>
      </w:r>
    </w:p>
    <w:p w14:paraId="482DF03B" w14:textId="0B359887" w:rsidR="004674A5" w:rsidRDefault="00106BF2" w:rsidP="00182504">
      <w:pPr>
        <w:bidi w:val="0"/>
        <w:spacing w:line="480" w:lineRule="auto"/>
        <w:ind w:firstLine="720"/>
        <w:jc w:val="both"/>
        <w:rPr>
          <w:b/>
          <w:bCs/>
          <w:i/>
          <w:iCs/>
          <w:noProof/>
          <w:color w:val="000000" w:themeColor="text1"/>
        </w:rPr>
      </w:pPr>
      <w:r w:rsidRPr="00106BF2">
        <w:rPr>
          <w:noProof/>
          <w:color w:val="000000" w:themeColor="text1"/>
        </w:rPr>
        <w:t xml:space="preserve">In their study, Akkus et al. evaluated the prevalence of food </w:t>
      </w:r>
      <w:r w:rsidR="00182504" w:rsidRPr="00182504">
        <w:rPr>
          <w:noProof/>
          <w:color w:val="000000" w:themeColor="text1"/>
        </w:rPr>
        <w:t xml:space="preserve">hypersensitivity </w:t>
      </w:r>
      <w:r w:rsidRPr="00106BF2">
        <w:rPr>
          <w:noProof/>
          <w:color w:val="000000" w:themeColor="text1"/>
        </w:rPr>
        <w:t xml:space="preserve">and allergic disorders. Of the 69 patients, the IBS-C group comprised 56.52%, the IBS-D group 27.54%, the IBS-M group 13.04%, and the IBS-U group 2.90%. Among the IBS subgroups, there were no appreciable variations in the prevalence of allergic </w:t>
      </w:r>
      <w:r w:rsidR="00182504">
        <w:rPr>
          <w:noProof/>
          <w:color w:val="000000" w:themeColor="text1"/>
        </w:rPr>
        <w:t>illness</w:t>
      </w:r>
      <w:r w:rsidRPr="00106BF2">
        <w:rPr>
          <w:noProof/>
          <w:color w:val="000000" w:themeColor="text1"/>
        </w:rPr>
        <w:t xml:space="preserve"> or food allergies (p = 0.519 and p = 0.849, respectively). Of those with IBS-C, IBS-D, IBS-M, and IBS-U, food allergies were recorded in 46.15%, 57.89%, 44.44%, and 50.00% of cases, respectively. There were no statistically significant differences (p = 0.348) between the 19.45% of IBS-C patients, 36.84% of IBS-D patients, and 33.33% of IBS-M patients </w:t>
      </w:r>
      <w:r w:rsidR="00A80DD3">
        <w:rPr>
          <w:noProof/>
          <w:color w:val="000000" w:themeColor="text1"/>
        </w:rPr>
        <w:t>with</w:t>
      </w:r>
      <w:r w:rsidRPr="00106BF2">
        <w:rPr>
          <w:noProof/>
          <w:color w:val="000000" w:themeColor="text1"/>
        </w:rPr>
        <w:t xml:space="preserve"> elevated serum IgE levels. The study found no evidence of a significant correlation between the different IBS subtypes and blood IgE levels </w:t>
      </w:r>
      <w:r w:rsidR="00CA4B7E">
        <w:rPr>
          <w:b/>
          <w:bCs/>
          <w:noProof/>
          <w:color w:val="000000" w:themeColor="text1"/>
        </w:rPr>
        <w:t>[21</w:t>
      </w:r>
      <w:r w:rsidR="00CA4B7E" w:rsidRPr="00CA4B7E">
        <w:rPr>
          <w:b/>
          <w:bCs/>
          <w:noProof/>
          <w:color w:val="000000" w:themeColor="text1"/>
        </w:rPr>
        <w:t>]</w:t>
      </w:r>
      <w:r w:rsidR="00584A1B">
        <w:rPr>
          <w:b/>
          <w:bCs/>
          <w:noProof/>
          <w:color w:val="000000" w:themeColor="text1"/>
        </w:rPr>
        <w:t>.</w:t>
      </w:r>
    </w:p>
    <w:p w14:paraId="74C4AF19" w14:textId="71D57A42" w:rsidR="00605563" w:rsidRPr="00476A7B" w:rsidRDefault="00605563" w:rsidP="00CA4B7E">
      <w:pPr>
        <w:bidi w:val="0"/>
        <w:spacing w:line="480" w:lineRule="auto"/>
        <w:ind w:firstLine="720"/>
        <w:jc w:val="both"/>
        <w:rPr>
          <w:noProof/>
          <w:color w:val="000000" w:themeColor="text1"/>
        </w:rPr>
      </w:pPr>
      <w:r w:rsidRPr="00605563">
        <w:rPr>
          <w:noProof/>
          <w:color w:val="000000" w:themeColor="text1"/>
        </w:rPr>
        <w:t xml:space="preserve">The associations between IBS subtypes and food allergies highlight how complicated this disorder is. Since many IBS patients are hypersensitive to a wide range of foods, it is critical to take into account each patient's unique allergic response when treating IBS symptoms. </w:t>
      </w:r>
      <w:r w:rsidR="00CA4B7E">
        <w:rPr>
          <w:b/>
          <w:bCs/>
          <w:noProof/>
          <w:color w:val="000000" w:themeColor="text1"/>
        </w:rPr>
        <w:t>[22</w:t>
      </w:r>
      <w:r w:rsidR="00CA4B7E" w:rsidRPr="00CA4B7E">
        <w:rPr>
          <w:b/>
          <w:bCs/>
          <w:noProof/>
          <w:color w:val="000000" w:themeColor="text1"/>
        </w:rPr>
        <w:t>]</w:t>
      </w:r>
    </w:p>
    <w:p w14:paraId="5A900D93" w14:textId="39C5D0A3" w:rsidR="00476A7B" w:rsidRPr="00026C64" w:rsidRDefault="004C6615" w:rsidP="004C6615">
      <w:pPr>
        <w:bidi w:val="0"/>
        <w:spacing w:line="480" w:lineRule="auto"/>
        <w:ind w:firstLine="720"/>
        <w:jc w:val="both"/>
        <w:rPr>
          <w:noProof/>
          <w:color w:val="000000" w:themeColor="text1"/>
        </w:rPr>
      </w:pPr>
      <w:r w:rsidRPr="004C6615">
        <w:rPr>
          <w:noProof/>
          <w:color w:val="000000" w:themeColor="text1"/>
        </w:rPr>
        <w:t>The results of our study investigated the association between various food allergies and IBS subtypes and highlighted significant patterns. Egg white allergy was reported in all patients with IBS-C and IBS-M</w:t>
      </w:r>
      <w:r w:rsidR="00170C32">
        <w:rPr>
          <w:noProof/>
          <w:color w:val="000000" w:themeColor="text1"/>
        </w:rPr>
        <w:t>. In contrast, none</w:t>
      </w:r>
      <w:r w:rsidRPr="004C6615">
        <w:rPr>
          <w:noProof/>
          <w:color w:val="000000" w:themeColor="text1"/>
        </w:rPr>
        <w:t xml:space="preserve"> of the patients with IBS-D had this allergy, indicating a strong association with the constipation-predominant and mixed-type IBS subtypes (p &lt; 0.001). Similarly, cow’s milk allergy was observed in 100% of patients with IBS-C and IBS-M and 21.4% of those with IBS-D, suggesting a broader prevalence of this allergy among IBS subtypes but still with a </w:t>
      </w:r>
      <w:r w:rsidR="00170C32">
        <w:rPr>
          <w:noProof/>
          <w:color w:val="000000" w:themeColor="text1"/>
        </w:rPr>
        <w:t>vital</w:t>
      </w:r>
      <w:r w:rsidRPr="004C6615">
        <w:rPr>
          <w:noProof/>
          <w:color w:val="000000" w:themeColor="text1"/>
        </w:rPr>
        <w:t xml:space="preserve"> significance (p &lt; 0.001).</w:t>
      </w:r>
      <w:r>
        <w:rPr>
          <w:noProof/>
          <w:color w:val="000000" w:themeColor="text1"/>
        </w:rPr>
        <w:t xml:space="preserve"> </w:t>
      </w:r>
      <w:r w:rsidRPr="004C6615">
        <w:rPr>
          <w:noProof/>
          <w:color w:val="000000" w:themeColor="text1"/>
        </w:rPr>
        <w:t>Wheat allergy followed a similar trend, being present in 77.3% of IBS-C patients and all IBS-M patients but not observed in any IBS-D cases (p &lt; 0.001). The data further showed that soy, peanut, tomato, and fish allergies were highly prevalent in IBS-M patients, with 100% reporting these allergies</w:t>
      </w:r>
      <w:r w:rsidR="00170C32">
        <w:rPr>
          <w:noProof/>
          <w:color w:val="000000" w:themeColor="text1"/>
        </w:rPr>
        <w:t>. In comparison,</w:t>
      </w:r>
      <w:r w:rsidRPr="004C6615">
        <w:rPr>
          <w:noProof/>
          <w:color w:val="000000" w:themeColor="text1"/>
        </w:rPr>
        <w:t xml:space="preserve"> 40.9% of IBS-C patients also had these allergies. However, none of the IBS-D patients reported these allergies, indicating a clear difference between IBS-D and the other two subtypes (p &lt; 0.001).</w:t>
      </w:r>
    </w:p>
    <w:p w14:paraId="6365A062" w14:textId="77777777" w:rsidR="00476A7B" w:rsidRPr="00476A7B" w:rsidRDefault="00476A7B" w:rsidP="00026C64">
      <w:pPr>
        <w:bidi w:val="0"/>
        <w:spacing w:line="480" w:lineRule="auto"/>
        <w:ind w:firstLine="720"/>
        <w:jc w:val="both"/>
        <w:rPr>
          <w:noProof/>
          <w:color w:val="000000" w:themeColor="text1"/>
        </w:rPr>
      </w:pPr>
      <w:r w:rsidRPr="00476A7B">
        <w:rPr>
          <w:noProof/>
          <w:color w:val="000000" w:themeColor="text1"/>
        </w:rPr>
        <w:t>Our study demonstrates that food allergies are notably more prevalent in IBS-C and IBS-M patients, while they are almost absent in IBS-D cases. This suggests that food sensitivities might play a more substantial role in the symptomatology of IBS-C and IBS-M than in IBS-D.</w:t>
      </w:r>
    </w:p>
    <w:p w14:paraId="4CC6C397" w14:textId="7FF64077" w:rsidR="00476A7B" w:rsidRPr="00476A7B" w:rsidRDefault="004C6615" w:rsidP="00BC067A">
      <w:pPr>
        <w:bidi w:val="0"/>
        <w:spacing w:line="480" w:lineRule="auto"/>
        <w:ind w:firstLine="720"/>
        <w:jc w:val="both"/>
        <w:rPr>
          <w:noProof/>
          <w:color w:val="000000" w:themeColor="text1"/>
        </w:rPr>
      </w:pPr>
      <w:r w:rsidRPr="004C6615">
        <w:rPr>
          <w:noProof/>
          <w:color w:val="000000" w:themeColor="text1"/>
        </w:rPr>
        <w:t xml:space="preserve">The post-hoc analyses in our study further explored the differences in food allergies between the IBS subtypes. For egg white and cow’s milk allergies, there was a highly significant difference between IBS-D and both IBS-C and IBS-M (p &lt; 0.001), but no comparison was made between IBS-C and IBS-M, likely because all patients in these groups had these allergies. Wheat allergy </w:t>
      </w:r>
      <w:r w:rsidR="00170C32">
        <w:rPr>
          <w:noProof/>
          <w:color w:val="000000" w:themeColor="text1"/>
        </w:rPr>
        <w:t>significantly differed between IBS-D, IBS-C,</w:t>
      </w:r>
      <w:r w:rsidRPr="004C6615">
        <w:rPr>
          <w:noProof/>
          <w:color w:val="000000" w:themeColor="text1"/>
        </w:rPr>
        <w:t xml:space="preserve"> and IBS-M (p &lt; 0.001)</w:t>
      </w:r>
      <w:r w:rsidR="00170C32">
        <w:rPr>
          <w:noProof/>
          <w:color w:val="000000" w:themeColor="text1"/>
        </w:rPr>
        <w:t>. Still, there</w:t>
      </w:r>
      <w:r w:rsidRPr="004C6615">
        <w:rPr>
          <w:noProof/>
          <w:color w:val="000000" w:themeColor="text1"/>
        </w:rPr>
        <w:t xml:space="preserve"> was no significant difference between IBS-C and IBS-M (p = 0.111), suggesting that wheat allergy is equa</w:t>
      </w:r>
      <w:r>
        <w:rPr>
          <w:noProof/>
          <w:color w:val="000000" w:themeColor="text1"/>
        </w:rPr>
        <w:t>lly prevalent in these subtypes</w:t>
      </w:r>
      <w:r w:rsidR="00476A7B" w:rsidRPr="00476A7B">
        <w:rPr>
          <w:noProof/>
          <w:color w:val="000000" w:themeColor="text1"/>
        </w:rPr>
        <w:t>.</w:t>
      </w:r>
    </w:p>
    <w:p w14:paraId="004A5898" w14:textId="77777777" w:rsidR="00476A7B" w:rsidRPr="00476A7B" w:rsidRDefault="00476A7B" w:rsidP="00BC067A">
      <w:pPr>
        <w:bidi w:val="0"/>
        <w:spacing w:line="480" w:lineRule="auto"/>
        <w:ind w:firstLine="720"/>
        <w:jc w:val="both"/>
        <w:rPr>
          <w:noProof/>
          <w:color w:val="000000" w:themeColor="text1"/>
        </w:rPr>
      </w:pPr>
      <w:r w:rsidRPr="00476A7B">
        <w:rPr>
          <w:noProof/>
          <w:color w:val="000000" w:themeColor="text1"/>
        </w:rPr>
        <w:t>For soy, peanut, tomato, and fish allergies, the post-hoc analyses revealed significant differences between IBS-D and the other two subtypes (p &lt; 0.001). Additionally, these allergies were significantly more prevalent in IBS-M compared to IBS-C (p = 0.001), indicating that while these allergies are common in both subtypes, they are more frequent in IBS-M patients. These findings suggest that IBS-M patients may experience a broader range of food sensitivities compared to those with IBS-C, and both groups differ substantially from IBS-D patients, who have fewer food allergies overall.</w:t>
      </w:r>
    </w:p>
    <w:p w14:paraId="6714EC22" w14:textId="6C52016C" w:rsidR="00476A7B" w:rsidRDefault="004C6615" w:rsidP="003E39FD">
      <w:pPr>
        <w:bidi w:val="0"/>
        <w:spacing w:line="480" w:lineRule="auto"/>
        <w:ind w:firstLine="720"/>
        <w:jc w:val="both"/>
        <w:rPr>
          <w:noProof/>
          <w:color w:val="000000" w:themeColor="text1"/>
        </w:rPr>
      </w:pPr>
      <w:r w:rsidRPr="004C6615">
        <w:rPr>
          <w:noProof/>
          <w:color w:val="000000" w:themeColor="text1"/>
        </w:rPr>
        <w:t xml:space="preserve">Numerous studies have </w:t>
      </w:r>
      <w:r w:rsidR="00383ECC">
        <w:rPr>
          <w:noProof/>
          <w:color w:val="000000" w:themeColor="text1"/>
        </w:rPr>
        <w:t>examined the relationship between different food allergies and IBS subtypes. Talley, in 2019, claimed that egg white and wheat allergies also play a significant role, especially in IBS-D, where increased gas production and osmotic effects from the fermentation of wheat-based products might exacerbate symptoms. This contrasts our study, which found no cases of</w:t>
      </w:r>
      <w:r w:rsidR="00C75D1F" w:rsidRPr="00C75D1F">
        <w:rPr>
          <w:noProof/>
          <w:color w:val="000000" w:themeColor="text1"/>
        </w:rPr>
        <w:t xml:space="preserve"> IBS-D. Gluten-containing wheat can trigger immune-mediated as well as non-immune-mediated reactions, which can contribute to bloating, pain, and changed bowel habits in vulnerable IBS patients</w:t>
      </w:r>
      <w:r w:rsidR="00C75D1F" w:rsidRPr="00C75D1F">
        <w:t xml:space="preserve"> </w:t>
      </w:r>
      <w:r w:rsidR="00E45B96">
        <w:rPr>
          <w:b/>
          <w:bCs/>
          <w:noProof/>
          <w:color w:val="000000" w:themeColor="text1"/>
        </w:rPr>
        <w:t>[23</w:t>
      </w:r>
      <w:r w:rsidR="00E45B96" w:rsidRPr="00CA4B7E">
        <w:rPr>
          <w:b/>
          <w:bCs/>
          <w:noProof/>
          <w:color w:val="000000" w:themeColor="text1"/>
        </w:rPr>
        <w:t>]</w:t>
      </w:r>
      <w:r w:rsidR="00584A1B">
        <w:rPr>
          <w:b/>
          <w:bCs/>
          <w:noProof/>
          <w:color w:val="000000" w:themeColor="text1"/>
        </w:rPr>
        <w:t>.</w:t>
      </w:r>
    </w:p>
    <w:p w14:paraId="4F50FC9B" w14:textId="307B8BD5" w:rsidR="00C75D1F" w:rsidRPr="00476A7B" w:rsidRDefault="00C75D1F" w:rsidP="00182504">
      <w:pPr>
        <w:bidi w:val="0"/>
        <w:spacing w:before="240" w:line="480" w:lineRule="auto"/>
        <w:ind w:firstLine="720"/>
        <w:jc w:val="both"/>
        <w:rPr>
          <w:noProof/>
          <w:color w:val="000000" w:themeColor="text1"/>
        </w:rPr>
      </w:pPr>
      <w:r w:rsidRPr="00C75D1F">
        <w:rPr>
          <w:noProof/>
          <w:color w:val="000000" w:themeColor="text1"/>
        </w:rPr>
        <w:t xml:space="preserve">It's commonly known that dairy products, especially cow's milk, can cause gastrointestinal distress in people with IBS. This could be because of lactose intolerance or an allergy to the protein found in cow's milk </w:t>
      </w:r>
      <w:r w:rsidR="00E45B96">
        <w:rPr>
          <w:b/>
          <w:bCs/>
          <w:noProof/>
          <w:color w:val="000000" w:themeColor="text1"/>
        </w:rPr>
        <w:t>[24</w:t>
      </w:r>
      <w:r w:rsidR="00E45B96" w:rsidRPr="00CA4B7E">
        <w:rPr>
          <w:b/>
          <w:bCs/>
          <w:noProof/>
          <w:color w:val="000000" w:themeColor="text1"/>
        </w:rPr>
        <w:t>]</w:t>
      </w:r>
      <w:r w:rsidR="001A4C2F">
        <w:rPr>
          <w:b/>
          <w:bCs/>
          <w:noProof/>
          <w:color w:val="000000" w:themeColor="text1"/>
        </w:rPr>
        <w:t>.</w:t>
      </w:r>
      <w:r w:rsidR="00E45B96">
        <w:rPr>
          <w:b/>
          <w:bCs/>
          <w:noProof/>
          <w:color w:val="000000" w:themeColor="text1"/>
        </w:rPr>
        <w:t xml:space="preserve"> </w:t>
      </w:r>
      <w:r w:rsidR="00182504" w:rsidRPr="00182504">
        <w:rPr>
          <w:noProof/>
          <w:color w:val="000000" w:themeColor="text1"/>
        </w:rPr>
        <w:t xml:space="preserve">In contrast to our study, this reaction appears highly prominent in IBS-D and IBS-M due to </w:t>
      </w:r>
      <w:r w:rsidR="00170C32">
        <w:rPr>
          <w:noProof/>
          <w:color w:val="000000" w:themeColor="text1"/>
        </w:rPr>
        <w:t>these subtypes' rapid gut motility and sensitivity</w:t>
      </w:r>
      <w:r w:rsidRPr="00C75D1F">
        <w:rPr>
          <w:noProof/>
          <w:color w:val="000000" w:themeColor="text1"/>
        </w:rPr>
        <w:t>.</w:t>
      </w:r>
    </w:p>
    <w:p w14:paraId="28B3C532" w14:textId="36A6FE14" w:rsidR="00476A7B" w:rsidRPr="00476A7B" w:rsidRDefault="00A526AA" w:rsidP="00E45B96">
      <w:pPr>
        <w:bidi w:val="0"/>
        <w:spacing w:before="240" w:line="480" w:lineRule="auto"/>
        <w:ind w:firstLine="720"/>
        <w:jc w:val="both"/>
        <w:rPr>
          <w:noProof/>
          <w:color w:val="000000" w:themeColor="text1"/>
        </w:rPr>
      </w:pPr>
      <w:r w:rsidRPr="00A526AA">
        <w:rPr>
          <w:noProof/>
          <w:color w:val="000000" w:themeColor="text1"/>
        </w:rPr>
        <w:t xml:space="preserve">Although they are not as common as dairy and wheat allergies, allergies to soy, peanuts, and fish can nevertheless be rather </w:t>
      </w:r>
      <w:r w:rsidR="00170C32">
        <w:rPr>
          <w:noProof/>
          <w:color w:val="000000" w:themeColor="text1"/>
        </w:rPr>
        <w:t>severe</w:t>
      </w:r>
      <w:r w:rsidRPr="00A526AA">
        <w:rPr>
          <w:noProof/>
          <w:color w:val="000000" w:themeColor="text1"/>
        </w:rPr>
        <w:t xml:space="preserve">. Allergies to soy and peanuts can trigger immunological reactions that exacerbate intestinal inflammation. This can be troublesome to those with IBS-C because inflammation can worsen bowel movements </w:t>
      </w:r>
      <w:r w:rsidR="00E45B96">
        <w:rPr>
          <w:b/>
          <w:bCs/>
          <w:noProof/>
          <w:color w:val="000000" w:themeColor="text1"/>
        </w:rPr>
        <w:t>[25</w:t>
      </w:r>
      <w:r w:rsidR="00E45B96" w:rsidRPr="00CA4B7E">
        <w:rPr>
          <w:b/>
          <w:bCs/>
          <w:noProof/>
          <w:color w:val="000000" w:themeColor="text1"/>
        </w:rPr>
        <w:t>]</w:t>
      </w:r>
      <w:r w:rsidR="00584A1B">
        <w:rPr>
          <w:b/>
          <w:bCs/>
          <w:noProof/>
          <w:color w:val="000000" w:themeColor="text1"/>
        </w:rPr>
        <w:t>.</w:t>
      </w:r>
    </w:p>
    <w:p w14:paraId="1C827AC8" w14:textId="0CFFBE33" w:rsidR="00476A7B" w:rsidRPr="009E0D69" w:rsidRDefault="00A57E82" w:rsidP="006C1486">
      <w:pPr>
        <w:bidi w:val="0"/>
        <w:spacing w:after="240" w:line="480" w:lineRule="auto"/>
        <w:ind w:firstLine="720"/>
        <w:jc w:val="both"/>
        <w:rPr>
          <w:noProof/>
          <w:color w:val="000000" w:themeColor="text1"/>
        </w:rPr>
      </w:pPr>
      <w:r w:rsidRPr="00A57E82">
        <w:rPr>
          <w:noProof/>
          <w:color w:val="000000" w:themeColor="text1"/>
        </w:rPr>
        <w:t xml:space="preserve">Although less research has been done on fish allergies and IBS, it is known that they can cause adverse responses in those who are sensitive, which can exacerbate constipation and diarrhea by inducing inflammatory responses in the gastrointestinal tract </w:t>
      </w:r>
      <w:r w:rsidR="00E45B96">
        <w:rPr>
          <w:b/>
          <w:bCs/>
          <w:noProof/>
          <w:color w:val="000000" w:themeColor="text1"/>
        </w:rPr>
        <w:t>[26</w:t>
      </w:r>
      <w:r w:rsidR="00E45B96" w:rsidRPr="00CA4B7E">
        <w:rPr>
          <w:b/>
          <w:bCs/>
          <w:noProof/>
          <w:color w:val="000000" w:themeColor="text1"/>
        </w:rPr>
        <w:t>]</w:t>
      </w:r>
      <w:r w:rsidR="002B6F8C">
        <w:rPr>
          <w:noProof/>
          <w:color w:val="000000" w:themeColor="text1"/>
        </w:rPr>
        <w:t xml:space="preserve">. </w:t>
      </w:r>
      <w:r w:rsidR="006C1486" w:rsidRPr="006C1486">
        <w:rPr>
          <w:noProof/>
          <w:color w:val="000000" w:themeColor="text1"/>
        </w:rPr>
        <w:t xml:space="preserve">Also, tomato has been linked with the exacerbation of IBS manifestation in certain instances despite not being a prevalent allergy in the general population. </w:t>
      </w:r>
      <w:r w:rsidR="00170C32">
        <w:rPr>
          <w:noProof/>
          <w:color w:val="000000" w:themeColor="text1"/>
        </w:rPr>
        <w:t>The</w:t>
      </w:r>
      <w:r w:rsidR="006C1486" w:rsidRPr="006C1486">
        <w:rPr>
          <w:noProof/>
          <w:color w:val="000000" w:themeColor="text1"/>
        </w:rPr>
        <w:t xml:space="preserve"> IBS-C and IBS-D subtypes may experience symptoms due to </w:t>
      </w:r>
      <w:r w:rsidR="00170C32">
        <w:rPr>
          <w:noProof/>
          <w:color w:val="000000" w:themeColor="text1"/>
        </w:rPr>
        <w:t>their</w:t>
      </w:r>
      <w:r w:rsidR="006C1486" w:rsidRPr="006C1486">
        <w:rPr>
          <w:noProof/>
          <w:color w:val="000000" w:themeColor="text1"/>
        </w:rPr>
        <w:t xml:space="preserve"> acidity and possible allergic qualities, while the precise processes </w:t>
      </w:r>
      <w:r w:rsidR="00584A1B">
        <w:rPr>
          <w:noProof/>
          <w:color w:val="000000" w:themeColor="text1"/>
        </w:rPr>
        <w:t>remain</w:t>
      </w:r>
      <w:r w:rsidR="006C1486" w:rsidRPr="006C1486">
        <w:rPr>
          <w:noProof/>
          <w:color w:val="000000" w:themeColor="text1"/>
        </w:rPr>
        <w:t xml:space="preserve"> unknown.</w:t>
      </w:r>
      <w:r w:rsidR="00476A7B" w:rsidRPr="00476A7B">
        <w:rPr>
          <w:noProof/>
          <w:color w:val="000000" w:themeColor="text1"/>
        </w:rPr>
        <w:t xml:space="preserve"> </w:t>
      </w:r>
      <w:r w:rsidR="00E45B96">
        <w:rPr>
          <w:b/>
          <w:bCs/>
          <w:noProof/>
          <w:color w:val="000000" w:themeColor="text1"/>
        </w:rPr>
        <w:t>[27</w:t>
      </w:r>
      <w:r w:rsidR="00E45B96" w:rsidRPr="00CA4B7E">
        <w:rPr>
          <w:b/>
          <w:bCs/>
          <w:noProof/>
          <w:color w:val="000000" w:themeColor="text1"/>
        </w:rPr>
        <w:t>]</w:t>
      </w:r>
    </w:p>
    <w:p w14:paraId="2C0651C8" w14:textId="77777777" w:rsidR="001A4C2F" w:rsidRDefault="00264AE4" w:rsidP="001A4C2F">
      <w:pPr>
        <w:bidi w:val="0"/>
        <w:spacing w:before="60" w:line="480" w:lineRule="auto"/>
        <w:ind w:left="488" w:hanging="488"/>
        <w:jc w:val="both"/>
        <w:rPr>
          <w:rFonts w:asciiTheme="majorBidi" w:eastAsia="SimSun" w:hAnsiTheme="majorBidi" w:cstheme="majorBidi"/>
          <w:b/>
          <w:bCs/>
          <w:color w:val="000000" w:themeColor="text1"/>
          <w:sz w:val="28"/>
          <w:szCs w:val="28"/>
          <w:lang w:eastAsia="zh-CN"/>
        </w:rPr>
      </w:pPr>
      <w:r w:rsidRPr="00264AE4">
        <w:rPr>
          <w:rFonts w:asciiTheme="majorBidi" w:eastAsia="SimSun" w:hAnsiTheme="majorBidi" w:cstheme="majorBidi"/>
          <w:b/>
          <w:bCs/>
          <w:color w:val="000000" w:themeColor="text1"/>
          <w:sz w:val="28"/>
          <w:szCs w:val="28"/>
          <w:lang w:eastAsia="zh-CN"/>
        </w:rPr>
        <w:t>Conclusions</w:t>
      </w:r>
    </w:p>
    <w:p w14:paraId="10E7B5E8" w14:textId="4550136F" w:rsidR="00264AE4" w:rsidRDefault="009A0EE5" w:rsidP="001A4C2F">
      <w:pPr>
        <w:bidi w:val="0"/>
        <w:spacing w:before="60" w:line="480" w:lineRule="auto"/>
        <w:ind w:left="488" w:hanging="488"/>
        <w:jc w:val="both"/>
        <w:rPr>
          <w:noProof/>
          <w:color w:val="000000" w:themeColor="text1"/>
        </w:rPr>
      </w:pPr>
      <w:r w:rsidRPr="00CF2F90">
        <w:rPr>
          <w:bCs/>
          <w:lang w:bidi="ar-EG"/>
        </w:rPr>
        <w:t xml:space="preserve">The study demonstrates that the IBS patients were found to have clear food allergies that had a potential role in exacerbating IBS symptoms. There is a significant link between </w:t>
      </w:r>
      <w:r w:rsidR="00170C32" w:rsidRPr="00CF2F90">
        <w:rPr>
          <w:bCs/>
          <w:lang w:bidi="ar-EG"/>
        </w:rPr>
        <w:t>specific</w:t>
      </w:r>
      <w:r w:rsidRPr="00CF2F90">
        <w:rPr>
          <w:bCs/>
          <w:lang w:bidi="ar-EG"/>
        </w:rPr>
        <w:t xml:space="preserve"> food allergies and IBS subtypes, particularly IBS-C and IBS-M, compared to IBS-D. The </w:t>
      </w:r>
      <w:r w:rsidR="00170C32" w:rsidRPr="00CF2F90">
        <w:rPr>
          <w:bCs/>
          <w:lang w:bidi="ar-EG"/>
        </w:rPr>
        <w:t>crucial</w:t>
      </w:r>
      <w:r w:rsidRPr="00CF2F90">
        <w:rPr>
          <w:bCs/>
          <w:lang w:bidi="ar-EG"/>
        </w:rPr>
        <w:t xml:space="preserve"> differences in food allergies between IBS subtypes underscore the importance of personalized dietary management. Educating IBS</w:t>
      </w:r>
      <w:r w:rsidRPr="00CF2F90">
        <w:rPr>
          <w:b/>
          <w:lang w:bidi="ar-EG"/>
        </w:rPr>
        <w:t xml:space="preserve"> </w:t>
      </w:r>
      <w:r w:rsidRPr="00CF2F90">
        <w:rPr>
          <w:bCs/>
          <w:lang w:bidi="ar-EG"/>
        </w:rPr>
        <w:t>patients on the potential impact of</w:t>
      </w:r>
      <w:r w:rsidRPr="00CF2F90">
        <w:rPr>
          <w:b/>
          <w:lang w:bidi="ar-EG"/>
        </w:rPr>
        <w:t xml:space="preserve"> </w:t>
      </w:r>
      <w:r w:rsidRPr="00CF2F90">
        <w:rPr>
          <w:bCs/>
          <w:lang w:bidi="ar-EG"/>
        </w:rPr>
        <w:t>food</w:t>
      </w:r>
      <w:r w:rsidRPr="009A0EE5">
        <w:rPr>
          <w:noProof/>
          <w:color w:val="000000" w:themeColor="text1"/>
        </w:rPr>
        <w:t xml:space="preserve"> allergens and the benefits of elimination diets may improve overall outcomes. Future studies should include a larger sample size and </w:t>
      </w:r>
      <w:r w:rsidR="00170C32">
        <w:rPr>
          <w:noProof/>
          <w:color w:val="000000" w:themeColor="text1"/>
        </w:rPr>
        <w:t>extended</w:t>
      </w:r>
      <w:r w:rsidRPr="009A0EE5">
        <w:rPr>
          <w:noProof/>
          <w:color w:val="000000" w:themeColor="text1"/>
        </w:rPr>
        <w:t xml:space="preserve"> periods to confirm these findings and provide more robust conclusions.</w:t>
      </w:r>
    </w:p>
    <w:p w14:paraId="6FDE46F6" w14:textId="28E28388" w:rsidR="00CC7885" w:rsidRDefault="000E1FCD" w:rsidP="008D526D">
      <w:pPr>
        <w:bidi w:val="0"/>
        <w:spacing w:before="240" w:line="480" w:lineRule="auto"/>
        <w:jc w:val="both"/>
        <w:rPr>
          <w:noProof/>
          <w:color w:val="000000" w:themeColor="text1"/>
        </w:rPr>
      </w:pPr>
      <w:r w:rsidRPr="003F1FD0">
        <w:rPr>
          <w:rFonts w:asciiTheme="majorBidi" w:eastAsia="SimSun" w:hAnsiTheme="majorBidi" w:cstheme="majorBidi"/>
          <w:b/>
          <w:bCs/>
          <w:color w:val="000000" w:themeColor="text1"/>
          <w:sz w:val="28"/>
          <w:szCs w:val="28"/>
          <w:lang w:eastAsia="zh-CN"/>
        </w:rPr>
        <w:t>Abbreviations</w:t>
      </w:r>
    </w:p>
    <w:p w14:paraId="7242D6A1" w14:textId="29E7DCB5" w:rsidR="006C1486" w:rsidRDefault="004924F7" w:rsidP="004A30E9">
      <w:pPr>
        <w:bidi w:val="0"/>
        <w:spacing w:after="240" w:line="480" w:lineRule="auto"/>
        <w:jc w:val="lowKashida"/>
        <w:rPr>
          <w:noProof/>
          <w:color w:val="000000" w:themeColor="text1"/>
        </w:rPr>
      </w:pPr>
      <w:r w:rsidRPr="004924F7">
        <w:rPr>
          <w:noProof/>
          <w:color w:val="000000" w:themeColor="text1"/>
        </w:rPr>
        <w:t>BSS: Bristol Stool Scale, FGIDs: Functional gastrointestinal disorders, GI: Gastrointestinal, IBS: Irritable bowel syndrome, IBS-C: IBS with predominant Constipation, IBS-D: IBS with predominant Diarrhea, IBS-M: IBS Mixed bowel habit, IBS-U: IBS Unclassified, IgE: Immunoglobulin E, SD: Standard deviation, SPSS: Statistical Package for Social Sciences, REC: The Research Ethics Committee.</w:t>
      </w:r>
    </w:p>
    <w:p w14:paraId="35E5AC17" w14:textId="77777777" w:rsidR="002C5825" w:rsidRPr="002C5825" w:rsidRDefault="002C5825" w:rsidP="002C5825">
      <w:pPr>
        <w:bidi w:val="0"/>
        <w:spacing w:before="120"/>
        <w:jc w:val="both"/>
        <w:rPr>
          <w:b/>
          <w:bCs/>
        </w:rPr>
      </w:pPr>
      <w:r w:rsidRPr="002C5825">
        <w:rPr>
          <w:b/>
          <w:bCs/>
        </w:rPr>
        <w:t>Footnotes.</w:t>
      </w:r>
    </w:p>
    <w:p w14:paraId="4707B337" w14:textId="53B27CD4" w:rsidR="002C5825" w:rsidRPr="002C5825" w:rsidRDefault="002C5825" w:rsidP="002C5825">
      <w:pPr>
        <w:bidi w:val="0"/>
        <w:spacing w:after="160"/>
        <w:ind w:firstLine="180"/>
        <w:jc w:val="lowKashida"/>
      </w:pPr>
      <w:r w:rsidRPr="002C5825">
        <w:t>Ahmed Fathy (</w:t>
      </w:r>
      <w:bookmarkStart w:id="1" w:name="_Hlk175576913"/>
      <w:r w:rsidRPr="002C5825">
        <w:t>Assistant professor of internal medicine, gastroenterology, and hepatology unit</w:t>
      </w:r>
      <w:bookmarkEnd w:id="1"/>
      <w:r w:rsidRPr="002C5825">
        <w:t xml:space="preserve">), </w:t>
      </w:r>
      <w:r w:rsidR="00C174CF">
        <w:t>Samah Soliman</w:t>
      </w:r>
      <w:r w:rsidRPr="002C5825">
        <w:t xml:space="preserve"> (Professor of gastroenterology, hepatology, and infectious diseases), and Amany Mohamed Abdalla (Assistant professor of family medicine) were the peer reviewers.</w:t>
      </w:r>
    </w:p>
    <w:p w14:paraId="0D731C0D" w14:textId="77777777" w:rsidR="002C5825" w:rsidRPr="002C5825" w:rsidRDefault="002C5825" w:rsidP="002C5825">
      <w:pPr>
        <w:bidi w:val="0"/>
        <w:spacing w:after="160"/>
        <w:ind w:firstLine="180"/>
        <w:jc w:val="lowKashida"/>
      </w:pPr>
      <w:r w:rsidRPr="002C5825">
        <w:rPr>
          <w:b/>
          <w:bCs/>
        </w:rPr>
        <w:t>E- Editor:</w:t>
      </w:r>
      <w:r w:rsidRPr="002C5825">
        <w:t xml:space="preserve"> Salem Youssef Mohamed, Osama Ahmed Khalil, Amany Mohammed.</w:t>
      </w:r>
    </w:p>
    <w:p w14:paraId="1407D4C0" w14:textId="77777777" w:rsidR="002C5825" w:rsidRPr="002C5825" w:rsidRDefault="002C5825" w:rsidP="002C5825">
      <w:pPr>
        <w:bidi w:val="0"/>
        <w:spacing w:after="160"/>
        <w:jc w:val="lowKashida"/>
      </w:pPr>
      <w:r w:rsidRPr="002C5825">
        <w:rPr>
          <w:b/>
          <w:bCs/>
        </w:rPr>
        <w:t>Copyright ©.</w:t>
      </w:r>
      <w:r w:rsidRPr="002C5825">
        <w:t xml:space="preserve"> This open-access article is distributed under the Creative Commons Attribution License (CC BY). It may be used, distributed, or reproduced in other forums, provided the original author(s) and the copyright owner(s) are credited. The original publication in this journal must be cited according to accepted academic practice. </w:t>
      </w:r>
    </w:p>
    <w:p w14:paraId="0B797BCE" w14:textId="77777777" w:rsidR="002C5825" w:rsidRPr="002C5825" w:rsidRDefault="002C5825" w:rsidP="002C5825">
      <w:pPr>
        <w:bidi w:val="0"/>
        <w:spacing w:after="160"/>
        <w:jc w:val="lowKashida"/>
      </w:pPr>
      <w:r w:rsidRPr="002C5825">
        <w:rPr>
          <w:b/>
          <w:bCs/>
        </w:rPr>
        <w:t>Disclaimer:</w:t>
      </w:r>
      <w:r w:rsidRPr="002C5825">
        <w:t xml:space="preserve"> The authors' claims in this article are solely their own and do not necessarily represent their affiliated organizations or those of the publisher, the editors, and the reviewers. Any product evaluated in this article or its manufacturer's claim is not guaranteed or endorsed by the publisher.</w:t>
      </w:r>
    </w:p>
    <w:p w14:paraId="4225432D" w14:textId="226BE588" w:rsidR="00CF2F90" w:rsidRPr="00CF2F90" w:rsidRDefault="002C5825" w:rsidP="00CF2F90">
      <w:pPr>
        <w:bidi w:val="0"/>
        <w:spacing w:after="200" w:line="480" w:lineRule="auto"/>
        <w:rPr>
          <w:b/>
        </w:rPr>
      </w:pPr>
      <w:r w:rsidRPr="002C5825">
        <w:rPr>
          <w:b/>
          <w:noProof/>
        </w:rPr>
        <w:t>Ethical approval:</w:t>
      </w:r>
      <w:r w:rsidRPr="002C5825">
        <w:rPr>
          <w:noProof/>
        </w:rPr>
        <w:t xml:space="preserve"> </w:t>
      </w:r>
    </w:p>
    <w:p w14:paraId="2A8EF8A1" w14:textId="77777777" w:rsidR="00CF2F90" w:rsidRPr="00CF2F90" w:rsidRDefault="00CF2F90" w:rsidP="00CF2F90">
      <w:pPr>
        <w:bidi w:val="0"/>
        <w:spacing w:after="200" w:line="480" w:lineRule="auto"/>
        <w:rPr>
          <w:bCs/>
        </w:rPr>
      </w:pPr>
      <w:r w:rsidRPr="00CF2F90">
        <w:t xml:space="preserve">The Research Ethics Committee (REC) at the Faculty of Medicine, Ain Shams University, under the supervision of Prof. Fathy Tash, approved this study with </w:t>
      </w:r>
      <w:r w:rsidRPr="00CF2F90">
        <w:rPr>
          <w:b/>
          <w:bCs/>
        </w:rPr>
        <w:t xml:space="preserve">No. MS 875/ 2022/2023. </w:t>
      </w:r>
      <w:r w:rsidRPr="00CF2F90">
        <w:t>Per the regular operating procedures of both the institution and the REC, the REC does not release the names of its members. Each participant provided informed approval for data analysis.</w:t>
      </w:r>
    </w:p>
    <w:p w14:paraId="4E8F4E33" w14:textId="49E505D0" w:rsidR="002C5825" w:rsidRPr="002C5825" w:rsidRDefault="002C5825" w:rsidP="002C5825">
      <w:pPr>
        <w:bidi w:val="0"/>
        <w:spacing w:after="200" w:line="480" w:lineRule="auto"/>
      </w:pPr>
    </w:p>
    <w:p w14:paraId="6AB7D57D" w14:textId="77777777" w:rsidR="002C5825" w:rsidRPr="002C5825" w:rsidRDefault="002C5825" w:rsidP="002C5825">
      <w:pPr>
        <w:bidi w:val="0"/>
        <w:spacing w:after="200" w:line="480" w:lineRule="auto"/>
        <w:jc w:val="both"/>
        <w:rPr>
          <w:b/>
          <w:noProof/>
          <w:lang w:val="en-GB"/>
        </w:rPr>
      </w:pPr>
      <w:r w:rsidRPr="002C5825">
        <w:rPr>
          <w:b/>
          <w:noProof/>
          <w:lang w:val="en-GB"/>
        </w:rPr>
        <w:t>Study protocol: </w:t>
      </w:r>
    </w:p>
    <w:p w14:paraId="298609E2" w14:textId="77777777" w:rsidR="002C5825" w:rsidRPr="002C5825" w:rsidRDefault="002C5825" w:rsidP="002C5825">
      <w:pPr>
        <w:bidi w:val="0"/>
        <w:spacing w:after="200" w:line="480" w:lineRule="auto"/>
        <w:rPr>
          <w:noProof/>
          <w:lang w:val="en-GB"/>
        </w:rPr>
      </w:pPr>
      <w:r w:rsidRPr="002C5825">
        <w:rPr>
          <w:noProof/>
          <w:lang w:val="en-GB"/>
        </w:rPr>
        <w:t>In adherence to the principles outlined in the Helsinki Declaration, the study protocol was implemented with approval from the institutional review board. Before commencing the research, written consent was obtained from the patients to utilize their clinical information.</w:t>
      </w:r>
    </w:p>
    <w:p w14:paraId="1635E50B" w14:textId="77777777" w:rsidR="002C5825" w:rsidRPr="002C5825" w:rsidRDefault="002C5825" w:rsidP="002C5825">
      <w:pPr>
        <w:bidi w:val="0"/>
        <w:spacing w:after="160"/>
        <w:jc w:val="lowKashida"/>
      </w:pPr>
      <w:r w:rsidRPr="002C5825">
        <w:rPr>
          <w:b/>
          <w:bCs/>
        </w:rPr>
        <w:t>Data and materials availability:</w:t>
      </w:r>
      <w:r w:rsidRPr="002C5825">
        <w:t xml:space="preserve"> The datasets used or analyzed during the current study are available from the corresponding author upon reasonable request.</w:t>
      </w:r>
    </w:p>
    <w:p w14:paraId="2CA0847B" w14:textId="77777777" w:rsidR="002C5825" w:rsidRPr="002C5825" w:rsidRDefault="002C5825" w:rsidP="002C5825">
      <w:pPr>
        <w:bidi w:val="0"/>
        <w:spacing w:after="160"/>
        <w:jc w:val="lowKashida"/>
      </w:pPr>
      <w:r w:rsidRPr="002C5825">
        <w:rPr>
          <w:b/>
          <w:bCs/>
        </w:rPr>
        <w:t>Competing interests</w:t>
      </w:r>
      <w:r w:rsidRPr="002C5825">
        <w:t>: The authors declare that they have no competing interests.</w:t>
      </w:r>
    </w:p>
    <w:p w14:paraId="25071FFA" w14:textId="77777777" w:rsidR="002C5825" w:rsidRPr="002C5825" w:rsidRDefault="002C5825" w:rsidP="002C5825">
      <w:pPr>
        <w:bidi w:val="0"/>
        <w:spacing w:after="160"/>
        <w:jc w:val="lowKashida"/>
      </w:pPr>
      <w:r w:rsidRPr="002C5825">
        <w:rPr>
          <w:b/>
          <w:bCs/>
        </w:rPr>
        <w:t>Funding</w:t>
      </w:r>
      <w:r w:rsidRPr="002C5825">
        <w:t>: This study had no funding from any resource.</w:t>
      </w:r>
    </w:p>
    <w:p w14:paraId="1D6283A1" w14:textId="77777777" w:rsidR="002C5825" w:rsidRPr="002C5825" w:rsidRDefault="002C5825" w:rsidP="002C5825">
      <w:pPr>
        <w:bidi w:val="0"/>
        <w:spacing w:after="200" w:line="480" w:lineRule="auto"/>
        <w:jc w:val="both"/>
        <w:rPr>
          <w:noProof/>
        </w:rPr>
      </w:pPr>
      <w:r w:rsidRPr="002C5825">
        <w:rPr>
          <w:noProof/>
        </w:rPr>
        <w:t xml:space="preserve">This work was done according to the </w:t>
      </w:r>
      <w:r w:rsidRPr="002C5825">
        <w:rPr>
          <w:b/>
          <w:bCs/>
          <w:noProof/>
        </w:rPr>
        <w:t>STROBE</w:t>
      </w:r>
      <w:r w:rsidRPr="002C5825">
        <w:rPr>
          <w:noProof/>
        </w:rPr>
        <w:t xml:space="preserve"> guidelines.</w:t>
      </w:r>
      <w:bookmarkStart w:id="2" w:name="h11"/>
      <w:bookmarkEnd w:id="2"/>
    </w:p>
    <w:p w14:paraId="676067BD" w14:textId="77777777" w:rsidR="002C5825" w:rsidRPr="002C5825" w:rsidRDefault="002C5825" w:rsidP="002C5825">
      <w:pPr>
        <w:widowControl w:val="0"/>
        <w:bidi w:val="0"/>
        <w:spacing w:before="240"/>
        <w:jc w:val="both"/>
        <w:outlineLvl w:val="6"/>
        <w:rPr>
          <w:b/>
          <w:bCs/>
        </w:rPr>
      </w:pPr>
      <w:r w:rsidRPr="002C5825">
        <w:rPr>
          <w:b/>
          <w:bCs/>
        </w:rPr>
        <w:t xml:space="preserve">Authors' contributions </w:t>
      </w:r>
    </w:p>
    <w:p w14:paraId="7878BCF6" w14:textId="5E0ABCFF" w:rsidR="002C5825" w:rsidRPr="002C5825" w:rsidRDefault="00CF2F90" w:rsidP="00CF2F90">
      <w:pPr>
        <w:bidi w:val="0"/>
        <w:spacing w:before="120" w:line="360" w:lineRule="auto"/>
        <w:ind w:firstLine="567"/>
        <w:rPr>
          <w:lang w:bidi="ar-EG"/>
        </w:rPr>
      </w:pPr>
      <w:r w:rsidRPr="00CF2F90">
        <w:t>Hamza A.M. collected and followed up on the patients, carrying out the requested investigations. Nashaat E.H., El-</w:t>
      </w:r>
      <w:proofErr w:type="spellStart"/>
      <w:r w:rsidRPr="00CF2F90">
        <w:t>Gaaly</w:t>
      </w:r>
      <w:proofErr w:type="spellEnd"/>
      <w:r w:rsidRPr="00CF2F90">
        <w:t xml:space="preserve"> S.A., and </w:t>
      </w:r>
      <w:proofErr w:type="spellStart"/>
      <w:r w:rsidRPr="00CF2F90">
        <w:t>Elfors</w:t>
      </w:r>
      <w:proofErr w:type="spellEnd"/>
      <w:r w:rsidRPr="00CF2F90">
        <w:t xml:space="preserve"> M.A. shared in following up on the patients and analyzing the collected data. All authors authorized the manuscript.</w:t>
      </w:r>
    </w:p>
    <w:p w14:paraId="20D4CB8D" w14:textId="1F6C78FA" w:rsidR="002C5825" w:rsidRDefault="002C5825" w:rsidP="00CF2F90">
      <w:pPr>
        <w:shd w:val="clear" w:color="auto" w:fill="FFFFFF"/>
        <w:bidi w:val="0"/>
        <w:spacing w:line="259" w:lineRule="auto"/>
        <w:rPr>
          <w:kern w:val="2"/>
        </w:rPr>
      </w:pPr>
      <w:r w:rsidRPr="002C5825">
        <w:rPr>
          <w:b/>
          <w:bCs/>
          <w:kern w:val="2"/>
          <w:lang w:val="en-GB"/>
        </w:rPr>
        <w:t>Acknowledgment</w:t>
      </w:r>
      <w:r w:rsidRPr="002C5825">
        <w:rPr>
          <w:kern w:val="2"/>
          <w:lang w:val="en-GB"/>
        </w:rPr>
        <w:t xml:space="preserve">: </w:t>
      </w:r>
      <w:r w:rsidR="00CF2F90" w:rsidRPr="00CF2F90">
        <w:rPr>
          <w:kern w:val="2"/>
        </w:rPr>
        <w:t>Above all else, we have an ongoing duty to God Almighty, the Most Gracious and the Most Forgiving. We also appreciate all the subjects who participated in the study and helped record the necessary data.</w:t>
      </w:r>
    </w:p>
    <w:p w14:paraId="17A1DE58" w14:textId="77777777" w:rsidR="00CF2F90" w:rsidRPr="00B406F9" w:rsidRDefault="00CF2F90" w:rsidP="00CF2F90">
      <w:pPr>
        <w:shd w:val="clear" w:color="auto" w:fill="FFFFFF"/>
        <w:bidi w:val="0"/>
        <w:spacing w:line="259" w:lineRule="auto"/>
        <w:rPr>
          <w:b/>
          <w:bCs/>
          <w:strike/>
          <w:noProof/>
        </w:rPr>
      </w:pPr>
    </w:p>
    <w:p w14:paraId="2DBD58B5" w14:textId="2E67A074" w:rsidR="000E1FCD" w:rsidRPr="003F1FD0" w:rsidRDefault="00383ECC" w:rsidP="00CC7885">
      <w:pPr>
        <w:pStyle w:val="EndNoteBibliography"/>
        <w:bidi w:val="0"/>
        <w:ind w:left="488" w:hanging="488"/>
        <w:jc w:val="both"/>
        <w:rPr>
          <w:rFonts w:asciiTheme="majorBidi" w:eastAsia="SimSun" w:hAnsiTheme="majorBidi" w:cstheme="majorBidi"/>
          <w:b/>
          <w:bCs/>
          <w:noProof w:val="0"/>
          <w:color w:val="000000" w:themeColor="text1"/>
          <w:sz w:val="28"/>
          <w:szCs w:val="28"/>
          <w:lang w:eastAsia="zh-CN"/>
        </w:rPr>
      </w:pPr>
      <w:r>
        <w:rPr>
          <w:rFonts w:asciiTheme="majorBidi" w:eastAsia="SimSun" w:hAnsiTheme="majorBidi" w:cstheme="majorBidi"/>
          <w:b/>
          <w:bCs/>
          <w:noProof w:val="0"/>
          <w:color w:val="000000" w:themeColor="text1"/>
          <w:sz w:val="28"/>
          <w:szCs w:val="28"/>
          <w:lang w:eastAsia="zh-CN"/>
        </w:rPr>
        <w:t>References</w:t>
      </w:r>
    </w:p>
    <w:p w14:paraId="13C6FBCA" w14:textId="747847E9" w:rsidR="00523870" w:rsidRPr="00523870" w:rsidRDefault="0011198C" w:rsidP="0011198C">
      <w:pPr>
        <w:numPr>
          <w:ilvl w:val="0"/>
          <w:numId w:val="18"/>
        </w:numPr>
        <w:bidi w:val="0"/>
        <w:spacing w:after="160" w:line="480" w:lineRule="auto"/>
        <w:ind w:left="0" w:firstLine="0"/>
        <w:jc w:val="both"/>
      </w:pPr>
      <w:r w:rsidRPr="0011198C">
        <w:t xml:space="preserve">Ng QX, Soh AYS, Loke W, Lim DY, Yeo WS. The role of inflammation in irritable bowel syndrome (IBS). J </w:t>
      </w:r>
      <w:proofErr w:type="spellStart"/>
      <w:r w:rsidRPr="0011198C">
        <w:t>Inflamm</w:t>
      </w:r>
      <w:proofErr w:type="spellEnd"/>
      <w:r w:rsidRPr="0011198C">
        <w:t xml:space="preserve"> Res. 2018 Sep </w:t>
      </w:r>
      <w:r w:rsidR="001749C2" w:rsidRPr="0011198C">
        <w:t>21; 11:345</w:t>
      </w:r>
      <w:r w:rsidRPr="0011198C">
        <w:t xml:space="preserve">-349. </w:t>
      </w:r>
      <w:r w:rsidR="001749C2" w:rsidRPr="0011198C">
        <w:t>Doi</w:t>
      </w:r>
      <w:r w:rsidRPr="0011198C">
        <w:t>: 10.2147/JIR.S174982. PMID: 30288077; PMCID: PMC</w:t>
      </w:r>
      <w:r w:rsidR="001749C2" w:rsidRPr="0011198C">
        <w:t>6159811.</w:t>
      </w:r>
    </w:p>
    <w:p w14:paraId="144E4A49" w14:textId="691D4278" w:rsidR="00E45B96" w:rsidRPr="00E45B96" w:rsidRDefault="00E45B96" w:rsidP="001908FA">
      <w:pPr>
        <w:numPr>
          <w:ilvl w:val="0"/>
          <w:numId w:val="18"/>
        </w:numPr>
        <w:bidi w:val="0"/>
        <w:spacing w:after="160" w:line="480" w:lineRule="auto"/>
        <w:ind w:left="0" w:firstLine="0"/>
        <w:jc w:val="both"/>
      </w:pPr>
      <w:r w:rsidRPr="00E45B96">
        <w:t>L</w:t>
      </w:r>
      <w:r w:rsidR="00523870">
        <w:t>acy B</w:t>
      </w:r>
      <w:r w:rsidR="00D3457E">
        <w:t xml:space="preserve"> </w:t>
      </w:r>
      <w:r w:rsidR="00523870">
        <w:t>E, Patel N</w:t>
      </w:r>
      <w:r w:rsidR="00D3457E">
        <w:t xml:space="preserve"> </w:t>
      </w:r>
      <w:r w:rsidR="00523870">
        <w:t>K</w:t>
      </w:r>
      <w:r w:rsidR="001908FA">
        <w:t>.</w:t>
      </w:r>
      <w:r w:rsidRPr="00E45B96">
        <w:t xml:space="preserve"> Rome Criteria and a Diagnostic Approach to Irritable Bowel Syndrome. J. Clin. Med. 2017, 6, 99. https://doi.org/10.3390/jcm6110099</w:t>
      </w:r>
    </w:p>
    <w:p w14:paraId="23EB3CCE" w14:textId="596D9759" w:rsidR="001908FA" w:rsidRPr="001908FA" w:rsidRDefault="001908FA" w:rsidP="001908FA">
      <w:pPr>
        <w:numPr>
          <w:ilvl w:val="0"/>
          <w:numId w:val="18"/>
        </w:numPr>
        <w:bidi w:val="0"/>
        <w:spacing w:after="160" w:line="480" w:lineRule="auto"/>
        <w:ind w:left="0" w:firstLine="0"/>
        <w:jc w:val="both"/>
      </w:pPr>
      <w:r w:rsidRPr="001908FA">
        <w:t xml:space="preserve">Chey WD, Keefer L, Whelan K, Gibson PR. Behavioral and Diet Therapies in Integrated Care for Patients </w:t>
      </w:r>
      <w:r w:rsidR="00A80DD3" w:rsidRPr="001908FA">
        <w:t>with</w:t>
      </w:r>
      <w:r w:rsidRPr="001908FA">
        <w:t xml:space="preserve"> Irritable Bowel Syndrome. Gastroenterology. 2021 Jan;160(1):47-62. </w:t>
      </w:r>
      <w:r w:rsidR="005A754B" w:rsidRPr="001908FA">
        <w:t>Doi</w:t>
      </w:r>
      <w:r w:rsidRPr="001908FA">
        <w:t xml:space="preserve">: 10.1053/j.gastro.2020.06.099. </w:t>
      </w:r>
      <w:proofErr w:type="spellStart"/>
      <w:r w:rsidRPr="001908FA">
        <w:t>Epub</w:t>
      </w:r>
      <w:proofErr w:type="spellEnd"/>
      <w:r w:rsidRPr="001908FA">
        <w:t xml:space="preserve"> 2020 Oct 19. PMID: 33091411.</w:t>
      </w:r>
    </w:p>
    <w:p w14:paraId="68B95D72" w14:textId="5DEF27DF" w:rsidR="00E45B96" w:rsidRPr="00E45B96" w:rsidRDefault="0011198C" w:rsidP="0011198C">
      <w:pPr>
        <w:numPr>
          <w:ilvl w:val="0"/>
          <w:numId w:val="18"/>
        </w:numPr>
        <w:bidi w:val="0"/>
        <w:spacing w:after="160" w:line="480" w:lineRule="auto"/>
        <w:ind w:left="0" w:firstLine="0"/>
        <w:jc w:val="both"/>
      </w:pPr>
      <w:r w:rsidRPr="0011198C">
        <w:t xml:space="preserve">Chong PP, Chin VK, Looi CY, Wong WF, Madhavan P, Yong VC. The Microbiome and Irritable Bowel Syndrome - A Review on </w:t>
      </w:r>
      <w:r w:rsidR="001749C2" w:rsidRPr="0011198C">
        <w:t>Pathophysiology</w:t>
      </w:r>
      <w:r w:rsidRPr="0011198C">
        <w:t xml:space="preserve">, Current Research and Future Therapy. Front </w:t>
      </w:r>
      <w:proofErr w:type="spellStart"/>
      <w:r w:rsidRPr="0011198C">
        <w:t>Microbiol</w:t>
      </w:r>
      <w:proofErr w:type="spellEnd"/>
      <w:r w:rsidRPr="0011198C">
        <w:t xml:space="preserve">. 2019 Jun </w:t>
      </w:r>
      <w:r w:rsidR="001749C2" w:rsidRPr="0011198C">
        <w:t>10; 10:1136</w:t>
      </w:r>
      <w:r w:rsidRPr="0011198C">
        <w:t xml:space="preserve">. </w:t>
      </w:r>
      <w:r w:rsidR="005A754B" w:rsidRPr="0011198C">
        <w:t>Doi</w:t>
      </w:r>
      <w:r w:rsidRPr="0011198C">
        <w:t xml:space="preserve">: 10.3389/fmicb.2019.01136. Erratum in: Front </w:t>
      </w:r>
      <w:proofErr w:type="spellStart"/>
      <w:r w:rsidRPr="0011198C">
        <w:t>Microbiol</w:t>
      </w:r>
      <w:proofErr w:type="spellEnd"/>
      <w:r w:rsidRPr="0011198C">
        <w:t xml:space="preserve">. 2019 Aug </w:t>
      </w:r>
      <w:r w:rsidR="001749C2" w:rsidRPr="0011198C">
        <w:t>13; 10:1870</w:t>
      </w:r>
      <w:r w:rsidRPr="0011198C">
        <w:t xml:space="preserve">. </w:t>
      </w:r>
      <w:r w:rsidR="005A754B" w:rsidRPr="0011198C">
        <w:t>Doi</w:t>
      </w:r>
      <w:r w:rsidRPr="0011198C">
        <w:t>: 10.3389/fmicb.2019.01870. PMID: 31244784; PMCID: PMC6579922.</w:t>
      </w:r>
    </w:p>
    <w:p w14:paraId="2A42C897" w14:textId="3A983D3F" w:rsidR="00E45B96" w:rsidRPr="00E45B96" w:rsidRDefault="0011198C" w:rsidP="004178E4">
      <w:pPr>
        <w:numPr>
          <w:ilvl w:val="0"/>
          <w:numId w:val="18"/>
        </w:numPr>
        <w:bidi w:val="0"/>
        <w:spacing w:after="160" w:line="480" w:lineRule="auto"/>
        <w:ind w:left="0" w:firstLine="0"/>
        <w:jc w:val="both"/>
      </w:pPr>
      <w:r w:rsidRPr="0011198C">
        <w:t xml:space="preserve">Pinto-Sanchez MI, Nardelli A, </w:t>
      </w:r>
      <w:proofErr w:type="spellStart"/>
      <w:r w:rsidRPr="0011198C">
        <w:t>Boro</w:t>
      </w:r>
      <w:r w:rsidR="004178E4">
        <w:t>jevic</w:t>
      </w:r>
      <w:proofErr w:type="spellEnd"/>
      <w:r w:rsidR="004178E4">
        <w:t xml:space="preserve"> R</w:t>
      </w:r>
      <w:r>
        <w:t>, et al</w:t>
      </w:r>
      <w:r w:rsidRPr="0011198C">
        <w:t xml:space="preserve">. Gluten-Free Diet Reduces Symptoms, Particularly Diarrhea, in Patients </w:t>
      </w:r>
      <w:r w:rsidR="003E5856" w:rsidRPr="0011198C">
        <w:t>with</w:t>
      </w:r>
      <w:r w:rsidRPr="0011198C">
        <w:t xml:space="preserve"> Irritable Bowel Syndrome and Antigliadin IgG. Clin Gastroenterol Hepatol. 2021 Nov;19(11):2343-2352.e8. </w:t>
      </w:r>
      <w:r w:rsidR="005A754B">
        <w:t>Doi</w:t>
      </w:r>
      <w:r w:rsidRPr="0011198C">
        <w:t xml:space="preserve">: 10.1016/j.cgh.2020.08.040. </w:t>
      </w:r>
      <w:proofErr w:type="spellStart"/>
      <w:r w:rsidRPr="0011198C">
        <w:t>Epub</w:t>
      </w:r>
      <w:proofErr w:type="spellEnd"/>
      <w:r w:rsidRPr="0011198C">
        <w:t xml:space="preserve"> 2020 Aug 19. PMID: 32827724.</w:t>
      </w:r>
    </w:p>
    <w:p w14:paraId="0DCDC04D" w14:textId="122FC8EB" w:rsidR="001908FA" w:rsidRPr="001908FA" w:rsidRDefault="001908FA" w:rsidP="001908FA">
      <w:pPr>
        <w:numPr>
          <w:ilvl w:val="0"/>
          <w:numId w:val="18"/>
        </w:numPr>
        <w:bidi w:val="0"/>
        <w:spacing w:after="160" w:line="480" w:lineRule="auto"/>
        <w:ind w:left="0" w:firstLine="0"/>
        <w:jc w:val="both"/>
      </w:pPr>
      <w:r w:rsidRPr="001908FA">
        <w:t xml:space="preserve">Laing BB, Lim AG, Ferguson LR. A </w:t>
      </w:r>
      <w:proofErr w:type="spellStart"/>
      <w:r w:rsidRPr="001908FA">
        <w:t>Personalised</w:t>
      </w:r>
      <w:proofErr w:type="spellEnd"/>
      <w:r w:rsidRPr="001908FA">
        <w:t xml:space="preserve"> Dietary </w:t>
      </w:r>
      <w:r w:rsidR="00383ECC">
        <w:t>Approach- A</w:t>
      </w:r>
      <w:r w:rsidRPr="001908FA">
        <w:t xml:space="preserve"> Way Forward to Manage Nutrient Deficiency, Effects of the Western Diet, and Food Intolerances in Inflammatory Bowel Disease. Nutrients. 2019 Jul 5;11(7):1532. </w:t>
      </w:r>
      <w:r w:rsidR="005A754B" w:rsidRPr="001908FA">
        <w:t>Doi</w:t>
      </w:r>
      <w:r w:rsidRPr="001908FA">
        <w:t>: 10.3390/nu11071532. PMID: 31284450; PMCID: PMC6683058.</w:t>
      </w:r>
    </w:p>
    <w:p w14:paraId="1E05FBDE" w14:textId="1FFAABFC" w:rsidR="0011198C" w:rsidRPr="0011198C" w:rsidRDefault="0011198C" w:rsidP="004178E4">
      <w:pPr>
        <w:numPr>
          <w:ilvl w:val="0"/>
          <w:numId w:val="18"/>
        </w:numPr>
        <w:bidi w:val="0"/>
        <w:spacing w:after="160" w:line="480" w:lineRule="auto"/>
        <w:ind w:left="0" w:firstLine="0"/>
        <w:jc w:val="both"/>
      </w:pPr>
      <w:r w:rsidRPr="0011198C">
        <w:t>Fritscher-</w:t>
      </w:r>
      <w:r w:rsidR="004178E4">
        <w:t xml:space="preserve">Ravens A, Pflaum T, </w:t>
      </w:r>
      <w:proofErr w:type="spellStart"/>
      <w:r w:rsidR="004178E4">
        <w:t>Mösinger</w:t>
      </w:r>
      <w:proofErr w:type="spellEnd"/>
      <w:r w:rsidR="004178E4">
        <w:t xml:space="preserve"> M, </w:t>
      </w:r>
      <w:r>
        <w:t>et al</w:t>
      </w:r>
      <w:r w:rsidRPr="0011198C">
        <w:t xml:space="preserve">. Many Patients </w:t>
      </w:r>
      <w:r w:rsidR="006224C2" w:rsidRPr="0011198C">
        <w:t>with</w:t>
      </w:r>
      <w:r w:rsidRPr="0011198C">
        <w:t xml:space="preserve"> Irritable Bowel Syndrome Have Atypical Food Allergies Not Associated </w:t>
      </w:r>
      <w:r w:rsidR="003C4643" w:rsidRPr="0011198C">
        <w:t>with</w:t>
      </w:r>
      <w:r w:rsidRPr="0011198C">
        <w:t xml:space="preserve"> Immunoglobulin E. Gastroenterology. 2019 Jul;157(1):109-118.e5. </w:t>
      </w:r>
      <w:proofErr w:type="spellStart"/>
      <w:r w:rsidRPr="0011198C">
        <w:t>doi</w:t>
      </w:r>
      <w:proofErr w:type="spellEnd"/>
      <w:r w:rsidRPr="0011198C">
        <w:t xml:space="preserve">: 10.1053/j.gastro.2019.03.046. </w:t>
      </w:r>
      <w:proofErr w:type="spellStart"/>
      <w:r w:rsidRPr="0011198C">
        <w:t>Epub</w:t>
      </w:r>
      <w:proofErr w:type="spellEnd"/>
      <w:r w:rsidRPr="0011198C">
        <w:t xml:space="preserve"> 2019 May 15. PMID: 31100380.</w:t>
      </w:r>
    </w:p>
    <w:p w14:paraId="1693919E" w14:textId="038E5725" w:rsidR="0011198C" w:rsidRDefault="0011198C" w:rsidP="004178E4">
      <w:pPr>
        <w:numPr>
          <w:ilvl w:val="0"/>
          <w:numId w:val="18"/>
        </w:numPr>
        <w:bidi w:val="0"/>
        <w:spacing w:after="160" w:line="480" w:lineRule="auto"/>
        <w:ind w:left="0" w:firstLine="0"/>
        <w:jc w:val="both"/>
      </w:pPr>
      <w:r w:rsidRPr="0011198C">
        <w:t xml:space="preserve">Noval Rivas M, Burton OT, Wise P, </w:t>
      </w:r>
      <w:r w:rsidR="00462644">
        <w:t>et al</w:t>
      </w:r>
      <w:r w:rsidRPr="0011198C">
        <w:t xml:space="preserve">. Regulatory T cell reprogramming toward a Th2-cell-like lineage impairs oral tolerance and promotes food allergy. Immunity. 2015 Mar 17;42(3):512-23. </w:t>
      </w:r>
      <w:proofErr w:type="spellStart"/>
      <w:r w:rsidRPr="0011198C">
        <w:t>doi</w:t>
      </w:r>
      <w:proofErr w:type="spellEnd"/>
      <w:r w:rsidRPr="0011198C">
        <w:t xml:space="preserve">: 10.1016/j.immuni.2015.02.004. </w:t>
      </w:r>
      <w:proofErr w:type="spellStart"/>
      <w:r w:rsidRPr="0011198C">
        <w:t>Epub</w:t>
      </w:r>
      <w:proofErr w:type="spellEnd"/>
      <w:r w:rsidRPr="0011198C">
        <w:t xml:space="preserve"> 2015 Mar 10. PMID: 25769611; PMCID: PMC4366316.</w:t>
      </w:r>
    </w:p>
    <w:p w14:paraId="575F7C63" w14:textId="5025BBF3" w:rsidR="00F921DC" w:rsidRPr="00F921DC" w:rsidRDefault="00F921DC" w:rsidP="00F921DC">
      <w:pPr>
        <w:numPr>
          <w:ilvl w:val="0"/>
          <w:numId w:val="18"/>
        </w:numPr>
        <w:bidi w:val="0"/>
        <w:spacing w:after="160" w:line="480" w:lineRule="auto"/>
        <w:ind w:left="0" w:firstLine="0"/>
        <w:jc w:val="both"/>
      </w:pPr>
      <w:r w:rsidRPr="00F921DC">
        <w:t>Drossman DA, Chang L, Rome Foundation (Raleigh, Al E. Rome IV Functional Gastrointestinal Disorders for Primary Care and Non-Gi Clinicians. Rome Foundation, Cop; 2016.</w:t>
      </w:r>
    </w:p>
    <w:p w14:paraId="4E559FB5" w14:textId="410FEC00" w:rsidR="001908FA" w:rsidRDefault="001908FA" w:rsidP="001908FA">
      <w:pPr>
        <w:numPr>
          <w:ilvl w:val="0"/>
          <w:numId w:val="18"/>
        </w:numPr>
        <w:bidi w:val="0"/>
        <w:spacing w:after="160" w:line="480" w:lineRule="auto"/>
        <w:ind w:left="0" w:firstLine="0"/>
        <w:jc w:val="both"/>
      </w:pPr>
      <w:r w:rsidRPr="001908FA">
        <w:t xml:space="preserve">Nawawi KNM, Belov M, Goulding C. Low FODMAP diet significantly improves IBS symptoms: an Irish retrospective cohort study. </w:t>
      </w:r>
      <w:proofErr w:type="spellStart"/>
      <w:r w:rsidRPr="001908FA">
        <w:t>Eur</w:t>
      </w:r>
      <w:proofErr w:type="spellEnd"/>
      <w:r w:rsidRPr="001908FA">
        <w:t xml:space="preserve"> J </w:t>
      </w:r>
      <w:proofErr w:type="spellStart"/>
      <w:r w:rsidRPr="001908FA">
        <w:t>Nutr</w:t>
      </w:r>
      <w:proofErr w:type="spellEnd"/>
      <w:r w:rsidRPr="001908FA">
        <w:t xml:space="preserve">. 2020 Aug;59(5):2237-2248. </w:t>
      </w:r>
      <w:r w:rsidR="00383ECC">
        <w:t>Doi</w:t>
      </w:r>
      <w:r w:rsidRPr="001908FA">
        <w:t xml:space="preserve">: 10.1007/s00394-019-02074-6. </w:t>
      </w:r>
      <w:proofErr w:type="spellStart"/>
      <w:r w:rsidRPr="001908FA">
        <w:t>Epub</w:t>
      </w:r>
      <w:proofErr w:type="spellEnd"/>
      <w:r w:rsidRPr="001908FA">
        <w:t xml:space="preserve"> 2019 Sep 13. PMID: 31520160.</w:t>
      </w:r>
    </w:p>
    <w:p w14:paraId="0A0D0F22" w14:textId="2AAB8DFF" w:rsidR="0063672C" w:rsidRDefault="0063672C" w:rsidP="0063672C">
      <w:pPr>
        <w:numPr>
          <w:ilvl w:val="0"/>
          <w:numId w:val="18"/>
        </w:numPr>
        <w:bidi w:val="0"/>
        <w:spacing w:after="160" w:line="480" w:lineRule="auto"/>
        <w:ind w:left="0" w:firstLine="0"/>
        <w:jc w:val="both"/>
      </w:pPr>
      <w:r w:rsidRPr="001908FA">
        <w:t xml:space="preserve">Camilleri M, </w:t>
      </w:r>
      <w:proofErr w:type="spellStart"/>
      <w:r w:rsidRPr="001908FA">
        <w:t>Dilmaghani</w:t>
      </w:r>
      <w:proofErr w:type="spellEnd"/>
      <w:r w:rsidRPr="001908FA">
        <w:t xml:space="preserve"> S. Treatment of Irritable Bowel Syndrome Using Fecal Microbiota Transplantation: A Step Forward? Gastroenterology. 2022 Oct;163(4):815-817. </w:t>
      </w:r>
      <w:proofErr w:type="spellStart"/>
      <w:r w:rsidRPr="001908FA">
        <w:t>doi</w:t>
      </w:r>
      <w:proofErr w:type="spellEnd"/>
      <w:r w:rsidRPr="001908FA">
        <w:t xml:space="preserve">: 10.1053/j.gastro.2022.06.087. </w:t>
      </w:r>
      <w:proofErr w:type="spellStart"/>
      <w:r w:rsidRPr="001908FA">
        <w:t>Epub</w:t>
      </w:r>
      <w:proofErr w:type="spellEnd"/>
      <w:r w:rsidRPr="001908FA">
        <w:t xml:space="preserve"> 2022 Jul 7. PMID: 35809615; PMCID: PMC9885897.</w:t>
      </w:r>
    </w:p>
    <w:p w14:paraId="6E0267D4" w14:textId="3C8AED27" w:rsidR="006D5A45" w:rsidRPr="006D5A45" w:rsidRDefault="006D5A45" w:rsidP="0063672C">
      <w:pPr>
        <w:numPr>
          <w:ilvl w:val="0"/>
          <w:numId w:val="18"/>
        </w:numPr>
        <w:bidi w:val="0"/>
        <w:spacing w:after="160" w:line="480" w:lineRule="auto"/>
        <w:ind w:left="0" w:firstLine="0"/>
        <w:jc w:val="both"/>
      </w:pPr>
      <w:r w:rsidRPr="006D5A45">
        <w:t xml:space="preserve">Everitt B, </w:t>
      </w:r>
      <w:proofErr w:type="spellStart"/>
      <w:r w:rsidRPr="006D5A45">
        <w:t>Skrondal</w:t>
      </w:r>
      <w:proofErr w:type="spellEnd"/>
      <w:r w:rsidRPr="006D5A45">
        <w:t xml:space="preserve"> A. The Cambridge Dictionary of Statistics. Cambridge University Press; 2010.</w:t>
      </w:r>
    </w:p>
    <w:p w14:paraId="45DED867" w14:textId="26C97560" w:rsidR="00E45B96" w:rsidRPr="00E45B96" w:rsidRDefault="00462644" w:rsidP="004178E4">
      <w:pPr>
        <w:numPr>
          <w:ilvl w:val="0"/>
          <w:numId w:val="18"/>
        </w:numPr>
        <w:bidi w:val="0"/>
        <w:spacing w:after="160" w:line="480" w:lineRule="auto"/>
        <w:ind w:left="0" w:firstLine="0"/>
        <w:jc w:val="both"/>
      </w:pPr>
      <w:r w:rsidRPr="00462644">
        <w:t>Pas</w:t>
      </w:r>
      <w:r w:rsidR="004178E4">
        <w:t>ta A, Formisano E, Calabrese F</w:t>
      </w:r>
      <w:r w:rsidRPr="00462644">
        <w:t xml:space="preserve">, </w:t>
      </w:r>
      <w:r>
        <w:t>et al</w:t>
      </w:r>
      <w:r w:rsidRPr="00462644">
        <w:t>. Food Intolerances, Food Allergies</w:t>
      </w:r>
      <w:r w:rsidR="00383ECC">
        <w:t>,</w:t>
      </w:r>
      <w:r w:rsidRPr="00462644">
        <w:t xml:space="preserve"> and IBS: Lights and Shadows. Nutrients. 2024 Jan 16;16(2):265. </w:t>
      </w:r>
      <w:proofErr w:type="spellStart"/>
      <w:r w:rsidRPr="00462644">
        <w:t>doi</w:t>
      </w:r>
      <w:proofErr w:type="spellEnd"/>
      <w:r w:rsidRPr="00462644">
        <w:t>: 10.3390/nu16020265. PMID: 38257158; PMCID: PMC10821155.</w:t>
      </w:r>
    </w:p>
    <w:p w14:paraId="10E1FD68" w14:textId="77777777" w:rsidR="001908FA" w:rsidRPr="001908FA" w:rsidRDefault="001908FA" w:rsidP="001908FA">
      <w:pPr>
        <w:numPr>
          <w:ilvl w:val="0"/>
          <w:numId w:val="18"/>
        </w:numPr>
        <w:bidi w:val="0"/>
        <w:spacing w:after="160" w:line="480" w:lineRule="auto"/>
        <w:ind w:left="0" w:firstLine="0"/>
        <w:jc w:val="both"/>
      </w:pPr>
      <w:proofErr w:type="spellStart"/>
      <w:r w:rsidRPr="001908FA">
        <w:t>Vininski</w:t>
      </w:r>
      <w:proofErr w:type="spellEnd"/>
      <w:r w:rsidRPr="001908FA">
        <w:t xml:space="preserve"> MS, Rajput S, Hobbs NJ, Dolence JJ. Understanding sex differences in the allergic immune response to food. AIMS Allergy Immunol. 2022;6(3):90-105. </w:t>
      </w:r>
      <w:proofErr w:type="spellStart"/>
      <w:r w:rsidRPr="001908FA">
        <w:t>doi</w:t>
      </w:r>
      <w:proofErr w:type="spellEnd"/>
      <w:r w:rsidRPr="001908FA">
        <w:t xml:space="preserve">: 10.3934/allergy.2022009. </w:t>
      </w:r>
      <w:proofErr w:type="spellStart"/>
      <w:r w:rsidRPr="001908FA">
        <w:t>Epub</w:t>
      </w:r>
      <w:proofErr w:type="spellEnd"/>
      <w:r w:rsidRPr="001908FA">
        <w:t xml:space="preserve"> 2022 Jul 6. PMID: 38314333; PMCID: PMC10836331.</w:t>
      </w:r>
    </w:p>
    <w:p w14:paraId="197653C5" w14:textId="0319197E" w:rsidR="001908FA" w:rsidRDefault="001908FA" w:rsidP="001908FA">
      <w:pPr>
        <w:numPr>
          <w:ilvl w:val="0"/>
          <w:numId w:val="18"/>
        </w:numPr>
        <w:bidi w:val="0"/>
        <w:spacing w:after="160" w:line="480" w:lineRule="auto"/>
        <w:ind w:left="0" w:firstLine="0"/>
        <w:jc w:val="both"/>
      </w:pPr>
      <w:r w:rsidRPr="001908FA">
        <w:t xml:space="preserve">Kelly C, </w:t>
      </w:r>
      <w:proofErr w:type="spellStart"/>
      <w:r w:rsidRPr="001908FA">
        <w:t>Gangur</w:t>
      </w:r>
      <w:proofErr w:type="spellEnd"/>
      <w:r w:rsidRPr="001908FA">
        <w:t xml:space="preserve"> V. Sex Disparity in Food Allergy: Evidence from the PubMed Database. J Allergy (Cairo). </w:t>
      </w:r>
      <w:r w:rsidR="003C4643" w:rsidRPr="001908FA">
        <w:t>2009; 2009:159845</w:t>
      </w:r>
      <w:r w:rsidRPr="001908FA">
        <w:t xml:space="preserve">. </w:t>
      </w:r>
      <w:proofErr w:type="spellStart"/>
      <w:r w:rsidRPr="001908FA">
        <w:t>doi</w:t>
      </w:r>
      <w:proofErr w:type="spellEnd"/>
      <w:r w:rsidRPr="001908FA">
        <w:t xml:space="preserve">: 10.1155/2009/159845. </w:t>
      </w:r>
      <w:proofErr w:type="spellStart"/>
      <w:r w:rsidRPr="001908FA">
        <w:t>Epub</w:t>
      </w:r>
      <w:proofErr w:type="spellEnd"/>
      <w:r w:rsidRPr="001908FA">
        <w:t xml:space="preserve"> 2009 Jul 2. PMID: 20975795; PMCID: PMC2957586.</w:t>
      </w:r>
    </w:p>
    <w:p w14:paraId="25E2CD7D" w14:textId="5552EBCD" w:rsidR="006D5A45" w:rsidRDefault="006D5A45" w:rsidP="00E23FD1">
      <w:pPr>
        <w:numPr>
          <w:ilvl w:val="0"/>
          <w:numId w:val="18"/>
        </w:numPr>
        <w:bidi w:val="0"/>
        <w:spacing w:after="160" w:line="480" w:lineRule="auto"/>
        <w:ind w:left="0" w:firstLine="0"/>
        <w:jc w:val="both"/>
      </w:pPr>
      <w:r w:rsidRPr="006D5A45">
        <w:t xml:space="preserve">SAAD ALSHAHRANI, M.D. A. Prevalence and Risk Factors for Irritable Bowel Syndrome among Male Secondary School Saudi Students in Najran City, Saudi Arabia. The Medical Journal of Cairo University. 2020;88(9):1917-1921. </w:t>
      </w:r>
      <w:proofErr w:type="spellStart"/>
      <w:r w:rsidR="00A80DD3" w:rsidRPr="006D5A45">
        <w:t>doi</w:t>
      </w:r>
      <w:proofErr w:type="spellEnd"/>
      <w:r w:rsidR="00A80DD3" w:rsidRPr="006D5A45">
        <w:t xml:space="preserve"> https://doi.org/10.21608/mjcu.2020.118549</w:t>
      </w:r>
      <w:r w:rsidR="00A80DD3">
        <w:t>.</w:t>
      </w:r>
    </w:p>
    <w:p w14:paraId="05609F29" w14:textId="3F246951" w:rsidR="00E671B9" w:rsidRDefault="00E671B9" w:rsidP="00E671B9">
      <w:pPr>
        <w:numPr>
          <w:ilvl w:val="0"/>
          <w:numId w:val="18"/>
        </w:numPr>
        <w:bidi w:val="0"/>
        <w:spacing w:after="160" w:line="480" w:lineRule="auto"/>
        <w:ind w:left="0" w:firstLine="0"/>
        <w:jc w:val="both"/>
      </w:pPr>
      <w:r w:rsidRPr="00E671B9">
        <w:t xml:space="preserve">Hassanin TM, Fouad Y, Fatma </w:t>
      </w:r>
      <w:proofErr w:type="spellStart"/>
      <w:r w:rsidRPr="00E671B9">
        <w:t>Elzahraa</w:t>
      </w:r>
      <w:proofErr w:type="spellEnd"/>
      <w:r w:rsidRPr="00E671B9">
        <w:t xml:space="preserve"> Mohamed, Abdel-Hafeez EH, </w:t>
      </w:r>
      <w:proofErr w:type="spellStart"/>
      <w:r w:rsidRPr="00E671B9">
        <w:t>Alshymaa</w:t>
      </w:r>
      <w:proofErr w:type="spellEnd"/>
      <w:r w:rsidRPr="00E671B9">
        <w:t xml:space="preserve"> </w:t>
      </w:r>
      <w:proofErr w:type="spellStart"/>
      <w:r w:rsidRPr="00E671B9">
        <w:t>Hassnine</w:t>
      </w:r>
      <w:proofErr w:type="spellEnd"/>
      <w:r w:rsidRPr="00E671B9">
        <w:t xml:space="preserve">. Colonic mucosal eosinophilia and immunohistochemical expression of COX-2 and NF-kB in patients with irritable bowel syndrome. European Journal of Gastroenterology &amp; Hepatology. 2022;34(5):512-517. </w:t>
      </w:r>
      <w:proofErr w:type="spellStart"/>
      <w:r w:rsidR="00A80DD3" w:rsidRPr="00E671B9">
        <w:t>doi</w:t>
      </w:r>
      <w:proofErr w:type="spellEnd"/>
      <w:r w:rsidR="00A80DD3" w:rsidRPr="00E671B9">
        <w:t>: https://doi.org/10.1097/meg.0000000000002363</w:t>
      </w:r>
    </w:p>
    <w:p w14:paraId="4C29FB82" w14:textId="5B513D7D" w:rsidR="005033D9" w:rsidRPr="005033D9" w:rsidRDefault="005033D9" w:rsidP="005033D9">
      <w:pPr>
        <w:numPr>
          <w:ilvl w:val="0"/>
          <w:numId w:val="18"/>
        </w:numPr>
        <w:bidi w:val="0"/>
        <w:spacing w:after="160" w:line="480" w:lineRule="auto"/>
        <w:ind w:left="0" w:firstLine="0"/>
        <w:jc w:val="both"/>
      </w:pPr>
      <w:proofErr w:type="spellStart"/>
      <w:r w:rsidRPr="005033D9">
        <w:t>Parthiepan</w:t>
      </w:r>
      <w:proofErr w:type="spellEnd"/>
      <w:r w:rsidRPr="005033D9">
        <w:t xml:space="preserve"> S, Rode J. 46. Increased eosinophils and mast cells in the irritable bowel syndrome. Pathology. 2011;</w:t>
      </w:r>
      <w:r w:rsidR="003C4643" w:rsidRPr="005033D9">
        <w:t>43: S</w:t>
      </w:r>
      <w:r w:rsidRPr="005033D9">
        <w:t xml:space="preserve">103. </w:t>
      </w:r>
      <w:proofErr w:type="spellStart"/>
      <w:r w:rsidR="00A80DD3" w:rsidRPr="005033D9">
        <w:t>doi</w:t>
      </w:r>
      <w:proofErr w:type="spellEnd"/>
      <w:r w:rsidR="00A80DD3" w:rsidRPr="005033D9">
        <w:t>: https://doi.org/10.1016/s0031-3025(16)33334-7</w:t>
      </w:r>
      <w:r w:rsidR="00A80DD3">
        <w:t>.</w:t>
      </w:r>
    </w:p>
    <w:p w14:paraId="4DF758CC" w14:textId="77777777" w:rsidR="001908FA" w:rsidRPr="001908FA" w:rsidRDefault="001908FA" w:rsidP="001908FA">
      <w:pPr>
        <w:numPr>
          <w:ilvl w:val="0"/>
          <w:numId w:val="18"/>
        </w:numPr>
        <w:bidi w:val="0"/>
        <w:spacing w:after="160" w:line="480" w:lineRule="auto"/>
        <w:ind w:left="0" w:firstLine="0"/>
        <w:jc w:val="both"/>
      </w:pPr>
      <w:proofErr w:type="spellStart"/>
      <w:r w:rsidRPr="001908FA">
        <w:t>Elhosseiny</w:t>
      </w:r>
      <w:proofErr w:type="spellEnd"/>
      <w:r w:rsidRPr="001908FA">
        <w:t xml:space="preserve"> D, Mahmoud NE, </w:t>
      </w:r>
      <w:proofErr w:type="spellStart"/>
      <w:r w:rsidRPr="001908FA">
        <w:t>Manzour</w:t>
      </w:r>
      <w:proofErr w:type="spellEnd"/>
      <w:r w:rsidRPr="001908FA">
        <w:t xml:space="preserve"> AF. Factors associated with irritable bowel syndrome among medical students at Ain Shams University. J Egypt Public Health Assoc. 2019 Dec 4;94(1):23. </w:t>
      </w:r>
      <w:proofErr w:type="spellStart"/>
      <w:r w:rsidRPr="001908FA">
        <w:t>doi</w:t>
      </w:r>
      <w:proofErr w:type="spellEnd"/>
      <w:r w:rsidRPr="001908FA">
        <w:t>: 10.1186/s42506-019-0023-8. PMID: 32813140; PMCID: PMC7364773.</w:t>
      </w:r>
    </w:p>
    <w:p w14:paraId="2B47418D" w14:textId="56D57F88" w:rsidR="001908FA" w:rsidRDefault="00462644" w:rsidP="004178E4">
      <w:pPr>
        <w:numPr>
          <w:ilvl w:val="0"/>
          <w:numId w:val="18"/>
        </w:numPr>
        <w:bidi w:val="0"/>
        <w:spacing w:after="160" w:line="480" w:lineRule="auto"/>
        <w:ind w:left="0" w:firstLine="0"/>
        <w:jc w:val="both"/>
      </w:pPr>
      <w:r w:rsidRPr="00462644">
        <w:t xml:space="preserve">Katsumata R, Ishii M, Lee S, </w:t>
      </w:r>
      <w:r>
        <w:t>et al</w:t>
      </w:r>
      <w:r w:rsidRPr="00462644">
        <w:t xml:space="preserve">. Cytokine Profile and Immunoglobulin E-mediated Serological Food Hypersensitivity in Patients </w:t>
      </w:r>
      <w:r w:rsidR="003C4643" w:rsidRPr="00462644">
        <w:t>with</w:t>
      </w:r>
      <w:r w:rsidRPr="00462644">
        <w:t xml:space="preserve"> Irritable Bowel Syndrome </w:t>
      </w:r>
      <w:proofErr w:type="gramStart"/>
      <w:r w:rsidRPr="00462644">
        <w:t>With</w:t>
      </w:r>
      <w:proofErr w:type="gramEnd"/>
      <w:r w:rsidRPr="00462644">
        <w:t xml:space="preserve"> Diarrhea. J </w:t>
      </w:r>
      <w:proofErr w:type="spellStart"/>
      <w:r w:rsidRPr="00462644">
        <w:t>Neurogastroenterol</w:t>
      </w:r>
      <w:proofErr w:type="spellEnd"/>
      <w:r w:rsidRPr="00462644">
        <w:t xml:space="preserve"> Motil. 2018 Jul 30;24(3):415-421. </w:t>
      </w:r>
      <w:proofErr w:type="spellStart"/>
      <w:r w:rsidRPr="00462644">
        <w:t>doi</w:t>
      </w:r>
      <w:proofErr w:type="spellEnd"/>
      <w:r w:rsidRPr="00462644">
        <w:t>: 10.5056/jnm17114. PMID: 29739174; PMCID: PMC6034672.</w:t>
      </w:r>
    </w:p>
    <w:p w14:paraId="139EB1C2" w14:textId="737C3AFA" w:rsidR="001908FA" w:rsidRPr="00015604" w:rsidRDefault="001908FA" w:rsidP="00015604">
      <w:pPr>
        <w:numPr>
          <w:ilvl w:val="0"/>
          <w:numId w:val="18"/>
        </w:numPr>
        <w:bidi w:val="0"/>
        <w:spacing w:after="160" w:line="480" w:lineRule="auto"/>
        <w:ind w:left="0" w:firstLine="0"/>
        <w:jc w:val="both"/>
      </w:pPr>
      <w:r w:rsidRPr="00015604">
        <w:t xml:space="preserve">Akkuş EE. Evaluation Of Levels </w:t>
      </w:r>
      <w:r w:rsidR="003C4643" w:rsidRPr="00015604">
        <w:t>of</w:t>
      </w:r>
      <w:r w:rsidRPr="00015604">
        <w:t xml:space="preserve"> Serum IgE </w:t>
      </w:r>
      <w:proofErr w:type="gramStart"/>
      <w:r w:rsidRPr="00015604">
        <w:t>And</w:t>
      </w:r>
      <w:proofErr w:type="gramEnd"/>
      <w:r w:rsidRPr="00015604">
        <w:t xml:space="preserve"> Rectal Mucosal Eosinophilia In Irritable Bowel Syndrome. The Anatolian Journal of Family Medicine. Published online 2019. </w:t>
      </w:r>
      <w:r w:rsidR="00A80DD3" w:rsidRPr="00015604">
        <w:t>Doi: https://doi.org/10.5505/anatoljfm.2018.25733</w:t>
      </w:r>
    </w:p>
    <w:p w14:paraId="5F73BFAC" w14:textId="4A162469" w:rsidR="005509F9" w:rsidRPr="005509F9" w:rsidRDefault="001908FA" w:rsidP="001908FA">
      <w:pPr>
        <w:numPr>
          <w:ilvl w:val="0"/>
          <w:numId w:val="18"/>
        </w:numPr>
        <w:bidi w:val="0"/>
        <w:spacing w:after="160" w:line="480" w:lineRule="auto"/>
        <w:ind w:left="0" w:firstLine="0"/>
        <w:jc w:val="both"/>
      </w:pPr>
      <w:r w:rsidRPr="005509F9">
        <w:t xml:space="preserve"> </w:t>
      </w:r>
      <w:r w:rsidR="005509F9" w:rsidRPr="005509F9">
        <w:t xml:space="preserve">Böhn L, </w:t>
      </w:r>
      <w:proofErr w:type="spellStart"/>
      <w:r w:rsidR="005509F9" w:rsidRPr="005509F9">
        <w:t>Störsrud</w:t>
      </w:r>
      <w:proofErr w:type="spellEnd"/>
      <w:r w:rsidR="005509F9" w:rsidRPr="005509F9">
        <w:t xml:space="preserve"> S, </w:t>
      </w:r>
      <w:proofErr w:type="spellStart"/>
      <w:r w:rsidR="005509F9" w:rsidRPr="005509F9">
        <w:t>Törnblom</w:t>
      </w:r>
      <w:proofErr w:type="spellEnd"/>
      <w:r w:rsidR="005509F9" w:rsidRPr="005509F9">
        <w:t xml:space="preserve"> H, Bengtsson U, </w:t>
      </w:r>
      <w:proofErr w:type="spellStart"/>
      <w:r w:rsidR="005509F9" w:rsidRPr="005509F9">
        <w:t>Simrén</w:t>
      </w:r>
      <w:proofErr w:type="spellEnd"/>
      <w:r w:rsidR="005509F9" w:rsidRPr="005509F9">
        <w:t xml:space="preserve"> M. Self-reported food-related gastrointestinal symptoms in IBS are common and associated with more severe symptoms and reduced quality of life. Am J Gastroenterol. 2013 May;108(5):634-41. </w:t>
      </w:r>
      <w:proofErr w:type="spellStart"/>
      <w:r w:rsidR="005509F9" w:rsidRPr="005509F9">
        <w:t>doi</w:t>
      </w:r>
      <w:proofErr w:type="spellEnd"/>
      <w:r w:rsidR="005509F9" w:rsidRPr="005509F9">
        <w:t>: 10.1038/ajg.2013.105. PMID: 23644955.</w:t>
      </w:r>
    </w:p>
    <w:p w14:paraId="7F77FB7D" w14:textId="77777777" w:rsidR="00015604" w:rsidRPr="00015604" w:rsidRDefault="00015604" w:rsidP="00015604">
      <w:pPr>
        <w:numPr>
          <w:ilvl w:val="0"/>
          <w:numId w:val="18"/>
        </w:numPr>
        <w:bidi w:val="0"/>
        <w:spacing w:after="160" w:line="480" w:lineRule="auto"/>
        <w:ind w:left="0" w:firstLine="0"/>
        <w:jc w:val="both"/>
      </w:pPr>
      <w:r w:rsidRPr="00015604">
        <w:t>Talley NJ. Allergies and Irritable Bowel Syndrome. Gastroenterol Hepatol (N Y). 2019 Nov;15(11):619-621. PMID: 31802988; PMCID: PMC6883730.</w:t>
      </w:r>
    </w:p>
    <w:p w14:paraId="78CE4977" w14:textId="77777777" w:rsidR="00015604" w:rsidRPr="00015604" w:rsidRDefault="00015604" w:rsidP="00015604">
      <w:pPr>
        <w:numPr>
          <w:ilvl w:val="0"/>
          <w:numId w:val="18"/>
        </w:numPr>
        <w:bidi w:val="0"/>
        <w:spacing w:after="160" w:line="480" w:lineRule="auto"/>
        <w:ind w:left="0" w:firstLine="0"/>
        <w:jc w:val="both"/>
      </w:pPr>
      <w:r w:rsidRPr="00015604">
        <w:t>Hayes PA, Fraher MH, Quigley EM. Irritable bowel syndrome: the role of food in pathogenesis and management. Gastroenterol Hepatol (N Y). 2014 Mar;10(3):164-74. PMID: 24829543; PMCID: PMC4014048.</w:t>
      </w:r>
    </w:p>
    <w:p w14:paraId="79FBA1BB" w14:textId="07BFB74E" w:rsidR="005509F9" w:rsidRPr="005509F9" w:rsidRDefault="005509F9" w:rsidP="004178E4">
      <w:pPr>
        <w:numPr>
          <w:ilvl w:val="0"/>
          <w:numId w:val="18"/>
        </w:numPr>
        <w:bidi w:val="0"/>
        <w:spacing w:after="160" w:line="480" w:lineRule="auto"/>
        <w:ind w:left="0" w:firstLine="0"/>
        <w:jc w:val="both"/>
      </w:pPr>
      <w:r w:rsidRPr="005509F9">
        <w:t xml:space="preserve">Lee HJ, Kim HJ, Kang EH, </w:t>
      </w:r>
      <w:r>
        <w:t>et al</w:t>
      </w:r>
      <w:r w:rsidRPr="005509F9">
        <w:t xml:space="preserve">. Self-reported Food Intolerance in Korean Patients </w:t>
      </w:r>
      <w:proofErr w:type="gramStart"/>
      <w:r w:rsidRPr="005509F9">
        <w:t>With</w:t>
      </w:r>
      <w:proofErr w:type="gramEnd"/>
      <w:r w:rsidRPr="005509F9">
        <w:t xml:space="preserve"> Irritable Bowel Syndrome. J </w:t>
      </w:r>
      <w:proofErr w:type="spellStart"/>
      <w:r w:rsidRPr="005509F9">
        <w:t>Neurogastroenterol</w:t>
      </w:r>
      <w:proofErr w:type="spellEnd"/>
      <w:r w:rsidRPr="005509F9">
        <w:t xml:space="preserve"> Motil. 2019 Apr 30;25(2):222-232. </w:t>
      </w:r>
      <w:proofErr w:type="spellStart"/>
      <w:r w:rsidRPr="005509F9">
        <w:t>doi</w:t>
      </w:r>
      <w:proofErr w:type="spellEnd"/>
      <w:r w:rsidRPr="005509F9">
        <w:t>: 10.5056/jnm18125. PMID: 30827068; PMCID: PMC6474711.</w:t>
      </w:r>
    </w:p>
    <w:p w14:paraId="508D008B" w14:textId="437FC6B0" w:rsidR="005509F9" w:rsidRPr="005509F9" w:rsidRDefault="005509F9" w:rsidP="004178E4">
      <w:pPr>
        <w:keepNext/>
        <w:numPr>
          <w:ilvl w:val="0"/>
          <w:numId w:val="18"/>
        </w:numPr>
        <w:bidi w:val="0"/>
        <w:spacing w:after="160" w:line="480" w:lineRule="auto"/>
        <w:ind w:left="0" w:firstLine="0"/>
        <w:jc w:val="both"/>
      </w:pPr>
      <w:proofErr w:type="spellStart"/>
      <w:r w:rsidRPr="005509F9">
        <w:t>Vivinus-Nébot</w:t>
      </w:r>
      <w:proofErr w:type="spellEnd"/>
      <w:r w:rsidRPr="005509F9">
        <w:t xml:space="preserve"> M, Dainese R, Anty R, </w:t>
      </w:r>
      <w:r>
        <w:t>et al</w:t>
      </w:r>
      <w:r w:rsidRPr="005509F9">
        <w:t xml:space="preserve">. </w:t>
      </w:r>
      <w:r w:rsidR="00383ECC">
        <w:t>A combination</w:t>
      </w:r>
      <w:r w:rsidRPr="005509F9">
        <w:t xml:space="preserve"> of allergic factors can worsen diarrheic irritable bowel syndrome: role of barrier defects and mast cells. Am J Gastroenterol. 2012 Jan;107(1):75-81. </w:t>
      </w:r>
      <w:proofErr w:type="spellStart"/>
      <w:r w:rsidRPr="005509F9">
        <w:t>doi</w:t>
      </w:r>
      <w:proofErr w:type="spellEnd"/>
      <w:r w:rsidRPr="005509F9">
        <w:t xml:space="preserve">: 10.1038/ajg.2011.315. </w:t>
      </w:r>
      <w:proofErr w:type="spellStart"/>
      <w:r w:rsidRPr="005509F9">
        <w:t>Epub</w:t>
      </w:r>
      <w:proofErr w:type="spellEnd"/>
      <w:r w:rsidRPr="005509F9">
        <w:t xml:space="preserve"> 2011 Sep 20. PMID: 21931380.</w:t>
      </w:r>
    </w:p>
    <w:p w14:paraId="7406E3BB" w14:textId="24B80BBC" w:rsidR="00823C39" w:rsidRDefault="005509F9" w:rsidP="004178E4">
      <w:pPr>
        <w:keepNext/>
        <w:numPr>
          <w:ilvl w:val="0"/>
          <w:numId w:val="18"/>
        </w:numPr>
        <w:bidi w:val="0"/>
        <w:spacing w:after="160" w:line="480" w:lineRule="auto"/>
        <w:ind w:left="0" w:firstLine="0"/>
        <w:jc w:val="both"/>
      </w:pPr>
      <w:r w:rsidRPr="005509F9">
        <w:t xml:space="preserve">Koloski N, Jones M, Walker MM, </w:t>
      </w:r>
      <w:r>
        <w:t>et al</w:t>
      </w:r>
      <w:r w:rsidRPr="005509F9">
        <w:t xml:space="preserve">. </w:t>
      </w:r>
      <w:r w:rsidR="00E31819">
        <w:t>Population-based</w:t>
      </w:r>
      <w:r w:rsidRPr="005509F9">
        <w:t xml:space="preserve"> study: atopy and autoimmune diseases are associated with functional dyspepsia and irritable bowel syndrome, independent of psychological distress. Aliment </w:t>
      </w:r>
      <w:proofErr w:type="spellStart"/>
      <w:r w:rsidRPr="005509F9">
        <w:t>Pharmacol</w:t>
      </w:r>
      <w:proofErr w:type="spellEnd"/>
      <w:r w:rsidRPr="005509F9">
        <w:t xml:space="preserve"> Ther. 2019 Mar;49(5):546-555. </w:t>
      </w:r>
      <w:proofErr w:type="spellStart"/>
      <w:r w:rsidRPr="005509F9">
        <w:t>doi</w:t>
      </w:r>
      <w:proofErr w:type="spellEnd"/>
      <w:r w:rsidRPr="005509F9">
        <w:t xml:space="preserve">: 10.1111/apt.15120. </w:t>
      </w:r>
      <w:proofErr w:type="spellStart"/>
      <w:r w:rsidRPr="005509F9">
        <w:t>Epub</w:t>
      </w:r>
      <w:proofErr w:type="spellEnd"/>
      <w:r w:rsidRPr="005509F9">
        <w:t xml:space="preserve"> 2019 Jan 27. PMID: 30687959.</w:t>
      </w:r>
    </w:p>
    <w:sectPr w:rsidR="00823C39" w:rsidSect="009E2DFB">
      <w:headerReference w:type="default" r:id="rId13"/>
      <w:footerReference w:type="default" r:id="rId14"/>
      <w:type w:val="continuous"/>
      <w:pgSz w:w="11907" w:h="16839" w:code="9"/>
      <w:pgMar w:top="1440" w:right="1440" w:bottom="1440" w:left="1440" w:header="720" w:footer="720" w:gutter="0"/>
      <w:pgNumType w:start="31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185E9" w14:textId="77777777" w:rsidR="00B649C7" w:rsidRDefault="00B649C7" w:rsidP="00D62539">
      <w:r>
        <w:separator/>
      </w:r>
    </w:p>
  </w:endnote>
  <w:endnote w:type="continuationSeparator" w:id="0">
    <w:p w14:paraId="6FB9918B" w14:textId="77777777" w:rsidR="00B649C7" w:rsidRDefault="00B649C7" w:rsidP="00D62539">
      <w:r>
        <w:continuationSeparator/>
      </w:r>
    </w:p>
  </w:endnote>
  <w:endnote w:type="continuationNotice" w:id="1">
    <w:p w14:paraId="648F776D" w14:textId="77777777" w:rsidR="00B649C7" w:rsidRDefault="00B64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hbar MT">
    <w:charset w:val="B2"/>
    <w:family w:val="auto"/>
    <w:pitch w:val="variable"/>
    <w:sig w:usb0="00002001" w:usb1="00000000" w:usb2="00000000" w:usb3="00000000" w:csb0="00000040" w:csb1="00000000"/>
  </w:font>
  <w:font w:name="Helvetica Neue">
    <w:altName w:val="Segoe Print"/>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PS">
    <w:altName w:val="Times New Roman"/>
    <w:charset w:val="00"/>
    <w:family w:val="roman"/>
    <w:pitch w:val="default"/>
  </w:font>
  <w:font w:name="Myriad Pro">
    <w:altName w:val="Segoe UI"/>
    <w:panose1 w:val="00000000000000000000"/>
    <w:charset w:val="00"/>
    <w:family w:val="swiss"/>
    <w:notTrueType/>
    <w:pitch w:val="variable"/>
    <w:sig w:usb0="20000287" w:usb1="00000001" w:usb2="00000000" w:usb3="00000000" w:csb0="0000019F" w:csb1="00000000"/>
  </w:font>
  <w:font w:name="CapitoliumNews">
    <w:altName w:val="Times New Roman"/>
    <w:charset w:val="00"/>
    <w:family w:val="roman"/>
    <w:pitch w:val="default"/>
  </w:font>
  <w:font w:name="Segoe UI Light">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dvOT678fd422">
    <w:altName w:val="Times New Roman"/>
    <w:panose1 w:val="00000000000000000000"/>
    <w:charset w:val="00"/>
    <w:family w:val="roman"/>
    <w:notTrueType/>
    <w:pitch w:val="default"/>
  </w:font>
  <w:font w:name="AdvP4A0FAF">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Helvetica 65 Medium">
    <w:altName w:val="Arial"/>
    <w:panose1 w:val="00000000000000000000"/>
    <w:charset w:val="00"/>
    <w:family w:val="swiss"/>
    <w:notTrueType/>
    <w:pitch w:val="default"/>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hieme Gulliver 2011">
    <w:altName w:val="Times New Roman"/>
    <w:charset w:val="00"/>
    <w:family w:val="roman"/>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209F6" w14:textId="7B2114A0" w:rsidR="009E2DFB" w:rsidRPr="009E2DFB" w:rsidRDefault="00941207" w:rsidP="00941207">
    <w:pPr>
      <w:pBdr>
        <w:top w:val="thinThickSmallGap" w:sz="24" w:space="1" w:color="823B0B"/>
      </w:pBdr>
      <w:tabs>
        <w:tab w:val="center" w:pos="4320"/>
        <w:tab w:val="right" w:pos="8640"/>
      </w:tabs>
      <w:bidi w:val="0"/>
      <w:spacing w:after="240" w:line="256" w:lineRule="auto"/>
      <w:ind w:firstLine="357"/>
    </w:pPr>
    <w:r w:rsidRPr="00D2110D">
      <w:rPr>
        <w:rFonts w:ascii="Calibri" w:hAnsi="Calibri" w:cs="Calibri"/>
        <w:iCs/>
        <w:color w:val="000000"/>
        <w:kern w:val="2"/>
        <w:sz w:val="22"/>
        <w:szCs w:val="22"/>
        <w:lang w:eastAsia="en-GB"/>
      </w:rPr>
      <w:t>El-</w:t>
    </w:r>
    <w:proofErr w:type="spellStart"/>
    <w:r w:rsidRPr="00D2110D">
      <w:rPr>
        <w:rFonts w:ascii="Calibri" w:hAnsi="Calibri" w:cs="Calibri"/>
        <w:iCs/>
        <w:color w:val="000000"/>
        <w:kern w:val="2"/>
        <w:sz w:val="22"/>
        <w:szCs w:val="22"/>
        <w:lang w:eastAsia="en-GB"/>
      </w:rPr>
      <w:t>Gaaly</w:t>
    </w:r>
    <w:proofErr w:type="spellEnd"/>
    <w:r w:rsidRPr="00D2110D">
      <w:rPr>
        <w:rFonts w:ascii="Calibri" w:hAnsi="Calibri" w:cs="Calibri"/>
        <w:iCs/>
        <w:color w:val="000000"/>
        <w:kern w:val="2"/>
        <w:sz w:val="22"/>
        <w:szCs w:val="22"/>
        <w:lang w:eastAsia="en-GB"/>
      </w:rPr>
      <w:t xml:space="preserve"> S A</w:t>
    </w:r>
    <w:r w:rsidR="00C3517B" w:rsidRPr="00C3517B">
      <w:rPr>
        <w:rFonts w:ascii="Calibri" w:hAnsi="Calibri" w:cs="Arial"/>
        <w:sz w:val="22"/>
        <w:szCs w:val="22"/>
      </w:rPr>
      <w:t>.2024</w:t>
    </w:r>
    <w:r w:rsidR="00C3517B" w:rsidRPr="00C3517B">
      <w:rPr>
        <w:rFonts w:ascii="Calibri Light" w:hAnsi="Calibri Light"/>
        <w:sz w:val="22"/>
        <w:szCs w:val="22"/>
      </w:rPr>
      <w:ptab w:relativeTo="margin" w:alignment="right" w:leader="none"/>
    </w:r>
    <w:r w:rsidR="00C3517B" w:rsidRPr="00C3517B">
      <w:rPr>
        <w:rFonts w:ascii="Calibri" w:hAnsi="Calibri" w:cs="Arial"/>
        <w:sz w:val="22"/>
        <w:szCs w:val="22"/>
      </w:rPr>
      <w:fldChar w:fldCharType="begin"/>
    </w:r>
    <w:r w:rsidR="00C3517B" w:rsidRPr="00C3517B">
      <w:rPr>
        <w:rFonts w:ascii="Calibri" w:hAnsi="Calibri" w:cs="Arial"/>
        <w:sz w:val="22"/>
        <w:szCs w:val="22"/>
      </w:rPr>
      <w:instrText xml:space="preserve"> PAGE   \* MERGEFORMAT </w:instrText>
    </w:r>
    <w:r w:rsidR="00C3517B" w:rsidRPr="00C3517B">
      <w:rPr>
        <w:rFonts w:ascii="Calibri" w:hAnsi="Calibri" w:cs="Arial"/>
        <w:sz w:val="22"/>
        <w:szCs w:val="22"/>
      </w:rPr>
      <w:fldChar w:fldCharType="separate"/>
    </w:r>
    <w:r w:rsidR="00C3517B" w:rsidRPr="00C3517B">
      <w:rPr>
        <w:rFonts w:ascii="Calibri" w:hAnsi="Calibri" w:cs="Arial"/>
        <w:sz w:val="22"/>
        <w:szCs w:val="22"/>
        <w:lang w:val="en-GB"/>
      </w:rPr>
      <w:t>296</w:t>
    </w:r>
    <w:r w:rsidR="00C3517B" w:rsidRPr="00C3517B">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49CDC" w14:textId="77777777" w:rsidR="00B649C7" w:rsidRDefault="00B649C7" w:rsidP="00D62539">
      <w:r>
        <w:separator/>
      </w:r>
    </w:p>
  </w:footnote>
  <w:footnote w:type="continuationSeparator" w:id="0">
    <w:p w14:paraId="1898DC1F" w14:textId="77777777" w:rsidR="00B649C7" w:rsidRDefault="00B649C7" w:rsidP="00D62539">
      <w:r>
        <w:continuationSeparator/>
      </w:r>
    </w:p>
  </w:footnote>
  <w:footnote w:type="continuationNotice" w:id="1">
    <w:p w14:paraId="5618A8BD" w14:textId="77777777" w:rsidR="00B649C7" w:rsidRDefault="00B649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C002F" w14:textId="697E536E" w:rsidR="00874073" w:rsidRPr="00874073" w:rsidRDefault="00874073" w:rsidP="00874073">
    <w:pPr>
      <w:pBdr>
        <w:bottom w:val="thickThinSmallGap" w:sz="24" w:space="21" w:color="622423"/>
      </w:pBdr>
      <w:tabs>
        <w:tab w:val="right" w:pos="8640"/>
      </w:tabs>
      <w:bidi w:val="0"/>
      <w:rPr>
        <w:rFonts w:ascii="Cambria" w:hAnsi="Cambria"/>
        <w:sz w:val="18"/>
        <w:szCs w:val="18"/>
      </w:rPr>
    </w:pPr>
    <w:r w:rsidRPr="00874073">
      <w:rPr>
        <w:rFonts w:ascii="Cambria" w:hAnsi="Cambria"/>
        <w:sz w:val="18"/>
        <w:szCs w:val="18"/>
      </w:rPr>
      <w:t>African journal of gastroenterology and hepatology</w:t>
    </w:r>
    <w:r w:rsidRPr="00874073">
      <w:rPr>
        <w:rFonts w:ascii="Cambria" w:hAnsi="Cambria"/>
        <w:sz w:val="18"/>
        <w:szCs w:val="18"/>
      </w:rPr>
      <w:tab/>
    </w:r>
    <w:r w:rsidRPr="00874073">
      <w:rPr>
        <w:rFonts w:ascii="Calibri Light" w:hAnsi="Calibri Light"/>
        <w:noProof/>
        <w:sz w:val="32"/>
        <w:szCs w:val="32"/>
      </w:rPr>
      <w:drawing>
        <wp:inline distT="0" distB="0" distL="0" distR="0" wp14:anchorId="5A5C7E74" wp14:editId="2AE9E18B">
          <wp:extent cx="1442720" cy="206375"/>
          <wp:effectExtent l="0" t="0" r="0" b="3175"/>
          <wp:docPr id="1927935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206375"/>
                  </a:xfrm>
                  <a:prstGeom prst="rect">
                    <a:avLst/>
                  </a:prstGeom>
                  <a:noFill/>
                  <a:ln>
                    <a:noFill/>
                  </a:ln>
                </pic:spPr>
              </pic:pic>
            </a:graphicData>
          </a:graphic>
        </wp:inline>
      </w:drawing>
    </w:r>
  </w:p>
  <w:p w14:paraId="347350A7" w14:textId="77777777" w:rsidR="00874073" w:rsidRDefault="00874073" w:rsidP="00874073">
    <w:pPr>
      <w:pStyle w:val="Header"/>
      <w:bidi w:val="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8C46A8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0000002"/>
    <w:multiLevelType w:val="hybridMultilevel"/>
    <w:tmpl w:val="A41C5482"/>
    <w:lvl w:ilvl="0" w:tplc="835E23C8">
      <w:start w:val="1"/>
      <w:numFmt w:val="bullet"/>
      <w:lvlText w:val=""/>
      <w:lvlJc w:val="left"/>
      <w:pPr>
        <w:ind w:left="1440"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9A36A23E"/>
    <w:lvl w:ilvl="0" w:tplc="0409000B">
      <w:start w:val="1"/>
      <w:numFmt w:val="bulle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42E9B2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000000A"/>
    <w:multiLevelType w:val="hybridMultilevel"/>
    <w:tmpl w:val="FFF60EB4"/>
    <w:lvl w:ilvl="0" w:tplc="04090001">
      <w:start w:val="1"/>
      <w:numFmt w:val="bullet"/>
      <w:lvlText w:val=""/>
      <w:lvlJc w:val="left"/>
      <w:pPr>
        <w:tabs>
          <w:tab w:val="left" w:pos="360"/>
        </w:tabs>
        <w:ind w:left="360" w:hanging="360"/>
      </w:pPr>
      <w:rPr>
        <w:rFonts w:ascii="Symbol" w:hAnsi="Symbol" w:hint="default"/>
      </w:rPr>
    </w:lvl>
    <w:lvl w:ilvl="1" w:tplc="04090003">
      <w:start w:val="1"/>
      <w:numFmt w:val="bullet"/>
      <w:lvlText w:val="o"/>
      <w:lvlJc w:val="left"/>
      <w:pPr>
        <w:tabs>
          <w:tab w:val="left" w:pos="1080"/>
        </w:tabs>
        <w:ind w:left="1080" w:hanging="360"/>
      </w:pPr>
      <w:rPr>
        <w:rFonts w:ascii="Courier New" w:hAnsi="Courier New" w:cs="Courier New" w:hint="default"/>
      </w:rPr>
    </w:lvl>
    <w:lvl w:ilvl="2" w:tplc="04090005">
      <w:start w:val="1"/>
      <w:numFmt w:val="bullet"/>
      <w:lvlText w:val=""/>
      <w:lvlJc w:val="left"/>
      <w:pPr>
        <w:tabs>
          <w:tab w:val="left" w:pos="1800"/>
        </w:tabs>
        <w:ind w:left="1800" w:hanging="360"/>
      </w:pPr>
      <w:rPr>
        <w:rFonts w:ascii="Wingdings" w:hAnsi="Wingdings" w:hint="default"/>
      </w:rPr>
    </w:lvl>
    <w:lvl w:ilvl="3" w:tplc="04090001">
      <w:start w:val="1"/>
      <w:numFmt w:val="bullet"/>
      <w:lvlText w:val=""/>
      <w:lvlJc w:val="left"/>
      <w:pPr>
        <w:tabs>
          <w:tab w:val="left" w:pos="2520"/>
        </w:tabs>
        <w:ind w:left="2520" w:hanging="360"/>
      </w:pPr>
      <w:rPr>
        <w:rFonts w:ascii="Symbol" w:hAnsi="Symbol" w:hint="default"/>
      </w:rPr>
    </w:lvl>
    <w:lvl w:ilvl="4" w:tplc="04090003">
      <w:start w:val="1"/>
      <w:numFmt w:val="bullet"/>
      <w:lvlText w:val="o"/>
      <w:lvlJc w:val="left"/>
      <w:pPr>
        <w:tabs>
          <w:tab w:val="left" w:pos="3240"/>
        </w:tabs>
        <w:ind w:left="3240" w:hanging="360"/>
      </w:pPr>
      <w:rPr>
        <w:rFonts w:ascii="Courier New" w:hAnsi="Courier New" w:cs="Courier New" w:hint="default"/>
      </w:rPr>
    </w:lvl>
    <w:lvl w:ilvl="5" w:tplc="04090005">
      <w:start w:val="1"/>
      <w:numFmt w:val="bullet"/>
      <w:lvlText w:val=""/>
      <w:lvlJc w:val="left"/>
      <w:pPr>
        <w:tabs>
          <w:tab w:val="left" w:pos="3960"/>
        </w:tabs>
        <w:ind w:left="3960" w:hanging="360"/>
      </w:pPr>
      <w:rPr>
        <w:rFonts w:ascii="Wingdings" w:hAnsi="Wingdings" w:hint="default"/>
      </w:rPr>
    </w:lvl>
    <w:lvl w:ilvl="6" w:tplc="04090001">
      <w:start w:val="1"/>
      <w:numFmt w:val="bullet"/>
      <w:lvlText w:val=""/>
      <w:lvlJc w:val="left"/>
      <w:pPr>
        <w:tabs>
          <w:tab w:val="left" w:pos="4680"/>
        </w:tabs>
        <w:ind w:left="4680" w:hanging="360"/>
      </w:pPr>
      <w:rPr>
        <w:rFonts w:ascii="Symbol" w:hAnsi="Symbol" w:hint="default"/>
      </w:rPr>
    </w:lvl>
    <w:lvl w:ilvl="7" w:tplc="04090003">
      <w:start w:val="1"/>
      <w:numFmt w:val="bullet"/>
      <w:lvlText w:val="o"/>
      <w:lvlJc w:val="left"/>
      <w:pPr>
        <w:tabs>
          <w:tab w:val="left" w:pos="5400"/>
        </w:tabs>
        <w:ind w:left="5400" w:hanging="360"/>
      </w:pPr>
      <w:rPr>
        <w:rFonts w:ascii="Courier New" w:hAnsi="Courier New" w:cs="Courier New" w:hint="default"/>
      </w:rPr>
    </w:lvl>
    <w:lvl w:ilvl="8" w:tplc="04090005">
      <w:start w:val="1"/>
      <w:numFmt w:val="bullet"/>
      <w:lvlText w:val=""/>
      <w:lvlJc w:val="left"/>
      <w:pPr>
        <w:tabs>
          <w:tab w:val="left" w:pos="6120"/>
        </w:tabs>
        <w:ind w:left="6120" w:hanging="360"/>
      </w:pPr>
      <w:rPr>
        <w:rFonts w:ascii="Wingdings" w:hAnsi="Wingdings" w:hint="default"/>
      </w:rPr>
    </w:lvl>
  </w:abstractNum>
  <w:abstractNum w:abstractNumId="5" w15:restartNumberingAfterBreak="0">
    <w:nsid w:val="06A64697"/>
    <w:multiLevelType w:val="multilevel"/>
    <w:tmpl w:val="721C1802"/>
    <w:lvl w:ilvl="0">
      <w:start w:val="1"/>
      <w:numFmt w:val="decimal"/>
      <w:lvlText w:val="%1."/>
      <w:lvlJc w:val="left"/>
      <w:pPr>
        <w:ind w:left="1080" w:hanging="360"/>
      </w:pPr>
    </w:lvl>
    <w:lvl w:ilvl="1">
      <w:start w:val="1"/>
      <w:numFmt w:val="decimal"/>
      <w:pStyle w:val="Heading2"/>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6EA5E12"/>
    <w:multiLevelType w:val="hybridMultilevel"/>
    <w:tmpl w:val="251C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67462"/>
    <w:multiLevelType w:val="hybridMultilevel"/>
    <w:tmpl w:val="3FEED6C0"/>
    <w:lvl w:ilvl="0" w:tplc="0409000B">
      <w:start w:val="1"/>
      <w:numFmt w:val="bullet"/>
      <w:lvlText w:val=""/>
      <w:lvlJc w:val="left"/>
      <w:pPr>
        <w:ind w:left="1080" w:hanging="72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36367"/>
    <w:multiLevelType w:val="multilevel"/>
    <w:tmpl w:val="6958E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977ABF"/>
    <w:multiLevelType w:val="hybridMultilevel"/>
    <w:tmpl w:val="630C3B0C"/>
    <w:lvl w:ilvl="0" w:tplc="210AC802">
      <w:start w:val="1"/>
      <w:numFmt w:val="lowerLetter"/>
      <w:pStyle w:val="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5967EA2"/>
    <w:multiLevelType w:val="hybridMultilevel"/>
    <w:tmpl w:val="74E27B14"/>
    <w:lvl w:ilvl="0" w:tplc="47C6D1FC">
      <w:start w:val="1"/>
      <w:numFmt w:val="bullet"/>
      <w:pStyle w:val="H4"/>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7FE0C85"/>
    <w:multiLevelType w:val="hybridMultilevel"/>
    <w:tmpl w:val="A7EA31B8"/>
    <w:lvl w:ilvl="0" w:tplc="C9DEFDA0">
      <w:start w:val="1"/>
      <w:numFmt w:val="upperRoman"/>
      <w:pStyle w:val="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BA65DD5"/>
    <w:multiLevelType w:val="hybridMultilevel"/>
    <w:tmpl w:val="7AD249B8"/>
    <w:lvl w:ilvl="0" w:tplc="9EFA83EA">
      <w:start w:val="1"/>
      <w:numFmt w:val="bullet"/>
      <w:pStyle w:val="H3-Bul"/>
      <w:lvlText w:val=""/>
      <w:lvlJc w:val="left"/>
      <w:pPr>
        <w:ind w:left="1980" w:hanging="360"/>
      </w:pPr>
      <w:rPr>
        <w:rFonts w:ascii="Wingdings" w:hAnsi="Wingdings" w:hint="default"/>
        <w:sz w:val="36"/>
        <w:szCs w:val="3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0F75EAC"/>
    <w:multiLevelType w:val="hybridMultilevel"/>
    <w:tmpl w:val="DFCE6C36"/>
    <w:lvl w:ilvl="0" w:tplc="DA523154">
      <w:start w:val="1"/>
      <w:numFmt w:val="decimal"/>
      <w:lvlText w:val="%1-"/>
      <w:lvlJc w:val="left"/>
      <w:pPr>
        <w:ind w:left="18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543A7182"/>
    <w:multiLevelType w:val="multilevel"/>
    <w:tmpl w:val="20E8E426"/>
    <w:lvl w:ilvl="0">
      <w:start w:val="1"/>
      <w:numFmt w:val="decimal"/>
      <w:lvlText w:val="%1."/>
      <w:lvlJc w:val="left"/>
      <w:pPr>
        <w:ind w:left="473" w:hanging="473"/>
      </w:pPr>
      <w:rPr>
        <w:rFonts w:asciiTheme="minorHAnsi" w:eastAsia="Times New Roman" w:hAnsiTheme="minorHAnsi" w:cstheme="minorBidi" w:hint="default"/>
        <w:color w:val="auto"/>
      </w:rPr>
    </w:lvl>
    <w:lvl w:ilvl="1">
      <w:start w:val="1"/>
      <w:numFmt w:val="decimal"/>
      <w:lvlText w:val="%1.%2."/>
      <w:lvlJc w:val="left"/>
      <w:pPr>
        <w:ind w:left="720" w:hanging="720"/>
      </w:pPr>
      <w:rPr>
        <w:rFonts w:asciiTheme="minorHAnsi" w:eastAsia="Times New Roman" w:hAnsiTheme="minorHAnsi" w:cstheme="minorBidi" w:hint="default"/>
        <w:b/>
        <w:bCs/>
        <w:color w:val="auto"/>
      </w:rPr>
    </w:lvl>
    <w:lvl w:ilvl="2">
      <w:start w:val="1"/>
      <w:numFmt w:val="decimal"/>
      <w:lvlText w:val="%1.%2.%3."/>
      <w:lvlJc w:val="left"/>
      <w:pPr>
        <w:ind w:left="720" w:hanging="720"/>
      </w:pPr>
      <w:rPr>
        <w:rFonts w:asciiTheme="minorHAnsi" w:eastAsia="Times New Roman" w:hAnsiTheme="minorHAnsi" w:cstheme="minorBidi" w:hint="default"/>
        <w:color w:val="auto"/>
      </w:rPr>
    </w:lvl>
    <w:lvl w:ilvl="3">
      <w:start w:val="1"/>
      <w:numFmt w:val="decimal"/>
      <w:lvlText w:val="%1.%2.%3.%4."/>
      <w:lvlJc w:val="left"/>
      <w:pPr>
        <w:ind w:left="1080" w:hanging="1080"/>
      </w:pPr>
      <w:rPr>
        <w:rFonts w:asciiTheme="minorHAnsi" w:eastAsia="Times New Roman" w:hAnsiTheme="minorHAnsi" w:cstheme="minorBidi" w:hint="default"/>
        <w:color w:val="auto"/>
      </w:rPr>
    </w:lvl>
    <w:lvl w:ilvl="4">
      <w:start w:val="1"/>
      <w:numFmt w:val="decimal"/>
      <w:lvlText w:val="%1.%2.%3.%4.%5."/>
      <w:lvlJc w:val="left"/>
      <w:pPr>
        <w:ind w:left="1080" w:hanging="1080"/>
      </w:pPr>
      <w:rPr>
        <w:rFonts w:asciiTheme="minorHAnsi" w:eastAsia="Times New Roman" w:hAnsiTheme="minorHAnsi" w:cstheme="minorBidi" w:hint="default"/>
        <w:color w:val="auto"/>
      </w:rPr>
    </w:lvl>
    <w:lvl w:ilvl="5">
      <w:start w:val="1"/>
      <w:numFmt w:val="decimal"/>
      <w:lvlText w:val="%1.%2.%3.%4.%5.%6."/>
      <w:lvlJc w:val="left"/>
      <w:pPr>
        <w:ind w:left="1440" w:hanging="1440"/>
      </w:pPr>
      <w:rPr>
        <w:rFonts w:asciiTheme="minorHAnsi" w:eastAsia="Times New Roman" w:hAnsiTheme="minorHAnsi" w:cstheme="minorBidi" w:hint="default"/>
        <w:color w:val="auto"/>
      </w:rPr>
    </w:lvl>
    <w:lvl w:ilvl="6">
      <w:start w:val="1"/>
      <w:numFmt w:val="decimal"/>
      <w:lvlText w:val="%1.%2.%3.%4.%5.%6.%7."/>
      <w:lvlJc w:val="left"/>
      <w:pPr>
        <w:ind w:left="1800" w:hanging="1800"/>
      </w:pPr>
      <w:rPr>
        <w:rFonts w:asciiTheme="minorHAnsi" w:eastAsia="Times New Roman" w:hAnsiTheme="minorHAnsi" w:cstheme="minorBidi" w:hint="default"/>
        <w:color w:val="auto"/>
      </w:rPr>
    </w:lvl>
    <w:lvl w:ilvl="7">
      <w:start w:val="1"/>
      <w:numFmt w:val="decimal"/>
      <w:lvlText w:val="%1.%2.%3.%4.%5.%6.%7.%8."/>
      <w:lvlJc w:val="left"/>
      <w:pPr>
        <w:ind w:left="1800" w:hanging="1800"/>
      </w:pPr>
      <w:rPr>
        <w:rFonts w:asciiTheme="minorHAnsi" w:eastAsia="Times New Roman" w:hAnsiTheme="minorHAnsi" w:cstheme="minorBidi" w:hint="default"/>
        <w:color w:val="auto"/>
      </w:rPr>
    </w:lvl>
    <w:lvl w:ilvl="8">
      <w:start w:val="1"/>
      <w:numFmt w:val="decimal"/>
      <w:lvlText w:val="%1.%2.%3.%4.%5.%6.%7.%8.%9."/>
      <w:lvlJc w:val="left"/>
      <w:pPr>
        <w:ind w:left="2160" w:hanging="2160"/>
      </w:pPr>
      <w:rPr>
        <w:rFonts w:asciiTheme="minorHAnsi" w:eastAsia="Times New Roman" w:hAnsiTheme="minorHAnsi" w:cstheme="minorBidi" w:hint="default"/>
        <w:color w:val="auto"/>
      </w:rPr>
    </w:lvl>
  </w:abstractNum>
  <w:abstractNum w:abstractNumId="15" w15:restartNumberingAfterBreak="0">
    <w:nsid w:val="75797229"/>
    <w:multiLevelType w:val="hybridMultilevel"/>
    <w:tmpl w:val="A7585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056C62"/>
    <w:multiLevelType w:val="hybridMultilevel"/>
    <w:tmpl w:val="6C124512"/>
    <w:lvl w:ilvl="0" w:tplc="04090009">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7" w15:restartNumberingAfterBreak="0">
    <w:nsid w:val="7BC75BA8"/>
    <w:multiLevelType w:val="hybridMultilevel"/>
    <w:tmpl w:val="074095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52603992">
    <w:abstractNumId w:val="5"/>
  </w:num>
  <w:num w:numId="2" w16cid:durableId="398744755">
    <w:abstractNumId w:val="12"/>
  </w:num>
  <w:num w:numId="3" w16cid:durableId="1969310651">
    <w:abstractNumId w:val="11"/>
  </w:num>
  <w:num w:numId="4" w16cid:durableId="963341147">
    <w:abstractNumId w:val="9"/>
  </w:num>
  <w:num w:numId="5" w16cid:durableId="53241877">
    <w:abstractNumId w:val="10"/>
  </w:num>
  <w:num w:numId="6" w16cid:durableId="1103188684">
    <w:abstractNumId w:val="15"/>
  </w:num>
  <w:num w:numId="7" w16cid:durableId="1394965311">
    <w:abstractNumId w:val="4"/>
  </w:num>
  <w:num w:numId="8" w16cid:durableId="620383814">
    <w:abstractNumId w:val="2"/>
  </w:num>
  <w:num w:numId="9" w16cid:durableId="2041542110">
    <w:abstractNumId w:val="0"/>
  </w:num>
  <w:num w:numId="10" w16cid:durableId="575746513">
    <w:abstractNumId w:val="1"/>
  </w:num>
  <w:num w:numId="11" w16cid:durableId="107816549">
    <w:abstractNumId w:val="3"/>
  </w:num>
  <w:num w:numId="12" w16cid:durableId="1590845633">
    <w:abstractNumId w:val="13"/>
  </w:num>
  <w:num w:numId="13" w16cid:durableId="1982005527">
    <w:abstractNumId w:val="6"/>
  </w:num>
  <w:num w:numId="14" w16cid:durableId="1320769975">
    <w:abstractNumId w:val="14"/>
  </w:num>
  <w:num w:numId="15" w16cid:durableId="2045673077">
    <w:abstractNumId w:val="7"/>
  </w:num>
  <w:num w:numId="16" w16cid:durableId="808664582">
    <w:abstractNumId w:val="16"/>
  </w:num>
  <w:num w:numId="17" w16cid:durableId="64375478">
    <w:abstractNumId w:val="8"/>
  </w:num>
  <w:num w:numId="18" w16cid:durableId="88201273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GridTable1Light1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W0MDOxMDa0MDczMjBR0lEKTi0uzszPAykwNaoFAOQzQTotAAAA"/>
    <w:docVar w:name="EN.InstantFormat" w:val="&lt;ENInstantFormat&gt;&lt;Enabled&gt;0&lt;/Enabled&gt;&lt;ScanUnformatted&gt;1&lt;/ScanUnformatted&gt;&lt;ScanChanges&gt;1&lt;/ScanChanges&gt;&lt;Suspended&gt;0&lt;/Suspended&gt;&lt;/ENInstantFormat&gt;"/>
    <w:docVar w:name="EN.Layout" w:val="&lt;ENLayout&gt;&lt;Style&gt;Vancouver Pap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vv9reweax0pv07esv2mptv0mfze2xrfw059d&quot;&gt;1332 - Nouran Gamal&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2&lt;/item&gt;&lt;item&gt;23&lt;/item&gt;&lt;item&gt;24&lt;/item&gt;&lt;item&gt;25&lt;/item&gt;&lt;item&gt;26&lt;/item&gt;&lt;item&gt;27&lt;/item&gt;&lt;item&gt;28&lt;/item&gt;&lt;item&gt;30&lt;/item&gt;&lt;item&gt;31&lt;/item&gt;&lt;item&gt;32&lt;/item&gt;&lt;item&gt;33&lt;/item&gt;&lt;item&gt;34&lt;/item&gt;&lt;item&gt;35&lt;/item&gt;&lt;item&gt;36&lt;/item&gt;&lt;item&gt;37&lt;/item&gt;&lt;item&gt;38&lt;/item&gt;&lt;item&gt;39&lt;/item&gt;&lt;item&gt;40&lt;/item&gt;&lt;item&gt;41&lt;/item&gt;&lt;/record-ids&gt;&lt;/item&gt;&lt;/Libraries&gt;"/>
  </w:docVars>
  <w:rsids>
    <w:rsidRoot w:val="00916BA2"/>
    <w:rsid w:val="00000C92"/>
    <w:rsid w:val="00000FDB"/>
    <w:rsid w:val="000017DC"/>
    <w:rsid w:val="00001A0E"/>
    <w:rsid w:val="00002315"/>
    <w:rsid w:val="00003565"/>
    <w:rsid w:val="00004450"/>
    <w:rsid w:val="00004AE7"/>
    <w:rsid w:val="00005ED3"/>
    <w:rsid w:val="00007917"/>
    <w:rsid w:val="00012E43"/>
    <w:rsid w:val="00013BEA"/>
    <w:rsid w:val="000148B3"/>
    <w:rsid w:val="00014B1F"/>
    <w:rsid w:val="00015001"/>
    <w:rsid w:val="00015604"/>
    <w:rsid w:val="00015902"/>
    <w:rsid w:val="00016145"/>
    <w:rsid w:val="000162AE"/>
    <w:rsid w:val="000165C7"/>
    <w:rsid w:val="00017796"/>
    <w:rsid w:val="000177AA"/>
    <w:rsid w:val="000218C2"/>
    <w:rsid w:val="00021FFE"/>
    <w:rsid w:val="00023027"/>
    <w:rsid w:val="00023622"/>
    <w:rsid w:val="0002402E"/>
    <w:rsid w:val="000243AA"/>
    <w:rsid w:val="000243D1"/>
    <w:rsid w:val="00024BE3"/>
    <w:rsid w:val="00026A46"/>
    <w:rsid w:val="00026C64"/>
    <w:rsid w:val="000272C8"/>
    <w:rsid w:val="00030081"/>
    <w:rsid w:val="0003028C"/>
    <w:rsid w:val="000307D8"/>
    <w:rsid w:val="000307DD"/>
    <w:rsid w:val="000317DE"/>
    <w:rsid w:val="00033297"/>
    <w:rsid w:val="00033A67"/>
    <w:rsid w:val="00034726"/>
    <w:rsid w:val="00034F60"/>
    <w:rsid w:val="0003645D"/>
    <w:rsid w:val="00037737"/>
    <w:rsid w:val="000377E5"/>
    <w:rsid w:val="000379C8"/>
    <w:rsid w:val="00037A4F"/>
    <w:rsid w:val="00037C78"/>
    <w:rsid w:val="00040DB6"/>
    <w:rsid w:val="00041E9C"/>
    <w:rsid w:val="0004269D"/>
    <w:rsid w:val="00042CCF"/>
    <w:rsid w:val="000431B3"/>
    <w:rsid w:val="00043B72"/>
    <w:rsid w:val="000452FF"/>
    <w:rsid w:val="0004681D"/>
    <w:rsid w:val="00046C26"/>
    <w:rsid w:val="0004748B"/>
    <w:rsid w:val="00047E16"/>
    <w:rsid w:val="00047FE6"/>
    <w:rsid w:val="000501A8"/>
    <w:rsid w:val="000503A4"/>
    <w:rsid w:val="00050614"/>
    <w:rsid w:val="00050B23"/>
    <w:rsid w:val="000512FF"/>
    <w:rsid w:val="000525B0"/>
    <w:rsid w:val="0005289A"/>
    <w:rsid w:val="00052A68"/>
    <w:rsid w:val="00053722"/>
    <w:rsid w:val="000537D0"/>
    <w:rsid w:val="00053ABF"/>
    <w:rsid w:val="00053E72"/>
    <w:rsid w:val="0005489E"/>
    <w:rsid w:val="00055318"/>
    <w:rsid w:val="00055702"/>
    <w:rsid w:val="000574C0"/>
    <w:rsid w:val="0006154D"/>
    <w:rsid w:val="0006584A"/>
    <w:rsid w:val="0006703A"/>
    <w:rsid w:val="000671F8"/>
    <w:rsid w:val="00067E4B"/>
    <w:rsid w:val="000707C4"/>
    <w:rsid w:val="00071C60"/>
    <w:rsid w:val="000720C4"/>
    <w:rsid w:val="00072111"/>
    <w:rsid w:val="00072A9D"/>
    <w:rsid w:val="0007335E"/>
    <w:rsid w:val="00074486"/>
    <w:rsid w:val="000757FE"/>
    <w:rsid w:val="000761D9"/>
    <w:rsid w:val="00076AB9"/>
    <w:rsid w:val="0008021B"/>
    <w:rsid w:val="00080E09"/>
    <w:rsid w:val="00081558"/>
    <w:rsid w:val="00083318"/>
    <w:rsid w:val="000834AD"/>
    <w:rsid w:val="00084713"/>
    <w:rsid w:val="00084FE9"/>
    <w:rsid w:val="0009138D"/>
    <w:rsid w:val="00091675"/>
    <w:rsid w:val="00091F84"/>
    <w:rsid w:val="00092DC6"/>
    <w:rsid w:val="00093B52"/>
    <w:rsid w:val="00093C69"/>
    <w:rsid w:val="00093D47"/>
    <w:rsid w:val="00094CFD"/>
    <w:rsid w:val="000975D1"/>
    <w:rsid w:val="000A1842"/>
    <w:rsid w:val="000A29F6"/>
    <w:rsid w:val="000A37B4"/>
    <w:rsid w:val="000A3D56"/>
    <w:rsid w:val="000A421B"/>
    <w:rsid w:val="000A59B2"/>
    <w:rsid w:val="000A5DBF"/>
    <w:rsid w:val="000A6817"/>
    <w:rsid w:val="000A690A"/>
    <w:rsid w:val="000A79AF"/>
    <w:rsid w:val="000A7E71"/>
    <w:rsid w:val="000B05FC"/>
    <w:rsid w:val="000B157B"/>
    <w:rsid w:val="000B3C93"/>
    <w:rsid w:val="000B3EF3"/>
    <w:rsid w:val="000B47CC"/>
    <w:rsid w:val="000B55E6"/>
    <w:rsid w:val="000C0553"/>
    <w:rsid w:val="000C089B"/>
    <w:rsid w:val="000C12C1"/>
    <w:rsid w:val="000C22DA"/>
    <w:rsid w:val="000C28A0"/>
    <w:rsid w:val="000C2EAB"/>
    <w:rsid w:val="000C4298"/>
    <w:rsid w:val="000C53C2"/>
    <w:rsid w:val="000C57FF"/>
    <w:rsid w:val="000C6E0B"/>
    <w:rsid w:val="000C77C4"/>
    <w:rsid w:val="000C7E42"/>
    <w:rsid w:val="000C7F62"/>
    <w:rsid w:val="000D1E09"/>
    <w:rsid w:val="000D2301"/>
    <w:rsid w:val="000D38C5"/>
    <w:rsid w:val="000D7389"/>
    <w:rsid w:val="000E024B"/>
    <w:rsid w:val="000E1BCF"/>
    <w:rsid w:val="000E1FCD"/>
    <w:rsid w:val="000E264C"/>
    <w:rsid w:val="000E355F"/>
    <w:rsid w:val="000E48F6"/>
    <w:rsid w:val="000E70A7"/>
    <w:rsid w:val="000E7E60"/>
    <w:rsid w:val="000F0613"/>
    <w:rsid w:val="000F0BF3"/>
    <w:rsid w:val="000F1A04"/>
    <w:rsid w:val="000F31AD"/>
    <w:rsid w:val="000F3522"/>
    <w:rsid w:val="000F4F5D"/>
    <w:rsid w:val="000F66CB"/>
    <w:rsid w:val="000F68B3"/>
    <w:rsid w:val="000F6E15"/>
    <w:rsid w:val="000F7269"/>
    <w:rsid w:val="000F789A"/>
    <w:rsid w:val="000F7C10"/>
    <w:rsid w:val="00103071"/>
    <w:rsid w:val="00103156"/>
    <w:rsid w:val="00103296"/>
    <w:rsid w:val="00103F52"/>
    <w:rsid w:val="0010614B"/>
    <w:rsid w:val="0010662C"/>
    <w:rsid w:val="00106BF2"/>
    <w:rsid w:val="00106C8F"/>
    <w:rsid w:val="001079AE"/>
    <w:rsid w:val="001103BE"/>
    <w:rsid w:val="00110485"/>
    <w:rsid w:val="0011090A"/>
    <w:rsid w:val="00111707"/>
    <w:rsid w:val="0011198C"/>
    <w:rsid w:val="00111C36"/>
    <w:rsid w:val="00112257"/>
    <w:rsid w:val="001126A6"/>
    <w:rsid w:val="001146E3"/>
    <w:rsid w:val="0011519D"/>
    <w:rsid w:val="00116CCA"/>
    <w:rsid w:val="001179BE"/>
    <w:rsid w:val="00122767"/>
    <w:rsid w:val="0012287F"/>
    <w:rsid w:val="00123E5B"/>
    <w:rsid w:val="00126F4B"/>
    <w:rsid w:val="001312B2"/>
    <w:rsid w:val="00131559"/>
    <w:rsid w:val="00131659"/>
    <w:rsid w:val="00132DCD"/>
    <w:rsid w:val="00133398"/>
    <w:rsid w:val="0013410A"/>
    <w:rsid w:val="0013496E"/>
    <w:rsid w:val="00134CE7"/>
    <w:rsid w:val="0013543E"/>
    <w:rsid w:val="00137418"/>
    <w:rsid w:val="00137738"/>
    <w:rsid w:val="00137D9B"/>
    <w:rsid w:val="001415ED"/>
    <w:rsid w:val="00141CEC"/>
    <w:rsid w:val="00142399"/>
    <w:rsid w:val="00142952"/>
    <w:rsid w:val="001436FC"/>
    <w:rsid w:val="00144B0A"/>
    <w:rsid w:val="001451AC"/>
    <w:rsid w:val="00145CA2"/>
    <w:rsid w:val="0015173F"/>
    <w:rsid w:val="001527B8"/>
    <w:rsid w:val="00152F07"/>
    <w:rsid w:val="00153289"/>
    <w:rsid w:val="00154584"/>
    <w:rsid w:val="00156C83"/>
    <w:rsid w:val="00156C90"/>
    <w:rsid w:val="00157169"/>
    <w:rsid w:val="001573E5"/>
    <w:rsid w:val="00160D6F"/>
    <w:rsid w:val="001615A6"/>
    <w:rsid w:val="001617C8"/>
    <w:rsid w:val="00161D7E"/>
    <w:rsid w:val="00162A0E"/>
    <w:rsid w:val="001630A1"/>
    <w:rsid w:val="00163FD0"/>
    <w:rsid w:val="00164110"/>
    <w:rsid w:val="00166083"/>
    <w:rsid w:val="001701B9"/>
    <w:rsid w:val="00170C32"/>
    <w:rsid w:val="00170E5A"/>
    <w:rsid w:val="00171761"/>
    <w:rsid w:val="0017269F"/>
    <w:rsid w:val="00172C43"/>
    <w:rsid w:val="00172EC2"/>
    <w:rsid w:val="001730E1"/>
    <w:rsid w:val="001732C9"/>
    <w:rsid w:val="001749C2"/>
    <w:rsid w:val="00174DCB"/>
    <w:rsid w:val="001756F0"/>
    <w:rsid w:val="00176FF7"/>
    <w:rsid w:val="00177382"/>
    <w:rsid w:val="001807F7"/>
    <w:rsid w:val="001814D8"/>
    <w:rsid w:val="0018152B"/>
    <w:rsid w:val="00182504"/>
    <w:rsid w:val="00183E68"/>
    <w:rsid w:val="00185C67"/>
    <w:rsid w:val="00187098"/>
    <w:rsid w:val="0018723D"/>
    <w:rsid w:val="00187C86"/>
    <w:rsid w:val="001905A9"/>
    <w:rsid w:val="001908FA"/>
    <w:rsid w:val="001910D2"/>
    <w:rsid w:val="001911FE"/>
    <w:rsid w:val="001929F4"/>
    <w:rsid w:val="00194648"/>
    <w:rsid w:val="00194BE7"/>
    <w:rsid w:val="0019551A"/>
    <w:rsid w:val="00195C33"/>
    <w:rsid w:val="00195C63"/>
    <w:rsid w:val="00196000"/>
    <w:rsid w:val="0019739D"/>
    <w:rsid w:val="001975F3"/>
    <w:rsid w:val="001A004B"/>
    <w:rsid w:val="001A0AF7"/>
    <w:rsid w:val="001A0CA0"/>
    <w:rsid w:val="001A1D45"/>
    <w:rsid w:val="001A32BC"/>
    <w:rsid w:val="001A3669"/>
    <w:rsid w:val="001A3AE3"/>
    <w:rsid w:val="001A3B67"/>
    <w:rsid w:val="001A4C2F"/>
    <w:rsid w:val="001B19C6"/>
    <w:rsid w:val="001B22AB"/>
    <w:rsid w:val="001B36C6"/>
    <w:rsid w:val="001B395E"/>
    <w:rsid w:val="001B3A29"/>
    <w:rsid w:val="001B3CD7"/>
    <w:rsid w:val="001B3F08"/>
    <w:rsid w:val="001B60F0"/>
    <w:rsid w:val="001B6DB6"/>
    <w:rsid w:val="001B7299"/>
    <w:rsid w:val="001B7B6A"/>
    <w:rsid w:val="001B7C6B"/>
    <w:rsid w:val="001C0B4A"/>
    <w:rsid w:val="001C1351"/>
    <w:rsid w:val="001C1852"/>
    <w:rsid w:val="001C239F"/>
    <w:rsid w:val="001C27C9"/>
    <w:rsid w:val="001C2A49"/>
    <w:rsid w:val="001C410C"/>
    <w:rsid w:val="001C4169"/>
    <w:rsid w:val="001C502E"/>
    <w:rsid w:val="001C5657"/>
    <w:rsid w:val="001C5D47"/>
    <w:rsid w:val="001C68D3"/>
    <w:rsid w:val="001C72B8"/>
    <w:rsid w:val="001C7DCF"/>
    <w:rsid w:val="001C7F85"/>
    <w:rsid w:val="001D004D"/>
    <w:rsid w:val="001D1197"/>
    <w:rsid w:val="001D1CAF"/>
    <w:rsid w:val="001D2462"/>
    <w:rsid w:val="001D2A2C"/>
    <w:rsid w:val="001D301C"/>
    <w:rsid w:val="001D3529"/>
    <w:rsid w:val="001D3A06"/>
    <w:rsid w:val="001D4A4B"/>
    <w:rsid w:val="001D505E"/>
    <w:rsid w:val="001D5443"/>
    <w:rsid w:val="001D6138"/>
    <w:rsid w:val="001D7720"/>
    <w:rsid w:val="001E0BC6"/>
    <w:rsid w:val="001E0C16"/>
    <w:rsid w:val="001E2295"/>
    <w:rsid w:val="001E368D"/>
    <w:rsid w:val="001E3A85"/>
    <w:rsid w:val="001E4F5B"/>
    <w:rsid w:val="001E56A9"/>
    <w:rsid w:val="001E5CB9"/>
    <w:rsid w:val="001E615D"/>
    <w:rsid w:val="001F0874"/>
    <w:rsid w:val="001F0DB2"/>
    <w:rsid w:val="001F1CC7"/>
    <w:rsid w:val="001F29A7"/>
    <w:rsid w:val="001F2FBD"/>
    <w:rsid w:val="001F383E"/>
    <w:rsid w:val="001F4548"/>
    <w:rsid w:val="001F5372"/>
    <w:rsid w:val="001F5812"/>
    <w:rsid w:val="001F5C36"/>
    <w:rsid w:val="001F61EA"/>
    <w:rsid w:val="001F61F2"/>
    <w:rsid w:val="001F6E4D"/>
    <w:rsid w:val="00200151"/>
    <w:rsid w:val="002001BB"/>
    <w:rsid w:val="00200676"/>
    <w:rsid w:val="002025DF"/>
    <w:rsid w:val="00202D97"/>
    <w:rsid w:val="00204913"/>
    <w:rsid w:val="00211318"/>
    <w:rsid w:val="00211CF0"/>
    <w:rsid w:val="002123B8"/>
    <w:rsid w:val="0021304F"/>
    <w:rsid w:val="00213E1F"/>
    <w:rsid w:val="00214027"/>
    <w:rsid w:val="002142CA"/>
    <w:rsid w:val="0021469A"/>
    <w:rsid w:val="00214DBA"/>
    <w:rsid w:val="0021584D"/>
    <w:rsid w:val="00216058"/>
    <w:rsid w:val="00216B6F"/>
    <w:rsid w:val="00217486"/>
    <w:rsid w:val="00217C95"/>
    <w:rsid w:val="0022108E"/>
    <w:rsid w:val="002219F5"/>
    <w:rsid w:val="00221E28"/>
    <w:rsid w:val="00223041"/>
    <w:rsid w:val="00223A1C"/>
    <w:rsid w:val="00223F83"/>
    <w:rsid w:val="00224E53"/>
    <w:rsid w:val="00224EA6"/>
    <w:rsid w:val="00225AF3"/>
    <w:rsid w:val="0022647A"/>
    <w:rsid w:val="00226C2F"/>
    <w:rsid w:val="00227438"/>
    <w:rsid w:val="0022779E"/>
    <w:rsid w:val="00227F69"/>
    <w:rsid w:val="00230230"/>
    <w:rsid w:val="00230729"/>
    <w:rsid w:val="002307A9"/>
    <w:rsid w:val="002313CE"/>
    <w:rsid w:val="00231A2F"/>
    <w:rsid w:val="00231A5A"/>
    <w:rsid w:val="00232AD0"/>
    <w:rsid w:val="00233FCD"/>
    <w:rsid w:val="00234E0C"/>
    <w:rsid w:val="002353A7"/>
    <w:rsid w:val="00235B78"/>
    <w:rsid w:val="002366C6"/>
    <w:rsid w:val="00237743"/>
    <w:rsid w:val="00237E5E"/>
    <w:rsid w:val="0024013A"/>
    <w:rsid w:val="0024014A"/>
    <w:rsid w:val="00240D6B"/>
    <w:rsid w:val="00242C19"/>
    <w:rsid w:val="0024324A"/>
    <w:rsid w:val="00243527"/>
    <w:rsid w:val="00243BC3"/>
    <w:rsid w:val="00244F05"/>
    <w:rsid w:val="00245A00"/>
    <w:rsid w:val="00247186"/>
    <w:rsid w:val="00250957"/>
    <w:rsid w:val="00250D0B"/>
    <w:rsid w:val="002515DC"/>
    <w:rsid w:val="00252B89"/>
    <w:rsid w:val="00252F90"/>
    <w:rsid w:val="002539BB"/>
    <w:rsid w:val="00253B4A"/>
    <w:rsid w:val="002549A0"/>
    <w:rsid w:val="00255963"/>
    <w:rsid w:val="00255BD1"/>
    <w:rsid w:val="00257E18"/>
    <w:rsid w:val="00260B3A"/>
    <w:rsid w:val="002611B0"/>
    <w:rsid w:val="002611F1"/>
    <w:rsid w:val="00261289"/>
    <w:rsid w:val="00262394"/>
    <w:rsid w:val="00262518"/>
    <w:rsid w:val="00262CDF"/>
    <w:rsid w:val="00262ED0"/>
    <w:rsid w:val="002643C7"/>
    <w:rsid w:val="00264AE4"/>
    <w:rsid w:val="0026510B"/>
    <w:rsid w:val="00265562"/>
    <w:rsid w:val="00266363"/>
    <w:rsid w:val="00266396"/>
    <w:rsid w:val="002664A8"/>
    <w:rsid w:val="00267252"/>
    <w:rsid w:val="00271794"/>
    <w:rsid w:val="002719EE"/>
    <w:rsid w:val="002740F5"/>
    <w:rsid w:val="0027454B"/>
    <w:rsid w:val="00274AD0"/>
    <w:rsid w:val="00275C02"/>
    <w:rsid w:val="00280CFB"/>
    <w:rsid w:val="00280D49"/>
    <w:rsid w:val="002822B8"/>
    <w:rsid w:val="00282988"/>
    <w:rsid w:val="00282CAB"/>
    <w:rsid w:val="0028322F"/>
    <w:rsid w:val="002842D3"/>
    <w:rsid w:val="002847BA"/>
    <w:rsid w:val="00284BC7"/>
    <w:rsid w:val="00285AEE"/>
    <w:rsid w:val="00285C27"/>
    <w:rsid w:val="00285F3C"/>
    <w:rsid w:val="002864F8"/>
    <w:rsid w:val="002900A3"/>
    <w:rsid w:val="00290CD5"/>
    <w:rsid w:val="0029197F"/>
    <w:rsid w:val="00291C50"/>
    <w:rsid w:val="002921A8"/>
    <w:rsid w:val="00292B93"/>
    <w:rsid w:val="00293D36"/>
    <w:rsid w:val="00294DF1"/>
    <w:rsid w:val="00296531"/>
    <w:rsid w:val="00296DDA"/>
    <w:rsid w:val="00297032"/>
    <w:rsid w:val="002973EB"/>
    <w:rsid w:val="00297DED"/>
    <w:rsid w:val="002A1010"/>
    <w:rsid w:val="002A16DB"/>
    <w:rsid w:val="002A1FDE"/>
    <w:rsid w:val="002A47D5"/>
    <w:rsid w:val="002A49A8"/>
    <w:rsid w:val="002A5766"/>
    <w:rsid w:val="002A5879"/>
    <w:rsid w:val="002A741F"/>
    <w:rsid w:val="002A7C4C"/>
    <w:rsid w:val="002B0D5E"/>
    <w:rsid w:val="002B1834"/>
    <w:rsid w:val="002B1D25"/>
    <w:rsid w:val="002B22EA"/>
    <w:rsid w:val="002B35AD"/>
    <w:rsid w:val="002B4EC7"/>
    <w:rsid w:val="002B66DA"/>
    <w:rsid w:val="002B6F8C"/>
    <w:rsid w:val="002B72B8"/>
    <w:rsid w:val="002B7CA7"/>
    <w:rsid w:val="002C0732"/>
    <w:rsid w:val="002C0807"/>
    <w:rsid w:val="002C0B31"/>
    <w:rsid w:val="002C1432"/>
    <w:rsid w:val="002C174F"/>
    <w:rsid w:val="002C1BC5"/>
    <w:rsid w:val="002C1CDE"/>
    <w:rsid w:val="002C20CA"/>
    <w:rsid w:val="002C2229"/>
    <w:rsid w:val="002C4654"/>
    <w:rsid w:val="002C4AAD"/>
    <w:rsid w:val="002C5825"/>
    <w:rsid w:val="002C5DF3"/>
    <w:rsid w:val="002C68DB"/>
    <w:rsid w:val="002C6C7F"/>
    <w:rsid w:val="002D22C7"/>
    <w:rsid w:val="002D2D97"/>
    <w:rsid w:val="002D3149"/>
    <w:rsid w:val="002D351A"/>
    <w:rsid w:val="002D38EA"/>
    <w:rsid w:val="002D3E7D"/>
    <w:rsid w:val="002D4590"/>
    <w:rsid w:val="002D4942"/>
    <w:rsid w:val="002D4CC5"/>
    <w:rsid w:val="002D55E0"/>
    <w:rsid w:val="002D5A20"/>
    <w:rsid w:val="002D5C85"/>
    <w:rsid w:val="002D6CBB"/>
    <w:rsid w:val="002D7DC1"/>
    <w:rsid w:val="002D7F6A"/>
    <w:rsid w:val="002E0F51"/>
    <w:rsid w:val="002E0FE3"/>
    <w:rsid w:val="002E242D"/>
    <w:rsid w:val="002E28A6"/>
    <w:rsid w:val="002E2B8D"/>
    <w:rsid w:val="002E322E"/>
    <w:rsid w:val="002E454C"/>
    <w:rsid w:val="002E5CC1"/>
    <w:rsid w:val="002E61F1"/>
    <w:rsid w:val="002E6687"/>
    <w:rsid w:val="002E6C48"/>
    <w:rsid w:val="002E71D6"/>
    <w:rsid w:val="002E770B"/>
    <w:rsid w:val="002E7D8E"/>
    <w:rsid w:val="002F01AC"/>
    <w:rsid w:val="002F06AA"/>
    <w:rsid w:val="002F183D"/>
    <w:rsid w:val="002F1BF7"/>
    <w:rsid w:val="002F1FB0"/>
    <w:rsid w:val="002F2D70"/>
    <w:rsid w:val="002F2E5D"/>
    <w:rsid w:val="002F51F5"/>
    <w:rsid w:val="002F5263"/>
    <w:rsid w:val="002F58DD"/>
    <w:rsid w:val="002F5DE2"/>
    <w:rsid w:val="002F609D"/>
    <w:rsid w:val="002F77A3"/>
    <w:rsid w:val="00301824"/>
    <w:rsid w:val="00302003"/>
    <w:rsid w:val="003036C7"/>
    <w:rsid w:val="003059CA"/>
    <w:rsid w:val="00305AF2"/>
    <w:rsid w:val="00305B13"/>
    <w:rsid w:val="003063B1"/>
    <w:rsid w:val="003065E7"/>
    <w:rsid w:val="003066CE"/>
    <w:rsid w:val="0030677A"/>
    <w:rsid w:val="00306DDA"/>
    <w:rsid w:val="00310E98"/>
    <w:rsid w:val="00312879"/>
    <w:rsid w:val="00314069"/>
    <w:rsid w:val="0031465B"/>
    <w:rsid w:val="00314EC4"/>
    <w:rsid w:val="00314F7B"/>
    <w:rsid w:val="00315543"/>
    <w:rsid w:val="00315B60"/>
    <w:rsid w:val="00315E6B"/>
    <w:rsid w:val="00315FC0"/>
    <w:rsid w:val="00316CE2"/>
    <w:rsid w:val="003174D8"/>
    <w:rsid w:val="003212EA"/>
    <w:rsid w:val="00322844"/>
    <w:rsid w:val="00322AD8"/>
    <w:rsid w:val="003242F3"/>
    <w:rsid w:val="0032663B"/>
    <w:rsid w:val="0032677D"/>
    <w:rsid w:val="0032681B"/>
    <w:rsid w:val="003279BB"/>
    <w:rsid w:val="0033063A"/>
    <w:rsid w:val="0033371F"/>
    <w:rsid w:val="00333CE3"/>
    <w:rsid w:val="00333EC4"/>
    <w:rsid w:val="00334997"/>
    <w:rsid w:val="00334E82"/>
    <w:rsid w:val="003357E9"/>
    <w:rsid w:val="0033612A"/>
    <w:rsid w:val="00336E92"/>
    <w:rsid w:val="00336F4C"/>
    <w:rsid w:val="00340FBB"/>
    <w:rsid w:val="0034192D"/>
    <w:rsid w:val="00342991"/>
    <w:rsid w:val="00342D2E"/>
    <w:rsid w:val="00343852"/>
    <w:rsid w:val="003442EB"/>
    <w:rsid w:val="003446FA"/>
    <w:rsid w:val="00345FF0"/>
    <w:rsid w:val="003467B9"/>
    <w:rsid w:val="00350433"/>
    <w:rsid w:val="00350B4B"/>
    <w:rsid w:val="003516BB"/>
    <w:rsid w:val="003520CC"/>
    <w:rsid w:val="00352337"/>
    <w:rsid w:val="003526CD"/>
    <w:rsid w:val="00353016"/>
    <w:rsid w:val="00353AEF"/>
    <w:rsid w:val="00353E6E"/>
    <w:rsid w:val="00354C1E"/>
    <w:rsid w:val="00354C7E"/>
    <w:rsid w:val="003550BA"/>
    <w:rsid w:val="0035515E"/>
    <w:rsid w:val="0035557A"/>
    <w:rsid w:val="00360F9C"/>
    <w:rsid w:val="003613B7"/>
    <w:rsid w:val="0036142A"/>
    <w:rsid w:val="00361DCC"/>
    <w:rsid w:val="0036275C"/>
    <w:rsid w:val="00362A0E"/>
    <w:rsid w:val="00362B50"/>
    <w:rsid w:val="003646CD"/>
    <w:rsid w:val="00364ADD"/>
    <w:rsid w:val="00367E75"/>
    <w:rsid w:val="00367EA0"/>
    <w:rsid w:val="003701FD"/>
    <w:rsid w:val="0037199B"/>
    <w:rsid w:val="00371D86"/>
    <w:rsid w:val="00372582"/>
    <w:rsid w:val="003744B5"/>
    <w:rsid w:val="003754D8"/>
    <w:rsid w:val="00375ED9"/>
    <w:rsid w:val="00376ABC"/>
    <w:rsid w:val="00376BF9"/>
    <w:rsid w:val="00376C14"/>
    <w:rsid w:val="003775F9"/>
    <w:rsid w:val="00380CD3"/>
    <w:rsid w:val="00380DA4"/>
    <w:rsid w:val="003811CC"/>
    <w:rsid w:val="00382215"/>
    <w:rsid w:val="003824DB"/>
    <w:rsid w:val="00383ECC"/>
    <w:rsid w:val="0038498D"/>
    <w:rsid w:val="003852B8"/>
    <w:rsid w:val="003859BC"/>
    <w:rsid w:val="00385C40"/>
    <w:rsid w:val="00386107"/>
    <w:rsid w:val="00387DEC"/>
    <w:rsid w:val="003942C4"/>
    <w:rsid w:val="003A02C7"/>
    <w:rsid w:val="003A0A7A"/>
    <w:rsid w:val="003A1DE0"/>
    <w:rsid w:val="003A423B"/>
    <w:rsid w:val="003A4253"/>
    <w:rsid w:val="003A49EB"/>
    <w:rsid w:val="003A5586"/>
    <w:rsid w:val="003A76FE"/>
    <w:rsid w:val="003A7B74"/>
    <w:rsid w:val="003B0664"/>
    <w:rsid w:val="003B1942"/>
    <w:rsid w:val="003B1A4A"/>
    <w:rsid w:val="003B2529"/>
    <w:rsid w:val="003B50BD"/>
    <w:rsid w:val="003B55B2"/>
    <w:rsid w:val="003B6453"/>
    <w:rsid w:val="003B6E11"/>
    <w:rsid w:val="003B769A"/>
    <w:rsid w:val="003C0126"/>
    <w:rsid w:val="003C0AC8"/>
    <w:rsid w:val="003C1A92"/>
    <w:rsid w:val="003C1CEC"/>
    <w:rsid w:val="003C2A6F"/>
    <w:rsid w:val="003C3D35"/>
    <w:rsid w:val="003C3E01"/>
    <w:rsid w:val="003C42C7"/>
    <w:rsid w:val="003C436E"/>
    <w:rsid w:val="003C4643"/>
    <w:rsid w:val="003C4F9E"/>
    <w:rsid w:val="003C505A"/>
    <w:rsid w:val="003C6145"/>
    <w:rsid w:val="003C66C2"/>
    <w:rsid w:val="003C6959"/>
    <w:rsid w:val="003C6B7C"/>
    <w:rsid w:val="003C6EED"/>
    <w:rsid w:val="003C7061"/>
    <w:rsid w:val="003C7F4C"/>
    <w:rsid w:val="003D0776"/>
    <w:rsid w:val="003D08A0"/>
    <w:rsid w:val="003D1AF2"/>
    <w:rsid w:val="003D20F5"/>
    <w:rsid w:val="003D3006"/>
    <w:rsid w:val="003D3BDB"/>
    <w:rsid w:val="003D4863"/>
    <w:rsid w:val="003D5414"/>
    <w:rsid w:val="003D54A8"/>
    <w:rsid w:val="003D55B0"/>
    <w:rsid w:val="003D5CEE"/>
    <w:rsid w:val="003D6DE9"/>
    <w:rsid w:val="003D6E81"/>
    <w:rsid w:val="003D73D0"/>
    <w:rsid w:val="003D7881"/>
    <w:rsid w:val="003D793A"/>
    <w:rsid w:val="003E00F2"/>
    <w:rsid w:val="003E0252"/>
    <w:rsid w:val="003E11C4"/>
    <w:rsid w:val="003E1F88"/>
    <w:rsid w:val="003E39FD"/>
    <w:rsid w:val="003E49E7"/>
    <w:rsid w:val="003E5856"/>
    <w:rsid w:val="003E652B"/>
    <w:rsid w:val="003E65AB"/>
    <w:rsid w:val="003E687C"/>
    <w:rsid w:val="003E6956"/>
    <w:rsid w:val="003E6B17"/>
    <w:rsid w:val="003E6CA6"/>
    <w:rsid w:val="003F0260"/>
    <w:rsid w:val="003F0291"/>
    <w:rsid w:val="003F193F"/>
    <w:rsid w:val="003F1FD0"/>
    <w:rsid w:val="003F433F"/>
    <w:rsid w:val="003F450F"/>
    <w:rsid w:val="003F4F36"/>
    <w:rsid w:val="003F5A3E"/>
    <w:rsid w:val="003F6A54"/>
    <w:rsid w:val="003F7E7B"/>
    <w:rsid w:val="004001E8"/>
    <w:rsid w:val="00400EE9"/>
    <w:rsid w:val="004013A4"/>
    <w:rsid w:val="00401570"/>
    <w:rsid w:val="0040187E"/>
    <w:rsid w:val="004020B3"/>
    <w:rsid w:val="004041C0"/>
    <w:rsid w:val="00404444"/>
    <w:rsid w:val="00405407"/>
    <w:rsid w:val="00406589"/>
    <w:rsid w:val="004069BF"/>
    <w:rsid w:val="004072F5"/>
    <w:rsid w:val="00407CD9"/>
    <w:rsid w:val="00410217"/>
    <w:rsid w:val="0041086A"/>
    <w:rsid w:val="004125E9"/>
    <w:rsid w:val="004127C8"/>
    <w:rsid w:val="00414E00"/>
    <w:rsid w:val="0041530C"/>
    <w:rsid w:val="0041630B"/>
    <w:rsid w:val="0041633B"/>
    <w:rsid w:val="004178E4"/>
    <w:rsid w:val="00417F57"/>
    <w:rsid w:val="0042255B"/>
    <w:rsid w:val="004229C6"/>
    <w:rsid w:val="00425650"/>
    <w:rsid w:val="00425B47"/>
    <w:rsid w:val="004269BD"/>
    <w:rsid w:val="00427E40"/>
    <w:rsid w:val="0043085C"/>
    <w:rsid w:val="0043091B"/>
    <w:rsid w:val="004311CD"/>
    <w:rsid w:val="00432A7C"/>
    <w:rsid w:val="004334E0"/>
    <w:rsid w:val="0043415B"/>
    <w:rsid w:val="00434472"/>
    <w:rsid w:val="00435071"/>
    <w:rsid w:val="00435622"/>
    <w:rsid w:val="004361F6"/>
    <w:rsid w:val="0043638F"/>
    <w:rsid w:val="0043650D"/>
    <w:rsid w:val="004365EA"/>
    <w:rsid w:val="0043696F"/>
    <w:rsid w:val="00437318"/>
    <w:rsid w:val="00437A3E"/>
    <w:rsid w:val="00437C28"/>
    <w:rsid w:val="00437C6D"/>
    <w:rsid w:val="00437F02"/>
    <w:rsid w:val="00442684"/>
    <w:rsid w:val="00442AD7"/>
    <w:rsid w:val="00443682"/>
    <w:rsid w:val="00443A8D"/>
    <w:rsid w:val="00443F65"/>
    <w:rsid w:val="0044512A"/>
    <w:rsid w:val="00445C75"/>
    <w:rsid w:val="004461EA"/>
    <w:rsid w:val="00451220"/>
    <w:rsid w:val="00451A31"/>
    <w:rsid w:val="00452171"/>
    <w:rsid w:val="004536B8"/>
    <w:rsid w:val="0045526A"/>
    <w:rsid w:val="004558A9"/>
    <w:rsid w:val="00455B2C"/>
    <w:rsid w:val="00456A81"/>
    <w:rsid w:val="004572BF"/>
    <w:rsid w:val="004578BC"/>
    <w:rsid w:val="004616F4"/>
    <w:rsid w:val="00462175"/>
    <w:rsid w:val="00462644"/>
    <w:rsid w:val="0046290A"/>
    <w:rsid w:val="00462D01"/>
    <w:rsid w:val="00463033"/>
    <w:rsid w:val="0046425F"/>
    <w:rsid w:val="00464597"/>
    <w:rsid w:val="00464962"/>
    <w:rsid w:val="00465A1F"/>
    <w:rsid w:val="00466260"/>
    <w:rsid w:val="00466603"/>
    <w:rsid w:val="004674A5"/>
    <w:rsid w:val="00467AC9"/>
    <w:rsid w:val="00467ACB"/>
    <w:rsid w:val="0047173E"/>
    <w:rsid w:val="004730BC"/>
    <w:rsid w:val="0047319D"/>
    <w:rsid w:val="004737CC"/>
    <w:rsid w:val="00473873"/>
    <w:rsid w:val="00473C38"/>
    <w:rsid w:val="004750BC"/>
    <w:rsid w:val="00476373"/>
    <w:rsid w:val="0047643B"/>
    <w:rsid w:val="004769D1"/>
    <w:rsid w:val="00476A7B"/>
    <w:rsid w:val="00477196"/>
    <w:rsid w:val="004773C0"/>
    <w:rsid w:val="00477DB2"/>
    <w:rsid w:val="0048020A"/>
    <w:rsid w:val="00480AC3"/>
    <w:rsid w:val="00480DF9"/>
    <w:rsid w:val="00481F80"/>
    <w:rsid w:val="00482FEC"/>
    <w:rsid w:val="004832F3"/>
    <w:rsid w:val="00484485"/>
    <w:rsid w:val="0048470A"/>
    <w:rsid w:val="00485385"/>
    <w:rsid w:val="00485516"/>
    <w:rsid w:val="0048593F"/>
    <w:rsid w:val="00485AEC"/>
    <w:rsid w:val="00485C16"/>
    <w:rsid w:val="0048653D"/>
    <w:rsid w:val="00486A49"/>
    <w:rsid w:val="004875E0"/>
    <w:rsid w:val="00491524"/>
    <w:rsid w:val="004924F7"/>
    <w:rsid w:val="00492610"/>
    <w:rsid w:val="00492BC2"/>
    <w:rsid w:val="0049422A"/>
    <w:rsid w:val="00495034"/>
    <w:rsid w:val="004950CF"/>
    <w:rsid w:val="00496203"/>
    <w:rsid w:val="004964DB"/>
    <w:rsid w:val="004A0FB8"/>
    <w:rsid w:val="004A2FC4"/>
    <w:rsid w:val="004A30E9"/>
    <w:rsid w:val="004A4610"/>
    <w:rsid w:val="004A4A19"/>
    <w:rsid w:val="004A5ACF"/>
    <w:rsid w:val="004A7903"/>
    <w:rsid w:val="004B0654"/>
    <w:rsid w:val="004B0C59"/>
    <w:rsid w:val="004B1075"/>
    <w:rsid w:val="004B12DF"/>
    <w:rsid w:val="004B1A5E"/>
    <w:rsid w:val="004B1CD5"/>
    <w:rsid w:val="004B2028"/>
    <w:rsid w:val="004B2863"/>
    <w:rsid w:val="004B4F84"/>
    <w:rsid w:val="004B5505"/>
    <w:rsid w:val="004B7449"/>
    <w:rsid w:val="004C0914"/>
    <w:rsid w:val="004C0BCE"/>
    <w:rsid w:val="004C0CE1"/>
    <w:rsid w:val="004C19D5"/>
    <w:rsid w:val="004C3617"/>
    <w:rsid w:val="004C483D"/>
    <w:rsid w:val="004C5183"/>
    <w:rsid w:val="004C5CB1"/>
    <w:rsid w:val="004C5DCB"/>
    <w:rsid w:val="004C5DDE"/>
    <w:rsid w:val="004C634E"/>
    <w:rsid w:val="004C6615"/>
    <w:rsid w:val="004C771C"/>
    <w:rsid w:val="004D0B13"/>
    <w:rsid w:val="004D1588"/>
    <w:rsid w:val="004D2600"/>
    <w:rsid w:val="004D3094"/>
    <w:rsid w:val="004D38A0"/>
    <w:rsid w:val="004D4822"/>
    <w:rsid w:val="004D5680"/>
    <w:rsid w:val="004D5CB8"/>
    <w:rsid w:val="004D7775"/>
    <w:rsid w:val="004D7A6C"/>
    <w:rsid w:val="004E0F08"/>
    <w:rsid w:val="004E1324"/>
    <w:rsid w:val="004E1901"/>
    <w:rsid w:val="004E1A53"/>
    <w:rsid w:val="004E2937"/>
    <w:rsid w:val="004E298E"/>
    <w:rsid w:val="004E2BED"/>
    <w:rsid w:val="004E4FE3"/>
    <w:rsid w:val="004E50BC"/>
    <w:rsid w:val="004E6BC7"/>
    <w:rsid w:val="004E7362"/>
    <w:rsid w:val="004E7CD8"/>
    <w:rsid w:val="004F0BE9"/>
    <w:rsid w:val="004F102A"/>
    <w:rsid w:val="004F156D"/>
    <w:rsid w:val="004F1BFB"/>
    <w:rsid w:val="004F330D"/>
    <w:rsid w:val="004F3364"/>
    <w:rsid w:val="004F38F8"/>
    <w:rsid w:val="004F405D"/>
    <w:rsid w:val="004F47A3"/>
    <w:rsid w:val="004F4E11"/>
    <w:rsid w:val="004F5DED"/>
    <w:rsid w:val="004F6141"/>
    <w:rsid w:val="004F6811"/>
    <w:rsid w:val="004F6883"/>
    <w:rsid w:val="00500F73"/>
    <w:rsid w:val="0050135C"/>
    <w:rsid w:val="00501941"/>
    <w:rsid w:val="005033D9"/>
    <w:rsid w:val="0050354D"/>
    <w:rsid w:val="00504BA6"/>
    <w:rsid w:val="00505106"/>
    <w:rsid w:val="005060C2"/>
    <w:rsid w:val="00506B7E"/>
    <w:rsid w:val="00506D0C"/>
    <w:rsid w:val="005070F0"/>
    <w:rsid w:val="0050742D"/>
    <w:rsid w:val="0050760D"/>
    <w:rsid w:val="0051065A"/>
    <w:rsid w:val="0051124C"/>
    <w:rsid w:val="0051183B"/>
    <w:rsid w:val="0051487C"/>
    <w:rsid w:val="00515FE7"/>
    <w:rsid w:val="00517213"/>
    <w:rsid w:val="00517363"/>
    <w:rsid w:val="00517945"/>
    <w:rsid w:val="00521E11"/>
    <w:rsid w:val="0052220E"/>
    <w:rsid w:val="00522672"/>
    <w:rsid w:val="005229F0"/>
    <w:rsid w:val="00523105"/>
    <w:rsid w:val="00523870"/>
    <w:rsid w:val="0052422D"/>
    <w:rsid w:val="00524723"/>
    <w:rsid w:val="00525679"/>
    <w:rsid w:val="00526557"/>
    <w:rsid w:val="0052671D"/>
    <w:rsid w:val="005272DB"/>
    <w:rsid w:val="00530E76"/>
    <w:rsid w:val="00532A14"/>
    <w:rsid w:val="00532F54"/>
    <w:rsid w:val="00533AAF"/>
    <w:rsid w:val="00533B2A"/>
    <w:rsid w:val="00533CE3"/>
    <w:rsid w:val="00534F2B"/>
    <w:rsid w:val="00535475"/>
    <w:rsid w:val="00536FD4"/>
    <w:rsid w:val="00537737"/>
    <w:rsid w:val="005379CA"/>
    <w:rsid w:val="00540273"/>
    <w:rsid w:val="00541A86"/>
    <w:rsid w:val="00541EE5"/>
    <w:rsid w:val="00542115"/>
    <w:rsid w:val="00542CB0"/>
    <w:rsid w:val="00543451"/>
    <w:rsid w:val="00543AFA"/>
    <w:rsid w:val="00543F62"/>
    <w:rsid w:val="00544377"/>
    <w:rsid w:val="0054576C"/>
    <w:rsid w:val="005458C9"/>
    <w:rsid w:val="00546405"/>
    <w:rsid w:val="0054739F"/>
    <w:rsid w:val="00547B10"/>
    <w:rsid w:val="00550327"/>
    <w:rsid w:val="005505BF"/>
    <w:rsid w:val="005509F9"/>
    <w:rsid w:val="00550EF8"/>
    <w:rsid w:val="00550F0B"/>
    <w:rsid w:val="005512A8"/>
    <w:rsid w:val="005518DD"/>
    <w:rsid w:val="00553997"/>
    <w:rsid w:val="00554BA6"/>
    <w:rsid w:val="0055601E"/>
    <w:rsid w:val="00560F0D"/>
    <w:rsid w:val="0056172D"/>
    <w:rsid w:val="00561CC2"/>
    <w:rsid w:val="00561D28"/>
    <w:rsid w:val="00562964"/>
    <w:rsid w:val="00563039"/>
    <w:rsid w:val="0056387A"/>
    <w:rsid w:val="00563F86"/>
    <w:rsid w:val="0056460E"/>
    <w:rsid w:val="00564708"/>
    <w:rsid w:val="00564A82"/>
    <w:rsid w:val="00564CF5"/>
    <w:rsid w:val="0056510B"/>
    <w:rsid w:val="00566349"/>
    <w:rsid w:val="0056683E"/>
    <w:rsid w:val="005672E0"/>
    <w:rsid w:val="00573161"/>
    <w:rsid w:val="005739DC"/>
    <w:rsid w:val="00574856"/>
    <w:rsid w:val="00574F0D"/>
    <w:rsid w:val="0057542B"/>
    <w:rsid w:val="00575685"/>
    <w:rsid w:val="00576804"/>
    <w:rsid w:val="00577B95"/>
    <w:rsid w:val="00580E0F"/>
    <w:rsid w:val="00581236"/>
    <w:rsid w:val="00581C9F"/>
    <w:rsid w:val="00582766"/>
    <w:rsid w:val="005832D7"/>
    <w:rsid w:val="00583746"/>
    <w:rsid w:val="005848CE"/>
    <w:rsid w:val="00584A1B"/>
    <w:rsid w:val="00584E8E"/>
    <w:rsid w:val="0058566B"/>
    <w:rsid w:val="00585BF4"/>
    <w:rsid w:val="00585DD4"/>
    <w:rsid w:val="00586064"/>
    <w:rsid w:val="005869C7"/>
    <w:rsid w:val="00587065"/>
    <w:rsid w:val="00590D59"/>
    <w:rsid w:val="00591463"/>
    <w:rsid w:val="00591835"/>
    <w:rsid w:val="005922C8"/>
    <w:rsid w:val="0059291D"/>
    <w:rsid w:val="00594C6D"/>
    <w:rsid w:val="00594D93"/>
    <w:rsid w:val="005969A4"/>
    <w:rsid w:val="00596D83"/>
    <w:rsid w:val="005974BF"/>
    <w:rsid w:val="00597755"/>
    <w:rsid w:val="005A0152"/>
    <w:rsid w:val="005A0BBF"/>
    <w:rsid w:val="005A176D"/>
    <w:rsid w:val="005A1D8E"/>
    <w:rsid w:val="005A21FF"/>
    <w:rsid w:val="005A29FE"/>
    <w:rsid w:val="005A2C21"/>
    <w:rsid w:val="005A3BBD"/>
    <w:rsid w:val="005A3F82"/>
    <w:rsid w:val="005A4384"/>
    <w:rsid w:val="005A4E94"/>
    <w:rsid w:val="005A6211"/>
    <w:rsid w:val="005A754B"/>
    <w:rsid w:val="005A7EA7"/>
    <w:rsid w:val="005B016E"/>
    <w:rsid w:val="005B081D"/>
    <w:rsid w:val="005B1CCD"/>
    <w:rsid w:val="005B1F81"/>
    <w:rsid w:val="005B28B6"/>
    <w:rsid w:val="005B2C04"/>
    <w:rsid w:val="005B35A1"/>
    <w:rsid w:val="005B3FE2"/>
    <w:rsid w:val="005B48E3"/>
    <w:rsid w:val="005B4992"/>
    <w:rsid w:val="005B57B7"/>
    <w:rsid w:val="005B624C"/>
    <w:rsid w:val="005C0DD9"/>
    <w:rsid w:val="005C117C"/>
    <w:rsid w:val="005C35F6"/>
    <w:rsid w:val="005C37E2"/>
    <w:rsid w:val="005C3A39"/>
    <w:rsid w:val="005C538C"/>
    <w:rsid w:val="005C5DD2"/>
    <w:rsid w:val="005C7835"/>
    <w:rsid w:val="005C7CFD"/>
    <w:rsid w:val="005C7D8A"/>
    <w:rsid w:val="005D37FF"/>
    <w:rsid w:val="005D38A1"/>
    <w:rsid w:val="005D669E"/>
    <w:rsid w:val="005D709D"/>
    <w:rsid w:val="005D79B9"/>
    <w:rsid w:val="005D7AC4"/>
    <w:rsid w:val="005D7FAC"/>
    <w:rsid w:val="005E032D"/>
    <w:rsid w:val="005E0B3C"/>
    <w:rsid w:val="005E18D9"/>
    <w:rsid w:val="005E1962"/>
    <w:rsid w:val="005E1B65"/>
    <w:rsid w:val="005E5BD7"/>
    <w:rsid w:val="005E5E77"/>
    <w:rsid w:val="005E6C7E"/>
    <w:rsid w:val="005F0707"/>
    <w:rsid w:val="005F10DB"/>
    <w:rsid w:val="005F1EF9"/>
    <w:rsid w:val="005F29B8"/>
    <w:rsid w:val="005F347A"/>
    <w:rsid w:val="005F349C"/>
    <w:rsid w:val="005F4A40"/>
    <w:rsid w:val="005F4AA4"/>
    <w:rsid w:val="005F4C43"/>
    <w:rsid w:val="005F4C78"/>
    <w:rsid w:val="005F6005"/>
    <w:rsid w:val="005F787E"/>
    <w:rsid w:val="00600B3A"/>
    <w:rsid w:val="0060120C"/>
    <w:rsid w:val="006025B8"/>
    <w:rsid w:val="00602749"/>
    <w:rsid w:val="006029E7"/>
    <w:rsid w:val="00603011"/>
    <w:rsid w:val="00603077"/>
    <w:rsid w:val="00603735"/>
    <w:rsid w:val="00603B32"/>
    <w:rsid w:val="00603D5B"/>
    <w:rsid w:val="00603F2E"/>
    <w:rsid w:val="00604F64"/>
    <w:rsid w:val="00605563"/>
    <w:rsid w:val="00607F60"/>
    <w:rsid w:val="00611825"/>
    <w:rsid w:val="006126AB"/>
    <w:rsid w:val="00613178"/>
    <w:rsid w:val="00613C3A"/>
    <w:rsid w:val="00613D21"/>
    <w:rsid w:val="00614C6A"/>
    <w:rsid w:val="006152A8"/>
    <w:rsid w:val="0061551B"/>
    <w:rsid w:val="0061664B"/>
    <w:rsid w:val="0061719B"/>
    <w:rsid w:val="006179C3"/>
    <w:rsid w:val="00620BCD"/>
    <w:rsid w:val="006212A6"/>
    <w:rsid w:val="006224C2"/>
    <w:rsid w:val="0062482C"/>
    <w:rsid w:val="0062491D"/>
    <w:rsid w:val="00624A81"/>
    <w:rsid w:val="0062504D"/>
    <w:rsid w:val="0062648E"/>
    <w:rsid w:val="0062655E"/>
    <w:rsid w:val="006267E3"/>
    <w:rsid w:val="00627D4E"/>
    <w:rsid w:val="00631F2D"/>
    <w:rsid w:val="006320FC"/>
    <w:rsid w:val="00632F50"/>
    <w:rsid w:val="00633692"/>
    <w:rsid w:val="00633693"/>
    <w:rsid w:val="00633964"/>
    <w:rsid w:val="00634040"/>
    <w:rsid w:val="0063450B"/>
    <w:rsid w:val="0063497D"/>
    <w:rsid w:val="00635B6F"/>
    <w:rsid w:val="00635E57"/>
    <w:rsid w:val="00635EB7"/>
    <w:rsid w:val="0063672C"/>
    <w:rsid w:val="006370EF"/>
    <w:rsid w:val="00637175"/>
    <w:rsid w:val="00637810"/>
    <w:rsid w:val="00640BF5"/>
    <w:rsid w:val="00641B3F"/>
    <w:rsid w:val="006428F7"/>
    <w:rsid w:val="0064388F"/>
    <w:rsid w:val="00643DAB"/>
    <w:rsid w:val="0064400F"/>
    <w:rsid w:val="00644AAB"/>
    <w:rsid w:val="0064568C"/>
    <w:rsid w:val="00645D92"/>
    <w:rsid w:val="00646620"/>
    <w:rsid w:val="00646764"/>
    <w:rsid w:val="00647553"/>
    <w:rsid w:val="00647F41"/>
    <w:rsid w:val="00650208"/>
    <w:rsid w:val="00651078"/>
    <w:rsid w:val="00651CC2"/>
    <w:rsid w:val="00652E99"/>
    <w:rsid w:val="00654462"/>
    <w:rsid w:val="00655205"/>
    <w:rsid w:val="006562A4"/>
    <w:rsid w:val="00656846"/>
    <w:rsid w:val="00656A7B"/>
    <w:rsid w:val="00657A14"/>
    <w:rsid w:val="00657D6E"/>
    <w:rsid w:val="00657F2B"/>
    <w:rsid w:val="0066059D"/>
    <w:rsid w:val="0066076A"/>
    <w:rsid w:val="00660A38"/>
    <w:rsid w:val="00661C0A"/>
    <w:rsid w:val="00662198"/>
    <w:rsid w:val="0066388D"/>
    <w:rsid w:val="00663C12"/>
    <w:rsid w:val="006642E1"/>
    <w:rsid w:val="00665B2A"/>
    <w:rsid w:val="00665CB1"/>
    <w:rsid w:val="006665F4"/>
    <w:rsid w:val="00667C6A"/>
    <w:rsid w:val="00670901"/>
    <w:rsid w:val="00670CCF"/>
    <w:rsid w:val="006710AB"/>
    <w:rsid w:val="006710BA"/>
    <w:rsid w:val="00672E3D"/>
    <w:rsid w:val="00673255"/>
    <w:rsid w:val="006764F5"/>
    <w:rsid w:val="00677774"/>
    <w:rsid w:val="0068157C"/>
    <w:rsid w:val="00682550"/>
    <w:rsid w:val="00683520"/>
    <w:rsid w:val="006836B5"/>
    <w:rsid w:val="00683A63"/>
    <w:rsid w:val="00683EA1"/>
    <w:rsid w:val="00684DC2"/>
    <w:rsid w:val="00684EB7"/>
    <w:rsid w:val="00685398"/>
    <w:rsid w:val="00685AC9"/>
    <w:rsid w:val="00685CC1"/>
    <w:rsid w:val="00685D63"/>
    <w:rsid w:val="00686E83"/>
    <w:rsid w:val="006878D1"/>
    <w:rsid w:val="00687DAD"/>
    <w:rsid w:val="006901E4"/>
    <w:rsid w:val="00690A72"/>
    <w:rsid w:val="00690D58"/>
    <w:rsid w:val="006916DF"/>
    <w:rsid w:val="006921FE"/>
    <w:rsid w:val="006923B9"/>
    <w:rsid w:val="00692BC0"/>
    <w:rsid w:val="00692D4F"/>
    <w:rsid w:val="00695007"/>
    <w:rsid w:val="0069568A"/>
    <w:rsid w:val="00695A14"/>
    <w:rsid w:val="00696CAA"/>
    <w:rsid w:val="006976C1"/>
    <w:rsid w:val="006978EC"/>
    <w:rsid w:val="006A2E51"/>
    <w:rsid w:val="006A54AD"/>
    <w:rsid w:val="006A5799"/>
    <w:rsid w:val="006A61E1"/>
    <w:rsid w:val="006A6478"/>
    <w:rsid w:val="006A6746"/>
    <w:rsid w:val="006A7981"/>
    <w:rsid w:val="006B034B"/>
    <w:rsid w:val="006B0644"/>
    <w:rsid w:val="006B0D1E"/>
    <w:rsid w:val="006B1B02"/>
    <w:rsid w:val="006B1DB8"/>
    <w:rsid w:val="006B2ABB"/>
    <w:rsid w:val="006B37D3"/>
    <w:rsid w:val="006B56F5"/>
    <w:rsid w:val="006C04DB"/>
    <w:rsid w:val="006C146F"/>
    <w:rsid w:val="006C1486"/>
    <w:rsid w:val="006C246B"/>
    <w:rsid w:val="006C2B9D"/>
    <w:rsid w:val="006C2BE2"/>
    <w:rsid w:val="006C2E14"/>
    <w:rsid w:val="006C3448"/>
    <w:rsid w:val="006C35C9"/>
    <w:rsid w:val="006C3A42"/>
    <w:rsid w:val="006C3BDA"/>
    <w:rsid w:val="006C4946"/>
    <w:rsid w:val="006C4AEF"/>
    <w:rsid w:val="006C50D4"/>
    <w:rsid w:val="006C5790"/>
    <w:rsid w:val="006C5876"/>
    <w:rsid w:val="006C6AFA"/>
    <w:rsid w:val="006C6C7C"/>
    <w:rsid w:val="006D193B"/>
    <w:rsid w:val="006D1B55"/>
    <w:rsid w:val="006D2F22"/>
    <w:rsid w:val="006D45E9"/>
    <w:rsid w:val="006D4D9B"/>
    <w:rsid w:val="006D5660"/>
    <w:rsid w:val="006D5A45"/>
    <w:rsid w:val="006D5D80"/>
    <w:rsid w:val="006D617E"/>
    <w:rsid w:val="006D7817"/>
    <w:rsid w:val="006E001B"/>
    <w:rsid w:val="006E00CC"/>
    <w:rsid w:val="006E0F2A"/>
    <w:rsid w:val="006E294C"/>
    <w:rsid w:val="006E4A13"/>
    <w:rsid w:val="006E4BF4"/>
    <w:rsid w:val="006E6BC1"/>
    <w:rsid w:val="006F026F"/>
    <w:rsid w:val="006F0A6A"/>
    <w:rsid w:val="006F0ACF"/>
    <w:rsid w:val="006F0E19"/>
    <w:rsid w:val="006F16AC"/>
    <w:rsid w:val="006F3BAE"/>
    <w:rsid w:val="006F56FE"/>
    <w:rsid w:val="006F5F6D"/>
    <w:rsid w:val="00701298"/>
    <w:rsid w:val="0070215A"/>
    <w:rsid w:val="00703553"/>
    <w:rsid w:val="00703676"/>
    <w:rsid w:val="007040C3"/>
    <w:rsid w:val="007051D4"/>
    <w:rsid w:val="0070542E"/>
    <w:rsid w:val="00705B65"/>
    <w:rsid w:val="007065B1"/>
    <w:rsid w:val="007105F8"/>
    <w:rsid w:val="007114F8"/>
    <w:rsid w:val="007117CE"/>
    <w:rsid w:val="0071230B"/>
    <w:rsid w:val="0071236F"/>
    <w:rsid w:val="0071244B"/>
    <w:rsid w:val="007132AB"/>
    <w:rsid w:val="007132C5"/>
    <w:rsid w:val="00713BFB"/>
    <w:rsid w:val="00715129"/>
    <w:rsid w:val="00717397"/>
    <w:rsid w:val="00717F84"/>
    <w:rsid w:val="00721129"/>
    <w:rsid w:val="0072184F"/>
    <w:rsid w:val="00722CCC"/>
    <w:rsid w:val="00722D2A"/>
    <w:rsid w:val="00725624"/>
    <w:rsid w:val="00726AD3"/>
    <w:rsid w:val="007315D8"/>
    <w:rsid w:val="00731774"/>
    <w:rsid w:val="007317F5"/>
    <w:rsid w:val="00731A69"/>
    <w:rsid w:val="00732027"/>
    <w:rsid w:val="00732884"/>
    <w:rsid w:val="00733144"/>
    <w:rsid w:val="00734216"/>
    <w:rsid w:val="00735231"/>
    <w:rsid w:val="0073594D"/>
    <w:rsid w:val="00736747"/>
    <w:rsid w:val="00736AD3"/>
    <w:rsid w:val="00736B5A"/>
    <w:rsid w:val="0073725F"/>
    <w:rsid w:val="00740366"/>
    <w:rsid w:val="00740405"/>
    <w:rsid w:val="00740E09"/>
    <w:rsid w:val="0074170D"/>
    <w:rsid w:val="00742BA8"/>
    <w:rsid w:val="00743D16"/>
    <w:rsid w:val="007440E2"/>
    <w:rsid w:val="00744478"/>
    <w:rsid w:val="00745343"/>
    <w:rsid w:val="00746D1E"/>
    <w:rsid w:val="0074762E"/>
    <w:rsid w:val="00747993"/>
    <w:rsid w:val="00747D33"/>
    <w:rsid w:val="0075124B"/>
    <w:rsid w:val="00752652"/>
    <w:rsid w:val="00754BAB"/>
    <w:rsid w:val="007555A7"/>
    <w:rsid w:val="00755B36"/>
    <w:rsid w:val="007563D6"/>
    <w:rsid w:val="007568BC"/>
    <w:rsid w:val="00757A00"/>
    <w:rsid w:val="00760149"/>
    <w:rsid w:val="007617E4"/>
    <w:rsid w:val="0076338C"/>
    <w:rsid w:val="0076409E"/>
    <w:rsid w:val="00764F5B"/>
    <w:rsid w:val="00765180"/>
    <w:rsid w:val="00765B92"/>
    <w:rsid w:val="0077116B"/>
    <w:rsid w:val="00771911"/>
    <w:rsid w:val="007726E8"/>
    <w:rsid w:val="00772F5E"/>
    <w:rsid w:val="007733E9"/>
    <w:rsid w:val="00774F37"/>
    <w:rsid w:val="007754F4"/>
    <w:rsid w:val="00776690"/>
    <w:rsid w:val="00776EFB"/>
    <w:rsid w:val="007770A5"/>
    <w:rsid w:val="00777423"/>
    <w:rsid w:val="0078004C"/>
    <w:rsid w:val="007811C4"/>
    <w:rsid w:val="007831FA"/>
    <w:rsid w:val="00783B50"/>
    <w:rsid w:val="00783EE5"/>
    <w:rsid w:val="007869FA"/>
    <w:rsid w:val="00787488"/>
    <w:rsid w:val="007876EE"/>
    <w:rsid w:val="00787D38"/>
    <w:rsid w:val="0079043B"/>
    <w:rsid w:val="00790A12"/>
    <w:rsid w:val="0079122C"/>
    <w:rsid w:val="00791A3E"/>
    <w:rsid w:val="007925CD"/>
    <w:rsid w:val="007928C2"/>
    <w:rsid w:val="00793E58"/>
    <w:rsid w:val="00794DE6"/>
    <w:rsid w:val="00795165"/>
    <w:rsid w:val="007951D7"/>
    <w:rsid w:val="0079608C"/>
    <w:rsid w:val="007979EF"/>
    <w:rsid w:val="007A0286"/>
    <w:rsid w:val="007A1BB9"/>
    <w:rsid w:val="007A2382"/>
    <w:rsid w:val="007A3834"/>
    <w:rsid w:val="007A551E"/>
    <w:rsid w:val="007A5D75"/>
    <w:rsid w:val="007A6C2F"/>
    <w:rsid w:val="007A7392"/>
    <w:rsid w:val="007B16A9"/>
    <w:rsid w:val="007B18B2"/>
    <w:rsid w:val="007B2D1B"/>
    <w:rsid w:val="007B44D5"/>
    <w:rsid w:val="007B4855"/>
    <w:rsid w:val="007B5104"/>
    <w:rsid w:val="007B546B"/>
    <w:rsid w:val="007B6059"/>
    <w:rsid w:val="007B7002"/>
    <w:rsid w:val="007B7407"/>
    <w:rsid w:val="007C068C"/>
    <w:rsid w:val="007C32FC"/>
    <w:rsid w:val="007C4BD1"/>
    <w:rsid w:val="007C4F60"/>
    <w:rsid w:val="007C55F5"/>
    <w:rsid w:val="007C695F"/>
    <w:rsid w:val="007C6E25"/>
    <w:rsid w:val="007C70E9"/>
    <w:rsid w:val="007D0803"/>
    <w:rsid w:val="007D1600"/>
    <w:rsid w:val="007D1682"/>
    <w:rsid w:val="007D26AC"/>
    <w:rsid w:val="007D2804"/>
    <w:rsid w:val="007D29B7"/>
    <w:rsid w:val="007D2BD9"/>
    <w:rsid w:val="007D3272"/>
    <w:rsid w:val="007D33A8"/>
    <w:rsid w:val="007D368B"/>
    <w:rsid w:val="007D3E39"/>
    <w:rsid w:val="007D5BD9"/>
    <w:rsid w:val="007D5DF3"/>
    <w:rsid w:val="007D652B"/>
    <w:rsid w:val="007D7398"/>
    <w:rsid w:val="007E031A"/>
    <w:rsid w:val="007E23F1"/>
    <w:rsid w:val="007E2AE0"/>
    <w:rsid w:val="007E3426"/>
    <w:rsid w:val="007E365B"/>
    <w:rsid w:val="007E5C2F"/>
    <w:rsid w:val="007E5E43"/>
    <w:rsid w:val="007E7135"/>
    <w:rsid w:val="007E7B3A"/>
    <w:rsid w:val="007F1233"/>
    <w:rsid w:val="007F3070"/>
    <w:rsid w:val="007F3696"/>
    <w:rsid w:val="007F3A78"/>
    <w:rsid w:val="007F57CF"/>
    <w:rsid w:val="007F5828"/>
    <w:rsid w:val="007F6C4B"/>
    <w:rsid w:val="007F7859"/>
    <w:rsid w:val="00803DF6"/>
    <w:rsid w:val="00804012"/>
    <w:rsid w:val="008052E6"/>
    <w:rsid w:val="00805889"/>
    <w:rsid w:val="00805F92"/>
    <w:rsid w:val="008078EE"/>
    <w:rsid w:val="00807B78"/>
    <w:rsid w:val="00810114"/>
    <w:rsid w:val="00811139"/>
    <w:rsid w:val="0081181A"/>
    <w:rsid w:val="0081299B"/>
    <w:rsid w:val="00813897"/>
    <w:rsid w:val="00814BBE"/>
    <w:rsid w:val="00815991"/>
    <w:rsid w:val="008164B7"/>
    <w:rsid w:val="008169E5"/>
    <w:rsid w:val="008203E2"/>
    <w:rsid w:val="00820918"/>
    <w:rsid w:val="00820C8E"/>
    <w:rsid w:val="00821679"/>
    <w:rsid w:val="008217D9"/>
    <w:rsid w:val="00822120"/>
    <w:rsid w:val="00823601"/>
    <w:rsid w:val="00823C39"/>
    <w:rsid w:val="00824290"/>
    <w:rsid w:val="008252B0"/>
    <w:rsid w:val="00826782"/>
    <w:rsid w:val="00827099"/>
    <w:rsid w:val="0082727A"/>
    <w:rsid w:val="0082769E"/>
    <w:rsid w:val="00830F33"/>
    <w:rsid w:val="00831142"/>
    <w:rsid w:val="00831FE9"/>
    <w:rsid w:val="00832890"/>
    <w:rsid w:val="008333D0"/>
    <w:rsid w:val="0083352C"/>
    <w:rsid w:val="00834CDC"/>
    <w:rsid w:val="008357CA"/>
    <w:rsid w:val="00836536"/>
    <w:rsid w:val="0083736A"/>
    <w:rsid w:val="008424EF"/>
    <w:rsid w:val="00842E0E"/>
    <w:rsid w:val="00844B12"/>
    <w:rsid w:val="00844DD6"/>
    <w:rsid w:val="00850217"/>
    <w:rsid w:val="008507D3"/>
    <w:rsid w:val="00851A8C"/>
    <w:rsid w:val="00851D3C"/>
    <w:rsid w:val="008523C3"/>
    <w:rsid w:val="00853849"/>
    <w:rsid w:val="0085390B"/>
    <w:rsid w:val="00855147"/>
    <w:rsid w:val="00855382"/>
    <w:rsid w:val="008558EC"/>
    <w:rsid w:val="00856F09"/>
    <w:rsid w:val="0085778B"/>
    <w:rsid w:val="00857C30"/>
    <w:rsid w:val="0086016E"/>
    <w:rsid w:val="0086049C"/>
    <w:rsid w:val="00861212"/>
    <w:rsid w:val="008617E3"/>
    <w:rsid w:val="00861BA0"/>
    <w:rsid w:val="008620B7"/>
    <w:rsid w:val="0086277C"/>
    <w:rsid w:val="00862F73"/>
    <w:rsid w:val="00862FE7"/>
    <w:rsid w:val="008640D2"/>
    <w:rsid w:val="008642F4"/>
    <w:rsid w:val="00866E73"/>
    <w:rsid w:val="00867A67"/>
    <w:rsid w:val="00870E32"/>
    <w:rsid w:val="008710EA"/>
    <w:rsid w:val="0087149D"/>
    <w:rsid w:val="0087152F"/>
    <w:rsid w:val="00872BC4"/>
    <w:rsid w:val="00873C9F"/>
    <w:rsid w:val="00874073"/>
    <w:rsid w:val="00874096"/>
    <w:rsid w:val="008742EE"/>
    <w:rsid w:val="008753E2"/>
    <w:rsid w:val="00875B14"/>
    <w:rsid w:val="0087651E"/>
    <w:rsid w:val="008774E0"/>
    <w:rsid w:val="00880103"/>
    <w:rsid w:val="00880CB0"/>
    <w:rsid w:val="00882A7B"/>
    <w:rsid w:val="0088381F"/>
    <w:rsid w:val="0088418F"/>
    <w:rsid w:val="00885E78"/>
    <w:rsid w:val="00885F8F"/>
    <w:rsid w:val="008864C9"/>
    <w:rsid w:val="00886CB4"/>
    <w:rsid w:val="00892879"/>
    <w:rsid w:val="00894ADD"/>
    <w:rsid w:val="00895866"/>
    <w:rsid w:val="00897DD4"/>
    <w:rsid w:val="008A0D6F"/>
    <w:rsid w:val="008A149D"/>
    <w:rsid w:val="008A1812"/>
    <w:rsid w:val="008A3446"/>
    <w:rsid w:val="008A392B"/>
    <w:rsid w:val="008A45A2"/>
    <w:rsid w:val="008A6E82"/>
    <w:rsid w:val="008A794D"/>
    <w:rsid w:val="008A7BD3"/>
    <w:rsid w:val="008A7C36"/>
    <w:rsid w:val="008B0C4F"/>
    <w:rsid w:val="008B0D3C"/>
    <w:rsid w:val="008B0D5F"/>
    <w:rsid w:val="008B1D9E"/>
    <w:rsid w:val="008B22CF"/>
    <w:rsid w:val="008B23EB"/>
    <w:rsid w:val="008B23FB"/>
    <w:rsid w:val="008B2456"/>
    <w:rsid w:val="008B3322"/>
    <w:rsid w:val="008B3386"/>
    <w:rsid w:val="008B4967"/>
    <w:rsid w:val="008B4FA5"/>
    <w:rsid w:val="008B57DD"/>
    <w:rsid w:val="008B5F0E"/>
    <w:rsid w:val="008B640E"/>
    <w:rsid w:val="008B6791"/>
    <w:rsid w:val="008B6B5B"/>
    <w:rsid w:val="008B74B8"/>
    <w:rsid w:val="008B7D97"/>
    <w:rsid w:val="008C0477"/>
    <w:rsid w:val="008C0F7F"/>
    <w:rsid w:val="008C2012"/>
    <w:rsid w:val="008C2674"/>
    <w:rsid w:val="008C2758"/>
    <w:rsid w:val="008C2AD2"/>
    <w:rsid w:val="008C2DAA"/>
    <w:rsid w:val="008C37AB"/>
    <w:rsid w:val="008C3C62"/>
    <w:rsid w:val="008C3C89"/>
    <w:rsid w:val="008C3F0D"/>
    <w:rsid w:val="008C40FA"/>
    <w:rsid w:val="008C4530"/>
    <w:rsid w:val="008C56E2"/>
    <w:rsid w:val="008C5715"/>
    <w:rsid w:val="008C6162"/>
    <w:rsid w:val="008D13C1"/>
    <w:rsid w:val="008D3467"/>
    <w:rsid w:val="008D3971"/>
    <w:rsid w:val="008D4219"/>
    <w:rsid w:val="008D526D"/>
    <w:rsid w:val="008D7B8C"/>
    <w:rsid w:val="008D7D23"/>
    <w:rsid w:val="008E0A0C"/>
    <w:rsid w:val="008E0C9A"/>
    <w:rsid w:val="008E1B77"/>
    <w:rsid w:val="008E1C0A"/>
    <w:rsid w:val="008E228A"/>
    <w:rsid w:val="008E2DB9"/>
    <w:rsid w:val="008E2EA9"/>
    <w:rsid w:val="008E42FE"/>
    <w:rsid w:val="008E4F23"/>
    <w:rsid w:val="008E5BED"/>
    <w:rsid w:val="008E60F5"/>
    <w:rsid w:val="008E67FC"/>
    <w:rsid w:val="008E765F"/>
    <w:rsid w:val="008E7F6B"/>
    <w:rsid w:val="008F10B0"/>
    <w:rsid w:val="008F3C41"/>
    <w:rsid w:val="008F41E1"/>
    <w:rsid w:val="008F424E"/>
    <w:rsid w:val="008F4FD8"/>
    <w:rsid w:val="008F58C3"/>
    <w:rsid w:val="008F767E"/>
    <w:rsid w:val="009003AE"/>
    <w:rsid w:val="009005F0"/>
    <w:rsid w:val="00901517"/>
    <w:rsid w:val="0090249D"/>
    <w:rsid w:val="00902717"/>
    <w:rsid w:val="00903468"/>
    <w:rsid w:val="009049ED"/>
    <w:rsid w:val="00904B55"/>
    <w:rsid w:val="00904F1D"/>
    <w:rsid w:val="0090516C"/>
    <w:rsid w:val="00907062"/>
    <w:rsid w:val="009076BD"/>
    <w:rsid w:val="00910065"/>
    <w:rsid w:val="0091051F"/>
    <w:rsid w:val="009109C1"/>
    <w:rsid w:val="0091148C"/>
    <w:rsid w:val="00911FC3"/>
    <w:rsid w:val="009128FA"/>
    <w:rsid w:val="00912927"/>
    <w:rsid w:val="009134D6"/>
    <w:rsid w:val="0091355D"/>
    <w:rsid w:val="00913797"/>
    <w:rsid w:val="00914483"/>
    <w:rsid w:val="0091485C"/>
    <w:rsid w:val="00915C79"/>
    <w:rsid w:val="00916BA2"/>
    <w:rsid w:val="00917DAD"/>
    <w:rsid w:val="009201C4"/>
    <w:rsid w:val="00920597"/>
    <w:rsid w:val="00920D48"/>
    <w:rsid w:val="009211FE"/>
    <w:rsid w:val="00921553"/>
    <w:rsid w:val="0092269C"/>
    <w:rsid w:val="00922B49"/>
    <w:rsid w:val="00922F57"/>
    <w:rsid w:val="00923C7C"/>
    <w:rsid w:val="00923E75"/>
    <w:rsid w:val="009257A8"/>
    <w:rsid w:val="00926A34"/>
    <w:rsid w:val="00926B56"/>
    <w:rsid w:val="009272AE"/>
    <w:rsid w:val="009275A7"/>
    <w:rsid w:val="009275FA"/>
    <w:rsid w:val="009276ED"/>
    <w:rsid w:val="00931A85"/>
    <w:rsid w:val="00931E95"/>
    <w:rsid w:val="009320D9"/>
    <w:rsid w:val="009328B5"/>
    <w:rsid w:val="00932BD6"/>
    <w:rsid w:val="00933F4F"/>
    <w:rsid w:val="0093443D"/>
    <w:rsid w:val="009400AF"/>
    <w:rsid w:val="00941207"/>
    <w:rsid w:val="00941AE7"/>
    <w:rsid w:val="00943AE2"/>
    <w:rsid w:val="00943D71"/>
    <w:rsid w:val="0094440A"/>
    <w:rsid w:val="00945840"/>
    <w:rsid w:val="00945D33"/>
    <w:rsid w:val="00946101"/>
    <w:rsid w:val="00950A9C"/>
    <w:rsid w:val="00950B45"/>
    <w:rsid w:val="00951783"/>
    <w:rsid w:val="0095204A"/>
    <w:rsid w:val="009528C0"/>
    <w:rsid w:val="009541B8"/>
    <w:rsid w:val="0095428B"/>
    <w:rsid w:val="00954866"/>
    <w:rsid w:val="00954F4F"/>
    <w:rsid w:val="0095581F"/>
    <w:rsid w:val="00955D04"/>
    <w:rsid w:val="009575C3"/>
    <w:rsid w:val="00957646"/>
    <w:rsid w:val="0096081F"/>
    <w:rsid w:val="00960AFB"/>
    <w:rsid w:val="00962088"/>
    <w:rsid w:val="00962237"/>
    <w:rsid w:val="0096329C"/>
    <w:rsid w:val="00963DE5"/>
    <w:rsid w:val="00964095"/>
    <w:rsid w:val="00964398"/>
    <w:rsid w:val="0096453D"/>
    <w:rsid w:val="00964B36"/>
    <w:rsid w:val="00964E82"/>
    <w:rsid w:val="00965CC9"/>
    <w:rsid w:val="00965DBE"/>
    <w:rsid w:val="00966192"/>
    <w:rsid w:val="00966CCD"/>
    <w:rsid w:val="009700D4"/>
    <w:rsid w:val="0097051A"/>
    <w:rsid w:val="00970733"/>
    <w:rsid w:val="009720EB"/>
    <w:rsid w:val="009723FA"/>
    <w:rsid w:val="0097258C"/>
    <w:rsid w:val="00972B5C"/>
    <w:rsid w:val="00974946"/>
    <w:rsid w:val="0097530E"/>
    <w:rsid w:val="0097619D"/>
    <w:rsid w:val="00977254"/>
    <w:rsid w:val="00977C56"/>
    <w:rsid w:val="0098059F"/>
    <w:rsid w:val="00980A2C"/>
    <w:rsid w:val="00980E6A"/>
    <w:rsid w:val="0098124C"/>
    <w:rsid w:val="00983D55"/>
    <w:rsid w:val="00984137"/>
    <w:rsid w:val="0098434C"/>
    <w:rsid w:val="00985805"/>
    <w:rsid w:val="00985957"/>
    <w:rsid w:val="009873D0"/>
    <w:rsid w:val="00987483"/>
    <w:rsid w:val="0099148B"/>
    <w:rsid w:val="009920E7"/>
    <w:rsid w:val="0099211E"/>
    <w:rsid w:val="00992C25"/>
    <w:rsid w:val="00992D6C"/>
    <w:rsid w:val="009938F5"/>
    <w:rsid w:val="00994105"/>
    <w:rsid w:val="00994633"/>
    <w:rsid w:val="00995374"/>
    <w:rsid w:val="009954F3"/>
    <w:rsid w:val="00995672"/>
    <w:rsid w:val="00995B0D"/>
    <w:rsid w:val="0099693A"/>
    <w:rsid w:val="00997C17"/>
    <w:rsid w:val="009A0EE5"/>
    <w:rsid w:val="009A282B"/>
    <w:rsid w:val="009A364C"/>
    <w:rsid w:val="009A47C8"/>
    <w:rsid w:val="009A581D"/>
    <w:rsid w:val="009A5937"/>
    <w:rsid w:val="009A6933"/>
    <w:rsid w:val="009A6AEA"/>
    <w:rsid w:val="009A7652"/>
    <w:rsid w:val="009B17CF"/>
    <w:rsid w:val="009B1D68"/>
    <w:rsid w:val="009B2601"/>
    <w:rsid w:val="009B2659"/>
    <w:rsid w:val="009B2DEF"/>
    <w:rsid w:val="009B36B5"/>
    <w:rsid w:val="009B38E3"/>
    <w:rsid w:val="009B3B26"/>
    <w:rsid w:val="009B4134"/>
    <w:rsid w:val="009B4498"/>
    <w:rsid w:val="009B48B2"/>
    <w:rsid w:val="009B5633"/>
    <w:rsid w:val="009B5E4B"/>
    <w:rsid w:val="009B719E"/>
    <w:rsid w:val="009B741A"/>
    <w:rsid w:val="009B743E"/>
    <w:rsid w:val="009B7578"/>
    <w:rsid w:val="009B7F40"/>
    <w:rsid w:val="009C0AEB"/>
    <w:rsid w:val="009C20F2"/>
    <w:rsid w:val="009C2678"/>
    <w:rsid w:val="009C29AC"/>
    <w:rsid w:val="009C3139"/>
    <w:rsid w:val="009C3A53"/>
    <w:rsid w:val="009C3D27"/>
    <w:rsid w:val="009C62FA"/>
    <w:rsid w:val="009C6C4B"/>
    <w:rsid w:val="009C75D5"/>
    <w:rsid w:val="009C7AAC"/>
    <w:rsid w:val="009D0DD6"/>
    <w:rsid w:val="009D13E2"/>
    <w:rsid w:val="009D1643"/>
    <w:rsid w:val="009D1783"/>
    <w:rsid w:val="009D1F2C"/>
    <w:rsid w:val="009D241B"/>
    <w:rsid w:val="009D25A5"/>
    <w:rsid w:val="009D2762"/>
    <w:rsid w:val="009D2DC8"/>
    <w:rsid w:val="009D53B9"/>
    <w:rsid w:val="009D5B58"/>
    <w:rsid w:val="009D5E04"/>
    <w:rsid w:val="009D6283"/>
    <w:rsid w:val="009D7A52"/>
    <w:rsid w:val="009E0D69"/>
    <w:rsid w:val="009E1674"/>
    <w:rsid w:val="009E235B"/>
    <w:rsid w:val="009E2DFB"/>
    <w:rsid w:val="009E3132"/>
    <w:rsid w:val="009E39D9"/>
    <w:rsid w:val="009E3BFD"/>
    <w:rsid w:val="009E426D"/>
    <w:rsid w:val="009E5345"/>
    <w:rsid w:val="009E5A69"/>
    <w:rsid w:val="009E638B"/>
    <w:rsid w:val="009E7F6B"/>
    <w:rsid w:val="009F0038"/>
    <w:rsid w:val="009F13EF"/>
    <w:rsid w:val="009F1BB8"/>
    <w:rsid w:val="009F2404"/>
    <w:rsid w:val="009F2F55"/>
    <w:rsid w:val="009F3B83"/>
    <w:rsid w:val="009F4E91"/>
    <w:rsid w:val="009F50A1"/>
    <w:rsid w:val="009F550B"/>
    <w:rsid w:val="009F5632"/>
    <w:rsid w:val="009F5C0D"/>
    <w:rsid w:val="009F7125"/>
    <w:rsid w:val="009F769A"/>
    <w:rsid w:val="009F77D2"/>
    <w:rsid w:val="009F77F2"/>
    <w:rsid w:val="00A0003B"/>
    <w:rsid w:val="00A003EC"/>
    <w:rsid w:val="00A00596"/>
    <w:rsid w:val="00A013F7"/>
    <w:rsid w:val="00A0142A"/>
    <w:rsid w:val="00A04B2B"/>
    <w:rsid w:val="00A05942"/>
    <w:rsid w:val="00A05F9E"/>
    <w:rsid w:val="00A07885"/>
    <w:rsid w:val="00A07990"/>
    <w:rsid w:val="00A118DB"/>
    <w:rsid w:val="00A1268E"/>
    <w:rsid w:val="00A13A81"/>
    <w:rsid w:val="00A14045"/>
    <w:rsid w:val="00A146BE"/>
    <w:rsid w:val="00A14CC2"/>
    <w:rsid w:val="00A15F72"/>
    <w:rsid w:val="00A15FB3"/>
    <w:rsid w:val="00A16519"/>
    <w:rsid w:val="00A16E2C"/>
    <w:rsid w:val="00A17736"/>
    <w:rsid w:val="00A219C5"/>
    <w:rsid w:val="00A22644"/>
    <w:rsid w:val="00A259F5"/>
    <w:rsid w:val="00A2699F"/>
    <w:rsid w:val="00A26BAB"/>
    <w:rsid w:val="00A27586"/>
    <w:rsid w:val="00A277B5"/>
    <w:rsid w:val="00A27D86"/>
    <w:rsid w:val="00A30023"/>
    <w:rsid w:val="00A30157"/>
    <w:rsid w:val="00A30D97"/>
    <w:rsid w:val="00A31A75"/>
    <w:rsid w:val="00A31E23"/>
    <w:rsid w:val="00A31F98"/>
    <w:rsid w:val="00A3366F"/>
    <w:rsid w:val="00A33ECC"/>
    <w:rsid w:val="00A34349"/>
    <w:rsid w:val="00A3506F"/>
    <w:rsid w:val="00A359E5"/>
    <w:rsid w:val="00A36163"/>
    <w:rsid w:val="00A361FD"/>
    <w:rsid w:val="00A4031C"/>
    <w:rsid w:val="00A409DC"/>
    <w:rsid w:val="00A41013"/>
    <w:rsid w:val="00A421A8"/>
    <w:rsid w:val="00A423AB"/>
    <w:rsid w:val="00A426A5"/>
    <w:rsid w:val="00A427D6"/>
    <w:rsid w:val="00A445BB"/>
    <w:rsid w:val="00A457E8"/>
    <w:rsid w:val="00A45DCE"/>
    <w:rsid w:val="00A46346"/>
    <w:rsid w:val="00A4637C"/>
    <w:rsid w:val="00A4797C"/>
    <w:rsid w:val="00A5263B"/>
    <w:rsid w:val="00A526AA"/>
    <w:rsid w:val="00A52D3B"/>
    <w:rsid w:val="00A54376"/>
    <w:rsid w:val="00A56415"/>
    <w:rsid w:val="00A56909"/>
    <w:rsid w:val="00A57E82"/>
    <w:rsid w:val="00A606C7"/>
    <w:rsid w:val="00A612AA"/>
    <w:rsid w:val="00A61736"/>
    <w:rsid w:val="00A62982"/>
    <w:rsid w:val="00A62E77"/>
    <w:rsid w:val="00A62FED"/>
    <w:rsid w:val="00A638F9"/>
    <w:rsid w:val="00A64020"/>
    <w:rsid w:val="00A65876"/>
    <w:rsid w:val="00A66203"/>
    <w:rsid w:val="00A66C8B"/>
    <w:rsid w:val="00A67C8A"/>
    <w:rsid w:val="00A70CC5"/>
    <w:rsid w:val="00A70F74"/>
    <w:rsid w:val="00A714B1"/>
    <w:rsid w:val="00A71942"/>
    <w:rsid w:val="00A72079"/>
    <w:rsid w:val="00A72124"/>
    <w:rsid w:val="00A73300"/>
    <w:rsid w:val="00A73D0C"/>
    <w:rsid w:val="00A73F87"/>
    <w:rsid w:val="00A74595"/>
    <w:rsid w:val="00A74BC7"/>
    <w:rsid w:val="00A750D3"/>
    <w:rsid w:val="00A75513"/>
    <w:rsid w:val="00A76950"/>
    <w:rsid w:val="00A77D2B"/>
    <w:rsid w:val="00A77EB2"/>
    <w:rsid w:val="00A803F9"/>
    <w:rsid w:val="00A807CF"/>
    <w:rsid w:val="00A809AE"/>
    <w:rsid w:val="00A80D1E"/>
    <w:rsid w:val="00A80DD3"/>
    <w:rsid w:val="00A80FBD"/>
    <w:rsid w:val="00A8272F"/>
    <w:rsid w:val="00A82C22"/>
    <w:rsid w:val="00A82E48"/>
    <w:rsid w:val="00A841EF"/>
    <w:rsid w:val="00A843D2"/>
    <w:rsid w:val="00A84F12"/>
    <w:rsid w:val="00A853A1"/>
    <w:rsid w:val="00A85D83"/>
    <w:rsid w:val="00A86FAC"/>
    <w:rsid w:val="00A87647"/>
    <w:rsid w:val="00A878B7"/>
    <w:rsid w:val="00A87AD8"/>
    <w:rsid w:val="00A87B90"/>
    <w:rsid w:val="00A900C0"/>
    <w:rsid w:val="00A90F42"/>
    <w:rsid w:val="00A923C4"/>
    <w:rsid w:val="00A936AB"/>
    <w:rsid w:val="00A93C60"/>
    <w:rsid w:val="00A94739"/>
    <w:rsid w:val="00A95361"/>
    <w:rsid w:val="00A95E11"/>
    <w:rsid w:val="00AA08D9"/>
    <w:rsid w:val="00AA0BEE"/>
    <w:rsid w:val="00AA1BC3"/>
    <w:rsid w:val="00AA2AE5"/>
    <w:rsid w:val="00AA391F"/>
    <w:rsid w:val="00AA3AE3"/>
    <w:rsid w:val="00AA426F"/>
    <w:rsid w:val="00AA4766"/>
    <w:rsid w:val="00AA4DA9"/>
    <w:rsid w:val="00AA5792"/>
    <w:rsid w:val="00AA579D"/>
    <w:rsid w:val="00AA67E9"/>
    <w:rsid w:val="00AA6A85"/>
    <w:rsid w:val="00AA6B11"/>
    <w:rsid w:val="00AA7317"/>
    <w:rsid w:val="00AB09D5"/>
    <w:rsid w:val="00AB13CE"/>
    <w:rsid w:val="00AB22D3"/>
    <w:rsid w:val="00AB2376"/>
    <w:rsid w:val="00AB2C21"/>
    <w:rsid w:val="00AB312F"/>
    <w:rsid w:val="00AB33A1"/>
    <w:rsid w:val="00AB353A"/>
    <w:rsid w:val="00AB425C"/>
    <w:rsid w:val="00AB4266"/>
    <w:rsid w:val="00AB4D07"/>
    <w:rsid w:val="00AB568A"/>
    <w:rsid w:val="00AB6591"/>
    <w:rsid w:val="00AB6A59"/>
    <w:rsid w:val="00AB7197"/>
    <w:rsid w:val="00AB7301"/>
    <w:rsid w:val="00AC011E"/>
    <w:rsid w:val="00AC0A30"/>
    <w:rsid w:val="00AC0C9D"/>
    <w:rsid w:val="00AC236A"/>
    <w:rsid w:val="00AC2859"/>
    <w:rsid w:val="00AC3FEE"/>
    <w:rsid w:val="00AC52AB"/>
    <w:rsid w:val="00AC5320"/>
    <w:rsid w:val="00AC5FF9"/>
    <w:rsid w:val="00AC6E4C"/>
    <w:rsid w:val="00AC73B8"/>
    <w:rsid w:val="00AC755D"/>
    <w:rsid w:val="00AC7D02"/>
    <w:rsid w:val="00AC7EB8"/>
    <w:rsid w:val="00AD0308"/>
    <w:rsid w:val="00AD0D45"/>
    <w:rsid w:val="00AD4757"/>
    <w:rsid w:val="00AD51CB"/>
    <w:rsid w:val="00AE0DB9"/>
    <w:rsid w:val="00AE1516"/>
    <w:rsid w:val="00AE1B4C"/>
    <w:rsid w:val="00AE1BEB"/>
    <w:rsid w:val="00AE1EFF"/>
    <w:rsid w:val="00AE203C"/>
    <w:rsid w:val="00AE2749"/>
    <w:rsid w:val="00AE37EC"/>
    <w:rsid w:val="00AE3FE8"/>
    <w:rsid w:val="00AE5179"/>
    <w:rsid w:val="00AE5CD7"/>
    <w:rsid w:val="00AE6FE5"/>
    <w:rsid w:val="00AE7935"/>
    <w:rsid w:val="00AF07F5"/>
    <w:rsid w:val="00AF0D13"/>
    <w:rsid w:val="00AF1DAD"/>
    <w:rsid w:val="00AF3055"/>
    <w:rsid w:val="00AF3761"/>
    <w:rsid w:val="00AF511F"/>
    <w:rsid w:val="00AF63DB"/>
    <w:rsid w:val="00AF67A7"/>
    <w:rsid w:val="00AF7AB5"/>
    <w:rsid w:val="00B01B82"/>
    <w:rsid w:val="00B02561"/>
    <w:rsid w:val="00B03052"/>
    <w:rsid w:val="00B03270"/>
    <w:rsid w:val="00B0349A"/>
    <w:rsid w:val="00B036FF"/>
    <w:rsid w:val="00B03B9E"/>
    <w:rsid w:val="00B03F92"/>
    <w:rsid w:val="00B03FAD"/>
    <w:rsid w:val="00B03FDF"/>
    <w:rsid w:val="00B04D0B"/>
    <w:rsid w:val="00B0537C"/>
    <w:rsid w:val="00B05488"/>
    <w:rsid w:val="00B05C1B"/>
    <w:rsid w:val="00B06DD0"/>
    <w:rsid w:val="00B07203"/>
    <w:rsid w:val="00B072B7"/>
    <w:rsid w:val="00B07702"/>
    <w:rsid w:val="00B07B93"/>
    <w:rsid w:val="00B1086A"/>
    <w:rsid w:val="00B10B92"/>
    <w:rsid w:val="00B11044"/>
    <w:rsid w:val="00B12964"/>
    <w:rsid w:val="00B1326B"/>
    <w:rsid w:val="00B14796"/>
    <w:rsid w:val="00B17326"/>
    <w:rsid w:val="00B20F6A"/>
    <w:rsid w:val="00B21D13"/>
    <w:rsid w:val="00B2205D"/>
    <w:rsid w:val="00B22858"/>
    <w:rsid w:val="00B233D5"/>
    <w:rsid w:val="00B249DA"/>
    <w:rsid w:val="00B24F91"/>
    <w:rsid w:val="00B25513"/>
    <w:rsid w:val="00B25DCF"/>
    <w:rsid w:val="00B25FCF"/>
    <w:rsid w:val="00B26DAC"/>
    <w:rsid w:val="00B309BB"/>
    <w:rsid w:val="00B30F9A"/>
    <w:rsid w:val="00B320A4"/>
    <w:rsid w:val="00B3274C"/>
    <w:rsid w:val="00B328C0"/>
    <w:rsid w:val="00B32A79"/>
    <w:rsid w:val="00B32DF0"/>
    <w:rsid w:val="00B32FD9"/>
    <w:rsid w:val="00B338BE"/>
    <w:rsid w:val="00B33D01"/>
    <w:rsid w:val="00B3477D"/>
    <w:rsid w:val="00B353F2"/>
    <w:rsid w:val="00B3638B"/>
    <w:rsid w:val="00B3674E"/>
    <w:rsid w:val="00B36A19"/>
    <w:rsid w:val="00B379B2"/>
    <w:rsid w:val="00B406F9"/>
    <w:rsid w:val="00B40E56"/>
    <w:rsid w:val="00B41D67"/>
    <w:rsid w:val="00B43261"/>
    <w:rsid w:val="00B44944"/>
    <w:rsid w:val="00B44CAD"/>
    <w:rsid w:val="00B4511E"/>
    <w:rsid w:val="00B4515A"/>
    <w:rsid w:val="00B45EF8"/>
    <w:rsid w:val="00B464C3"/>
    <w:rsid w:val="00B46E22"/>
    <w:rsid w:val="00B47196"/>
    <w:rsid w:val="00B47739"/>
    <w:rsid w:val="00B47A5D"/>
    <w:rsid w:val="00B47BD5"/>
    <w:rsid w:val="00B50639"/>
    <w:rsid w:val="00B50661"/>
    <w:rsid w:val="00B50895"/>
    <w:rsid w:val="00B51F55"/>
    <w:rsid w:val="00B53362"/>
    <w:rsid w:val="00B5360F"/>
    <w:rsid w:val="00B540F5"/>
    <w:rsid w:val="00B54375"/>
    <w:rsid w:val="00B56F22"/>
    <w:rsid w:val="00B572AB"/>
    <w:rsid w:val="00B57A34"/>
    <w:rsid w:val="00B57CBE"/>
    <w:rsid w:val="00B606E7"/>
    <w:rsid w:val="00B608B6"/>
    <w:rsid w:val="00B611F4"/>
    <w:rsid w:val="00B62D9B"/>
    <w:rsid w:val="00B63A1D"/>
    <w:rsid w:val="00B649C7"/>
    <w:rsid w:val="00B66769"/>
    <w:rsid w:val="00B669BF"/>
    <w:rsid w:val="00B66ADF"/>
    <w:rsid w:val="00B66C72"/>
    <w:rsid w:val="00B67892"/>
    <w:rsid w:val="00B701C4"/>
    <w:rsid w:val="00B70397"/>
    <w:rsid w:val="00B71247"/>
    <w:rsid w:val="00B72090"/>
    <w:rsid w:val="00B721D1"/>
    <w:rsid w:val="00B726B0"/>
    <w:rsid w:val="00B72BCA"/>
    <w:rsid w:val="00B73586"/>
    <w:rsid w:val="00B754C8"/>
    <w:rsid w:val="00B763D9"/>
    <w:rsid w:val="00B76459"/>
    <w:rsid w:val="00B80052"/>
    <w:rsid w:val="00B814F7"/>
    <w:rsid w:val="00B81627"/>
    <w:rsid w:val="00B83533"/>
    <w:rsid w:val="00B83719"/>
    <w:rsid w:val="00B8415B"/>
    <w:rsid w:val="00B84398"/>
    <w:rsid w:val="00B84478"/>
    <w:rsid w:val="00B8461E"/>
    <w:rsid w:val="00B84EF2"/>
    <w:rsid w:val="00B86BC1"/>
    <w:rsid w:val="00B876C5"/>
    <w:rsid w:val="00B917F9"/>
    <w:rsid w:val="00B91BE3"/>
    <w:rsid w:val="00B92CFB"/>
    <w:rsid w:val="00B92DF7"/>
    <w:rsid w:val="00B93581"/>
    <w:rsid w:val="00B94C99"/>
    <w:rsid w:val="00B96D77"/>
    <w:rsid w:val="00BA1759"/>
    <w:rsid w:val="00BA1929"/>
    <w:rsid w:val="00BA1E33"/>
    <w:rsid w:val="00BA2452"/>
    <w:rsid w:val="00BA29DF"/>
    <w:rsid w:val="00BA2C2E"/>
    <w:rsid w:val="00BA2C70"/>
    <w:rsid w:val="00BA2E42"/>
    <w:rsid w:val="00BA338A"/>
    <w:rsid w:val="00BA39DF"/>
    <w:rsid w:val="00BA3A78"/>
    <w:rsid w:val="00BA5B5D"/>
    <w:rsid w:val="00BA642A"/>
    <w:rsid w:val="00BA68E4"/>
    <w:rsid w:val="00BA6BF0"/>
    <w:rsid w:val="00BA797A"/>
    <w:rsid w:val="00BB08D6"/>
    <w:rsid w:val="00BB1037"/>
    <w:rsid w:val="00BB20E9"/>
    <w:rsid w:val="00BB3935"/>
    <w:rsid w:val="00BB5947"/>
    <w:rsid w:val="00BB5E7B"/>
    <w:rsid w:val="00BB65EC"/>
    <w:rsid w:val="00BB6890"/>
    <w:rsid w:val="00BB7C36"/>
    <w:rsid w:val="00BC0127"/>
    <w:rsid w:val="00BC0513"/>
    <w:rsid w:val="00BC067A"/>
    <w:rsid w:val="00BC1469"/>
    <w:rsid w:val="00BC19C5"/>
    <w:rsid w:val="00BC1ED3"/>
    <w:rsid w:val="00BC2433"/>
    <w:rsid w:val="00BC2A2F"/>
    <w:rsid w:val="00BC2D46"/>
    <w:rsid w:val="00BC31AB"/>
    <w:rsid w:val="00BC4001"/>
    <w:rsid w:val="00BC4DA4"/>
    <w:rsid w:val="00BC5343"/>
    <w:rsid w:val="00BC6BDB"/>
    <w:rsid w:val="00BC7491"/>
    <w:rsid w:val="00BC7D61"/>
    <w:rsid w:val="00BD1330"/>
    <w:rsid w:val="00BD1C03"/>
    <w:rsid w:val="00BD2603"/>
    <w:rsid w:val="00BD267E"/>
    <w:rsid w:val="00BD4501"/>
    <w:rsid w:val="00BD4D77"/>
    <w:rsid w:val="00BD6F59"/>
    <w:rsid w:val="00BD7AA8"/>
    <w:rsid w:val="00BD7ED1"/>
    <w:rsid w:val="00BE0321"/>
    <w:rsid w:val="00BE07C8"/>
    <w:rsid w:val="00BE190D"/>
    <w:rsid w:val="00BE2A46"/>
    <w:rsid w:val="00BE2D1D"/>
    <w:rsid w:val="00BE3396"/>
    <w:rsid w:val="00BE34ED"/>
    <w:rsid w:val="00BE4400"/>
    <w:rsid w:val="00BE4993"/>
    <w:rsid w:val="00BE49CD"/>
    <w:rsid w:val="00BE516A"/>
    <w:rsid w:val="00BE53BA"/>
    <w:rsid w:val="00BE5A07"/>
    <w:rsid w:val="00BE633E"/>
    <w:rsid w:val="00BE6C08"/>
    <w:rsid w:val="00BE6F30"/>
    <w:rsid w:val="00BF0310"/>
    <w:rsid w:val="00BF3CEB"/>
    <w:rsid w:val="00BF3F44"/>
    <w:rsid w:val="00BF4971"/>
    <w:rsid w:val="00BF74D1"/>
    <w:rsid w:val="00BF75AC"/>
    <w:rsid w:val="00BF75BF"/>
    <w:rsid w:val="00C0031B"/>
    <w:rsid w:val="00C01B13"/>
    <w:rsid w:val="00C02561"/>
    <w:rsid w:val="00C0336C"/>
    <w:rsid w:val="00C03DFF"/>
    <w:rsid w:val="00C0451B"/>
    <w:rsid w:val="00C0460C"/>
    <w:rsid w:val="00C04F32"/>
    <w:rsid w:val="00C066D0"/>
    <w:rsid w:val="00C06EDB"/>
    <w:rsid w:val="00C06EFF"/>
    <w:rsid w:val="00C0735A"/>
    <w:rsid w:val="00C10240"/>
    <w:rsid w:val="00C11C1D"/>
    <w:rsid w:val="00C12AB7"/>
    <w:rsid w:val="00C13863"/>
    <w:rsid w:val="00C13B9B"/>
    <w:rsid w:val="00C13CA4"/>
    <w:rsid w:val="00C14484"/>
    <w:rsid w:val="00C15262"/>
    <w:rsid w:val="00C17074"/>
    <w:rsid w:val="00C174CF"/>
    <w:rsid w:val="00C21A6B"/>
    <w:rsid w:val="00C22429"/>
    <w:rsid w:val="00C245AC"/>
    <w:rsid w:val="00C2469A"/>
    <w:rsid w:val="00C25990"/>
    <w:rsid w:val="00C26473"/>
    <w:rsid w:val="00C27392"/>
    <w:rsid w:val="00C30D0F"/>
    <w:rsid w:val="00C3169E"/>
    <w:rsid w:val="00C31B66"/>
    <w:rsid w:val="00C31FFE"/>
    <w:rsid w:val="00C337B6"/>
    <w:rsid w:val="00C33C8F"/>
    <w:rsid w:val="00C33E2E"/>
    <w:rsid w:val="00C3466B"/>
    <w:rsid w:val="00C34985"/>
    <w:rsid w:val="00C34D26"/>
    <w:rsid w:val="00C3517B"/>
    <w:rsid w:val="00C3612C"/>
    <w:rsid w:val="00C368A9"/>
    <w:rsid w:val="00C36EF4"/>
    <w:rsid w:val="00C402BC"/>
    <w:rsid w:val="00C40AEC"/>
    <w:rsid w:val="00C40C01"/>
    <w:rsid w:val="00C40C54"/>
    <w:rsid w:val="00C413D1"/>
    <w:rsid w:val="00C423D9"/>
    <w:rsid w:val="00C43109"/>
    <w:rsid w:val="00C43CD4"/>
    <w:rsid w:val="00C440C4"/>
    <w:rsid w:val="00C443D0"/>
    <w:rsid w:val="00C445D4"/>
    <w:rsid w:val="00C446DC"/>
    <w:rsid w:val="00C45B56"/>
    <w:rsid w:val="00C45EDF"/>
    <w:rsid w:val="00C45F1E"/>
    <w:rsid w:val="00C46234"/>
    <w:rsid w:val="00C4629D"/>
    <w:rsid w:val="00C467FC"/>
    <w:rsid w:val="00C471F8"/>
    <w:rsid w:val="00C47283"/>
    <w:rsid w:val="00C4764E"/>
    <w:rsid w:val="00C47A8A"/>
    <w:rsid w:val="00C50B38"/>
    <w:rsid w:val="00C51A3F"/>
    <w:rsid w:val="00C51C1B"/>
    <w:rsid w:val="00C51CC0"/>
    <w:rsid w:val="00C5211B"/>
    <w:rsid w:val="00C521CA"/>
    <w:rsid w:val="00C526B1"/>
    <w:rsid w:val="00C52C6C"/>
    <w:rsid w:val="00C530EE"/>
    <w:rsid w:val="00C53C13"/>
    <w:rsid w:val="00C53EB2"/>
    <w:rsid w:val="00C55B14"/>
    <w:rsid w:val="00C57112"/>
    <w:rsid w:val="00C576F3"/>
    <w:rsid w:val="00C57B07"/>
    <w:rsid w:val="00C6017D"/>
    <w:rsid w:val="00C60819"/>
    <w:rsid w:val="00C626E5"/>
    <w:rsid w:val="00C62B43"/>
    <w:rsid w:val="00C63686"/>
    <w:rsid w:val="00C638E6"/>
    <w:rsid w:val="00C6468F"/>
    <w:rsid w:val="00C64697"/>
    <w:rsid w:val="00C65BDF"/>
    <w:rsid w:val="00C6720A"/>
    <w:rsid w:val="00C6763F"/>
    <w:rsid w:val="00C678E9"/>
    <w:rsid w:val="00C70260"/>
    <w:rsid w:val="00C7124C"/>
    <w:rsid w:val="00C71577"/>
    <w:rsid w:val="00C71AEC"/>
    <w:rsid w:val="00C71C99"/>
    <w:rsid w:val="00C72673"/>
    <w:rsid w:val="00C726D4"/>
    <w:rsid w:val="00C72D7C"/>
    <w:rsid w:val="00C732C7"/>
    <w:rsid w:val="00C7346C"/>
    <w:rsid w:val="00C739A9"/>
    <w:rsid w:val="00C73F17"/>
    <w:rsid w:val="00C74782"/>
    <w:rsid w:val="00C74A99"/>
    <w:rsid w:val="00C75D1F"/>
    <w:rsid w:val="00C7675C"/>
    <w:rsid w:val="00C76C8D"/>
    <w:rsid w:val="00C770D1"/>
    <w:rsid w:val="00C776DE"/>
    <w:rsid w:val="00C77BF4"/>
    <w:rsid w:val="00C8059C"/>
    <w:rsid w:val="00C8132A"/>
    <w:rsid w:val="00C8286D"/>
    <w:rsid w:val="00C829C8"/>
    <w:rsid w:val="00C82A71"/>
    <w:rsid w:val="00C82AEF"/>
    <w:rsid w:val="00C82F24"/>
    <w:rsid w:val="00C84AE6"/>
    <w:rsid w:val="00C86555"/>
    <w:rsid w:val="00C87C88"/>
    <w:rsid w:val="00C9035F"/>
    <w:rsid w:val="00C90BC4"/>
    <w:rsid w:val="00C90EC4"/>
    <w:rsid w:val="00C9102D"/>
    <w:rsid w:val="00C91A95"/>
    <w:rsid w:val="00C92956"/>
    <w:rsid w:val="00C92CB9"/>
    <w:rsid w:val="00C93652"/>
    <w:rsid w:val="00C93B40"/>
    <w:rsid w:val="00C95693"/>
    <w:rsid w:val="00C96831"/>
    <w:rsid w:val="00C97A54"/>
    <w:rsid w:val="00C97C19"/>
    <w:rsid w:val="00CA0F9C"/>
    <w:rsid w:val="00CA1AB2"/>
    <w:rsid w:val="00CA27FB"/>
    <w:rsid w:val="00CA37E5"/>
    <w:rsid w:val="00CA38C8"/>
    <w:rsid w:val="00CA3C03"/>
    <w:rsid w:val="00CA43F5"/>
    <w:rsid w:val="00CA4B7E"/>
    <w:rsid w:val="00CA4C18"/>
    <w:rsid w:val="00CA4E0A"/>
    <w:rsid w:val="00CA58B8"/>
    <w:rsid w:val="00CA73B0"/>
    <w:rsid w:val="00CA7E5E"/>
    <w:rsid w:val="00CB098D"/>
    <w:rsid w:val="00CB0F13"/>
    <w:rsid w:val="00CB1FEB"/>
    <w:rsid w:val="00CB240E"/>
    <w:rsid w:val="00CB292B"/>
    <w:rsid w:val="00CB2DCD"/>
    <w:rsid w:val="00CB38BA"/>
    <w:rsid w:val="00CB3C04"/>
    <w:rsid w:val="00CB78F4"/>
    <w:rsid w:val="00CB7BC8"/>
    <w:rsid w:val="00CB7E57"/>
    <w:rsid w:val="00CC02EA"/>
    <w:rsid w:val="00CC0506"/>
    <w:rsid w:val="00CC09BD"/>
    <w:rsid w:val="00CC0B96"/>
    <w:rsid w:val="00CC16A6"/>
    <w:rsid w:val="00CC2205"/>
    <w:rsid w:val="00CC2495"/>
    <w:rsid w:val="00CC3548"/>
    <w:rsid w:val="00CC394D"/>
    <w:rsid w:val="00CC3E6F"/>
    <w:rsid w:val="00CC4FEA"/>
    <w:rsid w:val="00CC5E10"/>
    <w:rsid w:val="00CC69B0"/>
    <w:rsid w:val="00CC6A63"/>
    <w:rsid w:val="00CC6F92"/>
    <w:rsid w:val="00CC731A"/>
    <w:rsid w:val="00CC7885"/>
    <w:rsid w:val="00CC7923"/>
    <w:rsid w:val="00CC79D1"/>
    <w:rsid w:val="00CD06C9"/>
    <w:rsid w:val="00CD0E63"/>
    <w:rsid w:val="00CD3969"/>
    <w:rsid w:val="00CD3D80"/>
    <w:rsid w:val="00CD5739"/>
    <w:rsid w:val="00CD5CAE"/>
    <w:rsid w:val="00CD629C"/>
    <w:rsid w:val="00CD63B6"/>
    <w:rsid w:val="00CD68EC"/>
    <w:rsid w:val="00CE055E"/>
    <w:rsid w:val="00CE12D7"/>
    <w:rsid w:val="00CE1676"/>
    <w:rsid w:val="00CE2116"/>
    <w:rsid w:val="00CE3811"/>
    <w:rsid w:val="00CE3815"/>
    <w:rsid w:val="00CE49BD"/>
    <w:rsid w:val="00CE58FA"/>
    <w:rsid w:val="00CE5F32"/>
    <w:rsid w:val="00CE60D1"/>
    <w:rsid w:val="00CF1B39"/>
    <w:rsid w:val="00CF2618"/>
    <w:rsid w:val="00CF2F90"/>
    <w:rsid w:val="00CF37D1"/>
    <w:rsid w:val="00CF3F73"/>
    <w:rsid w:val="00CF4036"/>
    <w:rsid w:val="00CF5617"/>
    <w:rsid w:val="00CF6392"/>
    <w:rsid w:val="00CF6D7E"/>
    <w:rsid w:val="00CF6FBC"/>
    <w:rsid w:val="00CF7136"/>
    <w:rsid w:val="00D0064F"/>
    <w:rsid w:val="00D0101F"/>
    <w:rsid w:val="00D0126F"/>
    <w:rsid w:val="00D0377A"/>
    <w:rsid w:val="00D03B25"/>
    <w:rsid w:val="00D042E2"/>
    <w:rsid w:val="00D04421"/>
    <w:rsid w:val="00D046E1"/>
    <w:rsid w:val="00D047E5"/>
    <w:rsid w:val="00D04A9E"/>
    <w:rsid w:val="00D051C2"/>
    <w:rsid w:val="00D05705"/>
    <w:rsid w:val="00D067B5"/>
    <w:rsid w:val="00D06878"/>
    <w:rsid w:val="00D069E5"/>
    <w:rsid w:val="00D06C46"/>
    <w:rsid w:val="00D06CF6"/>
    <w:rsid w:val="00D06EF2"/>
    <w:rsid w:val="00D104B1"/>
    <w:rsid w:val="00D1068A"/>
    <w:rsid w:val="00D114B1"/>
    <w:rsid w:val="00D11E93"/>
    <w:rsid w:val="00D12123"/>
    <w:rsid w:val="00D1261D"/>
    <w:rsid w:val="00D126E1"/>
    <w:rsid w:val="00D12774"/>
    <w:rsid w:val="00D12BBA"/>
    <w:rsid w:val="00D14E5D"/>
    <w:rsid w:val="00D165D2"/>
    <w:rsid w:val="00D17E9D"/>
    <w:rsid w:val="00D20C29"/>
    <w:rsid w:val="00D2110D"/>
    <w:rsid w:val="00D2196F"/>
    <w:rsid w:val="00D220DD"/>
    <w:rsid w:val="00D22D62"/>
    <w:rsid w:val="00D2415F"/>
    <w:rsid w:val="00D246FD"/>
    <w:rsid w:val="00D24A13"/>
    <w:rsid w:val="00D2634F"/>
    <w:rsid w:val="00D26728"/>
    <w:rsid w:val="00D26D22"/>
    <w:rsid w:val="00D27938"/>
    <w:rsid w:val="00D30F54"/>
    <w:rsid w:val="00D31209"/>
    <w:rsid w:val="00D31329"/>
    <w:rsid w:val="00D317F1"/>
    <w:rsid w:val="00D31A9A"/>
    <w:rsid w:val="00D32A08"/>
    <w:rsid w:val="00D3457E"/>
    <w:rsid w:val="00D35BEC"/>
    <w:rsid w:val="00D35C6F"/>
    <w:rsid w:val="00D36473"/>
    <w:rsid w:val="00D36EC5"/>
    <w:rsid w:val="00D3724F"/>
    <w:rsid w:val="00D37D69"/>
    <w:rsid w:val="00D4190A"/>
    <w:rsid w:val="00D41DC0"/>
    <w:rsid w:val="00D432B5"/>
    <w:rsid w:val="00D432B9"/>
    <w:rsid w:val="00D43ED2"/>
    <w:rsid w:val="00D445AE"/>
    <w:rsid w:val="00D44BA2"/>
    <w:rsid w:val="00D44DE7"/>
    <w:rsid w:val="00D45C4D"/>
    <w:rsid w:val="00D45C55"/>
    <w:rsid w:val="00D45E29"/>
    <w:rsid w:val="00D47268"/>
    <w:rsid w:val="00D47E1F"/>
    <w:rsid w:val="00D52E63"/>
    <w:rsid w:val="00D53E90"/>
    <w:rsid w:val="00D54766"/>
    <w:rsid w:val="00D54A6A"/>
    <w:rsid w:val="00D54CA1"/>
    <w:rsid w:val="00D55026"/>
    <w:rsid w:val="00D55C64"/>
    <w:rsid w:val="00D6013E"/>
    <w:rsid w:val="00D612BC"/>
    <w:rsid w:val="00D61308"/>
    <w:rsid w:val="00D6148F"/>
    <w:rsid w:val="00D61904"/>
    <w:rsid w:val="00D62539"/>
    <w:rsid w:val="00D6332F"/>
    <w:rsid w:val="00D6462D"/>
    <w:rsid w:val="00D647BB"/>
    <w:rsid w:val="00D6486A"/>
    <w:rsid w:val="00D648C4"/>
    <w:rsid w:val="00D65F0D"/>
    <w:rsid w:val="00D6644B"/>
    <w:rsid w:val="00D66D74"/>
    <w:rsid w:val="00D67015"/>
    <w:rsid w:val="00D67A70"/>
    <w:rsid w:val="00D67BF8"/>
    <w:rsid w:val="00D7270B"/>
    <w:rsid w:val="00D72C60"/>
    <w:rsid w:val="00D73935"/>
    <w:rsid w:val="00D73E62"/>
    <w:rsid w:val="00D7453A"/>
    <w:rsid w:val="00D7529C"/>
    <w:rsid w:val="00D754D8"/>
    <w:rsid w:val="00D80F70"/>
    <w:rsid w:val="00D810CD"/>
    <w:rsid w:val="00D84527"/>
    <w:rsid w:val="00D85107"/>
    <w:rsid w:val="00D854FF"/>
    <w:rsid w:val="00D86242"/>
    <w:rsid w:val="00D86756"/>
    <w:rsid w:val="00D86C96"/>
    <w:rsid w:val="00D86E04"/>
    <w:rsid w:val="00D879F9"/>
    <w:rsid w:val="00D920DD"/>
    <w:rsid w:val="00D929BA"/>
    <w:rsid w:val="00D93A08"/>
    <w:rsid w:val="00D93FFD"/>
    <w:rsid w:val="00D943A7"/>
    <w:rsid w:val="00D949B5"/>
    <w:rsid w:val="00D94E03"/>
    <w:rsid w:val="00D9501F"/>
    <w:rsid w:val="00D95995"/>
    <w:rsid w:val="00D96E4C"/>
    <w:rsid w:val="00D971A7"/>
    <w:rsid w:val="00DA01DE"/>
    <w:rsid w:val="00DA0423"/>
    <w:rsid w:val="00DA081A"/>
    <w:rsid w:val="00DA0C4B"/>
    <w:rsid w:val="00DA217B"/>
    <w:rsid w:val="00DA3936"/>
    <w:rsid w:val="00DA734C"/>
    <w:rsid w:val="00DB0230"/>
    <w:rsid w:val="00DB1461"/>
    <w:rsid w:val="00DB357E"/>
    <w:rsid w:val="00DB3B4D"/>
    <w:rsid w:val="00DB3D93"/>
    <w:rsid w:val="00DB4BC4"/>
    <w:rsid w:val="00DB4DFB"/>
    <w:rsid w:val="00DB50EF"/>
    <w:rsid w:val="00DB5E03"/>
    <w:rsid w:val="00DB6976"/>
    <w:rsid w:val="00DC042D"/>
    <w:rsid w:val="00DC049C"/>
    <w:rsid w:val="00DC0B59"/>
    <w:rsid w:val="00DC34E4"/>
    <w:rsid w:val="00DC38ED"/>
    <w:rsid w:val="00DC4E0E"/>
    <w:rsid w:val="00DC532C"/>
    <w:rsid w:val="00DC5929"/>
    <w:rsid w:val="00DC5B11"/>
    <w:rsid w:val="00DC6A2D"/>
    <w:rsid w:val="00DC6EDE"/>
    <w:rsid w:val="00DD03BE"/>
    <w:rsid w:val="00DD04E3"/>
    <w:rsid w:val="00DD0756"/>
    <w:rsid w:val="00DD0952"/>
    <w:rsid w:val="00DD0B90"/>
    <w:rsid w:val="00DD14D2"/>
    <w:rsid w:val="00DD15B1"/>
    <w:rsid w:val="00DD1927"/>
    <w:rsid w:val="00DD1CF1"/>
    <w:rsid w:val="00DD391B"/>
    <w:rsid w:val="00DD42A3"/>
    <w:rsid w:val="00DD50C4"/>
    <w:rsid w:val="00DD5342"/>
    <w:rsid w:val="00DD593F"/>
    <w:rsid w:val="00DD5A7E"/>
    <w:rsid w:val="00DD62A9"/>
    <w:rsid w:val="00DD6807"/>
    <w:rsid w:val="00DD6B3A"/>
    <w:rsid w:val="00DD70C7"/>
    <w:rsid w:val="00DD73AE"/>
    <w:rsid w:val="00DD7F71"/>
    <w:rsid w:val="00DE090D"/>
    <w:rsid w:val="00DE13BB"/>
    <w:rsid w:val="00DE1437"/>
    <w:rsid w:val="00DE21CD"/>
    <w:rsid w:val="00DE3C6F"/>
    <w:rsid w:val="00DE49BF"/>
    <w:rsid w:val="00DE608E"/>
    <w:rsid w:val="00DE7EFF"/>
    <w:rsid w:val="00DF045E"/>
    <w:rsid w:val="00DF365F"/>
    <w:rsid w:val="00DF41B9"/>
    <w:rsid w:val="00DF4E89"/>
    <w:rsid w:val="00DF5B85"/>
    <w:rsid w:val="00DF5D36"/>
    <w:rsid w:val="00E00B0C"/>
    <w:rsid w:val="00E01B0A"/>
    <w:rsid w:val="00E0257C"/>
    <w:rsid w:val="00E02D11"/>
    <w:rsid w:val="00E03201"/>
    <w:rsid w:val="00E04787"/>
    <w:rsid w:val="00E0497C"/>
    <w:rsid w:val="00E06FDE"/>
    <w:rsid w:val="00E072F1"/>
    <w:rsid w:val="00E07982"/>
    <w:rsid w:val="00E10C22"/>
    <w:rsid w:val="00E10D2E"/>
    <w:rsid w:val="00E11D43"/>
    <w:rsid w:val="00E123D3"/>
    <w:rsid w:val="00E1287B"/>
    <w:rsid w:val="00E128DC"/>
    <w:rsid w:val="00E12E45"/>
    <w:rsid w:val="00E12F3C"/>
    <w:rsid w:val="00E130B6"/>
    <w:rsid w:val="00E1439A"/>
    <w:rsid w:val="00E14932"/>
    <w:rsid w:val="00E14AE8"/>
    <w:rsid w:val="00E15D87"/>
    <w:rsid w:val="00E15F3B"/>
    <w:rsid w:val="00E16144"/>
    <w:rsid w:val="00E2133C"/>
    <w:rsid w:val="00E22ABB"/>
    <w:rsid w:val="00E23BA1"/>
    <w:rsid w:val="00E23FD1"/>
    <w:rsid w:val="00E24B0F"/>
    <w:rsid w:val="00E25B45"/>
    <w:rsid w:val="00E27019"/>
    <w:rsid w:val="00E30B2C"/>
    <w:rsid w:val="00E30EB8"/>
    <w:rsid w:val="00E30FEE"/>
    <w:rsid w:val="00E31044"/>
    <w:rsid w:val="00E31819"/>
    <w:rsid w:val="00E32426"/>
    <w:rsid w:val="00E327F8"/>
    <w:rsid w:val="00E3348E"/>
    <w:rsid w:val="00E33861"/>
    <w:rsid w:val="00E33FAB"/>
    <w:rsid w:val="00E34210"/>
    <w:rsid w:val="00E347FC"/>
    <w:rsid w:val="00E357E4"/>
    <w:rsid w:val="00E3687A"/>
    <w:rsid w:val="00E36D1C"/>
    <w:rsid w:val="00E37C97"/>
    <w:rsid w:val="00E4000B"/>
    <w:rsid w:val="00E4131E"/>
    <w:rsid w:val="00E41E14"/>
    <w:rsid w:val="00E42094"/>
    <w:rsid w:val="00E426FD"/>
    <w:rsid w:val="00E44765"/>
    <w:rsid w:val="00E45B96"/>
    <w:rsid w:val="00E4671E"/>
    <w:rsid w:val="00E46C48"/>
    <w:rsid w:val="00E46EF7"/>
    <w:rsid w:val="00E4744A"/>
    <w:rsid w:val="00E511A2"/>
    <w:rsid w:val="00E52EFF"/>
    <w:rsid w:val="00E53C37"/>
    <w:rsid w:val="00E53EDC"/>
    <w:rsid w:val="00E55016"/>
    <w:rsid w:val="00E55814"/>
    <w:rsid w:val="00E57901"/>
    <w:rsid w:val="00E579F5"/>
    <w:rsid w:val="00E6370B"/>
    <w:rsid w:val="00E63D66"/>
    <w:rsid w:val="00E64238"/>
    <w:rsid w:val="00E65660"/>
    <w:rsid w:val="00E66051"/>
    <w:rsid w:val="00E66859"/>
    <w:rsid w:val="00E66E62"/>
    <w:rsid w:val="00E671B9"/>
    <w:rsid w:val="00E6775F"/>
    <w:rsid w:val="00E679A4"/>
    <w:rsid w:val="00E71331"/>
    <w:rsid w:val="00E7161F"/>
    <w:rsid w:val="00E717D9"/>
    <w:rsid w:val="00E744E8"/>
    <w:rsid w:val="00E752DA"/>
    <w:rsid w:val="00E754BF"/>
    <w:rsid w:val="00E75735"/>
    <w:rsid w:val="00E762DA"/>
    <w:rsid w:val="00E8052B"/>
    <w:rsid w:val="00E805B3"/>
    <w:rsid w:val="00E80E69"/>
    <w:rsid w:val="00E81689"/>
    <w:rsid w:val="00E83585"/>
    <w:rsid w:val="00E835F1"/>
    <w:rsid w:val="00E841A5"/>
    <w:rsid w:val="00E84F9D"/>
    <w:rsid w:val="00E86321"/>
    <w:rsid w:val="00E92ED1"/>
    <w:rsid w:val="00E93888"/>
    <w:rsid w:val="00E939A5"/>
    <w:rsid w:val="00E93EF6"/>
    <w:rsid w:val="00E9437A"/>
    <w:rsid w:val="00E94EBA"/>
    <w:rsid w:val="00E96457"/>
    <w:rsid w:val="00E97530"/>
    <w:rsid w:val="00E97785"/>
    <w:rsid w:val="00EA00F6"/>
    <w:rsid w:val="00EA337C"/>
    <w:rsid w:val="00EA36F9"/>
    <w:rsid w:val="00EA38E9"/>
    <w:rsid w:val="00EA3E7A"/>
    <w:rsid w:val="00EA50CC"/>
    <w:rsid w:val="00EA5EA2"/>
    <w:rsid w:val="00EA64B5"/>
    <w:rsid w:val="00EA65A1"/>
    <w:rsid w:val="00EA661A"/>
    <w:rsid w:val="00EA7032"/>
    <w:rsid w:val="00EA76C6"/>
    <w:rsid w:val="00EB1379"/>
    <w:rsid w:val="00EB1D21"/>
    <w:rsid w:val="00EB2789"/>
    <w:rsid w:val="00EB2C26"/>
    <w:rsid w:val="00EB369B"/>
    <w:rsid w:val="00EB374C"/>
    <w:rsid w:val="00EB4D85"/>
    <w:rsid w:val="00EB5555"/>
    <w:rsid w:val="00EB6C3B"/>
    <w:rsid w:val="00EB7397"/>
    <w:rsid w:val="00EB74EB"/>
    <w:rsid w:val="00EB7E44"/>
    <w:rsid w:val="00EC0693"/>
    <w:rsid w:val="00EC15A3"/>
    <w:rsid w:val="00EC160D"/>
    <w:rsid w:val="00EC16A7"/>
    <w:rsid w:val="00EC1B2D"/>
    <w:rsid w:val="00EC1BF4"/>
    <w:rsid w:val="00EC2F05"/>
    <w:rsid w:val="00EC346F"/>
    <w:rsid w:val="00EC3853"/>
    <w:rsid w:val="00EC3EA9"/>
    <w:rsid w:val="00EC4175"/>
    <w:rsid w:val="00EC43FA"/>
    <w:rsid w:val="00EC6A90"/>
    <w:rsid w:val="00EC6F0D"/>
    <w:rsid w:val="00EC7707"/>
    <w:rsid w:val="00ED0461"/>
    <w:rsid w:val="00ED0EDE"/>
    <w:rsid w:val="00ED110D"/>
    <w:rsid w:val="00ED14C9"/>
    <w:rsid w:val="00ED1916"/>
    <w:rsid w:val="00ED3295"/>
    <w:rsid w:val="00ED3945"/>
    <w:rsid w:val="00ED3CFD"/>
    <w:rsid w:val="00ED4856"/>
    <w:rsid w:val="00ED49BE"/>
    <w:rsid w:val="00ED5002"/>
    <w:rsid w:val="00ED68A4"/>
    <w:rsid w:val="00ED7E63"/>
    <w:rsid w:val="00EE0F81"/>
    <w:rsid w:val="00EE20B6"/>
    <w:rsid w:val="00EE3CBC"/>
    <w:rsid w:val="00EE521B"/>
    <w:rsid w:val="00EE5328"/>
    <w:rsid w:val="00EE5A60"/>
    <w:rsid w:val="00EE5A94"/>
    <w:rsid w:val="00EE6566"/>
    <w:rsid w:val="00EF033B"/>
    <w:rsid w:val="00EF0E43"/>
    <w:rsid w:val="00EF2E0C"/>
    <w:rsid w:val="00EF2F00"/>
    <w:rsid w:val="00EF312A"/>
    <w:rsid w:val="00EF3E95"/>
    <w:rsid w:val="00EF4B24"/>
    <w:rsid w:val="00EF4E67"/>
    <w:rsid w:val="00EF5760"/>
    <w:rsid w:val="00EF5A93"/>
    <w:rsid w:val="00EF70D1"/>
    <w:rsid w:val="00F00336"/>
    <w:rsid w:val="00F00F73"/>
    <w:rsid w:val="00F0113A"/>
    <w:rsid w:val="00F035A6"/>
    <w:rsid w:val="00F03FD8"/>
    <w:rsid w:val="00F044DF"/>
    <w:rsid w:val="00F05330"/>
    <w:rsid w:val="00F067EC"/>
    <w:rsid w:val="00F0681C"/>
    <w:rsid w:val="00F0727D"/>
    <w:rsid w:val="00F07867"/>
    <w:rsid w:val="00F101C1"/>
    <w:rsid w:val="00F11943"/>
    <w:rsid w:val="00F13ADE"/>
    <w:rsid w:val="00F14BDA"/>
    <w:rsid w:val="00F15D93"/>
    <w:rsid w:val="00F15E74"/>
    <w:rsid w:val="00F16A4F"/>
    <w:rsid w:val="00F20FBA"/>
    <w:rsid w:val="00F21274"/>
    <w:rsid w:val="00F236A9"/>
    <w:rsid w:val="00F242B6"/>
    <w:rsid w:val="00F2441C"/>
    <w:rsid w:val="00F2664B"/>
    <w:rsid w:val="00F26BBC"/>
    <w:rsid w:val="00F27CA5"/>
    <w:rsid w:val="00F27F22"/>
    <w:rsid w:val="00F316F1"/>
    <w:rsid w:val="00F31708"/>
    <w:rsid w:val="00F31F0B"/>
    <w:rsid w:val="00F32028"/>
    <w:rsid w:val="00F32563"/>
    <w:rsid w:val="00F329D3"/>
    <w:rsid w:val="00F34F57"/>
    <w:rsid w:val="00F3705D"/>
    <w:rsid w:val="00F4009D"/>
    <w:rsid w:val="00F40197"/>
    <w:rsid w:val="00F406A3"/>
    <w:rsid w:val="00F40738"/>
    <w:rsid w:val="00F40825"/>
    <w:rsid w:val="00F41BC5"/>
    <w:rsid w:val="00F42103"/>
    <w:rsid w:val="00F4264F"/>
    <w:rsid w:val="00F42C39"/>
    <w:rsid w:val="00F42D3D"/>
    <w:rsid w:val="00F42E2E"/>
    <w:rsid w:val="00F4545C"/>
    <w:rsid w:val="00F4694D"/>
    <w:rsid w:val="00F5125D"/>
    <w:rsid w:val="00F52767"/>
    <w:rsid w:val="00F52BE1"/>
    <w:rsid w:val="00F52FC2"/>
    <w:rsid w:val="00F5342C"/>
    <w:rsid w:val="00F53A11"/>
    <w:rsid w:val="00F54411"/>
    <w:rsid w:val="00F54F00"/>
    <w:rsid w:val="00F5541C"/>
    <w:rsid w:val="00F554A3"/>
    <w:rsid w:val="00F55F7E"/>
    <w:rsid w:val="00F56311"/>
    <w:rsid w:val="00F56E79"/>
    <w:rsid w:val="00F573DB"/>
    <w:rsid w:val="00F57FC1"/>
    <w:rsid w:val="00F6168C"/>
    <w:rsid w:val="00F61DA2"/>
    <w:rsid w:val="00F620AB"/>
    <w:rsid w:val="00F62EBF"/>
    <w:rsid w:val="00F633EC"/>
    <w:rsid w:val="00F63F52"/>
    <w:rsid w:val="00F6477C"/>
    <w:rsid w:val="00F6480E"/>
    <w:rsid w:val="00F64E13"/>
    <w:rsid w:val="00F65904"/>
    <w:rsid w:val="00F65A52"/>
    <w:rsid w:val="00F66E40"/>
    <w:rsid w:val="00F670FE"/>
    <w:rsid w:val="00F67590"/>
    <w:rsid w:val="00F72400"/>
    <w:rsid w:val="00F72572"/>
    <w:rsid w:val="00F72909"/>
    <w:rsid w:val="00F73DB6"/>
    <w:rsid w:val="00F7434B"/>
    <w:rsid w:val="00F75C9A"/>
    <w:rsid w:val="00F75E30"/>
    <w:rsid w:val="00F75E56"/>
    <w:rsid w:val="00F76DD7"/>
    <w:rsid w:val="00F80CB4"/>
    <w:rsid w:val="00F80DA5"/>
    <w:rsid w:val="00F8141F"/>
    <w:rsid w:val="00F817C5"/>
    <w:rsid w:val="00F81D21"/>
    <w:rsid w:val="00F82CA4"/>
    <w:rsid w:val="00F82E28"/>
    <w:rsid w:val="00F83C84"/>
    <w:rsid w:val="00F8402D"/>
    <w:rsid w:val="00F86724"/>
    <w:rsid w:val="00F870AE"/>
    <w:rsid w:val="00F87331"/>
    <w:rsid w:val="00F873EC"/>
    <w:rsid w:val="00F877E9"/>
    <w:rsid w:val="00F9001D"/>
    <w:rsid w:val="00F90FCF"/>
    <w:rsid w:val="00F921DC"/>
    <w:rsid w:val="00F93327"/>
    <w:rsid w:val="00F93FE1"/>
    <w:rsid w:val="00F947DC"/>
    <w:rsid w:val="00F94D03"/>
    <w:rsid w:val="00F95D24"/>
    <w:rsid w:val="00F97338"/>
    <w:rsid w:val="00F97B0B"/>
    <w:rsid w:val="00F97BA9"/>
    <w:rsid w:val="00FA00A9"/>
    <w:rsid w:val="00FA113C"/>
    <w:rsid w:val="00FA1173"/>
    <w:rsid w:val="00FA17D6"/>
    <w:rsid w:val="00FA2968"/>
    <w:rsid w:val="00FA3934"/>
    <w:rsid w:val="00FA4C33"/>
    <w:rsid w:val="00FA5CF2"/>
    <w:rsid w:val="00FA687F"/>
    <w:rsid w:val="00FA77B3"/>
    <w:rsid w:val="00FA7A07"/>
    <w:rsid w:val="00FA7ED3"/>
    <w:rsid w:val="00FB3D64"/>
    <w:rsid w:val="00FB3E09"/>
    <w:rsid w:val="00FB456A"/>
    <w:rsid w:val="00FB5747"/>
    <w:rsid w:val="00FB7F8C"/>
    <w:rsid w:val="00FC0188"/>
    <w:rsid w:val="00FC0265"/>
    <w:rsid w:val="00FC0F87"/>
    <w:rsid w:val="00FC2C57"/>
    <w:rsid w:val="00FC36B4"/>
    <w:rsid w:val="00FC3821"/>
    <w:rsid w:val="00FC4F2D"/>
    <w:rsid w:val="00FC5790"/>
    <w:rsid w:val="00FC6133"/>
    <w:rsid w:val="00FC655D"/>
    <w:rsid w:val="00FC7732"/>
    <w:rsid w:val="00FC7813"/>
    <w:rsid w:val="00FC7A75"/>
    <w:rsid w:val="00FC7C64"/>
    <w:rsid w:val="00FD0517"/>
    <w:rsid w:val="00FD1228"/>
    <w:rsid w:val="00FD3054"/>
    <w:rsid w:val="00FD391F"/>
    <w:rsid w:val="00FD5169"/>
    <w:rsid w:val="00FD617A"/>
    <w:rsid w:val="00FD63BB"/>
    <w:rsid w:val="00FD64BC"/>
    <w:rsid w:val="00FD77F7"/>
    <w:rsid w:val="00FD7D13"/>
    <w:rsid w:val="00FD7DD9"/>
    <w:rsid w:val="00FE0452"/>
    <w:rsid w:val="00FE1131"/>
    <w:rsid w:val="00FE1305"/>
    <w:rsid w:val="00FE1798"/>
    <w:rsid w:val="00FE1E58"/>
    <w:rsid w:val="00FE2778"/>
    <w:rsid w:val="00FE2EB9"/>
    <w:rsid w:val="00FE53D4"/>
    <w:rsid w:val="00FE6D38"/>
    <w:rsid w:val="00FF1DC3"/>
    <w:rsid w:val="00FF2674"/>
    <w:rsid w:val="00FF26C3"/>
    <w:rsid w:val="00FF2755"/>
    <w:rsid w:val="00FF2E15"/>
    <w:rsid w:val="00FF3605"/>
    <w:rsid w:val="00FF3E36"/>
    <w:rsid w:val="00FF5CAD"/>
    <w:rsid w:val="00FF6139"/>
    <w:rsid w:val="00FF6208"/>
    <w:rsid w:val="00FF70AD"/>
    <w:rsid w:val="00FF7572"/>
    <w:rsid w:val="00FF7C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2B895"/>
  <w15:docId w15:val="{B8FD8B07-C6C5-466B-A457-1435830E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iPriority="99"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B0654"/>
    <w:pPr>
      <w:bidi/>
    </w:pPr>
    <w:rPr>
      <w:sz w:val="24"/>
      <w:szCs w:val="24"/>
    </w:rPr>
  </w:style>
  <w:style w:type="paragraph" w:styleId="Heading1">
    <w:name w:val="heading 1"/>
    <w:basedOn w:val="Normal"/>
    <w:next w:val="Normal"/>
    <w:link w:val="Heading1Char"/>
    <w:uiPriority w:val="9"/>
    <w:rsid w:val="007E7135"/>
    <w:pPr>
      <w:autoSpaceDE w:val="0"/>
      <w:autoSpaceDN w:val="0"/>
      <w:bidi w:val="0"/>
      <w:adjustRightInd w:val="0"/>
      <w:spacing w:line="480" w:lineRule="auto"/>
      <w:contextualSpacing/>
      <w:jc w:val="both"/>
      <w:outlineLvl w:val="0"/>
    </w:pPr>
    <w:rPr>
      <w:b/>
      <w:bCs/>
      <w:color w:val="000000"/>
      <w:sz w:val="28"/>
      <w:szCs w:val="28"/>
    </w:rPr>
  </w:style>
  <w:style w:type="paragraph" w:styleId="Heading2">
    <w:name w:val="heading 2"/>
    <w:basedOn w:val="P"/>
    <w:next w:val="Normal"/>
    <w:link w:val="Heading2Char"/>
    <w:uiPriority w:val="9"/>
    <w:unhideWhenUsed/>
    <w:rsid w:val="00856F09"/>
    <w:pPr>
      <w:numPr>
        <w:ilvl w:val="1"/>
        <w:numId w:val="1"/>
      </w:numPr>
      <w:outlineLvl w:val="1"/>
    </w:pPr>
    <w:rPr>
      <w:b/>
      <w:bCs/>
      <w:lang w:bidi="ar-EG"/>
    </w:rPr>
  </w:style>
  <w:style w:type="paragraph" w:styleId="Heading3">
    <w:name w:val="heading 3"/>
    <w:basedOn w:val="Normal"/>
    <w:next w:val="Normal"/>
    <w:link w:val="Heading3Char"/>
    <w:uiPriority w:val="9"/>
    <w:unhideWhenUsed/>
    <w:rsid w:val="000A3D5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rsid w:val="000A3D5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rsid w:val="000A3D5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rsid w:val="00783B50"/>
    <w:pPr>
      <w:keepNext/>
      <w:keepLines/>
      <w:spacing w:before="200" w:line="276" w:lineRule="auto"/>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994105"/>
    <w:pPr>
      <w:keepNext/>
      <w:keepLines/>
      <w:bidi w:val="0"/>
      <w:spacing w:before="40" w:line="276" w:lineRule="auto"/>
      <w:outlineLvl w:val="6"/>
    </w:pPr>
    <w:rPr>
      <w:rFonts w:ascii="Cambria" w:eastAsia="SimSun" w:hAnsi="Cambria"/>
      <w:i/>
      <w:iCs/>
      <w:color w:val="243F60"/>
      <w:sz w:val="22"/>
      <w:szCs w:val="22"/>
    </w:rPr>
  </w:style>
  <w:style w:type="paragraph" w:styleId="Heading9">
    <w:name w:val="heading 9"/>
    <w:basedOn w:val="Normal"/>
    <w:next w:val="Normal"/>
    <w:link w:val="Heading9Char"/>
    <w:unhideWhenUsed/>
    <w:rsid w:val="00783B50"/>
    <w:pPr>
      <w:keepNext/>
      <w:keepLines/>
      <w:bidi w:val="0"/>
      <w:spacing w:before="20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A0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B93581"/>
    <w:rPr>
      <w:rFonts w:ascii="Tahoma" w:hAnsi="Tahoma"/>
      <w:sz w:val="16"/>
      <w:szCs w:val="16"/>
    </w:rPr>
  </w:style>
  <w:style w:type="character" w:customStyle="1" w:styleId="BalloonTextChar">
    <w:name w:val="Balloon Text Char"/>
    <w:link w:val="BalloonText"/>
    <w:uiPriority w:val="99"/>
    <w:rsid w:val="00B93581"/>
    <w:rPr>
      <w:rFonts w:ascii="Tahoma" w:hAnsi="Tahoma" w:cs="Tahoma"/>
      <w:sz w:val="16"/>
      <w:szCs w:val="16"/>
    </w:rPr>
  </w:style>
  <w:style w:type="character" w:styleId="Hyperlink">
    <w:name w:val="Hyperlink"/>
    <w:uiPriority w:val="99"/>
    <w:unhideWhenUsed/>
    <w:rsid w:val="006D7817"/>
    <w:rPr>
      <w:color w:val="0000FF"/>
      <w:u w:val="single"/>
    </w:rPr>
  </w:style>
  <w:style w:type="paragraph" w:styleId="Header">
    <w:name w:val="header"/>
    <w:aliases w:val="Char Char,Char Char Char Char Char Char Char Char1,Char5 Char"/>
    <w:basedOn w:val="Normal"/>
    <w:link w:val="HeaderChar"/>
    <w:uiPriority w:val="99"/>
    <w:rsid w:val="00D62539"/>
    <w:pPr>
      <w:tabs>
        <w:tab w:val="center" w:pos="4153"/>
        <w:tab w:val="right" w:pos="8306"/>
      </w:tabs>
    </w:pPr>
  </w:style>
  <w:style w:type="character" w:customStyle="1" w:styleId="HeaderChar">
    <w:name w:val="Header Char"/>
    <w:aliases w:val="Char Char Char,Char Char Char Char Char Char Char Char1 Char,Char5 Char Char"/>
    <w:link w:val="Header"/>
    <w:uiPriority w:val="99"/>
    <w:rsid w:val="00D62539"/>
    <w:rPr>
      <w:sz w:val="24"/>
      <w:szCs w:val="24"/>
    </w:rPr>
  </w:style>
  <w:style w:type="paragraph" w:styleId="Footer">
    <w:name w:val="footer"/>
    <w:basedOn w:val="Normal"/>
    <w:link w:val="FooterChar"/>
    <w:uiPriority w:val="99"/>
    <w:rsid w:val="00D62539"/>
    <w:pPr>
      <w:tabs>
        <w:tab w:val="center" w:pos="4153"/>
        <w:tab w:val="right" w:pos="8306"/>
      </w:tabs>
    </w:pPr>
  </w:style>
  <w:style w:type="character" w:customStyle="1" w:styleId="FooterChar">
    <w:name w:val="Footer Char"/>
    <w:link w:val="Footer"/>
    <w:uiPriority w:val="99"/>
    <w:rsid w:val="00D62539"/>
    <w:rPr>
      <w:sz w:val="24"/>
      <w:szCs w:val="24"/>
    </w:rPr>
  </w:style>
  <w:style w:type="character" w:styleId="LineNumber">
    <w:name w:val="line number"/>
    <w:basedOn w:val="DefaultParagraphFont"/>
    <w:rsid w:val="00D432B5"/>
  </w:style>
  <w:style w:type="character" w:styleId="CommentReference">
    <w:name w:val="annotation reference"/>
    <w:uiPriority w:val="99"/>
    <w:rsid w:val="0083736A"/>
    <w:rPr>
      <w:sz w:val="16"/>
      <w:szCs w:val="16"/>
    </w:rPr>
  </w:style>
  <w:style w:type="character" w:customStyle="1" w:styleId="css-133coio">
    <w:name w:val="css-133coio"/>
    <w:basedOn w:val="DefaultParagraphFont"/>
    <w:rsid w:val="0083736A"/>
  </w:style>
  <w:style w:type="paragraph" w:styleId="CommentText">
    <w:name w:val="annotation text"/>
    <w:basedOn w:val="Normal"/>
    <w:link w:val="CommentTextChar"/>
    <w:uiPriority w:val="99"/>
    <w:rsid w:val="00C776DE"/>
    <w:rPr>
      <w:sz w:val="20"/>
      <w:szCs w:val="20"/>
    </w:rPr>
  </w:style>
  <w:style w:type="character" w:customStyle="1" w:styleId="CommentTextChar">
    <w:name w:val="Comment Text Char"/>
    <w:basedOn w:val="DefaultParagraphFont"/>
    <w:link w:val="CommentText"/>
    <w:uiPriority w:val="99"/>
    <w:rsid w:val="00C776DE"/>
  </w:style>
  <w:style w:type="paragraph" w:styleId="CommentSubject">
    <w:name w:val="annotation subject"/>
    <w:basedOn w:val="CommentText"/>
    <w:next w:val="CommentText"/>
    <w:link w:val="CommentSubjectChar"/>
    <w:uiPriority w:val="99"/>
    <w:rsid w:val="00C776DE"/>
    <w:rPr>
      <w:b/>
      <w:bCs/>
    </w:rPr>
  </w:style>
  <w:style w:type="character" w:customStyle="1" w:styleId="CommentSubjectChar">
    <w:name w:val="Comment Subject Char"/>
    <w:link w:val="CommentSubject"/>
    <w:uiPriority w:val="99"/>
    <w:rsid w:val="00C776DE"/>
    <w:rPr>
      <w:b/>
      <w:bCs/>
    </w:rPr>
  </w:style>
  <w:style w:type="character" w:customStyle="1" w:styleId="text">
    <w:name w:val="text"/>
    <w:basedOn w:val="DefaultParagraphFont"/>
    <w:rsid w:val="00950A9C"/>
  </w:style>
  <w:style w:type="character" w:styleId="Emphasis">
    <w:name w:val="Emphasis"/>
    <w:uiPriority w:val="20"/>
    <w:rsid w:val="00950A9C"/>
    <w:rPr>
      <w:i/>
      <w:iCs/>
    </w:rPr>
  </w:style>
  <w:style w:type="paragraph" w:customStyle="1" w:styleId="EndNoteBibliographyTitle">
    <w:name w:val="EndNote Bibliography Title"/>
    <w:basedOn w:val="Normal"/>
    <w:link w:val="EndNoteBibliographyTitleChar"/>
    <w:rsid w:val="00A423AB"/>
    <w:pPr>
      <w:jc w:val="center"/>
    </w:pPr>
    <w:rPr>
      <w:noProof/>
    </w:rPr>
  </w:style>
  <w:style w:type="character" w:customStyle="1" w:styleId="EndNoteBibliographyTitleChar">
    <w:name w:val="EndNote Bibliography Title Char"/>
    <w:link w:val="EndNoteBibliographyTitle"/>
    <w:rsid w:val="00A423AB"/>
    <w:rPr>
      <w:noProof/>
      <w:sz w:val="24"/>
      <w:szCs w:val="24"/>
    </w:rPr>
  </w:style>
  <w:style w:type="paragraph" w:customStyle="1" w:styleId="EndNoteBibliography">
    <w:name w:val="EndNote Bibliography"/>
    <w:basedOn w:val="Normal"/>
    <w:link w:val="EndNoteBibliographyChar"/>
    <w:rsid w:val="00A423AB"/>
    <w:pPr>
      <w:spacing w:line="480" w:lineRule="auto"/>
    </w:pPr>
    <w:rPr>
      <w:noProof/>
    </w:rPr>
  </w:style>
  <w:style w:type="character" w:customStyle="1" w:styleId="EndNoteBibliographyChar">
    <w:name w:val="EndNote Bibliography Char"/>
    <w:link w:val="EndNoteBibliography"/>
    <w:rsid w:val="00A423AB"/>
    <w:rPr>
      <w:noProof/>
      <w:sz w:val="24"/>
      <w:szCs w:val="24"/>
    </w:rPr>
  </w:style>
  <w:style w:type="paragraph" w:customStyle="1" w:styleId="Footnote">
    <w:name w:val="Foot note"/>
    <w:basedOn w:val="Normal"/>
    <w:link w:val="FootnoteChar"/>
    <w:qFormat/>
    <w:rsid w:val="004E0F08"/>
    <w:pPr>
      <w:bidi w:val="0"/>
      <w:jc w:val="both"/>
    </w:pPr>
    <w:rPr>
      <w:rFonts w:cs="Akhbar MT"/>
      <w:sz w:val="20"/>
      <w:szCs w:val="20"/>
      <w:lang w:eastAsia="zh-CN"/>
    </w:rPr>
  </w:style>
  <w:style w:type="paragraph" w:customStyle="1" w:styleId="H5">
    <w:name w:val="H5"/>
    <w:basedOn w:val="Normal"/>
    <w:link w:val="H5Char"/>
    <w:rsid w:val="00C8132A"/>
    <w:pPr>
      <w:autoSpaceDE w:val="0"/>
      <w:autoSpaceDN w:val="0"/>
      <w:bidi w:val="0"/>
      <w:adjustRightInd w:val="0"/>
      <w:spacing w:line="360" w:lineRule="auto"/>
    </w:pPr>
    <w:rPr>
      <w:rFonts w:eastAsia="Calibri"/>
      <w:b/>
      <w:bCs/>
    </w:rPr>
  </w:style>
  <w:style w:type="character" w:customStyle="1" w:styleId="FootnoteChar">
    <w:name w:val="Foot note Char"/>
    <w:link w:val="Footnote"/>
    <w:rsid w:val="004E0F08"/>
    <w:rPr>
      <w:rFonts w:cs="Akhbar MT"/>
      <w:lang w:eastAsia="zh-CN"/>
    </w:rPr>
  </w:style>
  <w:style w:type="table" w:styleId="TableGrid1">
    <w:name w:val="Table Grid 1"/>
    <w:basedOn w:val="TableNormal"/>
    <w:uiPriority w:val="99"/>
    <w:rsid w:val="00BA797A"/>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5Char">
    <w:name w:val="H5 Char"/>
    <w:link w:val="H5"/>
    <w:rsid w:val="00C8132A"/>
    <w:rPr>
      <w:rFonts w:eastAsia="Calibri"/>
      <w:b/>
      <w:bCs/>
      <w:sz w:val="24"/>
      <w:szCs w:val="24"/>
      <w:lang w:eastAsia="en-US"/>
    </w:rPr>
  </w:style>
  <w:style w:type="paragraph" w:customStyle="1" w:styleId="P">
    <w:name w:val="P"/>
    <w:basedOn w:val="Normal"/>
    <w:link w:val="PChar"/>
    <w:qFormat/>
    <w:rsid w:val="00923C7C"/>
    <w:pPr>
      <w:autoSpaceDE w:val="0"/>
      <w:autoSpaceDN w:val="0"/>
      <w:bidi w:val="0"/>
      <w:adjustRightInd w:val="0"/>
      <w:spacing w:line="480" w:lineRule="auto"/>
      <w:jc w:val="both"/>
    </w:pPr>
    <w:rPr>
      <w:rFonts w:eastAsia="SimSun"/>
      <w:color w:val="000000"/>
      <w:lang w:val="en-GB" w:eastAsia="zh-CN"/>
    </w:rPr>
  </w:style>
  <w:style w:type="character" w:customStyle="1" w:styleId="Heading1Char">
    <w:name w:val="Heading 1 Char"/>
    <w:link w:val="Heading1"/>
    <w:uiPriority w:val="9"/>
    <w:rsid w:val="007E7135"/>
    <w:rPr>
      <w:b/>
      <w:bCs/>
      <w:color w:val="000000"/>
      <w:sz w:val="28"/>
      <w:szCs w:val="28"/>
    </w:rPr>
  </w:style>
  <w:style w:type="character" w:customStyle="1" w:styleId="PChar">
    <w:name w:val="P Char"/>
    <w:link w:val="P"/>
    <w:rsid w:val="00923C7C"/>
    <w:rPr>
      <w:rFonts w:eastAsia="SimSun"/>
      <w:color w:val="000000"/>
      <w:sz w:val="24"/>
      <w:szCs w:val="24"/>
      <w:lang w:val="en-GB" w:eastAsia="zh-CN"/>
    </w:rPr>
  </w:style>
  <w:style w:type="character" w:customStyle="1" w:styleId="paragraphChar">
    <w:name w:val="paragraph Char"/>
    <w:link w:val="paragraph"/>
    <w:locked/>
    <w:rsid w:val="005A4E94"/>
    <w:rPr>
      <w:sz w:val="24"/>
      <w:szCs w:val="24"/>
      <w:lang w:bidi="ar-EG"/>
    </w:rPr>
  </w:style>
  <w:style w:type="paragraph" w:customStyle="1" w:styleId="paragraph">
    <w:name w:val="paragraph"/>
    <w:basedOn w:val="Normal"/>
    <w:link w:val="paragraphChar"/>
    <w:rsid w:val="005A4E94"/>
    <w:pPr>
      <w:bidi w:val="0"/>
      <w:spacing w:after="160" w:line="360" w:lineRule="auto"/>
      <w:ind w:firstLine="720"/>
      <w:jc w:val="both"/>
    </w:pPr>
    <w:rPr>
      <w:lang w:bidi="ar-EG"/>
    </w:rPr>
  </w:style>
  <w:style w:type="table" w:customStyle="1" w:styleId="GridTable1Light1">
    <w:name w:val="Grid Table 1 Light1"/>
    <w:basedOn w:val="TableNormal"/>
    <w:uiPriority w:val="46"/>
    <w:rsid w:val="00A936AB"/>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Shading2-Accent51">
    <w:name w:val="Medium Shading 2 - Accent 51"/>
    <w:basedOn w:val="TableNormal"/>
    <w:next w:val="MediumShading2-Accent5"/>
    <w:uiPriority w:val="64"/>
    <w:rsid w:val="00D920DD"/>
    <w:rPr>
      <w:rFonts w:ascii="Calibri" w:eastAsia="SimSun"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920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next w:val="MediumShading2-Accent5"/>
    <w:uiPriority w:val="64"/>
    <w:rsid w:val="00602749"/>
    <w:rPr>
      <w:rFonts w:ascii="Calibri" w:eastAsia="SimSun"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5Char">
    <w:name w:val="Heading 5 Char"/>
    <w:link w:val="Heading5"/>
    <w:uiPriority w:val="9"/>
    <w:rsid w:val="000A3D56"/>
    <w:rPr>
      <w:rFonts w:ascii="Calibri" w:eastAsia="Times New Roman" w:hAnsi="Calibri" w:cs="Arial"/>
      <w:b/>
      <w:bCs/>
      <w:i/>
      <w:iCs/>
      <w:sz w:val="26"/>
      <w:szCs w:val="26"/>
    </w:rPr>
  </w:style>
  <w:style w:type="character" w:customStyle="1" w:styleId="Heading3Char">
    <w:name w:val="Heading 3 Char"/>
    <w:link w:val="Heading3"/>
    <w:uiPriority w:val="9"/>
    <w:rsid w:val="000A3D56"/>
    <w:rPr>
      <w:rFonts w:ascii="Calibri Light" w:eastAsia="Times New Roman" w:hAnsi="Calibri Light" w:cs="Times New Roman"/>
      <w:b/>
      <w:bCs/>
      <w:sz w:val="26"/>
      <w:szCs w:val="26"/>
    </w:rPr>
  </w:style>
  <w:style w:type="character" w:customStyle="1" w:styleId="Heading4Char">
    <w:name w:val="Heading 4 Char"/>
    <w:link w:val="Heading4"/>
    <w:uiPriority w:val="9"/>
    <w:rsid w:val="000A3D56"/>
    <w:rPr>
      <w:rFonts w:ascii="Calibri" w:eastAsia="Times New Roman" w:hAnsi="Calibri" w:cs="Arial"/>
      <w:b/>
      <w:bCs/>
      <w:sz w:val="28"/>
      <w:szCs w:val="28"/>
    </w:rPr>
  </w:style>
  <w:style w:type="table" w:customStyle="1" w:styleId="GridTable5Dark-Accent51">
    <w:name w:val="Grid Table 5 Dark - Accent 51"/>
    <w:basedOn w:val="TableNormal"/>
    <w:uiPriority w:val="50"/>
    <w:rsid w:val="00AA1BC3"/>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style>
  <w:style w:type="character" w:customStyle="1" w:styleId="FigChar">
    <w:name w:val="Fig Char"/>
    <w:link w:val="Fig"/>
    <w:locked/>
    <w:rsid w:val="00496203"/>
    <w:rPr>
      <w:b/>
      <w:bCs/>
      <w:sz w:val="24"/>
      <w:szCs w:val="24"/>
    </w:rPr>
  </w:style>
  <w:style w:type="paragraph" w:customStyle="1" w:styleId="Fig">
    <w:name w:val="Fig"/>
    <w:basedOn w:val="Normal"/>
    <w:link w:val="FigChar"/>
    <w:qFormat/>
    <w:rsid w:val="00496203"/>
    <w:pPr>
      <w:bidi w:val="0"/>
      <w:spacing w:after="200" w:line="276" w:lineRule="auto"/>
      <w:jc w:val="center"/>
    </w:pPr>
    <w:rPr>
      <w:b/>
      <w:bCs/>
    </w:rPr>
  </w:style>
  <w:style w:type="paragraph" w:customStyle="1" w:styleId="Default">
    <w:name w:val="Default"/>
    <w:rsid w:val="00A638F9"/>
    <w:pPr>
      <w:autoSpaceDE w:val="0"/>
      <w:autoSpaceDN w:val="0"/>
      <w:adjustRightInd w:val="0"/>
    </w:pPr>
    <w:rPr>
      <w:rFonts w:eastAsia="Calibri"/>
      <w:color w:val="000000"/>
      <w:sz w:val="24"/>
      <w:szCs w:val="24"/>
    </w:rPr>
  </w:style>
  <w:style w:type="paragraph" w:styleId="NormalWeb">
    <w:name w:val="Normal (Web)"/>
    <w:basedOn w:val="Normal"/>
    <w:link w:val="NormalWebChar"/>
    <w:uiPriority w:val="99"/>
    <w:unhideWhenUsed/>
    <w:rsid w:val="00A638F9"/>
    <w:pPr>
      <w:spacing w:after="200" w:line="276" w:lineRule="auto"/>
    </w:pPr>
    <w:rPr>
      <w:rFonts w:eastAsia="Calibri"/>
    </w:rPr>
  </w:style>
  <w:style w:type="paragraph" w:styleId="ListParagraph">
    <w:name w:val="List Paragraph"/>
    <w:basedOn w:val="Normal"/>
    <w:link w:val="ListParagraphChar"/>
    <w:uiPriority w:val="34"/>
    <w:qFormat/>
    <w:rsid w:val="00A638F9"/>
    <w:pPr>
      <w:spacing w:after="200" w:line="276" w:lineRule="auto"/>
      <w:ind w:left="720"/>
      <w:contextualSpacing/>
    </w:pPr>
    <w:rPr>
      <w:rFonts w:ascii="Calibri" w:eastAsia="Calibri" w:hAnsi="Calibri" w:cs="Arial"/>
      <w:sz w:val="22"/>
      <w:szCs w:val="22"/>
    </w:rPr>
  </w:style>
  <w:style w:type="table" w:customStyle="1" w:styleId="GridTable5Dark-Accent21">
    <w:name w:val="Grid Table 5 Dark - Accent 21"/>
    <w:basedOn w:val="TableNormal"/>
    <w:uiPriority w:val="50"/>
    <w:rsid w:val="00A638F9"/>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MediumGrid3-Accent2">
    <w:name w:val="Medium Grid 3 Accent 2"/>
    <w:basedOn w:val="TableNormal"/>
    <w:uiPriority w:val="69"/>
    <w:rsid w:val="0068157C"/>
    <w:rPr>
      <w:rFonts w:ascii="Calibri" w:eastAsia="Calibri" w:hAnsi="Calibri" w:cs="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Heading2Char">
    <w:name w:val="Heading 2 Char"/>
    <w:link w:val="Heading2"/>
    <w:uiPriority w:val="9"/>
    <w:rsid w:val="00856F09"/>
    <w:rPr>
      <w:rFonts w:eastAsia="SimSun"/>
      <w:b/>
      <w:bCs/>
      <w:color w:val="000000"/>
      <w:sz w:val="24"/>
      <w:szCs w:val="24"/>
      <w:lang w:val="en-GB" w:eastAsia="zh-CN" w:bidi="ar-EG"/>
    </w:rPr>
  </w:style>
  <w:style w:type="character" w:customStyle="1" w:styleId="Heading6Char">
    <w:name w:val="Heading 6 Char"/>
    <w:link w:val="Heading6"/>
    <w:uiPriority w:val="9"/>
    <w:rsid w:val="00783B50"/>
    <w:rPr>
      <w:rFonts w:ascii="Cambria" w:hAnsi="Cambria"/>
      <w:i/>
      <w:iCs/>
      <w:color w:val="243F60"/>
      <w:sz w:val="22"/>
      <w:szCs w:val="22"/>
    </w:rPr>
  </w:style>
  <w:style w:type="character" w:customStyle="1" w:styleId="Heading9Char">
    <w:name w:val="Heading 9 Char"/>
    <w:link w:val="Heading9"/>
    <w:rsid w:val="00783B50"/>
    <w:rPr>
      <w:rFonts w:ascii="Cambria" w:hAnsi="Cambria"/>
      <w:i/>
      <w:iCs/>
      <w:color w:val="404040"/>
    </w:rPr>
  </w:style>
  <w:style w:type="paragraph" w:customStyle="1" w:styleId="p0">
    <w:name w:val="p"/>
    <w:basedOn w:val="Normal"/>
    <w:rsid w:val="00783B50"/>
    <w:pPr>
      <w:bidi w:val="0"/>
      <w:spacing w:before="100" w:beforeAutospacing="1" w:after="100" w:afterAutospacing="1"/>
    </w:pPr>
  </w:style>
  <w:style w:type="paragraph" w:customStyle="1" w:styleId="Body">
    <w:name w:val="Body"/>
    <w:rsid w:val="00783B5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Caption">
    <w:name w:val="caption"/>
    <w:basedOn w:val="Normal"/>
    <w:next w:val="Normal"/>
    <w:link w:val="CaptionChar"/>
    <w:unhideWhenUsed/>
    <w:qFormat/>
    <w:rsid w:val="002A741F"/>
    <w:pPr>
      <w:keepNext/>
      <w:bidi w:val="0"/>
      <w:spacing w:after="200"/>
      <w:jc w:val="both"/>
    </w:pPr>
    <w:rPr>
      <w:b/>
      <w:bCs/>
      <w:color w:val="000000"/>
      <w:szCs w:val="36"/>
      <w:lang w:val="en-GB"/>
    </w:rPr>
  </w:style>
  <w:style w:type="table" w:styleId="LightShading">
    <w:name w:val="Light Shading"/>
    <w:basedOn w:val="TableNormal"/>
    <w:uiPriority w:val="60"/>
    <w:rsid w:val="00783B50"/>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4">
    <w:name w:val="Light Shading Accent 4"/>
    <w:basedOn w:val="TableNormal"/>
    <w:uiPriority w:val="60"/>
    <w:rsid w:val="00783B50"/>
    <w:rPr>
      <w:rFonts w:ascii="Calibri" w:eastAsia="Calibri" w:hAnsi="Calibri" w:cs="Arial"/>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Strong">
    <w:name w:val="Strong"/>
    <w:uiPriority w:val="22"/>
    <w:qFormat/>
    <w:rsid w:val="00783B50"/>
    <w:rPr>
      <w:b/>
      <w:bCs/>
    </w:rPr>
  </w:style>
  <w:style w:type="paragraph" w:customStyle="1" w:styleId="chapter-para">
    <w:name w:val="chapter-para"/>
    <w:basedOn w:val="Normal"/>
    <w:rsid w:val="00783B50"/>
    <w:pPr>
      <w:bidi w:val="0"/>
      <w:spacing w:before="100" w:beforeAutospacing="1" w:after="100" w:afterAutospacing="1"/>
    </w:pPr>
  </w:style>
  <w:style w:type="character" w:customStyle="1" w:styleId="sr-only">
    <w:name w:val="sr-only"/>
    <w:rsid w:val="00783B50"/>
  </w:style>
  <w:style w:type="character" w:customStyle="1" w:styleId="i">
    <w:name w:val="i"/>
    <w:rsid w:val="00783B50"/>
  </w:style>
  <w:style w:type="character" w:customStyle="1" w:styleId="A8">
    <w:name w:val="A8"/>
    <w:uiPriority w:val="99"/>
    <w:rsid w:val="00783B50"/>
    <w:rPr>
      <w:rFonts w:cs="Times New Roman PS"/>
      <w:color w:val="000000"/>
      <w:sz w:val="11"/>
      <w:szCs w:val="11"/>
    </w:rPr>
  </w:style>
  <w:style w:type="character" w:customStyle="1" w:styleId="A3">
    <w:name w:val="A3"/>
    <w:uiPriority w:val="99"/>
    <w:rsid w:val="00783B50"/>
    <w:rPr>
      <w:rFonts w:cs="Myriad Pro"/>
      <w:color w:val="000000"/>
      <w:sz w:val="18"/>
      <w:szCs w:val="18"/>
    </w:rPr>
  </w:style>
  <w:style w:type="character" w:customStyle="1" w:styleId="A4">
    <w:name w:val="A4"/>
    <w:uiPriority w:val="99"/>
    <w:rsid w:val="00783B50"/>
    <w:rPr>
      <w:rFonts w:cs="Myriad Pro"/>
      <w:color w:val="000000"/>
      <w:sz w:val="14"/>
      <w:szCs w:val="14"/>
    </w:rPr>
  </w:style>
  <w:style w:type="character" w:customStyle="1" w:styleId="A0">
    <w:name w:val="A0"/>
    <w:uiPriority w:val="99"/>
    <w:rsid w:val="00783B50"/>
    <w:rPr>
      <w:rFonts w:cs="Myriad Pro"/>
      <w:color w:val="000000"/>
      <w:sz w:val="16"/>
      <w:szCs w:val="16"/>
    </w:rPr>
  </w:style>
  <w:style w:type="paragraph" w:customStyle="1" w:styleId="Pa14">
    <w:name w:val="Pa14"/>
    <w:basedOn w:val="Default"/>
    <w:next w:val="Default"/>
    <w:uiPriority w:val="99"/>
    <w:rsid w:val="00783B50"/>
    <w:pPr>
      <w:spacing w:line="161" w:lineRule="atLeast"/>
    </w:pPr>
    <w:rPr>
      <w:rFonts w:ascii="CapitoliumNews" w:hAnsi="CapitoliumNews" w:cs="Arial"/>
      <w:color w:val="auto"/>
    </w:rPr>
  </w:style>
  <w:style w:type="paragraph" w:customStyle="1" w:styleId="Pa13">
    <w:name w:val="Pa13"/>
    <w:basedOn w:val="Default"/>
    <w:next w:val="Default"/>
    <w:uiPriority w:val="99"/>
    <w:rsid w:val="00783B50"/>
    <w:pPr>
      <w:spacing w:line="161" w:lineRule="atLeast"/>
    </w:pPr>
    <w:rPr>
      <w:rFonts w:ascii="CapitoliumNews" w:hAnsi="CapitoliumNews" w:cs="Arial"/>
      <w:color w:val="auto"/>
    </w:rPr>
  </w:style>
  <w:style w:type="character" w:customStyle="1" w:styleId="personname">
    <w:name w:val="person_name"/>
    <w:rsid w:val="00783B50"/>
  </w:style>
  <w:style w:type="paragraph" w:customStyle="1" w:styleId="Pa24">
    <w:name w:val="Pa24"/>
    <w:basedOn w:val="Default"/>
    <w:next w:val="Default"/>
    <w:uiPriority w:val="99"/>
    <w:rsid w:val="00783B50"/>
    <w:pPr>
      <w:spacing w:line="181" w:lineRule="atLeast"/>
    </w:pPr>
    <w:rPr>
      <w:rFonts w:ascii="Segoe UI Light" w:hAnsi="Segoe UI Light" w:cs="Arial"/>
      <w:color w:val="auto"/>
    </w:rPr>
  </w:style>
  <w:style w:type="paragraph" w:styleId="NoSpacing">
    <w:name w:val="No Spacing"/>
    <w:link w:val="NoSpacingChar"/>
    <w:uiPriority w:val="1"/>
    <w:rsid w:val="00783B50"/>
    <w:pPr>
      <w:bidi/>
    </w:pPr>
    <w:rPr>
      <w:rFonts w:ascii="Calibri" w:eastAsia="Calibri" w:hAnsi="Calibri" w:cs="Arial"/>
      <w:sz w:val="22"/>
      <w:szCs w:val="22"/>
    </w:rPr>
  </w:style>
  <w:style w:type="paragraph" w:styleId="BodyText">
    <w:name w:val="Body Text"/>
    <w:basedOn w:val="Normal"/>
    <w:link w:val="BodyTextChar"/>
    <w:uiPriority w:val="1"/>
    <w:rsid w:val="00783B50"/>
    <w:pPr>
      <w:bidi w:val="0"/>
      <w:jc w:val="lowKashida"/>
    </w:pPr>
    <w:rPr>
      <w:snapToGrid w:val="0"/>
      <w:sz w:val="30"/>
      <w:szCs w:val="30"/>
      <w:lang w:eastAsia="ar-SA"/>
    </w:rPr>
  </w:style>
  <w:style w:type="character" w:customStyle="1" w:styleId="BodyTextChar">
    <w:name w:val="Body Text Char"/>
    <w:link w:val="BodyText"/>
    <w:uiPriority w:val="1"/>
    <w:rsid w:val="00783B50"/>
    <w:rPr>
      <w:snapToGrid w:val="0"/>
      <w:sz w:val="30"/>
      <w:szCs w:val="30"/>
      <w:lang w:eastAsia="ar-SA"/>
    </w:rPr>
  </w:style>
  <w:style w:type="paragraph" w:styleId="BodyText2">
    <w:name w:val="Body Text 2"/>
    <w:basedOn w:val="Normal"/>
    <w:link w:val="BodyText2Char"/>
    <w:rsid w:val="00783B50"/>
    <w:pPr>
      <w:widowControl w:val="0"/>
      <w:bidi w:val="0"/>
      <w:spacing w:after="120" w:line="360" w:lineRule="auto"/>
      <w:jc w:val="lowKashida"/>
    </w:pPr>
    <w:rPr>
      <w:snapToGrid w:val="0"/>
      <w:sz w:val="28"/>
      <w:szCs w:val="38"/>
      <w:lang w:eastAsia="ar-SA"/>
    </w:rPr>
  </w:style>
  <w:style w:type="character" w:customStyle="1" w:styleId="BodyText2Char">
    <w:name w:val="Body Text 2 Char"/>
    <w:link w:val="BodyText2"/>
    <w:rsid w:val="00783B50"/>
    <w:rPr>
      <w:rFonts w:cs="Simplified Arabic"/>
      <w:snapToGrid w:val="0"/>
      <w:sz w:val="28"/>
      <w:szCs w:val="38"/>
      <w:lang w:eastAsia="ar-SA"/>
    </w:rPr>
  </w:style>
  <w:style w:type="table" w:styleId="LightGrid-Accent1">
    <w:name w:val="Light Grid Accent 1"/>
    <w:basedOn w:val="TableNormal"/>
    <w:uiPriority w:val="62"/>
    <w:rsid w:val="002C5DF3"/>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yriad Pro" w:eastAsia="Times New Roman" w:hAnsi="Myriad Pro"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yriad Pro" w:eastAsia="Times New Roman" w:hAnsi="Myriad Pro"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5">
    <w:name w:val="Light Grid Accent 5"/>
    <w:basedOn w:val="TableNormal"/>
    <w:uiPriority w:val="62"/>
    <w:rsid w:val="002C5DF3"/>
    <w:rPr>
      <w:rFonts w:ascii="Calibri" w:eastAsia="Calibri" w:hAnsi="Calibri" w:cs="Arial"/>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yriad Pro" w:eastAsia="Times New Roman" w:hAnsi="Myriad Pro"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yriad Pro" w:eastAsia="Times New Roman" w:hAnsi="Myriad Pro"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1D7720"/>
    <w:rPr>
      <w:rFonts w:ascii="Calibri" w:eastAsia="Calibri" w:hAnsi="Calibri" w:cs="Arial"/>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10">
    <w:name w:val="Table Grid1"/>
    <w:basedOn w:val="TableNormal"/>
    <w:next w:val="TableGrid"/>
    <w:uiPriority w:val="39"/>
    <w:rsid w:val="004730B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41">
    <w:name w:val="Light Grid - Accent 41"/>
    <w:basedOn w:val="TableNormal"/>
    <w:next w:val="LightGrid-Accent4"/>
    <w:uiPriority w:val="62"/>
    <w:rsid w:val="004730BC"/>
    <w:rPr>
      <w:rFonts w:ascii="Calibri" w:eastAsia="Calibri" w:hAnsi="Calibri" w:cs="Arial"/>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2-Accent21">
    <w:name w:val="Medium Shading 2 - Accent 21"/>
    <w:basedOn w:val="TableNormal"/>
    <w:next w:val="MediumShading2-Accent2"/>
    <w:uiPriority w:val="64"/>
    <w:rsid w:val="004730BC"/>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21">
    <w:name w:val="Light List - Accent 21"/>
    <w:basedOn w:val="TableNormal"/>
    <w:next w:val="LightList-Accent2"/>
    <w:uiPriority w:val="61"/>
    <w:rsid w:val="004730BC"/>
    <w:rPr>
      <w:rFonts w:ascii="Calibri" w:eastAsia="Calibri" w:hAnsi="Calibri" w:cs="Arial"/>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1">
    <w:name w:val="Light List - Accent 41"/>
    <w:basedOn w:val="TableNormal"/>
    <w:next w:val="LightList-Accent4"/>
    <w:uiPriority w:val="61"/>
    <w:rsid w:val="004730BC"/>
    <w:rPr>
      <w:rFonts w:ascii="Calibri" w:eastAsia="Calibri" w:hAnsi="Calibri" w:cs="Arial"/>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Shading-Accent11">
    <w:name w:val="Light Shading - Accent 11"/>
    <w:basedOn w:val="TableNormal"/>
    <w:next w:val="LightShading-Accent1"/>
    <w:uiPriority w:val="60"/>
    <w:locked/>
    <w:rsid w:val="004730BC"/>
    <w:rPr>
      <w:rFonts w:ascii="Calibri" w:eastAsia="Calibri" w:hAnsi="Calibri" w:cs="Arial"/>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4730BC"/>
    <w:rPr>
      <w:rFonts w:ascii="Calibri" w:eastAsia="Calibri" w:hAnsi="Calibri" w:cs="Arial"/>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PageNumber">
    <w:name w:val="page number"/>
    <w:basedOn w:val="DefaultParagraphFont"/>
    <w:rsid w:val="004730BC"/>
  </w:style>
  <w:style w:type="table" w:customStyle="1" w:styleId="LightShading1">
    <w:name w:val="Light Shading1"/>
    <w:basedOn w:val="TableNormal"/>
    <w:next w:val="LightShading"/>
    <w:uiPriority w:val="60"/>
    <w:locked/>
    <w:rsid w:val="004730BC"/>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61">
    <w:name w:val="Medium List 1 - Accent 61"/>
    <w:basedOn w:val="TableNormal"/>
    <w:next w:val="MediumList1-Accent6"/>
    <w:uiPriority w:val="65"/>
    <w:rsid w:val="004730BC"/>
    <w:rPr>
      <w:rFonts w:ascii="Calibri" w:eastAsia="Calibri" w:hAnsi="Calibri" w:cs="Arial"/>
      <w:color w:val="000000"/>
      <w:sz w:val="22"/>
      <w:szCs w:val="22"/>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ghtShading-Accent61">
    <w:name w:val="Light Shading - Accent 61"/>
    <w:basedOn w:val="TableNormal"/>
    <w:next w:val="LightShading-Accent6"/>
    <w:uiPriority w:val="60"/>
    <w:locked/>
    <w:rsid w:val="004730BC"/>
    <w:rPr>
      <w:rFonts w:ascii="Calibri" w:eastAsia="Calibri" w:hAnsi="Calibri" w:cs="Arial"/>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HTMLPreformatted">
    <w:name w:val="HTML Preformatted"/>
    <w:basedOn w:val="Normal"/>
    <w:link w:val="HTMLPreformattedChar"/>
    <w:uiPriority w:val="99"/>
    <w:unhideWhenUsed/>
    <w:rsid w:val="0047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rPr>
  </w:style>
  <w:style w:type="character" w:customStyle="1" w:styleId="HTMLPreformattedChar">
    <w:name w:val="HTML Preformatted Char"/>
    <w:link w:val="HTMLPreformatted"/>
    <w:uiPriority w:val="99"/>
    <w:rsid w:val="004730BC"/>
    <w:rPr>
      <w:rFonts w:ascii="Courier New" w:hAnsi="Courier New" w:cs="Courier New"/>
    </w:rPr>
  </w:style>
  <w:style w:type="character" w:customStyle="1" w:styleId="mw-headline">
    <w:name w:val="mw-headline"/>
    <w:basedOn w:val="DefaultParagraphFont"/>
    <w:rsid w:val="004730BC"/>
  </w:style>
  <w:style w:type="table" w:customStyle="1" w:styleId="LightList-Accent11">
    <w:name w:val="Light List - Accent 11"/>
    <w:basedOn w:val="TableNormal"/>
    <w:next w:val="LightList-Accent1"/>
    <w:uiPriority w:val="61"/>
    <w:rsid w:val="004730BC"/>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bumpedfont15">
    <w:name w:val="bumpedfont15"/>
    <w:basedOn w:val="DefaultParagraphFont"/>
    <w:rsid w:val="004730BC"/>
  </w:style>
  <w:style w:type="character" w:customStyle="1" w:styleId="apple-converted-space">
    <w:name w:val="apple-converted-space"/>
    <w:basedOn w:val="DefaultParagraphFont"/>
    <w:rsid w:val="004730BC"/>
  </w:style>
  <w:style w:type="paragraph" w:customStyle="1" w:styleId="Title1">
    <w:name w:val="Title1"/>
    <w:basedOn w:val="Normal"/>
    <w:next w:val="Normal"/>
    <w:uiPriority w:val="10"/>
    <w:rsid w:val="004730BC"/>
    <w:pPr>
      <w:bidi w:val="0"/>
      <w:contextualSpacing/>
    </w:pPr>
    <w:rPr>
      <w:rFonts w:ascii="Cambria" w:hAnsi="Cambria"/>
      <w:spacing w:val="-10"/>
      <w:kern w:val="28"/>
      <w:sz w:val="56"/>
      <w:szCs w:val="56"/>
    </w:rPr>
  </w:style>
  <w:style w:type="character" w:customStyle="1" w:styleId="TitleChar">
    <w:name w:val="Title Char"/>
    <w:link w:val="Title"/>
    <w:rsid w:val="004730BC"/>
    <w:rPr>
      <w:rFonts w:ascii="Cambria" w:eastAsia="Times New Roman" w:hAnsi="Cambria" w:cs="Times New Roman"/>
      <w:spacing w:val="-10"/>
      <w:kern w:val="28"/>
      <w:sz w:val="56"/>
      <w:szCs w:val="56"/>
    </w:rPr>
  </w:style>
  <w:style w:type="paragraph" w:customStyle="1" w:styleId="s3">
    <w:name w:val="s3"/>
    <w:basedOn w:val="Normal"/>
    <w:rsid w:val="004730BC"/>
    <w:pPr>
      <w:bidi w:val="0"/>
      <w:spacing w:before="100" w:beforeAutospacing="1" w:after="100" w:afterAutospacing="1"/>
    </w:pPr>
  </w:style>
  <w:style w:type="character" w:customStyle="1" w:styleId="s6">
    <w:name w:val="s6"/>
    <w:basedOn w:val="DefaultParagraphFont"/>
    <w:rsid w:val="004730BC"/>
  </w:style>
  <w:style w:type="character" w:customStyle="1" w:styleId="s8">
    <w:name w:val="s8"/>
    <w:basedOn w:val="DefaultParagraphFont"/>
    <w:rsid w:val="004730BC"/>
  </w:style>
  <w:style w:type="character" w:customStyle="1" w:styleId="s9">
    <w:name w:val="s9"/>
    <w:basedOn w:val="DefaultParagraphFont"/>
    <w:rsid w:val="004730BC"/>
  </w:style>
  <w:style w:type="character" w:customStyle="1" w:styleId="s4">
    <w:name w:val="s4"/>
    <w:basedOn w:val="DefaultParagraphFont"/>
    <w:rsid w:val="004730BC"/>
  </w:style>
  <w:style w:type="paragraph" w:customStyle="1" w:styleId="s11">
    <w:name w:val="s11"/>
    <w:basedOn w:val="Normal"/>
    <w:rsid w:val="004730BC"/>
    <w:pPr>
      <w:bidi w:val="0"/>
      <w:spacing w:before="100" w:beforeAutospacing="1" w:after="100" w:afterAutospacing="1"/>
    </w:pPr>
  </w:style>
  <w:style w:type="character" w:customStyle="1" w:styleId="display-block">
    <w:name w:val="display-block"/>
    <w:basedOn w:val="DefaultParagraphFont"/>
    <w:rsid w:val="004730BC"/>
  </w:style>
  <w:style w:type="character" w:customStyle="1" w:styleId="contentauthor--name">
    <w:name w:val="content__author--name"/>
    <w:basedOn w:val="DefaultParagraphFont"/>
    <w:rsid w:val="004730BC"/>
  </w:style>
  <w:style w:type="character" w:customStyle="1" w:styleId="contentauthor--date">
    <w:name w:val="content__author--date"/>
    <w:basedOn w:val="DefaultParagraphFont"/>
    <w:rsid w:val="004730BC"/>
  </w:style>
  <w:style w:type="paragraph" w:customStyle="1" w:styleId="simplepara">
    <w:name w:val="simplepara"/>
    <w:basedOn w:val="Normal"/>
    <w:uiPriority w:val="99"/>
    <w:rsid w:val="004730BC"/>
    <w:pPr>
      <w:bidi w:val="0"/>
      <w:spacing w:before="100" w:beforeAutospacing="1" w:after="100" w:afterAutospacing="1"/>
    </w:pPr>
  </w:style>
  <w:style w:type="character" w:customStyle="1" w:styleId="s2">
    <w:name w:val="s2"/>
    <w:basedOn w:val="DefaultParagraphFont"/>
    <w:rsid w:val="004730BC"/>
  </w:style>
  <w:style w:type="table" w:customStyle="1" w:styleId="GridTable5Dark-Accent31">
    <w:name w:val="Grid Table 5 Dark - Accent 31"/>
    <w:basedOn w:val="TableNormal"/>
    <w:next w:val="GridTable5Dark-Accent32"/>
    <w:uiPriority w:val="50"/>
    <w:locked/>
    <w:rsid w:val="004730B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21">
    <w:name w:val="Grid Table 6 Colorful - Accent 21"/>
    <w:basedOn w:val="TableNormal"/>
    <w:next w:val="GridTable6Colorful-Accent22"/>
    <w:uiPriority w:val="51"/>
    <w:rsid w:val="004730BC"/>
    <w:rPr>
      <w:rFonts w:ascii="Calibri" w:eastAsia="Calibri" w:hAnsi="Calibri" w:cs="Arial"/>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
    <w:name w:val="Grid Table 7 Colorful - Accent 21"/>
    <w:basedOn w:val="TableNormal"/>
    <w:next w:val="GridTable7Colorful-Accent22"/>
    <w:uiPriority w:val="52"/>
    <w:rsid w:val="004730BC"/>
    <w:rPr>
      <w:rFonts w:ascii="Calibri" w:eastAsia="Calibri" w:hAnsi="Calibri" w:cs="Arial"/>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7Colorful1">
    <w:name w:val="Grid Table 7 Colorful1"/>
    <w:basedOn w:val="TableNormal"/>
    <w:next w:val="GridTable7Colorful2"/>
    <w:uiPriority w:val="52"/>
    <w:rsid w:val="004730BC"/>
    <w:rPr>
      <w:rFonts w:ascii="Calibri" w:eastAsia="Calibri" w:hAnsi="Calibri" w:cs="Arial"/>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Accent41">
    <w:name w:val="Grid Table 2 - Accent 41"/>
    <w:basedOn w:val="TableNormal"/>
    <w:next w:val="GridTable2-Accent42"/>
    <w:uiPriority w:val="47"/>
    <w:locked/>
    <w:rsid w:val="004730BC"/>
    <w:rPr>
      <w:rFonts w:ascii="Calibri" w:eastAsia="Calibri" w:hAnsi="Calibri" w:cs="Arial"/>
      <w:sz w:val="22"/>
      <w:szCs w:val="22"/>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1">
    <w:name w:val="List Table 31"/>
    <w:basedOn w:val="TableNormal"/>
    <w:next w:val="ListTable32"/>
    <w:uiPriority w:val="48"/>
    <w:rsid w:val="004730BC"/>
    <w:rPr>
      <w:rFonts w:ascii="Calibri" w:eastAsia="Calibri" w:hAnsi="Calibri" w:cs="Arial"/>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1Light-Accent41">
    <w:name w:val="Grid Table 1 Light - Accent 41"/>
    <w:basedOn w:val="TableNormal"/>
    <w:next w:val="GridTable1Light-Accent42"/>
    <w:uiPriority w:val="46"/>
    <w:locked/>
    <w:rsid w:val="004730BC"/>
    <w:rPr>
      <w:rFonts w:ascii="Calibri" w:eastAsia="Calibri" w:hAnsi="Calibri" w:cs="Arial"/>
      <w:sz w:val="22"/>
      <w:szCs w:val="22"/>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3-Accent31">
    <w:name w:val="Grid Table 3 - Accent 31"/>
    <w:basedOn w:val="TableNormal"/>
    <w:next w:val="GridTable3-Accent32"/>
    <w:uiPriority w:val="48"/>
    <w:rsid w:val="004730BC"/>
    <w:rPr>
      <w:rFonts w:ascii="Calibri" w:eastAsia="Calibri" w:hAnsi="Calibri" w:cs="Arial"/>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6Colorful-Accent31">
    <w:name w:val="Grid Table 6 Colorful - Accent 31"/>
    <w:basedOn w:val="TableNormal"/>
    <w:next w:val="GridTable6Colorful-Accent32"/>
    <w:uiPriority w:val="51"/>
    <w:rsid w:val="004730BC"/>
    <w:rPr>
      <w:rFonts w:ascii="Calibri" w:eastAsia="Calibri" w:hAnsi="Calibri" w:cs="Arial"/>
      <w:color w:val="76923C"/>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
    <w:name w:val="Grid Table 41"/>
    <w:basedOn w:val="TableNormal"/>
    <w:next w:val="GridTable42"/>
    <w:uiPriority w:val="49"/>
    <w:rsid w:val="004730BC"/>
    <w:rPr>
      <w:rFonts w:ascii="Calibri" w:eastAsia="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
    <w:name w:val="Grid Table 31"/>
    <w:basedOn w:val="TableNormal"/>
    <w:next w:val="GridTable32"/>
    <w:uiPriority w:val="48"/>
    <w:rsid w:val="004730BC"/>
    <w:rPr>
      <w:rFonts w:ascii="Calibri" w:eastAsia="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
    <w:name w:val="Grid Table 1 Light - Accent 11"/>
    <w:basedOn w:val="TableNormal"/>
    <w:next w:val="GridTable1Light-Accent12"/>
    <w:uiPriority w:val="46"/>
    <w:rsid w:val="004730BC"/>
    <w:rPr>
      <w:rFonts w:ascii="Calibri" w:eastAsia="Calibri" w:hAnsi="Calibri" w:cs="Arial"/>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85">
    <w:name w:val="s85"/>
    <w:basedOn w:val="Normal"/>
    <w:rsid w:val="004730BC"/>
    <w:pPr>
      <w:bidi w:val="0"/>
      <w:spacing w:before="100" w:beforeAutospacing="1" w:after="100" w:afterAutospacing="1"/>
    </w:pPr>
  </w:style>
  <w:style w:type="character" w:customStyle="1" w:styleId="s84">
    <w:name w:val="s84"/>
    <w:basedOn w:val="DefaultParagraphFont"/>
    <w:rsid w:val="004730BC"/>
  </w:style>
  <w:style w:type="character" w:customStyle="1" w:styleId="s12">
    <w:name w:val="s12"/>
    <w:basedOn w:val="DefaultParagraphFont"/>
    <w:rsid w:val="004730BC"/>
  </w:style>
  <w:style w:type="paragraph" w:customStyle="1" w:styleId="s87">
    <w:name w:val="s87"/>
    <w:basedOn w:val="Normal"/>
    <w:rsid w:val="004730BC"/>
    <w:pPr>
      <w:bidi w:val="0"/>
      <w:spacing w:before="100" w:beforeAutospacing="1" w:after="100" w:afterAutospacing="1"/>
    </w:pPr>
  </w:style>
  <w:style w:type="character" w:customStyle="1" w:styleId="s68">
    <w:name w:val="s68"/>
    <w:basedOn w:val="DefaultParagraphFont"/>
    <w:rsid w:val="004730BC"/>
  </w:style>
  <w:style w:type="paragraph" w:customStyle="1" w:styleId="s88">
    <w:name w:val="s88"/>
    <w:basedOn w:val="Normal"/>
    <w:rsid w:val="004730BC"/>
    <w:pPr>
      <w:bidi w:val="0"/>
      <w:spacing w:before="100" w:beforeAutospacing="1" w:after="100" w:afterAutospacing="1"/>
    </w:pPr>
  </w:style>
  <w:style w:type="character" w:customStyle="1" w:styleId="s89">
    <w:name w:val="s89"/>
    <w:basedOn w:val="DefaultParagraphFont"/>
    <w:rsid w:val="004730BC"/>
  </w:style>
  <w:style w:type="character" w:customStyle="1" w:styleId="s90">
    <w:name w:val="s90"/>
    <w:basedOn w:val="DefaultParagraphFont"/>
    <w:rsid w:val="004730BC"/>
  </w:style>
  <w:style w:type="table" w:customStyle="1" w:styleId="GridTable5Dark-Accent11">
    <w:name w:val="Grid Table 5 Dark - Accent 11"/>
    <w:basedOn w:val="TableNormal"/>
    <w:next w:val="GridTable5Dark-Accent12"/>
    <w:uiPriority w:val="50"/>
    <w:locked/>
    <w:rsid w:val="004730B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ListTable3-Accent21">
    <w:name w:val="List Table 3 - Accent 21"/>
    <w:basedOn w:val="TableNormal"/>
    <w:next w:val="ListTable3-Accent22"/>
    <w:uiPriority w:val="48"/>
    <w:rsid w:val="004730BC"/>
    <w:rPr>
      <w:rFonts w:ascii="Calibri" w:eastAsia="Calibri" w:hAnsi="Calibri" w:cs="Arial"/>
      <w:sz w:val="22"/>
      <w:szCs w:val="22"/>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GridTable1Light-Accent51">
    <w:name w:val="Grid Table 1 Light - Accent 51"/>
    <w:basedOn w:val="TableNormal"/>
    <w:next w:val="GridTable1Light-Accent52"/>
    <w:uiPriority w:val="46"/>
    <w:rsid w:val="004730BC"/>
    <w:rPr>
      <w:rFonts w:ascii="Calibri" w:eastAsia="Calibri" w:hAnsi="Calibri" w:cs="Arial"/>
      <w:sz w:val="22"/>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10">
    <w:name w:val="Grid Table 1 Light1"/>
    <w:basedOn w:val="TableNormal"/>
    <w:next w:val="GridTable1Light1"/>
    <w:uiPriority w:val="46"/>
    <w:rsid w:val="004730BC"/>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41">
    <w:name w:val="Grid Table 4 - Accent 41"/>
    <w:basedOn w:val="TableNormal"/>
    <w:next w:val="GridTable4-Accent42"/>
    <w:uiPriority w:val="49"/>
    <w:rsid w:val="004730BC"/>
    <w:rPr>
      <w:rFonts w:ascii="Calibri" w:eastAsia="Calibri"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customStyle="1" w:styleId="s15">
    <w:name w:val="s15"/>
    <w:basedOn w:val="DefaultParagraphFont"/>
    <w:rsid w:val="004730BC"/>
  </w:style>
  <w:style w:type="character" w:customStyle="1" w:styleId="bumpedfont20">
    <w:name w:val="bumpedfont20"/>
    <w:basedOn w:val="DefaultParagraphFont"/>
    <w:rsid w:val="004730BC"/>
  </w:style>
  <w:style w:type="character" w:customStyle="1" w:styleId="s13">
    <w:name w:val="s13"/>
    <w:basedOn w:val="DefaultParagraphFont"/>
    <w:rsid w:val="004730BC"/>
  </w:style>
  <w:style w:type="paragraph" w:customStyle="1" w:styleId="s160">
    <w:name w:val="s160"/>
    <w:basedOn w:val="Normal"/>
    <w:rsid w:val="004730BC"/>
    <w:pPr>
      <w:bidi w:val="0"/>
      <w:spacing w:before="100" w:beforeAutospacing="1" w:after="100" w:afterAutospacing="1"/>
    </w:pPr>
  </w:style>
  <w:style w:type="character" w:customStyle="1" w:styleId="s97">
    <w:name w:val="s97"/>
    <w:basedOn w:val="DefaultParagraphFont"/>
    <w:rsid w:val="004730BC"/>
  </w:style>
  <w:style w:type="paragraph" w:customStyle="1" w:styleId="s23">
    <w:name w:val="s23"/>
    <w:basedOn w:val="Normal"/>
    <w:rsid w:val="004730BC"/>
    <w:pPr>
      <w:bidi w:val="0"/>
      <w:spacing w:before="100" w:beforeAutospacing="1" w:after="100" w:afterAutospacing="1"/>
    </w:pPr>
  </w:style>
  <w:style w:type="paragraph" w:customStyle="1" w:styleId="s151">
    <w:name w:val="s151"/>
    <w:basedOn w:val="Normal"/>
    <w:rsid w:val="004730BC"/>
    <w:pPr>
      <w:bidi w:val="0"/>
      <w:spacing w:before="100" w:beforeAutospacing="1" w:after="100" w:afterAutospacing="1"/>
    </w:pPr>
  </w:style>
  <w:style w:type="character" w:customStyle="1" w:styleId="s180">
    <w:name w:val="s180"/>
    <w:basedOn w:val="DefaultParagraphFont"/>
    <w:rsid w:val="004730BC"/>
  </w:style>
  <w:style w:type="character" w:customStyle="1" w:styleId="s46">
    <w:name w:val="s46"/>
    <w:basedOn w:val="DefaultParagraphFont"/>
    <w:rsid w:val="004730BC"/>
  </w:style>
  <w:style w:type="character" w:customStyle="1" w:styleId="s185">
    <w:name w:val="s185"/>
    <w:basedOn w:val="DefaultParagraphFont"/>
    <w:rsid w:val="004730BC"/>
  </w:style>
  <w:style w:type="paragraph" w:customStyle="1" w:styleId="s186">
    <w:name w:val="s186"/>
    <w:basedOn w:val="Normal"/>
    <w:rsid w:val="004730BC"/>
    <w:pPr>
      <w:bidi w:val="0"/>
      <w:spacing w:before="100" w:beforeAutospacing="1" w:after="100" w:afterAutospacing="1"/>
    </w:pPr>
  </w:style>
  <w:style w:type="paragraph" w:customStyle="1" w:styleId="s188">
    <w:name w:val="s188"/>
    <w:basedOn w:val="Normal"/>
    <w:rsid w:val="004730BC"/>
    <w:pPr>
      <w:bidi w:val="0"/>
      <w:spacing w:before="100" w:beforeAutospacing="1" w:after="100" w:afterAutospacing="1"/>
    </w:pPr>
  </w:style>
  <w:style w:type="character" w:customStyle="1" w:styleId="s187">
    <w:name w:val="s187"/>
    <w:basedOn w:val="DefaultParagraphFont"/>
    <w:rsid w:val="004730BC"/>
  </w:style>
  <w:style w:type="character" w:customStyle="1" w:styleId="s189">
    <w:name w:val="s189"/>
    <w:basedOn w:val="DefaultParagraphFont"/>
    <w:rsid w:val="004730BC"/>
  </w:style>
  <w:style w:type="character" w:customStyle="1" w:styleId="s193">
    <w:name w:val="s193"/>
    <w:basedOn w:val="DefaultParagraphFont"/>
    <w:rsid w:val="004730BC"/>
  </w:style>
  <w:style w:type="table" w:customStyle="1" w:styleId="GridTable4-Accent21">
    <w:name w:val="Grid Table 4 - Accent 21"/>
    <w:basedOn w:val="TableNormal"/>
    <w:next w:val="GridTable4-Accent22"/>
    <w:uiPriority w:val="49"/>
    <w:rsid w:val="004730BC"/>
    <w:rPr>
      <w:rFonts w:ascii="Calibri" w:eastAsia="Calibri" w:hAnsi="Calibri" w:cs="Arial"/>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2">
    <w:name w:val="Grid Table 5 Dark - Accent 22"/>
    <w:basedOn w:val="TableNormal"/>
    <w:next w:val="GridTable5Dark-Accent23"/>
    <w:uiPriority w:val="50"/>
    <w:locked/>
    <w:rsid w:val="004730B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3-Accent41">
    <w:name w:val="Grid Table 3 - Accent 41"/>
    <w:basedOn w:val="TableNormal"/>
    <w:next w:val="GridTable3-Accent42"/>
    <w:uiPriority w:val="48"/>
    <w:rsid w:val="004730BC"/>
    <w:rPr>
      <w:rFonts w:ascii="Calibri" w:eastAsia="Calibri"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next w:val="GridTable3-Accent52"/>
    <w:uiPriority w:val="48"/>
    <w:rsid w:val="004730BC"/>
    <w:rPr>
      <w:rFonts w:ascii="Calibri" w:eastAsia="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TableGridLight1">
    <w:name w:val="Table Grid Light1"/>
    <w:basedOn w:val="TableNormal"/>
    <w:next w:val="TableGridLight2"/>
    <w:uiPriority w:val="40"/>
    <w:rsid w:val="004730BC"/>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Accent11">
    <w:name w:val="Grid Table 2 - Accent 11"/>
    <w:basedOn w:val="TableNormal"/>
    <w:next w:val="GridTable2-Accent12"/>
    <w:uiPriority w:val="47"/>
    <w:rsid w:val="004730BC"/>
    <w:rPr>
      <w:rFonts w:ascii="Calibri" w:eastAsia="Calibri" w:hAnsi="Calibri" w:cs="Arial"/>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s118">
    <w:name w:val="s118"/>
    <w:basedOn w:val="DefaultParagraphFont"/>
    <w:rsid w:val="004730BC"/>
  </w:style>
  <w:style w:type="paragraph" w:customStyle="1" w:styleId="s152">
    <w:name w:val="s152"/>
    <w:basedOn w:val="Normal"/>
    <w:rsid w:val="004730BC"/>
    <w:pPr>
      <w:bidi w:val="0"/>
      <w:spacing w:before="100" w:beforeAutospacing="1" w:after="100" w:afterAutospacing="1"/>
    </w:pPr>
  </w:style>
  <w:style w:type="character" w:customStyle="1" w:styleId="s393">
    <w:name w:val="s393"/>
    <w:basedOn w:val="DefaultParagraphFont"/>
    <w:rsid w:val="004730BC"/>
  </w:style>
  <w:style w:type="character" w:customStyle="1" w:styleId="s394">
    <w:name w:val="s394"/>
    <w:basedOn w:val="DefaultParagraphFont"/>
    <w:rsid w:val="004730BC"/>
  </w:style>
  <w:style w:type="paragraph" w:customStyle="1" w:styleId="s397">
    <w:name w:val="s397"/>
    <w:basedOn w:val="Normal"/>
    <w:rsid w:val="004730BC"/>
    <w:pPr>
      <w:bidi w:val="0"/>
      <w:spacing w:before="100" w:beforeAutospacing="1" w:after="100" w:afterAutospacing="1"/>
    </w:pPr>
  </w:style>
  <w:style w:type="paragraph" w:customStyle="1" w:styleId="s398">
    <w:name w:val="s398"/>
    <w:basedOn w:val="Normal"/>
    <w:rsid w:val="004730BC"/>
    <w:pPr>
      <w:bidi w:val="0"/>
      <w:spacing w:before="100" w:beforeAutospacing="1" w:after="100" w:afterAutospacing="1"/>
    </w:pPr>
  </w:style>
  <w:style w:type="paragraph" w:customStyle="1" w:styleId="s402">
    <w:name w:val="s402"/>
    <w:basedOn w:val="Normal"/>
    <w:rsid w:val="004730BC"/>
    <w:pPr>
      <w:bidi w:val="0"/>
      <w:spacing w:before="100" w:beforeAutospacing="1" w:after="100" w:afterAutospacing="1"/>
    </w:pPr>
  </w:style>
  <w:style w:type="paragraph" w:customStyle="1" w:styleId="s404">
    <w:name w:val="s404"/>
    <w:basedOn w:val="Normal"/>
    <w:rsid w:val="004730BC"/>
    <w:pPr>
      <w:bidi w:val="0"/>
      <w:spacing w:before="100" w:beforeAutospacing="1" w:after="100" w:afterAutospacing="1"/>
    </w:pPr>
  </w:style>
  <w:style w:type="paragraph" w:customStyle="1" w:styleId="s407">
    <w:name w:val="s407"/>
    <w:basedOn w:val="Normal"/>
    <w:rsid w:val="004730BC"/>
    <w:pPr>
      <w:bidi w:val="0"/>
      <w:spacing w:before="100" w:beforeAutospacing="1" w:after="100" w:afterAutospacing="1"/>
    </w:pPr>
  </w:style>
  <w:style w:type="paragraph" w:customStyle="1" w:styleId="s326">
    <w:name w:val="s326"/>
    <w:basedOn w:val="Normal"/>
    <w:rsid w:val="004730BC"/>
    <w:pPr>
      <w:bidi w:val="0"/>
      <w:spacing w:before="100" w:beforeAutospacing="1" w:after="100" w:afterAutospacing="1"/>
    </w:pPr>
  </w:style>
  <w:style w:type="paragraph" w:customStyle="1" w:styleId="s139">
    <w:name w:val="s139"/>
    <w:basedOn w:val="Normal"/>
    <w:rsid w:val="004730BC"/>
    <w:pPr>
      <w:bidi w:val="0"/>
      <w:spacing w:before="100" w:beforeAutospacing="1" w:after="100" w:afterAutospacing="1"/>
    </w:pPr>
  </w:style>
  <w:style w:type="paragraph" w:customStyle="1" w:styleId="s412">
    <w:name w:val="s412"/>
    <w:basedOn w:val="Normal"/>
    <w:rsid w:val="004730BC"/>
    <w:pPr>
      <w:bidi w:val="0"/>
      <w:spacing w:before="100" w:beforeAutospacing="1" w:after="100" w:afterAutospacing="1"/>
    </w:pPr>
  </w:style>
  <w:style w:type="paragraph" w:customStyle="1" w:styleId="s414">
    <w:name w:val="s414"/>
    <w:basedOn w:val="Normal"/>
    <w:rsid w:val="004730BC"/>
    <w:pPr>
      <w:bidi w:val="0"/>
      <w:spacing w:before="100" w:beforeAutospacing="1" w:after="100" w:afterAutospacing="1"/>
    </w:pPr>
  </w:style>
  <w:style w:type="paragraph" w:customStyle="1" w:styleId="s39">
    <w:name w:val="s39"/>
    <w:basedOn w:val="Normal"/>
    <w:rsid w:val="004730BC"/>
    <w:pPr>
      <w:bidi w:val="0"/>
      <w:spacing w:before="100" w:beforeAutospacing="1" w:after="100" w:afterAutospacing="1"/>
    </w:pPr>
  </w:style>
  <w:style w:type="paragraph" w:customStyle="1" w:styleId="s416">
    <w:name w:val="s416"/>
    <w:basedOn w:val="Normal"/>
    <w:rsid w:val="004730BC"/>
    <w:pPr>
      <w:bidi w:val="0"/>
      <w:spacing w:before="100" w:beforeAutospacing="1" w:after="100" w:afterAutospacing="1"/>
    </w:pPr>
  </w:style>
  <w:style w:type="paragraph" w:customStyle="1" w:styleId="s417">
    <w:name w:val="s417"/>
    <w:basedOn w:val="Normal"/>
    <w:rsid w:val="004730BC"/>
    <w:pPr>
      <w:bidi w:val="0"/>
      <w:spacing w:before="100" w:beforeAutospacing="1" w:after="100" w:afterAutospacing="1"/>
    </w:pPr>
  </w:style>
  <w:style w:type="paragraph" w:customStyle="1" w:styleId="s420">
    <w:name w:val="s420"/>
    <w:basedOn w:val="Normal"/>
    <w:rsid w:val="004730BC"/>
    <w:pPr>
      <w:bidi w:val="0"/>
      <w:spacing w:before="100" w:beforeAutospacing="1" w:after="100" w:afterAutospacing="1"/>
    </w:pPr>
  </w:style>
  <w:style w:type="paragraph" w:customStyle="1" w:styleId="s18">
    <w:name w:val="s18"/>
    <w:basedOn w:val="Normal"/>
    <w:rsid w:val="004730BC"/>
    <w:pPr>
      <w:bidi w:val="0"/>
      <w:spacing w:before="100" w:beforeAutospacing="1" w:after="100" w:afterAutospacing="1"/>
    </w:pPr>
  </w:style>
  <w:style w:type="paragraph" w:customStyle="1" w:styleId="s428">
    <w:name w:val="s428"/>
    <w:basedOn w:val="Normal"/>
    <w:rsid w:val="004730BC"/>
    <w:pPr>
      <w:bidi w:val="0"/>
      <w:spacing w:before="100" w:beforeAutospacing="1" w:after="100" w:afterAutospacing="1"/>
    </w:pPr>
  </w:style>
  <w:style w:type="character" w:customStyle="1" w:styleId="s427">
    <w:name w:val="s427"/>
    <w:basedOn w:val="DefaultParagraphFont"/>
    <w:rsid w:val="004730BC"/>
  </w:style>
  <w:style w:type="character" w:customStyle="1" w:styleId="s429">
    <w:name w:val="s429"/>
    <w:basedOn w:val="DefaultParagraphFont"/>
    <w:rsid w:val="004730BC"/>
  </w:style>
  <w:style w:type="paragraph" w:customStyle="1" w:styleId="s436">
    <w:name w:val="s436"/>
    <w:basedOn w:val="Normal"/>
    <w:rsid w:val="004730BC"/>
    <w:pPr>
      <w:bidi w:val="0"/>
      <w:spacing w:before="100" w:beforeAutospacing="1" w:after="100" w:afterAutospacing="1"/>
    </w:pPr>
  </w:style>
  <w:style w:type="paragraph" w:customStyle="1" w:styleId="s439">
    <w:name w:val="s439"/>
    <w:basedOn w:val="Normal"/>
    <w:rsid w:val="004730BC"/>
    <w:pPr>
      <w:bidi w:val="0"/>
      <w:spacing w:before="100" w:beforeAutospacing="1" w:after="100" w:afterAutospacing="1"/>
    </w:pPr>
  </w:style>
  <w:style w:type="paragraph" w:customStyle="1" w:styleId="s440">
    <w:name w:val="s440"/>
    <w:basedOn w:val="Normal"/>
    <w:rsid w:val="004730BC"/>
    <w:pPr>
      <w:bidi w:val="0"/>
      <w:spacing w:before="100" w:beforeAutospacing="1" w:after="100" w:afterAutospacing="1"/>
    </w:pPr>
  </w:style>
  <w:style w:type="paragraph" w:customStyle="1" w:styleId="s442">
    <w:name w:val="s442"/>
    <w:basedOn w:val="Normal"/>
    <w:rsid w:val="004730BC"/>
    <w:pPr>
      <w:bidi w:val="0"/>
      <w:spacing w:before="100" w:beforeAutospacing="1" w:after="100" w:afterAutospacing="1"/>
    </w:pPr>
  </w:style>
  <w:style w:type="paragraph" w:customStyle="1" w:styleId="s443">
    <w:name w:val="s443"/>
    <w:basedOn w:val="Normal"/>
    <w:rsid w:val="004730BC"/>
    <w:pPr>
      <w:bidi w:val="0"/>
      <w:spacing w:before="100" w:beforeAutospacing="1" w:after="100" w:afterAutospacing="1"/>
    </w:pPr>
  </w:style>
  <w:style w:type="paragraph" w:customStyle="1" w:styleId="s444">
    <w:name w:val="s444"/>
    <w:basedOn w:val="Normal"/>
    <w:rsid w:val="004730BC"/>
    <w:pPr>
      <w:bidi w:val="0"/>
      <w:spacing w:before="100" w:beforeAutospacing="1" w:after="100" w:afterAutospacing="1"/>
    </w:pPr>
  </w:style>
  <w:style w:type="character" w:customStyle="1" w:styleId="s445">
    <w:name w:val="s445"/>
    <w:basedOn w:val="DefaultParagraphFont"/>
    <w:rsid w:val="004730BC"/>
  </w:style>
  <w:style w:type="paragraph" w:customStyle="1" w:styleId="s448">
    <w:name w:val="s448"/>
    <w:basedOn w:val="Normal"/>
    <w:rsid w:val="004730BC"/>
    <w:pPr>
      <w:bidi w:val="0"/>
      <w:spacing w:before="100" w:beforeAutospacing="1" w:after="100" w:afterAutospacing="1"/>
    </w:pPr>
  </w:style>
  <w:style w:type="paragraph" w:customStyle="1" w:styleId="s31">
    <w:name w:val="s31"/>
    <w:basedOn w:val="Normal"/>
    <w:rsid w:val="004730BC"/>
    <w:pPr>
      <w:bidi w:val="0"/>
      <w:spacing w:before="100" w:beforeAutospacing="1" w:after="100" w:afterAutospacing="1"/>
    </w:pPr>
  </w:style>
  <w:style w:type="character" w:customStyle="1" w:styleId="s450">
    <w:name w:val="s450"/>
    <w:basedOn w:val="DefaultParagraphFont"/>
    <w:rsid w:val="004730BC"/>
  </w:style>
  <w:style w:type="table" w:customStyle="1" w:styleId="PlainTable11">
    <w:name w:val="Plain Table 11"/>
    <w:basedOn w:val="TableNormal"/>
    <w:next w:val="PlainTable12"/>
    <w:uiPriority w:val="41"/>
    <w:rsid w:val="004730BC"/>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136">
    <w:name w:val="s136"/>
    <w:basedOn w:val="Normal"/>
    <w:rsid w:val="004730BC"/>
    <w:pPr>
      <w:bidi w:val="0"/>
      <w:spacing w:before="100" w:beforeAutospacing="1" w:after="100" w:afterAutospacing="1"/>
    </w:pPr>
  </w:style>
  <w:style w:type="paragraph" w:customStyle="1" w:styleId="s281">
    <w:name w:val="s281"/>
    <w:basedOn w:val="Normal"/>
    <w:rsid w:val="004730BC"/>
    <w:pPr>
      <w:bidi w:val="0"/>
      <w:spacing w:before="100" w:beforeAutospacing="1" w:after="100" w:afterAutospacing="1"/>
    </w:pPr>
  </w:style>
  <w:style w:type="paragraph" w:customStyle="1" w:styleId="s285">
    <w:name w:val="s285"/>
    <w:basedOn w:val="Normal"/>
    <w:rsid w:val="004730BC"/>
    <w:pPr>
      <w:bidi w:val="0"/>
      <w:spacing w:before="100" w:beforeAutospacing="1" w:after="100" w:afterAutospacing="1"/>
    </w:pPr>
  </w:style>
  <w:style w:type="paragraph" w:customStyle="1" w:styleId="s42">
    <w:name w:val="s42"/>
    <w:basedOn w:val="Normal"/>
    <w:rsid w:val="004730BC"/>
    <w:pPr>
      <w:bidi w:val="0"/>
      <w:spacing w:before="100" w:beforeAutospacing="1" w:after="100" w:afterAutospacing="1"/>
    </w:pPr>
  </w:style>
  <w:style w:type="paragraph" w:customStyle="1" w:styleId="s123">
    <w:name w:val="s123"/>
    <w:basedOn w:val="Normal"/>
    <w:rsid w:val="004730BC"/>
    <w:pPr>
      <w:bidi w:val="0"/>
      <w:spacing w:before="100" w:beforeAutospacing="1" w:after="100" w:afterAutospacing="1"/>
    </w:pPr>
  </w:style>
  <w:style w:type="paragraph" w:customStyle="1" w:styleId="s318">
    <w:name w:val="s318"/>
    <w:basedOn w:val="Normal"/>
    <w:rsid w:val="004730BC"/>
    <w:pPr>
      <w:bidi w:val="0"/>
      <w:spacing w:before="100" w:beforeAutospacing="1" w:after="100" w:afterAutospacing="1"/>
    </w:pPr>
  </w:style>
  <w:style w:type="paragraph" w:customStyle="1" w:styleId="s316">
    <w:name w:val="s316"/>
    <w:basedOn w:val="Normal"/>
    <w:rsid w:val="004730BC"/>
    <w:pPr>
      <w:bidi w:val="0"/>
      <w:spacing w:before="100" w:beforeAutospacing="1" w:after="100" w:afterAutospacing="1"/>
    </w:pPr>
  </w:style>
  <w:style w:type="paragraph" w:customStyle="1" w:styleId="s320">
    <w:name w:val="s320"/>
    <w:basedOn w:val="Normal"/>
    <w:rsid w:val="004730BC"/>
    <w:pPr>
      <w:bidi w:val="0"/>
      <w:spacing w:before="100" w:beforeAutospacing="1" w:after="100" w:afterAutospacing="1"/>
    </w:pPr>
  </w:style>
  <w:style w:type="paragraph" w:customStyle="1" w:styleId="s321">
    <w:name w:val="s321"/>
    <w:basedOn w:val="Normal"/>
    <w:rsid w:val="004730BC"/>
    <w:pPr>
      <w:bidi w:val="0"/>
      <w:spacing w:before="100" w:beforeAutospacing="1" w:after="100" w:afterAutospacing="1"/>
    </w:pPr>
  </w:style>
  <w:style w:type="paragraph" w:customStyle="1" w:styleId="s43">
    <w:name w:val="s43"/>
    <w:basedOn w:val="Normal"/>
    <w:rsid w:val="004730BC"/>
    <w:pPr>
      <w:bidi w:val="0"/>
      <w:spacing w:before="100" w:beforeAutospacing="1" w:after="100" w:afterAutospacing="1"/>
    </w:pPr>
  </w:style>
  <w:style w:type="paragraph" w:customStyle="1" w:styleId="s143">
    <w:name w:val="s143"/>
    <w:basedOn w:val="Normal"/>
    <w:rsid w:val="004730BC"/>
    <w:pPr>
      <w:bidi w:val="0"/>
      <w:spacing w:before="100" w:beforeAutospacing="1" w:after="100" w:afterAutospacing="1"/>
    </w:pPr>
  </w:style>
  <w:style w:type="paragraph" w:customStyle="1" w:styleId="s410">
    <w:name w:val="s410"/>
    <w:basedOn w:val="Normal"/>
    <w:rsid w:val="004730BC"/>
    <w:pPr>
      <w:bidi w:val="0"/>
      <w:spacing w:before="100" w:beforeAutospacing="1" w:after="100" w:afterAutospacing="1"/>
    </w:pPr>
  </w:style>
  <w:style w:type="paragraph" w:customStyle="1" w:styleId="s34">
    <w:name w:val="s34"/>
    <w:basedOn w:val="Normal"/>
    <w:rsid w:val="004730BC"/>
    <w:pPr>
      <w:bidi w:val="0"/>
      <w:spacing w:before="100" w:beforeAutospacing="1" w:after="100" w:afterAutospacing="1"/>
    </w:pPr>
  </w:style>
  <w:style w:type="character" w:customStyle="1" w:styleId="referencesarticle-title">
    <w:name w:val="references__article-title"/>
    <w:basedOn w:val="DefaultParagraphFont"/>
    <w:rsid w:val="004730BC"/>
  </w:style>
  <w:style w:type="character" w:customStyle="1" w:styleId="referencesyear">
    <w:name w:val="references__year"/>
    <w:basedOn w:val="DefaultParagraphFont"/>
    <w:rsid w:val="004730BC"/>
  </w:style>
  <w:style w:type="character" w:customStyle="1" w:styleId="html-italic">
    <w:name w:val="html-italic"/>
    <w:basedOn w:val="DefaultParagraphFont"/>
    <w:rsid w:val="004730BC"/>
  </w:style>
  <w:style w:type="character" w:customStyle="1" w:styleId="mi">
    <w:name w:val="mi"/>
    <w:basedOn w:val="DefaultParagraphFont"/>
    <w:rsid w:val="004730BC"/>
  </w:style>
  <w:style w:type="character" w:customStyle="1" w:styleId="mo">
    <w:name w:val="mo"/>
    <w:basedOn w:val="DefaultParagraphFont"/>
    <w:rsid w:val="004730BC"/>
  </w:style>
  <w:style w:type="character" w:customStyle="1" w:styleId="mn">
    <w:name w:val="mn"/>
    <w:basedOn w:val="DefaultParagraphFont"/>
    <w:rsid w:val="004730BC"/>
  </w:style>
  <w:style w:type="character" w:customStyle="1" w:styleId="cit-name-surname">
    <w:name w:val="cit-name-surname"/>
    <w:basedOn w:val="DefaultParagraphFont"/>
    <w:rsid w:val="004730BC"/>
  </w:style>
  <w:style w:type="character" w:customStyle="1" w:styleId="cit-name-given-names">
    <w:name w:val="cit-name-given-names"/>
    <w:basedOn w:val="DefaultParagraphFont"/>
    <w:rsid w:val="004730BC"/>
  </w:style>
  <w:style w:type="character" w:customStyle="1" w:styleId="cit-etal">
    <w:name w:val="cit-etal"/>
    <w:basedOn w:val="DefaultParagraphFont"/>
    <w:rsid w:val="004730BC"/>
  </w:style>
  <w:style w:type="character" w:styleId="HTMLCite">
    <w:name w:val="HTML Cite"/>
    <w:uiPriority w:val="99"/>
    <w:unhideWhenUsed/>
    <w:rsid w:val="004730BC"/>
    <w:rPr>
      <w:i/>
      <w:iCs/>
    </w:rPr>
  </w:style>
  <w:style w:type="character" w:customStyle="1" w:styleId="cit-article-title">
    <w:name w:val="cit-article-title"/>
    <w:basedOn w:val="DefaultParagraphFont"/>
    <w:rsid w:val="004730BC"/>
  </w:style>
  <w:style w:type="character" w:customStyle="1" w:styleId="cit-pub-date">
    <w:name w:val="cit-pub-date"/>
    <w:basedOn w:val="DefaultParagraphFont"/>
    <w:rsid w:val="004730BC"/>
  </w:style>
  <w:style w:type="character" w:customStyle="1" w:styleId="cit-vol">
    <w:name w:val="cit-vol"/>
    <w:basedOn w:val="DefaultParagraphFont"/>
    <w:rsid w:val="004730BC"/>
  </w:style>
  <w:style w:type="character" w:customStyle="1" w:styleId="cit-fpage">
    <w:name w:val="cit-fpage"/>
    <w:basedOn w:val="DefaultParagraphFont"/>
    <w:rsid w:val="004730BC"/>
  </w:style>
  <w:style w:type="character" w:customStyle="1" w:styleId="cit-lpage">
    <w:name w:val="cit-lpage"/>
    <w:basedOn w:val="DefaultParagraphFont"/>
    <w:rsid w:val="004730BC"/>
  </w:style>
  <w:style w:type="character" w:customStyle="1" w:styleId="ref-journal">
    <w:name w:val="ref-journal"/>
    <w:basedOn w:val="DefaultParagraphFont"/>
    <w:rsid w:val="004730BC"/>
  </w:style>
  <w:style w:type="table" w:styleId="LightGrid-Accent4">
    <w:name w:val="Light Grid Accent 4"/>
    <w:basedOn w:val="TableNormal"/>
    <w:uiPriority w:val="62"/>
    <w:rsid w:val="004730BC"/>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MediumShading2-Accent2">
    <w:name w:val="Medium Shading 2 Accent 2"/>
    <w:basedOn w:val="TableNormal"/>
    <w:uiPriority w:val="64"/>
    <w:rsid w:val="004730B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4730BC"/>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4">
    <w:name w:val="Light List Accent 4"/>
    <w:basedOn w:val="TableNormal"/>
    <w:uiPriority w:val="61"/>
    <w:rsid w:val="004730BC"/>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Shading-Accent1">
    <w:name w:val="Light Shading Accent 1"/>
    <w:basedOn w:val="TableNormal"/>
    <w:uiPriority w:val="60"/>
    <w:rsid w:val="004730BC"/>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4730BC"/>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MediumList1-Accent6">
    <w:name w:val="Medium List 1 Accent 6"/>
    <w:basedOn w:val="TableNormal"/>
    <w:uiPriority w:val="65"/>
    <w:rsid w:val="004730BC"/>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LightShading-Accent6">
    <w:name w:val="Light Shading Accent 6"/>
    <w:basedOn w:val="TableNormal"/>
    <w:uiPriority w:val="60"/>
    <w:rsid w:val="004730BC"/>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ghtList-Accent1">
    <w:name w:val="Light List Accent 1"/>
    <w:basedOn w:val="TableNormal"/>
    <w:uiPriority w:val="61"/>
    <w:rsid w:val="004730BC"/>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Title">
    <w:name w:val="Title"/>
    <w:basedOn w:val="Normal"/>
    <w:next w:val="Normal"/>
    <w:link w:val="TitleChar"/>
    <w:rsid w:val="004730BC"/>
    <w:pPr>
      <w:spacing w:before="240" w:after="60"/>
      <w:jc w:val="center"/>
      <w:outlineLvl w:val="0"/>
    </w:pPr>
    <w:rPr>
      <w:rFonts w:ascii="Cambria" w:hAnsi="Cambria"/>
      <w:spacing w:val="-10"/>
      <w:kern w:val="28"/>
      <w:sz w:val="56"/>
      <w:szCs w:val="56"/>
    </w:rPr>
  </w:style>
  <w:style w:type="character" w:customStyle="1" w:styleId="TitleChar1">
    <w:name w:val="Title Char1"/>
    <w:rsid w:val="004730BC"/>
    <w:rPr>
      <w:rFonts w:ascii="Calibri Light" w:eastAsia="Times New Roman" w:hAnsi="Calibri Light" w:cs="Times New Roman"/>
      <w:b/>
      <w:bCs/>
      <w:kern w:val="28"/>
      <w:sz w:val="32"/>
      <w:szCs w:val="32"/>
    </w:rPr>
  </w:style>
  <w:style w:type="table" w:customStyle="1" w:styleId="GridTable5Dark-Accent32">
    <w:name w:val="Grid Table 5 Dark - Accent 32"/>
    <w:basedOn w:val="TableNormal"/>
    <w:uiPriority w:val="50"/>
    <w:rsid w:val="004730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6Colorful-Accent22">
    <w:name w:val="Grid Table 6 Colorful - Accent 22"/>
    <w:basedOn w:val="TableNormal"/>
    <w:uiPriority w:val="51"/>
    <w:rsid w:val="004730BC"/>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7Colorful-Accent22">
    <w:name w:val="Grid Table 7 Colorful - Accent 22"/>
    <w:basedOn w:val="TableNormal"/>
    <w:uiPriority w:val="52"/>
    <w:rsid w:val="004730BC"/>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2">
    <w:name w:val="Grid Table 7 Colorful2"/>
    <w:basedOn w:val="TableNormal"/>
    <w:uiPriority w:val="52"/>
    <w:rsid w:val="004730BC"/>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Accent42">
    <w:name w:val="Grid Table 2 - Accent 42"/>
    <w:basedOn w:val="TableNormal"/>
    <w:uiPriority w:val="47"/>
    <w:rsid w:val="004730BC"/>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32">
    <w:name w:val="List Table 32"/>
    <w:basedOn w:val="TableNormal"/>
    <w:uiPriority w:val="48"/>
    <w:rsid w:val="004730BC"/>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1Light-Accent42">
    <w:name w:val="Grid Table 1 Light - Accent 42"/>
    <w:basedOn w:val="TableNormal"/>
    <w:uiPriority w:val="46"/>
    <w:rsid w:val="004730BC"/>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3-Accent32">
    <w:name w:val="Grid Table 3 - Accent 32"/>
    <w:basedOn w:val="TableNormal"/>
    <w:uiPriority w:val="48"/>
    <w:rsid w:val="004730B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6Colorful-Accent32">
    <w:name w:val="Grid Table 6 Colorful - Accent 32"/>
    <w:basedOn w:val="TableNormal"/>
    <w:uiPriority w:val="51"/>
    <w:rsid w:val="004730B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2">
    <w:name w:val="Grid Table 42"/>
    <w:basedOn w:val="TableNormal"/>
    <w:uiPriority w:val="49"/>
    <w:rsid w:val="004730B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2">
    <w:name w:val="Grid Table 32"/>
    <w:basedOn w:val="TableNormal"/>
    <w:uiPriority w:val="48"/>
    <w:rsid w:val="004730B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2">
    <w:name w:val="Grid Table 1 Light - Accent 12"/>
    <w:basedOn w:val="TableNormal"/>
    <w:uiPriority w:val="46"/>
    <w:rsid w:val="004730BC"/>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5Dark-Accent12">
    <w:name w:val="Grid Table 5 Dark - Accent 12"/>
    <w:basedOn w:val="TableNormal"/>
    <w:uiPriority w:val="50"/>
    <w:rsid w:val="004730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3-Accent22">
    <w:name w:val="List Table 3 - Accent 22"/>
    <w:basedOn w:val="TableNormal"/>
    <w:uiPriority w:val="48"/>
    <w:rsid w:val="004730BC"/>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GridTable1Light-Accent52">
    <w:name w:val="Grid Table 1 Light - Accent 52"/>
    <w:basedOn w:val="TableNormal"/>
    <w:uiPriority w:val="46"/>
    <w:rsid w:val="004730BC"/>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42">
    <w:name w:val="Grid Table 4 - Accent 42"/>
    <w:basedOn w:val="TableNormal"/>
    <w:uiPriority w:val="49"/>
    <w:rsid w:val="004730BC"/>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22">
    <w:name w:val="Grid Table 4 - Accent 22"/>
    <w:basedOn w:val="TableNormal"/>
    <w:uiPriority w:val="49"/>
    <w:rsid w:val="004730BC"/>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3">
    <w:name w:val="Grid Table 5 Dark - Accent 23"/>
    <w:basedOn w:val="TableNormal"/>
    <w:uiPriority w:val="50"/>
    <w:rsid w:val="004730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3-Accent42">
    <w:name w:val="Grid Table 3 - Accent 42"/>
    <w:basedOn w:val="TableNormal"/>
    <w:uiPriority w:val="48"/>
    <w:rsid w:val="004730BC"/>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2">
    <w:name w:val="Grid Table 3 - Accent 52"/>
    <w:basedOn w:val="TableNormal"/>
    <w:uiPriority w:val="48"/>
    <w:rsid w:val="004730BC"/>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eGridLight2">
    <w:name w:val="Table Grid Light2"/>
    <w:basedOn w:val="TableNormal"/>
    <w:uiPriority w:val="40"/>
    <w:rsid w:val="004730B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Accent12">
    <w:name w:val="Grid Table 2 - Accent 12"/>
    <w:basedOn w:val="TableNormal"/>
    <w:uiPriority w:val="47"/>
    <w:rsid w:val="004730B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12">
    <w:name w:val="Plain Table 12"/>
    <w:basedOn w:val="TableNormal"/>
    <w:uiPriority w:val="41"/>
    <w:rsid w:val="004730B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511">
    <w:name w:val="Grid Table 5 Dark - Accent 511"/>
    <w:basedOn w:val="TableNormal"/>
    <w:uiPriority w:val="50"/>
    <w:rsid w:val="004F5DED"/>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fig0">
    <w:name w:val="fig"/>
    <w:basedOn w:val="Caption"/>
    <w:link w:val="figChar0"/>
    <w:rsid w:val="009A5937"/>
    <w:pPr>
      <w:jc w:val="center"/>
    </w:pPr>
    <w:rPr>
      <w:color w:val="auto"/>
      <w:szCs w:val="24"/>
    </w:rPr>
  </w:style>
  <w:style w:type="character" w:customStyle="1" w:styleId="figChar0">
    <w:name w:val="fig Char"/>
    <w:link w:val="fig0"/>
    <w:rsid w:val="009A5937"/>
    <w:rPr>
      <w:rFonts w:eastAsia="Calibri"/>
      <w:b/>
      <w:bCs/>
      <w:sz w:val="24"/>
      <w:szCs w:val="24"/>
    </w:rPr>
  </w:style>
  <w:style w:type="character" w:customStyle="1" w:styleId="CaptionChar">
    <w:name w:val="Caption Char"/>
    <w:link w:val="Caption"/>
    <w:uiPriority w:val="35"/>
    <w:rsid w:val="002A741F"/>
    <w:rPr>
      <w:b/>
      <w:bCs/>
      <w:color w:val="000000"/>
      <w:sz w:val="24"/>
      <w:szCs w:val="36"/>
      <w:lang w:val="en-GB"/>
    </w:rPr>
  </w:style>
  <w:style w:type="table" w:customStyle="1" w:styleId="GridTable5Dark-Accent512">
    <w:name w:val="Grid Table 5 Dark - Accent 512"/>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3">
    <w:name w:val="Grid Table 5 Dark - Accent 513"/>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4">
    <w:name w:val="Grid Table 5 Dark - Accent 514"/>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5">
    <w:name w:val="Grid Table 5 Dark - Accent 515"/>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6">
    <w:name w:val="Grid Table 5 Dark - Accent 516"/>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UnresolvedMention1">
    <w:name w:val="Unresolved Mention1"/>
    <w:uiPriority w:val="99"/>
    <w:semiHidden/>
    <w:unhideWhenUsed/>
    <w:rsid w:val="00F26BBC"/>
    <w:rPr>
      <w:color w:val="605E5C"/>
      <w:shd w:val="clear" w:color="auto" w:fill="E1DFDD"/>
    </w:rPr>
  </w:style>
  <w:style w:type="paragraph" w:customStyle="1" w:styleId="ssc">
    <w:name w:val="ssc"/>
    <w:basedOn w:val="Normal"/>
    <w:rsid w:val="002D4942"/>
    <w:pPr>
      <w:bidi w:val="0"/>
      <w:spacing w:before="100" w:beforeAutospacing="1" w:after="100" w:afterAutospacing="1"/>
    </w:pPr>
  </w:style>
  <w:style w:type="character" w:customStyle="1" w:styleId="ParagraphChar0">
    <w:name w:val="Paragraph Char"/>
    <w:link w:val="Paragraph0"/>
    <w:locked/>
    <w:rsid w:val="006320FC"/>
    <w:rPr>
      <w:rFonts w:ascii="AdvOT678fd422" w:eastAsia="AdvOT678fd422" w:hAnsi="AdvOT678fd422"/>
      <w:sz w:val="28"/>
      <w:szCs w:val="22"/>
      <w:lang w:bidi="en-US"/>
    </w:rPr>
  </w:style>
  <w:style w:type="paragraph" w:customStyle="1" w:styleId="Paragraph0">
    <w:name w:val="Paragraph"/>
    <w:basedOn w:val="Normal"/>
    <w:link w:val="ParagraphChar0"/>
    <w:rsid w:val="006320FC"/>
    <w:pPr>
      <w:bidi w:val="0"/>
      <w:spacing w:after="200" w:line="360" w:lineRule="auto"/>
      <w:ind w:firstLine="720"/>
      <w:jc w:val="both"/>
    </w:pPr>
    <w:rPr>
      <w:rFonts w:ascii="AdvOT678fd422" w:eastAsia="AdvOT678fd422" w:hAnsi="AdvOT678fd422"/>
      <w:sz w:val="28"/>
      <w:szCs w:val="22"/>
      <w:lang w:bidi="en-US"/>
    </w:rPr>
  </w:style>
  <w:style w:type="character" w:styleId="FollowedHyperlink">
    <w:name w:val="FollowedHyperlink"/>
    <w:uiPriority w:val="99"/>
    <w:unhideWhenUsed/>
    <w:rsid w:val="006320FC"/>
    <w:rPr>
      <w:color w:val="800080"/>
      <w:u w:val="single"/>
    </w:rPr>
  </w:style>
  <w:style w:type="paragraph" w:customStyle="1" w:styleId="msonormal0">
    <w:name w:val="msonormal"/>
    <w:basedOn w:val="Normal"/>
    <w:rsid w:val="006320FC"/>
    <w:pPr>
      <w:bidi w:val="0"/>
      <w:spacing w:before="100" w:beforeAutospacing="1" w:after="100" w:afterAutospacing="1"/>
    </w:pPr>
  </w:style>
  <w:style w:type="character" w:customStyle="1" w:styleId="HeaderChar1">
    <w:name w:val="Header Char1"/>
    <w:aliases w:val="Char Char Char1,Char Char Char Char Char Char Char Char1 Char1,Char5 Char Char1"/>
    <w:semiHidden/>
    <w:rsid w:val="006320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320FC"/>
    <w:pPr>
      <w:bidi w:val="0"/>
      <w:spacing w:line="348" w:lineRule="auto"/>
      <w:ind w:firstLine="720"/>
      <w:jc w:val="lowKashida"/>
    </w:pPr>
    <w:rPr>
      <w:sz w:val="28"/>
      <w:szCs w:val="28"/>
      <w:lang w:eastAsia="ar-SA"/>
    </w:rPr>
  </w:style>
  <w:style w:type="character" w:customStyle="1" w:styleId="BodyTextIndentChar">
    <w:name w:val="Body Text Indent Char"/>
    <w:link w:val="BodyTextIndent"/>
    <w:uiPriority w:val="99"/>
    <w:rsid w:val="006320FC"/>
    <w:rPr>
      <w:sz w:val="28"/>
      <w:szCs w:val="28"/>
      <w:lang w:eastAsia="ar-SA"/>
    </w:rPr>
  </w:style>
  <w:style w:type="paragraph" w:styleId="Subtitle">
    <w:name w:val="Subtitle"/>
    <w:basedOn w:val="Normal"/>
    <w:next w:val="Normal"/>
    <w:link w:val="SubtitleChar"/>
    <w:uiPriority w:val="11"/>
    <w:rsid w:val="006320FC"/>
    <w:pPr>
      <w:bidi w:val="0"/>
      <w:spacing w:after="160" w:line="276" w:lineRule="auto"/>
    </w:pPr>
    <w:rPr>
      <w:rFonts w:ascii="Calibri" w:hAnsi="Calibri" w:cs="Arial"/>
      <w:color w:val="5A5A5A"/>
      <w:spacing w:val="15"/>
      <w:sz w:val="22"/>
      <w:szCs w:val="22"/>
    </w:rPr>
  </w:style>
  <w:style w:type="character" w:customStyle="1" w:styleId="SubtitleChar">
    <w:name w:val="Subtitle Char"/>
    <w:link w:val="Subtitle"/>
    <w:uiPriority w:val="11"/>
    <w:rsid w:val="006320FC"/>
    <w:rPr>
      <w:rFonts w:ascii="Calibri" w:hAnsi="Calibri" w:cs="Arial"/>
      <w:color w:val="5A5A5A"/>
      <w:spacing w:val="15"/>
      <w:sz w:val="22"/>
      <w:szCs w:val="22"/>
    </w:rPr>
  </w:style>
  <w:style w:type="character" w:customStyle="1" w:styleId="NoSpacingChar">
    <w:name w:val="No Spacing Char"/>
    <w:link w:val="NoSpacing"/>
    <w:uiPriority w:val="1"/>
    <w:locked/>
    <w:rsid w:val="006320FC"/>
    <w:rPr>
      <w:rFonts w:ascii="Calibri" w:eastAsia="Calibri" w:hAnsi="Calibri" w:cs="Arial"/>
      <w:sz w:val="22"/>
      <w:szCs w:val="22"/>
    </w:rPr>
  </w:style>
  <w:style w:type="character" w:customStyle="1" w:styleId="ListParagraphChar">
    <w:name w:val="List Paragraph Char"/>
    <w:link w:val="ListParagraph"/>
    <w:uiPriority w:val="99"/>
    <w:locked/>
    <w:rsid w:val="006320FC"/>
    <w:rPr>
      <w:rFonts w:ascii="Calibri" w:eastAsia="Calibri" w:hAnsi="Calibri" w:cs="Arial"/>
      <w:sz w:val="22"/>
      <w:szCs w:val="22"/>
    </w:rPr>
  </w:style>
  <w:style w:type="paragraph" w:styleId="Quote">
    <w:name w:val="Quote"/>
    <w:basedOn w:val="Normal"/>
    <w:next w:val="Normal"/>
    <w:link w:val="QuoteChar"/>
    <w:uiPriority w:val="29"/>
    <w:rsid w:val="006320FC"/>
    <w:pPr>
      <w:bidi w:val="0"/>
      <w:spacing w:before="200" w:after="160" w:line="276" w:lineRule="auto"/>
      <w:ind w:left="864" w:right="864"/>
      <w:jc w:val="center"/>
    </w:pPr>
    <w:rPr>
      <w:i/>
      <w:iCs/>
      <w:color w:val="404040"/>
    </w:rPr>
  </w:style>
  <w:style w:type="character" w:customStyle="1" w:styleId="QuoteChar">
    <w:name w:val="Quote Char"/>
    <w:link w:val="Quote"/>
    <w:uiPriority w:val="29"/>
    <w:rsid w:val="006320FC"/>
    <w:rPr>
      <w:i/>
      <w:iCs/>
      <w:color w:val="404040"/>
      <w:sz w:val="24"/>
      <w:szCs w:val="24"/>
    </w:rPr>
  </w:style>
  <w:style w:type="character" w:customStyle="1" w:styleId="FigureChar">
    <w:name w:val="Figure Char"/>
    <w:link w:val="Figure"/>
    <w:locked/>
    <w:rsid w:val="006320FC"/>
    <w:rPr>
      <w:b/>
      <w:bCs/>
      <w:noProof/>
    </w:rPr>
  </w:style>
  <w:style w:type="paragraph" w:customStyle="1" w:styleId="Figure">
    <w:name w:val="Figure"/>
    <w:basedOn w:val="Normal"/>
    <w:link w:val="FigureChar"/>
    <w:rsid w:val="006320FC"/>
    <w:pPr>
      <w:autoSpaceDE w:val="0"/>
      <w:autoSpaceDN w:val="0"/>
      <w:bidi w:val="0"/>
      <w:adjustRightInd w:val="0"/>
      <w:spacing w:before="120" w:after="120" w:line="360" w:lineRule="auto"/>
      <w:jc w:val="center"/>
    </w:pPr>
    <w:rPr>
      <w:b/>
      <w:bCs/>
      <w:noProof/>
      <w:sz w:val="20"/>
      <w:szCs w:val="20"/>
    </w:rPr>
  </w:style>
  <w:style w:type="character" w:customStyle="1" w:styleId="H1Char">
    <w:name w:val="H1 Char"/>
    <w:link w:val="H1"/>
    <w:locked/>
    <w:rsid w:val="005070F0"/>
    <w:rPr>
      <w:b/>
      <w:bCs/>
      <w:color w:val="000000"/>
      <w:sz w:val="28"/>
      <w:szCs w:val="28"/>
    </w:rPr>
  </w:style>
  <w:style w:type="paragraph" w:customStyle="1" w:styleId="H1">
    <w:name w:val="H1"/>
    <w:basedOn w:val="Title-"/>
    <w:link w:val="H1Char"/>
    <w:qFormat/>
    <w:rsid w:val="005070F0"/>
    <w:pPr>
      <w:jc w:val="both"/>
    </w:pPr>
  </w:style>
  <w:style w:type="character" w:customStyle="1" w:styleId="TableChar">
    <w:name w:val="Table Char"/>
    <w:link w:val="Table"/>
    <w:locked/>
    <w:rsid w:val="009A5937"/>
    <w:rPr>
      <w:rFonts w:eastAsia="Calibri"/>
      <w:b/>
      <w:bCs/>
      <w:sz w:val="24"/>
      <w:szCs w:val="24"/>
    </w:rPr>
  </w:style>
  <w:style w:type="paragraph" w:customStyle="1" w:styleId="Table">
    <w:name w:val="Table"/>
    <w:basedOn w:val="fig0"/>
    <w:link w:val="TableChar"/>
    <w:rsid w:val="009A5937"/>
    <w:pPr>
      <w:spacing w:after="0"/>
      <w:jc w:val="left"/>
    </w:pPr>
  </w:style>
  <w:style w:type="paragraph" w:customStyle="1" w:styleId="pp-first">
    <w:name w:val="p p-first"/>
    <w:basedOn w:val="Normal"/>
    <w:uiPriority w:val="99"/>
    <w:rsid w:val="006320FC"/>
    <w:pPr>
      <w:bidi w:val="0"/>
      <w:spacing w:before="100" w:beforeAutospacing="1" w:after="100" w:afterAutospacing="1"/>
    </w:pPr>
  </w:style>
  <w:style w:type="character" w:customStyle="1" w:styleId="H3-BulChar">
    <w:name w:val="H3-Bul Char"/>
    <w:link w:val="H3-Bul"/>
    <w:locked/>
    <w:rsid w:val="006320FC"/>
    <w:rPr>
      <w:b/>
      <w:bCs/>
      <w:color w:val="000000"/>
      <w:sz w:val="36"/>
      <w:szCs w:val="36"/>
    </w:rPr>
  </w:style>
  <w:style w:type="paragraph" w:customStyle="1" w:styleId="H3-Bul">
    <w:name w:val="H3-Bul"/>
    <w:basedOn w:val="H1"/>
    <w:link w:val="H3-BulChar"/>
    <w:rsid w:val="006320FC"/>
    <w:pPr>
      <w:numPr>
        <w:numId w:val="2"/>
      </w:numPr>
      <w:spacing w:before="240" w:after="240" w:line="240" w:lineRule="auto"/>
      <w:ind w:left="360"/>
    </w:pPr>
    <w:rPr>
      <w:sz w:val="36"/>
      <w:szCs w:val="36"/>
    </w:rPr>
  </w:style>
  <w:style w:type="character" w:customStyle="1" w:styleId="UsualChar">
    <w:name w:val="Usual Char"/>
    <w:basedOn w:val="DefaultParagraphFont"/>
    <w:link w:val="Usual"/>
    <w:locked/>
    <w:rsid w:val="006320FC"/>
  </w:style>
  <w:style w:type="paragraph" w:customStyle="1" w:styleId="Usual">
    <w:name w:val="Usual"/>
    <w:basedOn w:val="Normal"/>
    <w:link w:val="UsualChar"/>
    <w:rsid w:val="006320FC"/>
    <w:pPr>
      <w:autoSpaceDE w:val="0"/>
      <w:autoSpaceDN w:val="0"/>
      <w:bidi w:val="0"/>
      <w:adjustRightInd w:val="0"/>
      <w:spacing w:before="120" w:line="360" w:lineRule="auto"/>
      <w:ind w:firstLine="720"/>
      <w:jc w:val="both"/>
    </w:pPr>
    <w:rPr>
      <w:sz w:val="20"/>
      <w:szCs w:val="20"/>
    </w:rPr>
  </w:style>
  <w:style w:type="paragraph" w:customStyle="1" w:styleId="para">
    <w:name w:val="para"/>
    <w:basedOn w:val="Normal"/>
    <w:rsid w:val="006320FC"/>
    <w:pPr>
      <w:bidi w:val="0"/>
      <w:spacing w:before="100" w:beforeAutospacing="1" w:after="100" w:afterAutospacing="1"/>
    </w:pPr>
  </w:style>
  <w:style w:type="character" w:customStyle="1" w:styleId="Bodytext0">
    <w:name w:val="Body text_"/>
    <w:link w:val="BodyText20"/>
    <w:semiHidden/>
    <w:locked/>
    <w:rsid w:val="006320FC"/>
    <w:rPr>
      <w:shd w:val="clear" w:color="auto" w:fill="FFFFFF"/>
    </w:rPr>
  </w:style>
  <w:style w:type="paragraph" w:customStyle="1" w:styleId="BodyText20">
    <w:name w:val="Body Text2"/>
    <w:basedOn w:val="Normal"/>
    <w:link w:val="Bodytext0"/>
    <w:semiHidden/>
    <w:rsid w:val="006320FC"/>
    <w:pPr>
      <w:widowControl w:val="0"/>
      <w:shd w:val="clear" w:color="auto" w:fill="FFFFFF"/>
      <w:bidi w:val="0"/>
      <w:spacing w:before="360" w:after="120" w:line="355" w:lineRule="exact"/>
      <w:ind w:hanging="340"/>
      <w:jc w:val="both"/>
    </w:pPr>
    <w:rPr>
      <w:sz w:val="20"/>
      <w:szCs w:val="20"/>
    </w:rPr>
  </w:style>
  <w:style w:type="character" w:customStyle="1" w:styleId="NChar">
    <w:name w:val="N Char"/>
    <w:link w:val="N"/>
    <w:locked/>
    <w:rsid w:val="006320FC"/>
    <w:rPr>
      <w:rFonts w:eastAsia="SimSun"/>
      <w:b/>
      <w:bCs/>
      <w:color w:val="000000"/>
      <w:sz w:val="28"/>
      <w:szCs w:val="28"/>
      <w:lang w:eastAsia="zh-CN"/>
    </w:rPr>
  </w:style>
  <w:style w:type="paragraph" w:customStyle="1" w:styleId="N">
    <w:name w:val="N"/>
    <w:basedOn w:val="P"/>
    <w:link w:val="NChar"/>
    <w:rsid w:val="006320FC"/>
    <w:pPr>
      <w:numPr>
        <w:numId w:val="3"/>
      </w:numPr>
      <w:spacing w:line="360" w:lineRule="auto"/>
      <w:ind w:left="720" w:hanging="540"/>
    </w:pPr>
    <w:rPr>
      <w:b/>
      <w:bCs/>
      <w:sz w:val="28"/>
      <w:szCs w:val="28"/>
      <w:lang w:val="en-US"/>
    </w:rPr>
  </w:style>
  <w:style w:type="character" w:customStyle="1" w:styleId="LChar">
    <w:name w:val="L Char"/>
    <w:link w:val="L"/>
    <w:locked/>
    <w:rsid w:val="006320FC"/>
    <w:rPr>
      <w:rFonts w:eastAsia="SimSun"/>
      <w:b/>
      <w:bCs/>
      <w:color w:val="000000"/>
      <w:sz w:val="28"/>
      <w:szCs w:val="28"/>
      <w:lang w:eastAsia="zh-CN"/>
    </w:rPr>
  </w:style>
  <w:style w:type="paragraph" w:customStyle="1" w:styleId="L">
    <w:name w:val="L"/>
    <w:basedOn w:val="P"/>
    <w:link w:val="LChar"/>
    <w:rsid w:val="006320FC"/>
    <w:pPr>
      <w:numPr>
        <w:numId w:val="4"/>
      </w:numPr>
      <w:spacing w:line="360" w:lineRule="auto"/>
    </w:pPr>
    <w:rPr>
      <w:b/>
      <w:bCs/>
      <w:sz w:val="28"/>
      <w:szCs w:val="28"/>
      <w:lang w:val="en-US"/>
    </w:rPr>
  </w:style>
  <w:style w:type="paragraph" w:customStyle="1" w:styleId="tabtext">
    <w:name w:val="tabtext"/>
    <w:basedOn w:val="Normal"/>
    <w:uiPriority w:val="99"/>
    <w:rsid w:val="006320FC"/>
    <w:pPr>
      <w:bidi w:val="0"/>
      <w:spacing w:before="100" w:beforeAutospacing="1" w:after="100" w:afterAutospacing="1"/>
    </w:pPr>
  </w:style>
  <w:style w:type="character" w:customStyle="1" w:styleId="H4Char">
    <w:name w:val="H 4 Char"/>
    <w:link w:val="H4"/>
    <w:locked/>
    <w:rsid w:val="006320FC"/>
    <w:rPr>
      <w:rFonts w:eastAsia="Calibri"/>
      <w:b/>
      <w:bCs/>
      <w:sz w:val="32"/>
      <w:szCs w:val="32"/>
      <w:lang w:bidi="ar-EG"/>
    </w:rPr>
  </w:style>
  <w:style w:type="paragraph" w:customStyle="1" w:styleId="H4">
    <w:name w:val="H 4"/>
    <w:basedOn w:val="ListParagraph"/>
    <w:link w:val="H4Char"/>
    <w:rsid w:val="006320FC"/>
    <w:pPr>
      <w:numPr>
        <w:numId w:val="5"/>
      </w:numPr>
      <w:bidi w:val="0"/>
      <w:spacing w:after="160" w:line="360" w:lineRule="auto"/>
      <w:jc w:val="both"/>
    </w:pPr>
    <w:rPr>
      <w:rFonts w:ascii="Times New Roman" w:hAnsi="Times New Roman" w:cs="Times New Roman"/>
      <w:b/>
      <w:bCs/>
      <w:sz w:val="32"/>
      <w:szCs w:val="32"/>
      <w:lang w:bidi="ar-EG"/>
    </w:rPr>
  </w:style>
  <w:style w:type="paragraph" w:customStyle="1" w:styleId="article-section-content">
    <w:name w:val="article-section-content"/>
    <w:basedOn w:val="Normal"/>
    <w:uiPriority w:val="99"/>
    <w:rsid w:val="006320FC"/>
    <w:pPr>
      <w:bidi w:val="0"/>
      <w:spacing w:before="100" w:beforeAutospacing="1" w:after="100" w:afterAutospacing="1"/>
    </w:pPr>
  </w:style>
  <w:style w:type="paragraph" w:customStyle="1" w:styleId="first-child">
    <w:name w:val="first-child"/>
    <w:basedOn w:val="Normal"/>
    <w:uiPriority w:val="99"/>
    <w:rsid w:val="006320FC"/>
    <w:pPr>
      <w:bidi w:val="0"/>
      <w:spacing w:before="100" w:beforeAutospacing="1" w:after="100" w:afterAutospacing="1"/>
    </w:pPr>
  </w:style>
  <w:style w:type="character" w:styleId="PlaceholderText">
    <w:name w:val="Placeholder Text"/>
    <w:uiPriority w:val="99"/>
    <w:semiHidden/>
    <w:rsid w:val="006320FC"/>
    <w:rPr>
      <w:color w:val="808080"/>
    </w:rPr>
  </w:style>
  <w:style w:type="character" w:styleId="SubtleEmphasis">
    <w:name w:val="Subtle Emphasis"/>
    <w:uiPriority w:val="19"/>
    <w:rsid w:val="006320FC"/>
    <w:rPr>
      <w:i/>
      <w:iCs/>
      <w:color w:val="808080"/>
    </w:rPr>
  </w:style>
  <w:style w:type="character" w:customStyle="1" w:styleId="shorttext">
    <w:name w:val="short_text"/>
    <w:basedOn w:val="DefaultParagraphFont"/>
    <w:rsid w:val="006320FC"/>
  </w:style>
  <w:style w:type="character" w:customStyle="1" w:styleId="highlight">
    <w:name w:val="highlight"/>
    <w:rsid w:val="006320FC"/>
  </w:style>
  <w:style w:type="character" w:customStyle="1" w:styleId="fontstyle01">
    <w:name w:val="fontstyle01"/>
    <w:rsid w:val="006320FC"/>
    <w:rPr>
      <w:rFonts w:ascii="AdvP4A0FAF" w:hAnsi="AdvP4A0FAF" w:hint="default"/>
      <w:b w:val="0"/>
      <w:bCs w:val="0"/>
      <w:i w:val="0"/>
      <w:iCs w:val="0"/>
      <w:color w:val="000000"/>
      <w:sz w:val="16"/>
      <w:szCs w:val="16"/>
    </w:rPr>
  </w:style>
  <w:style w:type="character" w:customStyle="1" w:styleId="bkciteavail">
    <w:name w:val="bk_cite_avail"/>
    <w:basedOn w:val="DefaultParagraphFont"/>
    <w:rsid w:val="006320FC"/>
  </w:style>
  <w:style w:type="character" w:customStyle="1" w:styleId="table-captionlabel">
    <w:name w:val="table-caption__label"/>
    <w:basedOn w:val="DefaultParagraphFont"/>
    <w:rsid w:val="006320FC"/>
  </w:style>
  <w:style w:type="character" w:customStyle="1" w:styleId="figpopup-sensitive-area">
    <w:name w:val="figpopup-sensitive-area"/>
    <w:basedOn w:val="DefaultParagraphFont"/>
    <w:rsid w:val="006320FC"/>
  </w:style>
  <w:style w:type="character" w:customStyle="1" w:styleId="captionlabel">
    <w:name w:val="captionlabel"/>
    <w:basedOn w:val="DefaultParagraphFont"/>
    <w:rsid w:val="006320FC"/>
  </w:style>
  <w:style w:type="character" w:customStyle="1" w:styleId="internalref">
    <w:name w:val="internalref"/>
    <w:basedOn w:val="DefaultParagraphFont"/>
    <w:rsid w:val="006320FC"/>
  </w:style>
  <w:style w:type="character" w:customStyle="1" w:styleId="captionnumber">
    <w:name w:val="captionnumber"/>
    <w:basedOn w:val="DefaultParagraphFont"/>
    <w:rsid w:val="006320FC"/>
  </w:style>
  <w:style w:type="character" w:customStyle="1" w:styleId="label">
    <w:name w:val="label"/>
    <w:basedOn w:val="DefaultParagraphFont"/>
    <w:rsid w:val="006320FC"/>
  </w:style>
  <w:style w:type="character" w:customStyle="1" w:styleId="table-label">
    <w:name w:val="table-label"/>
    <w:basedOn w:val="DefaultParagraphFont"/>
    <w:rsid w:val="006320FC"/>
  </w:style>
  <w:style w:type="table" w:styleId="MediumGrid2">
    <w:name w:val="Medium Grid 2"/>
    <w:basedOn w:val="TableNormal"/>
    <w:uiPriority w:val="68"/>
    <w:unhideWhenUsed/>
    <w:rsid w:val="006320FC"/>
    <w:rPr>
      <w:rFonts w:ascii="Cambria" w:hAnsi="Cambria"/>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5">
    <w:name w:val="Medium Shading 1 Accent 5"/>
    <w:basedOn w:val="TableNormal"/>
    <w:uiPriority w:val="63"/>
    <w:unhideWhenUsed/>
    <w:rsid w:val="006320FC"/>
    <w:rPr>
      <w:rFonts w:ascii="Calibri" w:eastAsia="SimSun" w:hAnsi="Calibri" w:cs="Arial"/>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color w:val="auto"/>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color w:val="FFFFFF"/>
      </w:rPr>
    </w:tblStylePr>
    <w:tblStylePr w:type="lastCol">
      <w:rPr>
        <w:b/>
        <w:bCs/>
        <w:color w:val="FFFFFF"/>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tblStylePr w:type="nwCell">
      <w:rPr>
        <w:color w:val="FFFFFF"/>
      </w:rPr>
    </w:tblStylePr>
  </w:style>
  <w:style w:type="table" w:styleId="MediumGrid3-Accent5">
    <w:name w:val="Medium Grid 3 Accent 5"/>
    <w:basedOn w:val="TableNormal"/>
    <w:uiPriority w:val="69"/>
    <w:unhideWhenUsed/>
    <w:rsid w:val="006320FC"/>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unhideWhenUsed/>
    <w:rsid w:val="006320F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GridTable5Dark-Accent52">
    <w:name w:val="Grid Table 5 Dark - Accent 52"/>
    <w:basedOn w:val="TableNormal"/>
    <w:uiPriority w:val="50"/>
    <w:rsid w:val="006320F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MediumGrid3-Accent61">
    <w:name w:val="Medium Grid 3 - Accent 61"/>
    <w:basedOn w:val="TableNormal"/>
    <w:uiPriority w:val="69"/>
    <w:rsid w:val="006320F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style>
  <w:style w:type="table" w:customStyle="1" w:styleId="GridTable5Dark-Accent520">
    <w:name w:val="Grid Table 5 Dark - Accent 52"/>
    <w:basedOn w:val="TableNormal"/>
    <w:uiPriority w:val="50"/>
    <w:rsid w:val="006320FC"/>
    <w:rPr>
      <w:rFonts w:eastAsia="DengXian"/>
      <w:sz w:val="24"/>
      <w:szCs w:val="24"/>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style>
  <w:style w:type="table" w:customStyle="1" w:styleId="MediumGrid3-Accent51">
    <w:name w:val="Medium Grid 3 - Accent 51"/>
    <w:basedOn w:val="TableNormal"/>
    <w:uiPriority w:val="69"/>
    <w:rsid w:val="006320FC"/>
    <w:rPr>
      <w:rFonts w:ascii="Calibri" w:eastAsia="Calibri" w:hAnsi="Calibri" w:cs="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style>
  <w:style w:type="table" w:customStyle="1" w:styleId="MediumGrid3-Accent52">
    <w:name w:val="Medium Grid 3 - Accent 52"/>
    <w:basedOn w:val="TableNormal"/>
    <w:uiPriority w:val="69"/>
    <w:rsid w:val="006320FC"/>
    <w:rPr>
      <w:sz w:val="24"/>
      <w:szCs w:val="24"/>
    </w:rPr>
    <w:tbl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dTable4-Accent51">
    <w:name w:val="Grid Table 4 - Accent 51"/>
    <w:basedOn w:val="TableNormal"/>
    <w:uiPriority w:val="49"/>
    <w:rsid w:val="006320FC"/>
    <w:rPr>
      <w:sz w:val="24"/>
      <w:szCs w:val="24"/>
    </w:rPr>
    <w:tblPr/>
    <w:tblStylePr w:type="band1Horz">
      <w:tblPr/>
      <w:tcPr>
        <w:shd w:val="clear" w:color="auto" w:fill="DAEEF3"/>
      </w:tcPr>
    </w:tblStylePr>
  </w:style>
  <w:style w:type="table" w:customStyle="1" w:styleId="GridTable5Dark-Accent53">
    <w:name w:val="Grid Table 5 Dark - Accent 53"/>
    <w:basedOn w:val="TableNormal"/>
    <w:uiPriority w:val="50"/>
    <w:rsid w:val="006320FC"/>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style>
  <w:style w:type="character" w:customStyle="1" w:styleId="Heading7Char">
    <w:name w:val="Heading 7 Char"/>
    <w:link w:val="Heading7"/>
    <w:uiPriority w:val="9"/>
    <w:semiHidden/>
    <w:rsid w:val="00994105"/>
    <w:rPr>
      <w:rFonts w:ascii="Cambria" w:eastAsia="SimSun" w:hAnsi="Cambria"/>
      <w:i/>
      <w:iCs/>
      <w:color w:val="243F60"/>
      <w:sz w:val="22"/>
      <w:szCs w:val="22"/>
    </w:rPr>
  </w:style>
  <w:style w:type="paragraph" w:customStyle="1" w:styleId="TableParagraph">
    <w:name w:val="Table Paragraph"/>
    <w:basedOn w:val="Normal"/>
    <w:uiPriority w:val="1"/>
    <w:qFormat/>
    <w:rsid w:val="00994105"/>
    <w:pPr>
      <w:widowControl w:val="0"/>
      <w:autoSpaceDE w:val="0"/>
      <w:autoSpaceDN w:val="0"/>
      <w:bidi w:val="0"/>
      <w:spacing w:before="47"/>
      <w:ind w:left="51"/>
    </w:pPr>
    <w:rPr>
      <w:rFonts w:ascii="Myriad Pro" w:eastAsia="Myriad Pro" w:hAnsi="Myriad Pro" w:cs="Myriad Pro"/>
      <w:sz w:val="22"/>
      <w:szCs w:val="22"/>
    </w:rPr>
  </w:style>
  <w:style w:type="paragraph" w:styleId="EndnoteText">
    <w:name w:val="endnote text"/>
    <w:basedOn w:val="Normal"/>
    <w:link w:val="EndnoteTextChar"/>
    <w:uiPriority w:val="99"/>
    <w:unhideWhenUsed/>
    <w:rsid w:val="00994105"/>
    <w:rPr>
      <w:rFonts w:ascii="Calibri" w:eastAsia="Calibri" w:hAnsi="Calibri" w:cs="Arial"/>
      <w:sz w:val="20"/>
      <w:szCs w:val="20"/>
    </w:rPr>
  </w:style>
  <w:style w:type="character" w:customStyle="1" w:styleId="EndnoteTextChar">
    <w:name w:val="Endnote Text Char"/>
    <w:link w:val="EndnoteText"/>
    <w:uiPriority w:val="99"/>
    <w:rsid w:val="00994105"/>
    <w:rPr>
      <w:rFonts w:ascii="Calibri" w:eastAsia="Calibri" w:hAnsi="Calibri" w:cs="Arial"/>
    </w:rPr>
  </w:style>
  <w:style w:type="character" w:styleId="EndnoteReference">
    <w:name w:val="endnote reference"/>
    <w:uiPriority w:val="99"/>
    <w:unhideWhenUsed/>
    <w:rsid w:val="00994105"/>
    <w:rPr>
      <w:vertAlign w:val="superscript"/>
    </w:rPr>
  </w:style>
  <w:style w:type="table" w:customStyle="1" w:styleId="GridTable5Dark1">
    <w:name w:val="Grid Table 5 Dark1"/>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20">
    <w:name w:val="Grid Table 5 Dark - Accent 12"/>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TableofFigures">
    <w:name w:val="table of figures"/>
    <w:basedOn w:val="Normal"/>
    <w:next w:val="Normal"/>
    <w:uiPriority w:val="99"/>
    <w:unhideWhenUsed/>
    <w:rsid w:val="00994105"/>
    <w:pPr>
      <w:bidi w:val="0"/>
      <w:spacing w:before="120" w:after="120"/>
      <w:jc w:val="both"/>
    </w:pPr>
    <w:rPr>
      <w:rFonts w:eastAsia="Calibri" w:cs="Arial"/>
      <w:sz w:val="28"/>
      <w:szCs w:val="22"/>
    </w:rPr>
  </w:style>
  <w:style w:type="table" w:customStyle="1" w:styleId="GridTable2-Accent31">
    <w:name w:val="Grid Table 2 - Accent 31"/>
    <w:basedOn w:val="TableNormal"/>
    <w:uiPriority w:val="47"/>
    <w:rsid w:val="00994105"/>
    <w:rPr>
      <w:rFonts w:ascii="Calibri" w:eastAsia="SimSun" w:hAnsi="Calibri" w:cs="Arial"/>
      <w:sz w:val="22"/>
      <w:szCs w:val="22"/>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Header-">
    <w:name w:val="Header -"/>
    <w:basedOn w:val="Title"/>
    <w:link w:val="Header-Char"/>
    <w:rsid w:val="00994105"/>
  </w:style>
  <w:style w:type="character" w:customStyle="1" w:styleId="Header-Char">
    <w:name w:val="Header - Char"/>
    <w:link w:val="Header-"/>
    <w:rsid w:val="00994105"/>
    <w:rPr>
      <w:rFonts w:ascii="Cambria" w:hAnsi="Cambria"/>
      <w:spacing w:val="-10"/>
      <w:kern w:val="28"/>
      <w:sz w:val="56"/>
      <w:szCs w:val="56"/>
    </w:rPr>
  </w:style>
  <w:style w:type="table" w:customStyle="1" w:styleId="GridTable4-Accent411">
    <w:name w:val="Grid Table 4 - Accent 411"/>
    <w:basedOn w:val="TableNormal"/>
    <w:uiPriority w:val="49"/>
    <w:rsid w:val="00994105"/>
    <w:rPr>
      <w:rFonts w:ascii="Calibri" w:eastAsia="SimSun"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11">
    <w:name w:val="Grid Table 5 Dark11"/>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1">
    <w:name w:val="Grid Table 5 Dark - Accent 111"/>
    <w:basedOn w:val="TableNormal"/>
    <w:next w:val="GridTable5Dark-Accent120"/>
    <w:uiPriority w:val="50"/>
    <w:rsid w:val="00994105"/>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21">
    <w:name w:val="Grid Table 5 Dark - Accent 121"/>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311">
    <w:name w:val="Grid Table 6 Colorful - Accent 311"/>
    <w:basedOn w:val="TableNormal"/>
    <w:next w:val="GridTable6Colorful-Accent31"/>
    <w:uiPriority w:val="51"/>
    <w:rsid w:val="00994105"/>
    <w:rPr>
      <w:rFonts w:ascii="Calibri" w:eastAsia="SimSun" w:hAnsi="Calibri" w:cs="Arial"/>
      <w:color w:val="76923C"/>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1">
    <w:name w:val="Grid Table 2 - Accent 311"/>
    <w:basedOn w:val="TableNormal"/>
    <w:next w:val="GridTable2-Accent31"/>
    <w:uiPriority w:val="47"/>
    <w:rsid w:val="00994105"/>
    <w:rPr>
      <w:rFonts w:ascii="Calibri" w:eastAsia="SimSun" w:hAnsi="Calibri" w:cs="Arial"/>
      <w:sz w:val="22"/>
      <w:szCs w:val="22"/>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Shading-Accent111">
    <w:name w:val="Light Shading - Accent 111"/>
    <w:basedOn w:val="TableNormal"/>
    <w:uiPriority w:val="60"/>
    <w:rsid w:val="00994105"/>
    <w:rPr>
      <w:rFonts w:ascii="Calibri" w:eastAsia="Calibri" w:hAnsi="Calibri" w:cs="Arial"/>
      <w:color w:val="365F91"/>
      <w:sz w:val="22"/>
      <w:szCs w:val="22"/>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itation">
    <w:name w:val="citation"/>
    <w:basedOn w:val="DefaultParagraphFont"/>
    <w:rsid w:val="00994105"/>
  </w:style>
  <w:style w:type="table" w:customStyle="1" w:styleId="TableGrid2">
    <w:name w:val="Table Grid2"/>
    <w:basedOn w:val="TableNormal"/>
    <w:next w:val="TableGrid"/>
    <w:uiPriority w:val="59"/>
    <w:rsid w:val="0099410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412">
    <w:name w:val="Grid Table 4 - Accent 412"/>
    <w:basedOn w:val="TableNormal"/>
    <w:uiPriority w:val="49"/>
    <w:rsid w:val="00994105"/>
    <w:rPr>
      <w:rFonts w:ascii="Calibri" w:eastAsia="SimSun"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12">
    <w:name w:val="Grid Table 5 Dark12"/>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2">
    <w:name w:val="Grid Table 5 Dark - Accent 112"/>
    <w:basedOn w:val="TableNormal"/>
    <w:next w:val="GridTable5Dark-Accent120"/>
    <w:uiPriority w:val="50"/>
    <w:rsid w:val="00994105"/>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22">
    <w:name w:val="Grid Table 5 Dark - Accent 122"/>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320">
    <w:name w:val="Grid Table 6 Colorful - Accent 32"/>
    <w:basedOn w:val="TableNormal"/>
    <w:next w:val="GridTable6Colorful-Accent31"/>
    <w:uiPriority w:val="51"/>
    <w:rsid w:val="00994105"/>
    <w:rPr>
      <w:rFonts w:ascii="Calibri" w:eastAsia="SimSun" w:hAnsi="Calibri" w:cs="Arial"/>
      <w:color w:val="76923C"/>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2">
    <w:name w:val="Grid Table 2 - Accent 32"/>
    <w:basedOn w:val="TableNormal"/>
    <w:next w:val="GridTable2-Accent31"/>
    <w:uiPriority w:val="47"/>
    <w:rsid w:val="00994105"/>
    <w:rPr>
      <w:rFonts w:ascii="Calibri" w:eastAsia="SimSun" w:hAnsi="Calibri" w:cs="Arial"/>
      <w:sz w:val="22"/>
      <w:szCs w:val="22"/>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Shading-Accent112">
    <w:name w:val="Light Shading - Accent 112"/>
    <w:basedOn w:val="TableNormal"/>
    <w:uiPriority w:val="60"/>
    <w:rsid w:val="00994105"/>
    <w:rPr>
      <w:rFonts w:ascii="Calibri" w:eastAsia="Calibri" w:hAnsi="Calibri" w:cs="Arial"/>
      <w:color w:val="365F91"/>
      <w:sz w:val="22"/>
      <w:szCs w:val="22"/>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10">
    <w:name w:val="h1"/>
    <w:basedOn w:val="DefaultParagraphFont"/>
    <w:rsid w:val="00994105"/>
  </w:style>
  <w:style w:type="character" w:customStyle="1" w:styleId="headingendmark">
    <w:name w:val="headingendmark"/>
    <w:basedOn w:val="DefaultParagraphFont"/>
    <w:rsid w:val="00994105"/>
  </w:style>
  <w:style w:type="paragraph" w:customStyle="1" w:styleId="headinganchor">
    <w:name w:val="headinganchor"/>
    <w:basedOn w:val="Normal"/>
    <w:rsid w:val="00994105"/>
    <w:pPr>
      <w:bidi w:val="0"/>
      <w:spacing w:before="100" w:beforeAutospacing="1" w:after="100" w:afterAutospacing="1"/>
    </w:pPr>
  </w:style>
  <w:style w:type="character" w:customStyle="1" w:styleId="h2">
    <w:name w:val="h2"/>
    <w:basedOn w:val="DefaultParagraphFont"/>
    <w:rsid w:val="00994105"/>
  </w:style>
  <w:style w:type="character" w:customStyle="1" w:styleId="nowrap">
    <w:name w:val="nowrap"/>
    <w:basedOn w:val="DefaultParagraphFont"/>
    <w:rsid w:val="00994105"/>
  </w:style>
  <w:style w:type="character" w:customStyle="1" w:styleId="h3">
    <w:name w:val="h3"/>
    <w:basedOn w:val="DefaultParagraphFont"/>
    <w:rsid w:val="00994105"/>
  </w:style>
  <w:style w:type="paragraph" w:customStyle="1" w:styleId="bulletindent1">
    <w:name w:val="bulletindent1"/>
    <w:basedOn w:val="Normal"/>
    <w:rsid w:val="00994105"/>
    <w:pPr>
      <w:bidi w:val="0"/>
      <w:spacing w:before="100" w:beforeAutospacing="1" w:after="100" w:afterAutospacing="1"/>
    </w:pPr>
  </w:style>
  <w:style w:type="character" w:customStyle="1" w:styleId="glyph">
    <w:name w:val="glyph"/>
    <w:basedOn w:val="DefaultParagraphFont"/>
    <w:rsid w:val="00994105"/>
  </w:style>
  <w:style w:type="character" w:customStyle="1" w:styleId="UnresolvedMention10">
    <w:name w:val="Unresolved Mention1"/>
    <w:uiPriority w:val="99"/>
    <w:semiHidden/>
    <w:unhideWhenUsed/>
    <w:rsid w:val="00994105"/>
    <w:rPr>
      <w:color w:val="605E5C"/>
      <w:shd w:val="clear" w:color="auto" w:fill="E1DFDD"/>
    </w:rPr>
  </w:style>
  <w:style w:type="paragraph" w:customStyle="1" w:styleId="Pa17">
    <w:name w:val="Pa17"/>
    <w:basedOn w:val="Normal"/>
    <w:next w:val="Normal"/>
    <w:uiPriority w:val="99"/>
    <w:rsid w:val="00994105"/>
    <w:pPr>
      <w:autoSpaceDE w:val="0"/>
      <w:autoSpaceDN w:val="0"/>
      <w:bidi w:val="0"/>
      <w:adjustRightInd w:val="0"/>
      <w:spacing w:line="161" w:lineRule="atLeast"/>
    </w:pPr>
    <w:rPr>
      <w:rFonts w:ascii="Helvetica 65 Medium" w:eastAsia="Calibri" w:hAnsi="Helvetica 65 Medium" w:cs="Arial"/>
    </w:rPr>
  </w:style>
  <w:style w:type="paragraph" w:customStyle="1" w:styleId="h">
    <w:name w:val="h"/>
    <w:basedOn w:val="Normal"/>
    <w:link w:val="hChar"/>
    <w:rsid w:val="00994105"/>
    <w:pPr>
      <w:widowControl w:val="0"/>
      <w:autoSpaceDE w:val="0"/>
      <w:autoSpaceDN w:val="0"/>
      <w:bidi w:val="0"/>
      <w:jc w:val="center"/>
    </w:pPr>
    <w:rPr>
      <w:rFonts w:ascii="Jokerman" w:hAnsi="Jokerman"/>
      <w:sz w:val="36"/>
      <w:szCs w:val="36"/>
    </w:rPr>
  </w:style>
  <w:style w:type="character" w:customStyle="1" w:styleId="hChar">
    <w:name w:val="h Char"/>
    <w:link w:val="h"/>
    <w:rsid w:val="00994105"/>
    <w:rPr>
      <w:rFonts w:ascii="Jokerman" w:hAnsi="Jokerman"/>
      <w:sz w:val="36"/>
      <w:szCs w:val="36"/>
    </w:rPr>
  </w:style>
  <w:style w:type="character" w:customStyle="1" w:styleId="smallcaps">
    <w:name w:val="smallcaps"/>
    <w:rsid w:val="00994105"/>
    <w:rPr>
      <w:rFonts w:cs="Times New Roman"/>
    </w:rPr>
  </w:style>
  <w:style w:type="character" w:customStyle="1" w:styleId="mw-editsection">
    <w:name w:val="mw-editsection"/>
    <w:rsid w:val="00994105"/>
    <w:rPr>
      <w:rFonts w:cs="Times New Roman"/>
    </w:rPr>
  </w:style>
  <w:style w:type="character" w:customStyle="1" w:styleId="mw-editsection-bracket">
    <w:name w:val="mw-editsection-bracket"/>
    <w:rsid w:val="00994105"/>
    <w:rPr>
      <w:rFonts w:cs="Times New Roman"/>
    </w:rPr>
  </w:style>
  <w:style w:type="paragraph" w:customStyle="1" w:styleId="Style1">
    <w:name w:val="Style1"/>
    <w:basedOn w:val="Normal"/>
    <w:rsid w:val="00994105"/>
    <w:pPr>
      <w:jc w:val="center"/>
    </w:pPr>
    <w:rPr>
      <w:rFonts w:ascii="Impact" w:eastAsia="SimSun" w:hAnsi="Impact" w:cs="Impact"/>
      <w:b/>
      <w:bCs/>
      <w:sz w:val="56"/>
      <w:szCs w:val="56"/>
      <w:lang w:eastAsia="zh-CN" w:bidi="ar-EG"/>
    </w:rPr>
  </w:style>
  <w:style w:type="character" w:styleId="BookTitle">
    <w:name w:val="Book Title"/>
    <w:uiPriority w:val="33"/>
    <w:rsid w:val="00994105"/>
    <w:rPr>
      <w:b/>
      <w:bCs/>
      <w:i/>
      <w:iCs/>
      <w:spacing w:val="5"/>
    </w:rPr>
  </w:style>
  <w:style w:type="character" w:customStyle="1" w:styleId="tlid-translationtranslation">
    <w:name w:val="tlid-translation translation"/>
    <w:basedOn w:val="DefaultParagraphFont"/>
    <w:rsid w:val="00994105"/>
  </w:style>
  <w:style w:type="character" w:customStyle="1" w:styleId="b">
    <w:name w:val="b"/>
    <w:basedOn w:val="DefaultParagraphFont"/>
    <w:rsid w:val="00994105"/>
  </w:style>
  <w:style w:type="character" w:customStyle="1" w:styleId="bi">
    <w:name w:val="bi"/>
    <w:basedOn w:val="DefaultParagraphFont"/>
    <w:rsid w:val="00994105"/>
  </w:style>
  <w:style w:type="paragraph" w:customStyle="1" w:styleId="alt">
    <w:name w:val="alt"/>
    <w:basedOn w:val="Normal"/>
    <w:rsid w:val="00994105"/>
    <w:pPr>
      <w:bidi w:val="0"/>
      <w:spacing w:before="100" w:beforeAutospacing="1" w:after="100" w:afterAutospacing="1"/>
    </w:pPr>
  </w:style>
  <w:style w:type="character" w:styleId="IntenseReference">
    <w:name w:val="Intense Reference"/>
    <w:uiPriority w:val="32"/>
    <w:rsid w:val="00994105"/>
    <w:rPr>
      <w:b/>
      <w:bCs/>
      <w:smallCaps/>
      <w:color w:val="C0504D"/>
      <w:spacing w:val="5"/>
      <w:u w:val="single"/>
    </w:rPr>
  </w:style>
  <w:style w:type="character" w:customStyle="1" w:styleId="A10">
    <w:name w:val="A10"/>
    <w:uiPriority w:val="99"/>
    <w:rsid w:val="00994105"/>
    <w:rPr>
      <w:rFonts w:ascii="Thieme Gulliver 2011" w:hAnsi="Thieme Gulliver 2011" w:cs="Thieme Gulliver 2011" w:hint="default"/>
      <w:color w:val="000000"/>
      <w:sz w:val="9"/>
      <w:szCs w:val="9"/>
    </w:rPr>
  </w:style>
  <w:style w:type="table" w:customStyle="1" w:styleId="TableGrid3">
    <w:name w:val="Table Grid3"/>
    <w:basedOn w:val="TableNormal"/>
    <w:next w:val="TableGrid"/>
    <w:uiPriority w:val="39"/>
    <w:rsid w:val="00994105"/>
    <w:rPr>
      <w:rFonts w:ascii="Calibri" w:eastAsia="SimSun"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994105"/>
    <w:rPr>
      <w:rFonts w:eastAsia="Calibri"/>
      <w:sz w:val="24"/>
      <w:szCs w:val="24"/>
    </w:rPr>
  </w:style>
  <w:style w:type="table" w:customStyle="1" w:styleId="TableGrid4">
    <w:name w:val="Table Grid4"/>
    <w:basedOn w:val="TableNormal"/>
    <w:next w:val="TableGrid"/>
    <w:uiPriority w:val="39"/>
    <w:rsid w:val="00994105"/>
    <w:rPr>
      <w:rFonts w:ascii="Calibri"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994105"/>
    <w:rPr>
      <w:rFonts w:ascii="Calibri" w:eastAsia="SimSun"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Heading22">
    <w:name w:val="Heading 22"/>
    <w:basedOn w:val="Heading2"/>
    <w:link w:val="Heading22Char"/>
    <w:rsid w:val="00994105"/>
    <w:pPr>
      <w:keepNext/>
      <w:keepLines/>
      <w:numPr>
        <w:ilvl w:val="0"/>
        <w:numId w:val="0"/>
      </w:numPr>
      <w:autoSpaceDE/>
      <w:autoSpaceDN/>
      <w:adjustRightInd/>
      <w:spacing w:line="360" w:lineRule="auto"/>
      <w:ind w:left="360"/>
      <w:jc w:val="left"/>
    </w:pPr>
    <w:rPr>
      <w:color w:val="auto"/>
      <w:sz w:val="32"/>
      <w:szCs w:val="32"/>
      <w:lang w:val="en-US" w:eastAsia="en-US"/>
    </w:rPr>
  </w:style>
  <w:style w:type="paragraph" w:customStyle="1" w:styleId="Heading33">
    <w:name w:val="Heading 33"/>
    <w:basedOn w:val="Heading22"/>
    <w:link w:val="Heading33Char"/>
    <w:rsid w:val="00994105"/>
    <w:pPr>
      <w:ind w:left="720"/>
    </w:pPr>
  </w:style>
  <w:style w:type="character" w:customStyle="1" w:styleId="Heading22Char">
    <w:name w:val="Heading 22 Char"/>
    <w:link w:val="Heading22"/>
    <w:rsid w:val="00994105"/>
    <w:rPr>
      <w:rFonts w:eastAsia="SimSun"/>
      <w:b/>
      <w:bCs/>
      <w:sz w:val="32"/>
      <w:szCs w:val="32"/>
      <w:lang w:bidi="ar-EG"/>
    </w:rPr>
  </w:style>
  <w:style w:type="character" w:customStyle="1" w:styleId="Heading33Char">
    <w:name w:val="Heading 33 Char"/>
    <w:link w:val="Heading33"/>
    <w:rsid w:val="00994105"/>
    <w:rPr>
      <w:rFonts w:eastAsia="SimSun"/>
      <w:b/>
      <w:bCs/>
      <w:sz w:val="32"/>
      <w:szCs w:val="32"/>
      <w:lang w:bidi="ar-EG"/>
    </w:rPr>
  </w:style>
  <w:style w:type="table" w:customStyle="1" w:styleId="GridTable5Dark-Accent13">
    <w:name w:val="Grid Table 5 Dark - Accent 13"/>
    <w:basedOn w:val="TableNormal"/>
    <w:next w:val="GridTable5Dark-Accent12"/>
    <w:uiPriority w:val="50"/>
    <w:rsid w:val="00994105"/>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caption-text">
    <w:name w:val="caption-text"/>
    <w:basedOn w:val="DefaultParagraphFont"/>
    <w:rsid w:val="00994105"/>
  </w:style>
  <w:style w:type="character" w:customStyle="1" w:styleId="drugh1">
    <w:name w:val="drugh1"/>
    <w:basedOn w:val="DefaultParagraphFont"/>
    <w:rsid w:val="00994105"/>
  </w:style>
  <w:style w:type="character" w:customStyle="1" w:styleId="apple-style-span">
    <w:name w:val="apple-style-span"/>
    <w:basedOn w:val="DefaultParagraphFont"/>
    <w:rsid w:val="00994105"/>
  </w:style>
  <w:style w:type="paragraph" w:customStyle="1" w:styleId="Title2">
    <w:name w:val="Title2"/>
    <w:basedOn w:val="Heading1"/>
    <w:autoRedefine/>
    <w:rsid w:val="00994105"/>
    <w:pPr>
      <w:keepNext/>
      <w:autoSpaceDE/>
      <w:autoSpaceDN/>
      <w:adjustRightInd/>
      <w:spacing w:line="300" w:lineRule="auto"/>
      <w:contextualSpacing w:val="0"/>
      <w:jc w:val="center"/>
    </w:pPr>
    <w:rPr>
      <w:color w:val="auto"/>
      <w:sz w:val="44"/>
      <w:szCs w:val="44"/>
    </w:rPr>
  </w:style>
  <w:style w:type="table" w:customStyle="1" w:styleId="ListTable4-Accent11">
    <w:name w:val="List Table 4 - Accent 11"/>
    <w:basedOn w:val="TableNormal"/>
    <w:uiPriority w:val="49"/>
    <w:rsid w:val="00994105"/>
    <w:rPr>
      <w:rFonts w:ascii="Calibri" w:eastAsia="SimSun"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5">
    <w:name w:val="Table Grid5"/>
    <w:basedOn w:val="TableNormal"/>
    <w:next w:val="TableGrid"/>
    <w:uiPriority w:val="59"/>
    <w:rsid w:val="00994105"/>
    <w:rPr>
      <w:rFonts w:eastAsia="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
    <w:name w:val="Title-"/>
    <w:basedOn w:val="Heading1"/>
    <w:link w:val="Title-Char"/>
    <w:qFormat/>
    <w:rsid w:val="0003645D"/>
    <w:pPr>
      <w:jc w:val="center"/>
    </w:pPr>
  </w:style>
  <w:style w:type="character" w:customStyle="1" w:styleId="Title-Char">
    <w:name w:val="Title- Char"/>
    <w:link w:val="Title-"/>
    <w:rsid w:val="0003645D"/>
    <w:rPr>
      <w:b/>
      <w:bCs/>
      <w:color w:val="000000"/>
      <w:sz w:val="28"/>
      <w:szCs w:val="28"/>
    </w:rPr>
  </w:style>
  <w:style w:type="table" w:customStyle="1" w:styleId="GridTable5Dark-Accent531">
    <w:name w:val="Grid Table 5 Dark - Accent 531"/>
    <w:basedOn w:val="TableNormal"/>
    <w:uiPriority w:val="50"/>
    <w:rsid w:val="00266396"/>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7">
    <w:name w:val="Grid Table 5 Dark - Accent 517"/>
    <w:basedOn w:val="TableNormal"/>
    <w:uiPriority w:val="50"/>
    <w:rsid w:val="00E2133C"/>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8">
    <w:name w:val="Grid Table 5 Dark - Accent 518"/>
    <w:basedOn w:val="TableNormal"/>
    <w:uiPriority w:val="50"/>
    <w:rsid w:val="00E2133C"/>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9">
    <w:name w:val="Grid Table 5 Dark - Accent 519"/>
    <w:basedOn w:val="TableNormal"/>
    <w:uiPriority w:val="50"/>
    <w:rsid w:val="00644AAB"/>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0">
    <w:name w:val="Grid Table 5 Dark - Accent 5110"/>
    <w:basedOn w:val="TableNormal"/>
    <w:uiPriority w:val="50"/>
    <w:rsid w:val="00644AAB"/>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1">
    <w:name w:val="Grid Table 5 Dark - Accent 5111"/>
    <w:basedOn w:val="TableNormal"/>
    <w:uiPriority w:val="50"/>
    <w:rsid w:val="00D24A13"/>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2">
    <w:name w:val="Grid Table 5 Dark - Accent 5112"/>
    <w:basedOn w:val="TableNormal"/>
    <w:uiPriority w:val="50"/>
    <w:rsid w:val="0048538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3">
    <w:name w:val="Grid Table 5 Dark - Accent 5113"/>
    <w:basedOn w:val="TableNormal"/>
    <w:uiPriority w:val="50"/>
    <w:rsid w:val="00DD04E3"/>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4">
    <w:name w:val="Grid Table 5 Dark - Accent 5114"/>
    <w:basedOn w:val="TableNormal"/>
    <w:uiPriority w:val="50"/>
    <w:rsid w:val="005E1962"/>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5">
    <w:name w:val="Grid Table 5 Dark - Accent 5115"/>
    <w:basedOn w:val="TableNormal"/>
    <w:uiPriority w:val="50"/>
    <w:rsid w:val="005C783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6">
    <w:name w:val="Grid Table 5 Dark - Accent 5116"/>
    <w:basedOn w:val="TableNormal"/>
    <w:uiPriority w:val="50"/>
    <w:rsid w:val="00984137"/>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7">
    <w:name w:val="Grid Table 5 Dark - Accent 5117"/>
    <w:basedOn w:val="TableNormal"/>
    <w:uiPriority w:val="50"/>
    <w:rsid w:val="00DD15B1"/>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8">
    <w:name w:val="Grid Table 5 Dark - Accent 5118"/>
    <w:basedOn w:val="TableNormal"/>
    <w:uiPriority w:val="50"/>
    <w:rsid w:val="00DD15B1"/>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9">
    <w:name w:val="Grid Table 5 Dark - Accent 5119"/>
    <w:basedOn w:val="TableNormal"/>
    <w:uiPriority w:val="50"/>
    <w:rsid w:val="00955D04"/>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20">
    <w:name w:val="Grid Table 5 Dark - Accent 5120"/>
    <w:basedOn w:val="TableNormal"/>
    <w:uiPriority w:val="50"/>
    <w:rsid w:val="00A62982"/>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figure0">
    <w:name w:val="figure"/>
    <w:basedOn w:val="Caption"/>
    <w:link w:val="figureChar0"/>
    <w:rsid w:val="002307A9"/>
    <w:pPr>
      <w:spacing w:after="240" w:line="336" w:lineRule="atLeast"/>
      <w:jc w:val="center"/>
    </w:pPr>
    <w:rPr>
      <w:rFonts w:eastAsia="SimSun" w:cs="Arial"/>
      <w:color w:val="auto"/>
      <w:szCs w:val="22"/>
      <w:lang w:val="en-US"/>
    </w:rPr>
  </w:style>
  <w:style w:type="character" w:customStyle="1" w:styleId="figureChar0">
    <w:name w:val="figure Char"/>
    <w:link w:val="figure0"/>
    <w:rsid w:val="002307A9"/>
    <w:rPr>
      <w:rFonts w:eastAsia="SimSun" w:cs="Arial"/>
      <w:b/>
      <w:bCs/>
      <w:sz w:val="24"/>
      <w:szCs w:val="22"/>
    </w:rPr>
  </w:style>
  <w:style w:type="table" w:customStyle="1" w:styleId="TableGrid6">
    <w:name w:val="Table Grid6"/>
    <w:basedOn w:val="TableNormal"/>
    <w:next w:val="TableGrid"/>
    <w:uiPriority w:val="59"/>
    <w:rsid w:val="00FC7A7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5518DD"/>
    <w:pPr>
      <w:spacing w:after="120" w:line="276" w:lineRule="auto"/>
    </w:pPr>
    <w:rPr>
      <w:rFonts w:ascii="Calibri" w:eastAsia="Calibri" w:hAnsi="Calibri" w:cs="Arial"/>
      <w:sz w:val="16"/>
      <w:szCs w:val="16"/>
    </w:rPr>
  </w:style>
  <w:style w:type="character" w:customStyle="1" w:styleId="BodyText3Char">
    <w:name w:val="Body Text 3 Char"/>
    <w:link w:val="BodyText3"/>
    <w:uiPriority w:val="99"/>
    <w:rsid w:val="005518DD"/>
    <w:rPr>
      <w:rFonts w:ascii="Calibri" w:eastAsia="Calibri" w:hAnsi="Calibri" w:cs="Arial"/>
      <w:sz w:val="16"/>
      <w:szCs w:val="16"/>
    </w:rPr>
  </w:style>
  <w:style w:type="table" w:customStyle="1" w:styleId="GridTable4-Accent12">
    <w:name w:val="Grid Table 4 - Accent 12"/>
    <w:basedOn w:val="TableNormal"/>
    <w:uiPriority w:val="49"/>
    <w:rsid w:val="00526557"/>
    <w:rPr>
      <w:rFonts w:ascii="Calibri" w:eastAsia="Calibri"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Pa30">
    <w:name w:val="Pa30"/>
    <w:basedOn w:val="Normal"/>
    <w:next w:val="Normal"/>
    <w:uiPriority w:val="99"/>
    <w:rsid w:val="00AC011E"/>
    <w:pPr>
      <w:autoSpaceDE w:val="0"/>
      <w:autoSpaceDN w:val="0"/>
      <w:bidi w:val="0"/>
      <w:adjustRightInd w:val="0"/>
      <w:spacing w:line="200" w:lineRule="atLeast"/>
    </w:pPr>
    <w:rPr>
      <w:rFonts w:ascii="Myriad Pro" w:hAnsi="Myriad Pro" w:cs="Arial"/>
    </w:rPr>
  </w:style>
  <w:style w:type="table" w:styleId="MediumGrid1-Accent2">
    <w:name w:val="Medium Grid 1 Accent 2"/>
    <w:basedOn w:val="TableNormal"/>
    <w:uiPriority w:val="67"/>
    <w:rsid w:val="0069568A"/>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LightGrid-Accent2">
    <w:name w:val="Light Grid Accent 2"/>
    <w:basedOn w:val="TableNormal"/>
    <w:uiPriority w:val="62"/>
    <w:rsid w:val="0069568A"/>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GridTable4-Accent110">
    <w:name w:val="Grid Table 4 - Accent 11"/>
    <w:basedOn w:val="TableNormal"/>
    <w:next w:val="GridTable4-Accent11"/>
    <w:uiPriority w:val="49"/>
    <w:rsid w:val="003B55B2"/>
    <w:rPr>
      <w:rFonts w:eastAsia="SimSu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3">
    <w:name w:val="Grid Table 4 - Accent 13"/>
    <w:basedOn w:val="TableNormal"/>
    <w:next w:val="GridTable4-Accent11"/>
    <w:uiPriority w:val="49"/>
    <w:rsid w:val="00E6370B"/>
    <w:rPr>
      <w:rFonts w:eastAsia="SimSu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normal1">
    <w:name w:val="normal1"/>
    <w:rsid w:val="00815991"/>
    <w:rPr>
      <w:rFonts w:ascii="Arial" w:hAnsi="Arial" w:cs="Arial" w:hint="default"/>
      <w:color w:val="000000"/>
      <w:sz w:val="20"/>
      <w:szCs w:val="20"/>
    </w:rPr>
  </w:style>
  <w:style w:type="character" w:customStyle="1" w:styleId="result">
    <w:name w:val="result"/>
    <w:rsid w:val="00815991"/>
    <w:rPr>
      <w:color w:val="000080"/>
    </w:rPr>
  </w:style>
  <w:style w:type="paragraph" w:styleId="BlockText">
    <w:name w:val="Block Text"/>
    <w:basedOn w:val="Normal"/>
    <w:rsid w:val="00603077"/>
    <w:pPr>
      <w:tabs>
        <w:tab w:val="left" w:pos="1080"/>
      </w:tabs>
      <w:bidi w:val="0"/>
      <w:ind w:left="540" w:right="180" w:hanging="1080"/>
      <w:jc w:val="right"/>
    </w:pPr>
    <w:rPr>
      <w:sz w:val="28"/>
      <w:szCs w:val="28"/>
    </w:rPr>
  </w:style>
  <w:style w:type="paragraph" w:styleId="BodyTextIndent3">
    <w:name w:val="Body Text Indent 3"/>
    <w:basedOn w:val="Normal"/>
    <w:link w:val="BodyTextIndent3Char"/>
    <w:rsid w:val="00F56E79"/>
    <w:pPr>
      <w:spacing w:after="120"/>
      <w:ind w:left="283"/>
    </w:pPr>
    <w:rPr>
      <w:sz w:val="16"/>
      <w:szCs w:val="16"/>
    </w:rPr>
  </w:style>
  <w:style w:type="character" w:customStyle="1" w:styleId="BodyTextIndent3Char">
    <w:name w:val="Body Text Indent 3 Char"/>
    <w:basedOn w:val="DefaultParagraphFont"/>
    <w:link w:val="BodyTextIndent3"/>
    <w:rsid w:val="00F56E79"/>
    <w:rPr>
      <w:sz w:val="16"/>
      <w:szCs w:val="16"/>
    </w:rPr>
  </w:style>
  <w:style w:type="character" w:customStyle="1" w:styleId="author1">
    <w:name w:val="author1"/>
    <w:basedOn w:val="DefaultParagraphFont"/>
    <w:rsid w:val="00504BA6"/>
  </w:style>
  <w:style w:type="table" w:customStyle="1" w:styleId="TableGrid0">
    <w:name w:val="TableGrid"/>
    <w:rsid w:val="006710BA"/>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1">
    <w:name w:val="TableGrid1"/>
    <w:rsid w:val="0046626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0">
    <w:name w:val="TableGrid2"/>
    <w:rsid w:val="0046626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30">
    <w:name w:val="TableGrid3"/>
    <w:rsid w:val="0003472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40">
    <w:name w:val="TableGrid4"/>
    <w:rsid w:val="004578BC"/>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7">
    <w:name w:val="Table Grid7"/>
    <w:basedOn w:val="TableNormal"/>
    <w:next w:val="TableGrid"/>
    <w:uiPriority w:val="59"/>
    <w:rsid w:val="00E66859"/>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E6685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52FC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ername">
    <w:name w:val="auther name"/>
    <w:basedOn w:val="Normal"/>
    <w:link w:val="authernameChar"/>
    <w:qFormat/>
    <w:rsid w:val="00BE6C08"/>
    <w:pPr>
      <w:bidi w:val="0"/>
      <w:spacing w:line="360" w:lineRule="auto"/>
      <w:jc w:val="center"/>
    </w:pPr>
    <w:rPr>
      <w:b/>
      <w:bCs/>
      <w:iCs/>
      <w:color w:val="000000"/>
    </w:rPr>
  </w:style>
  <w:style w:type="character" w:customStyle="1" w:styleId="authernameChar">
    <w:name w:val="auther name Char"/>
    <w:basedOn w:val="DefaultParagraphFont"/>
    <w:link w:val="authername"/>
    <w:rsid w:val="00BE6C08"/>
    <w:rPr>
      <w:b/>
      <w:bCs/>
      <w:iCs/>
      <w:color w:val="000000"/>
      <w:sz w:val="24"/>
      <w:szCs w:val="24"/>
    </w:rPr>
  </w:style>
  <w:style w:type="paragraph" w:customStyle="1" w:styleId="H20">
    <w:name w:val="H2"/>
    <w:basedOn w:val="P"/>
    <w:link w:val="H2Char"/>
    <w:qFormat/>
    <w:rsid w:val="00B66769"/>
    <w:rPr>
      <w:b/>
      <w:bCs/>
    </w:rPr>
  </w:style>
  <w:style w:type="character" w:customStyle="1" w:styleId="H2Char">
    <w:name w:val="H2 Char"/>
    <w:basedOn w:val="PChar"/>
    <w:link w:val="H20"/>
    <w:rsid w:val="00B66769"/>
    <w:rPr>
      <w:rFonts w:eastAsia="SimSun"/>
      <w:b/>
      <w:bCs/>
      <w:color w:val="000000"/>
      <w:sz w:val="24"/>
      <w:szCs w:val="24"/>
      <w:lang w:val="en-GB" w:eastAsia="zh-CN"/>
    </w:rPr>
  </w:style>
  <w:style w:type="paragraph" w:styleId="Revision">
    <w:name w:val="Revision"/>
    <w:hidden/>
    <w:uiPriority w:val="99"/>
    <w:semiHidden/>
    <w:rsid w:val="00BE5A07"/>
    <w:rPr>
      <w:sz w:val="24"/>
      <w:szCs w:val="24"/>
    </w:rPr>
  </w:style>
  <w:style w:type="table" w:customStyle="1" w:styleId="GridTable1Light-Accent61">
    <w:name w:val="Grid Table 1 Light - Accent 61"/>
    <w:basedOn w:val="TableNormal"/>
    <w:uiPriority w:val="46"/>
    <w:rsid w:val="009C3D27"/>
    <w:rPr>
      <w:rFonts w:asciiTheme="minorHAnsi" w:eastAsiaTheme="minorHAnsi" w:hAnsiTheme="minorHAnsi" w:cstheme="minorBid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leGrid110">
    <w:name w:val="Table Grid11"/>
    <w:basedOn w:val="TableNormal"/>
    <w:next w:val="TableGrid"/>
    <w:uiPriority w:val="39"/>
    <w:rsid w:val="00561CC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5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373">
      <w:bodyDiv w:val="1"/>
      <w:marLeft w:val="0"/>
      <w:marRight w:val="0"/>
      <w:marTop w:val="0"/>
      <w:marBottom w:val="0"/>
      <w:divBdr>
        <w:top w:val="none" w:sz="0" w:space="0" w:color="auto"/>
        <w:left w:val="none" w:sz="0" w:space="0" w:color="auto"/>
        <w:bottom w:val="none" w:sz="0" w:space="0" w:color="auto"/>
        <w:right w:val="none" w:sz="0" w:space="0" w:color="auto"/>
      </w:divBdr>
      <w:divsChild>
        <w:div w:id="1991786781">
          <w:marLeft w:val="0"/>
          <w:marRight w:val="0"/>
          <w:marTop w:val="0"/>
          <w:marBottom w:val="0"/>
          <w:divBdr>
            <w:top w:val="none" w:sz="0" w:space="0" w:color="auto"/>
            <w:left w:val="none" w:sz="0" w:space="0" w:color="auto"/>
            <w:bottom w:val="none" w:sz="0" w:space="0" w:color="auto"/>
            <w:right w:val="none" w:sz="0" w:space="0" w:color="auto"/>
          </w:divBdr>
        </w:div>
      </w:divsChild>
    </w:div>
    <w:div w:id="11692451">
      <w:bodyDiv w:val="1"/>
      <w:marLeft w:val="0"/>
      <w:marRight w:val="0"/>
      <w:marTop w:val="0"/>
      <w:marBottom w:val="0"/>
      <w:divBdr>
        <w:top w:val="none" w:sz="0" w:space="0" w:color="auto"/>
        <w:left w:val="none" w:sz="0" w:space="0" w:color="auto"/>
        <w:bottom w:val="none" w:sz="0" w:space="0" w:color="auto"/>
        <w:right w:val="none" w:sz="0" w:space="0" w:color="auto"/>
      </w:divBdr>
    </w:div>
    <w:div w:id="13926347">
      <w:bodyDiv w:val="1"/>
      <w:marLeft w:val="0"/>
      <w:marRight w:val="0"/>
      <w:marTop w:val="0"/>
      <w:marBottom w:val="0"/>
      <w:divBdr>
        <w:top w:val="none" w:sz="0" w:space="0" w:color="auto"/>
        <w:left w:val="none" w:sz="0" w:space="0" w:color="auto"/>
        <w:bottom w:val="none" w:sz="0" w:space="0" w:color="auto"/>
        <w:right w:val="none" w:sz="0" w:space="0" w:color="auto"/>
      </w:divBdr>
    </w:div>
    <w:div w:id="18940169">
      <w:bodyDiv w:val="1"/>
      <w:marLeft w:val="0"/>
      <w:marRight w:val="0"/>
      <w:marTop w:val="0"/>
      <w:marBottom w:val="0"/>
      <w:divBdr>
        <w:top w:val="none" w:sz="0" w:space="0" w:color="auto"/>
        <w:left w:val="none" w:sz="0" w:space="0" w:color="auto"/>
        <w:bottom w:val="none" w:sz="0" w:space="0" w:color="auto"/>
        <w:right w:val="none" w:sz="0" w:space="0" w:color="auto"/>
      </w:divBdr>
    </w:div>
    <w:div w:id="21175595">
      <w:bodyDiv w:val="1"/>
      <w:marLeft w:val="0"/>
      <w:marRight w:val="0"/>
      <w:marTop w:val="0"/>
      <w:marBottom w:val="0"/>
      <w:divBdr>
        <w:top w:val="none" w:sz="0" w:space="0" w:color="auto"/>
        <w:left w:val="none" w:sz="0" w:space="0" w:color="auto"/>
        <w:bottom w:val="none" w:sz="0" w:space="0" w:color="auto"/>
        <w:right w:val="none" w:sz="0" w:space="0" w:color="auto"/>
      </w:divBdr>
    </w:div>
    <w:div w:id="65228141">
      <w:bodyDiv w:val="1"/>
      <w:marLeft w:val="0"/>
      <w:marRight w:val="0"/>
      <w:marTop w:val="0"/>
      <w:marBottom w:val="0"/>
      <w:divBdr>
        <w:top w:val="none" w:sz="0" w:space="0" w:color="auto"/>
        <w:left w:val="none" w:sz="0" w:space="0" w:color="auto"/>
        <w:bottom w:val="none" w:sz="0" w:space="0" w:color="auto"/>
        <w:right w:val="none" w:sz="0" w:space="0" w:color="auto"/>
      </w:divBdr>
    </w:div>
    <w:div w:id="68309447">
      <w:bodyDiv w:val="1"/>
      <w:marLeft w:val="0"/>
      <w:marRight w:val="0"/>
      <w:marTop w:val="0"/>
      <w:marBottom w:val="0"/>
      <w:divBdr>
        <w:top w:val="none" w:sz="0" w:space="0" w:color="auto"/>
        <w:left w:val="none" w:sz="0" w:space="0" w:color="auto"/>
        <w:bottom w:val="none" w:sz="0" w:space="0" w:color="auto"/>
        <w:right w:val="none" w:sz="0" w:space="0" w:color="auto"/>
      </w:divBdr>
      <w:divsChild>
        <w:div w:id="783619804">
          <w:marLeft w:val="0"/>
          <w:marRight w:val="0"/>
          <w:marTop w:val="0"/>
          <w:marBottom w:val="0"/>
          <w:divBdr>
            <w:top w:val="none" w:sz="0" w:space="0" w:color="auto"/>
            <w:left w:val="none" w:sz="0" w:space="0" w:color="auto"/>
            <w:bottom w:val="none" w:sz="0" w:space="0" w:color="auto"/>
            <w:right w:val="none" w:sz="0" w:space="0" w:color="auto"/>
          </w:divBdr>
          <w:divsChild>
            <w:div w:id="1987514886">
              <w:marLeft w:val="0"/>
              <w:marRight w:val="0"/>
              <w:marTop w:val="0"/>
              <w:marBottom w:val="0"/>
              <w:divBdr>
                <w:top w:val="none" w:sz="0" w:space="0" w:color="auto"/>
                <w:left w:val="none" w:sz="0" w:space="0" w:color="auto"/>
                <w:bottom w:val="none" w:sz="0" w:space="0" w:color="auto"/>
                <w:right w:val="none" w:sz="0" w:space="0" w:color="auto"/>
              </w:divBdr>
            </w:div>
            <w:div w:id="1858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6181">
      <w:bodyDiv w:val="1"/>
      <w:marLeft w:val="0"/>
      <w:marRight w:val="0"/>
      <w:marTop w:val="0"/>
      <w:marBottom w:val="0"/>
      <w:divBdr>
        <w:top w:val="none" w:sz="0" w:space="0" w:color="auto"/>
        <w:left w:val="none" w:sz="0" w:space="0" w:color="auto"/>
        <w:bottom w:val="none" w:sz="0" w:space="0" w:color="auto"/>
        <w:right w:val="none" w:sz="0" w:space="0" w:color="auto"/>
      </w:divBdr>
    </w:div>
    <w:div w:id="76171132">
      <w:bodyDiv w:val="1"/>
      <w:marLeft w:val="0"/>
      <w:marRight w:val="0"/>
      <w:marTop w:val="0"/>
      <w:marBottom w:val="0"/>
      <w:divBdr>
        <w:top w:val="none" w:sz="0" w:space="0" w:color="auto"/>
        <w:left w:val="none" w:sz="0" w:space="0" w:color="auto"/>
        <w:bottom w:val="none" w:sz="0" w:space="0" w:color="auto"/>
        <w:right w:val="none" w:sz="0" w:space="0" w:color="auto"/>
      </w:divBdr>
    </w:div>
    <w:div w:id="79108967">
      <w:bodyDiv w:val="1"/>
      <w:marLeft w:val="0"/>
      <w:marRight w:val="0"/>
      <w:marTop w:val="0"/>
      <w:marBottom w:val="0"/>
      <w:divBdr>
        <w:top w:val="none" w:sz="0" w:space="0" w:color="auto"/>
        <w:left w:val="none" w:sz="0" w:space="0" w:color="auto"/>
        <w:bottom w:val="none" w:sz="0" w:space="0" w:color="auto"/>
        <w:right w:val="none" w:sz="0" w:space="0" w:color="auto"/>
      </w:divBdr>
      <w:divsChild>
        <w:div w:id="597177454">
          <w:marLeft w:val="0"/>
          <w:marRight w:val="0"/>
          <w:marTop w:val="0"/>
          <w:marBottom w:val="0"/>
          <w:divBdr>
            <w:top w:val="none" w:sz="0" w:space="0" w:color="auto"/>
            <w:left w:val="none" w:sz="0" w:space="0" w:color="auto"/>
            <w:bottom w:val="none" w:sz="0" w:space="0" w:color="auto"/>
            <w:right w:val="none" w:sz="0" w:space="0" w:color="auto"/>
          </w:divBdr>
        </w:div>
      </w:divsChild>
    </w:div>
    <w:div w:id="80109569">
      <w:bodyDiv w:val="1"/>
      <w:marLeft w:val="0"/>
      <w:marRight w:val="0"/>
      <w:marTop w:val="0"/>
      <w:marBottom w:val="0"/>
      <w:divBdr>
        <w:top w:val="none" w:sz="0" w:space="0" w:color="auto"/>
        <w:left w:val="none" w:sz="0" w:space="0" w:color="auto"/>
        <w:bottom w:val="none" w:sz="0" w:space="0" w:color="auto"/>
        <w:right w:val="none" w:sz="0" w:space="0" w:color="auto"/>
      </w:divBdr>
    </w:div>
    <w:div w:id="84888028">
      <w:bodyDiv w:val="1"/>
      <w:marLeft w:val="0"/>
      <w:marRight w:val="0"/>
      <w:marTop w:val="0"/>
      <w:marBottom w:val="0"/>
      <w:divBdr>
        <w:top w:val="none" w:sz="0" w:space="0" w:color="auto"/>
        <w:left w:val="none" w:sz="0" w:space="0" w:color="auto"/>
        <w:bottom w:val="none" w:sz="0" w:space="0" w:color="auto"/>
        <w:right w:val="none" w:sz="0" w:space="0" w:color="auto"/>
      </w:divBdr>
    </w:div>
    <w:div w:id="86462803">
      <w:bodyDiv w:val="1"/>
      <w:marLeft w:val="0"/>
      <w:marRight w:val="0"/>
      <w:marTop w:val="0"/>
      <w:marBottom w:val="0"/>
      <w:divBdr>
        <w:top w:val="none" w:sz="0" w:space="0" w:color="auto"/>
        <w:left w:val="none" w:sz="0" w:space="0" w:color="auto"/>
        <w:bottom w:val="none" w:sz="0" w:space="0" w:color="auto"/>
        <w:right w:val="none" w:sz="0" w:space="0" w:color="auto"/>
      </w:divBdr>
    </w:div>
    <w:div w:id="100077187">
      <w:bodyDiv w:val="1"/>
      <w:marLeft w:val="0"/>
      <w:marRight w:val="0"/>
      <w:marTop w:val="0"/>
      <w:marBottom w:val="0"/>
      <w:divBdr>
        <w:top w:val="none" w:sz="0" w:space="0" w:color="auto"/>
        <w:left w:val="none" w:sz="0" w:space="0" w:color="auto"/>
        <w:bottom w:val="none" w:sz="0" w:space="0" w:color="auto"/>
        <w:right w:val="none" w:sz="0" w:space="0" w:color="auto"/>
      </w:divBdr>
    </w:div>
    <w:div w:id="105543786">
      <w:bodyDiv w:val="1"/>
      <w:marLeft w:val="0"/>
      <w:marRight w:val="0"/>
      <w:marTop w:val="0"/>
      <w:marBottom w:val="0"/>
      <w:divBdr>
        <w:top w:val="none" w:sz="0" w:space="0" w:color="auto"/>
        <w:left w:val="none" w:sz="0" w:space="0" w:color="auto"/>
        <w:bottom w:val="none" w:sz="0" w:space="0" w:color="auto"/>
        <w:right w:val="none" w:sz="0" w:space="0" w:color="auto"/>
      </w:divBdr>
      <w:divsChild>
        <w:div w:id="256015919">
          <w:marLeft w:val="0"/>
          <w:marRight w:val="0"/>
          <w:marTop w:val="0"/>
          <w:marBottom w:val="0"/>
          <w:divBdr>
            <w:top w:val="none" w:sz="0" w:space="0" w:color="auto"/>
            <w:left w:val="none" w:sz="0" w:space="0" w:color="auto"/>
            <w:bottom w:val="none" w:sz="0" w:space="0" w:color="auto"/>
            <w:right w:val="none" w:sz="0" w:space="0" w:color="auto"/>
          </w:divBdr>
        </w:div>
      </w:divsChild>
    </w:div>
    <w:div w:id="118452820">
      <w:bodyDiv w:val="1"/>
      <w:marLeft w:val="0"/>
      <w:marRight w:val="0"/>
      <w:marTop w:val="0"/>
      <w:marBottom w:val="0"/>
      <w:divBdr>
        <w:top w:val="none" w:sz="0" w:space="0" w:color="auto"/>
        <w:left w:val="none" w:sz="0" w:space="0" w:color="auto"/>
        <w:bottom w:val="none" w:sz="0" w:space="0" w:color="auto"/>
        <w:right w:val="none" w:sz="0" w:space="0" w:color="auto"/>
      </w:divBdr>
    </w:div>
    <w:div w:id="118837968">
      <w:bodyDiv w:val="1"/>
      <w:marLeft w:val="0"/>
      <w:marRight w:val="0"/>
      <w:marTop w:val="0"/>
      <w:marBottom w:val="0"/>
      <w:divBdr>
        <w:top w:val="none" w:sz="0" w:space="0" w:color="auto"/>
        <w:left w:val="none" w:sz="0" w:space="0" w:color="auto"/>
        <w:bottom w:val="none" w:sz="0" w:space="0" w:color="auto"/>
        <w:right w:val="none" w:sz="0" w:space="0" w:color="auto"/>
      </w:divBdr>
    </w:div>
    <w:div w:id="119691200">
      <w:bodyDiv w:val="1"/>
      <w:marLeft w:val="0"/>
      <w:marRight w:val="0"/>
      <w:marTop w:val="0"/>
      <w:marBottom w:val="0"/>
      <w:divBdr>
        <w:top w:val="none" w:sz="0" w:space="0" w:color="auto"/>
        <w:left w:val="none" w:sz="0" w:space="0" w:color="auto"/>
        <w:bottom w:val="none" w:sz="0" w:space="0" w:color="auto"/>
        <w:right w:val="none" w:sz="0" w:space="0" w:color="auto"/>
      </w:divBdr>
    </w:div>
    <w:div w:id="123698159">
      <w:bodyDiv w:val="1"/>
      <w:marLeft w:val="0"/>
      <w:marRight w:val="0"/>
      <w:marTop w:val="0"/>
      <w:marBottom w:val="0"/>
      <w:divBdr>
        <w:top w:val="none" w:sz="0" w:space="0" w:color="auto"/>
        <w:left w:val="none" w:sz="0" w:space="0" w:color="auto"/>
        <w:bottom w:val="none" w:sz="0" w:space="0" w:color="auto"/>
        <w:right w:val="none" w:sz="0" w:space="0" w:color="auto"/>
      </w:divBdr>
      <w:divsChild>
        <w:div w:id="1600945651">
          <w:marLeft w:val="0"/>
          <w:marRight w:val="0"/>
          <w:marTop w:val="0"/>
          <w:marBottom w:val="0"/>
          <w:divBdr>
            <w:top w:val="none" w:sz="0" w:space="0" w:color="auto"/>
            <w:left w:val="none" w:sz="0" w:space="0" w:color="auto"/>
            <w:bottom w:val="none" w:sz="0" w:space="0" w:color="auto"/>
            <w:right w:val="none" w:sz="0" w:space="0" w:color="auto"/>
          </w:divBdr>
        </w:div>
      </w:divsChild>
    </w:div>
    <w:div w:id="125122689">
      <w:bodyDiv w:val="1"/>
      <w:marLeft w:val="0"/>
      <w:marRight w:val="0"/>
      <w:marTop w:val="0"/>
      <w:marBottom w:val="0"/>
      <w:divBdr>
        <w:top w:val="none" w:sz="0" w:space="0" w:color="auto"/>
        <w:left w:val="none" w:sz="0" w:space="0" w:color="auto"/>
        <w:bottom w:val="none" w:sz="0" w:space="0" w:color="auto"/>
        <w:right w:val="none" w:sz="0" w:space="0" w:color="auto"/>
      </w:divBdr>
    </w:div>
    <w:div w:id="144207226">
      <w:bodyDiv w:val="1"/>
      <w:marLeft w:val="0"/>
      <w:marRight w:val="0"/>
      <w:marTop w:val="0"/>
      <w:marBottom w:val="0"/>
      <w:divBdr>
        <w:top w:val="none" w:sz="0" w:space="0" w:color="auto"/>
        <w:left w:val="none" w:sz="0" w:space="0" w:color="auto"/>
        <w:bottom w:val="none" w:sz="0" w:space="0" w:color="auto"/>
        <w:right w:val="none" w:sz="0" w:space="0" w:color="auto"/>
      </w:divBdr>
    </w:div>
    <w:div w:id="151068924">
      <w:bodyDiv w:val="1"/>
      <w:marLeft w:val="0"/>
      <w:marRight w:val="0"/>
      <w:marTop w:val="0"/>
      <w:marBottom w:val="0"/>
      <w:divBdr>
        <w:top w:val="none" w:sz="0" w:space="0" w:color="auto"/>
        <w:left w:val="none" w:sz="0" w:space="0" w:color="auto"/>
        <w:bottom w:val="none" w:sz="0" w:space="0" w:color="auto"/>
        <w:right w:val="none" w:sz="0" w:space="0" w:color="auto"/>
      </w:divBdr>
    </w:div>
    <w:div w:id="157812624">
      <w:bodyDiv w:val="1"/>
      <w:marLeft w:val="0"/>
      <w:marRight w:val="0"/>
      <w:marTop w:val="0"/>
      <w:marBottom w:val="0"/>
      <w:divBdr>
        <w:top w:val="none" w:sz="0" w:space="0" w:color="auto"/>
        <w:left w:val="none" w:sz="0" w:space="0" w:color="auto"/>
        <w:bottom w:val="none" w:sz="0" w:space="0" w:color="auto"/>
        <w:right w:val="none" w:sz="0" w:space="0" w:color="auto"/>
      </w:divBdr>
    </w:div>
    <w:div w:id="162283869">
      <w:bodyDiv w:val="1"/>
      <w:marLeft w:val="0"/>
      <w:marRight w:val="0"/>
      <w:marTop w:val="0"/>
      <w:marBottom w:val="0"/>
      <w:divBdr>
        <w:top w:val="none" w:sz="0" w:space="0" w:color="auto"/>
        <w:left w:val="none" w:sz="0" w:space="0" w:color="auto"/>
        <w:bottom w:val="none" w:sz="0" w:space="0" w:color="auto"/>
        <w:right w:val="none" w:sz="0" w:space="0" w:color="auto"/>
      </w:divBdr>
    </w:div>
    <w:div w:id="163323333">
      <w:bodyDiv w:val="1"/>
      <w:marLeft w:val="0"/>
      <w:marRight w:val="0"/>
      <w:marTop w:val="0"/>
      <w:marBottom w:val="0"/>
      <w:divBdr>
        <w:top w:val="none" w:sz="0" w:space="0" w:color="auto"/>
        <w:left w:val="none" w:sz="0" w:space="0" w:color="auto"/>
        <w:bottom w:val="none" w:sz="0" w:space="0" w:color="auto"/>
        <w:right w:val="none" w:sz="0" w:space="0" w:color="auto"/>
      </w:divBdr>
    </w:div>
    <w:div w:id="164564234">
      <w:bodyDiv w:val="1"/>
      <w:marLeft w:val="0"/>
      <w:marRight w:val="0"/>
      <w:marTop w:val="0"/>
      <w:marBottom w:val="0"/>
      <w:divBdr>
        <w:top w:val="none" w:sz="0" w:space="0" w:color="auto"/>
        <w:left w:val="none" w:sz="0" w:space="0" w:color="auto"/>
        <w:bottom w:val="none" w:sz="0" w:space="0" w:color="auto"/>
        <w:right w:val="none" w:sz="0" w:space="0" w:color="auto"/>
      </w:divBdr>
    </w:div>
    <w:div w:id="171575387">
      <w:bodyDiv w:val="1"/>
      <w:marLeft w:val="0"/>
      <w:marRight w:val="0"/>
      <w:marTop w:val="0"/>
      <w:marBottom w:val="0"/>
      <w:divBdr>
        <w:top w:val="none" w:sz="0" w:space="0" w:color="auto"/>
        <w:left w:val="none" w:sz="0" w:space="0" w:color="auto"/>
        <w:bottom w:val="none" w:sz="0" w:space="0" w:color="auto"/>
        <w:right w:val="none" w:sz="0" w:space="0" w:color="auto"/>
      </w:divBdr>
    </w:div>
    <w:div w:id="177625379">
      <w:bodyDiv w:val="1"/>
      <w:marLeft w:val="0"/>
      <w:marRight w:val="0"/>
      <w:marTop w:val="0"/>
      <w:marBottom w:val="0"/>
      <w:divBdr>
        <w:top w:val="none" w:sz="0" w:space="0" w:color="auto"/>
        <w:left w:val="none" w:sz="0" w:space="0" w:color="auto"/>
        <w:bottom w:val="none" w:sz="0" w:space="0" w:color="auto"/>
        <w:right w:val="none" w:sz="0" w:space="0" w:color="auto"/>
      </w:divBdr>
      <w:divsChild>
        <w:div w:id="653409104">
          <w:marLeft w:val="0"/>
          <w:marRight w:val="0"/>
          <w:marTop w:val="0"/>
          <w:marBottom w:val="0"/>
          <w:divBdr>
            <w:top w:val="none" w:sz="0" w:space="0" w:color="auto"/>
            <w:left w:val="none" w:sz="0" w:space="0" w:color="auto"/>
            <w:bottom w:val="none" w:sz="0" w:space="0" w:color="auto"/>
            <w:right w:val="none" w:sz="0" w:space="0" w:color="auto"/>
          </w:divBdr>
          <w:divsChild>
            <w:div w:id="73279662">
              <w:marLeft w:val="0"/>
              <w:marRight w:val="0"/>
              <w:marTop w:val="0"/>
              <w:marBottom w:val="0"/>
              <w:divBdr>
                <w:top w:val="none" w:sz="0" w:space="0" w:color="auto"/>
                <w:left w:val="none" w:sz="0" w:space="0" w:color="auto"/>
                <w:bottom w:val="none" w:sz="0" w:space="0" w:color="auto"/>
                <w:right w:val="none" w:sz="0" w:space="0" w:color="auto"/>
              </w:divBdr>
            </w:div>
            <w:div w:id="6947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0105">
      <w:bodyDiv w:val="1"/>
      <w:marLeft w:val="0"/>
      <w:marRight w:val="0"/>
      <w:marTop w:val="0"/>
      <w:marBottom w:val="0"/>
      <w:divBdr>
        <w:top w:val="none" w:sz="0" w:space="0" w:color="auto"/>
        <w:left w:val="none" w:sz="0" w:space="0" w:color="auto"/>
        <w:bottom w:val="none" w:sz="0" w:space="0" w:color="auto"/>
        <w:right w:val="none" w:sz="0" w:space="0" w:color="auto"/>
      </w:divBdr>
    </w:div>
    <w:div w:id="188302459">
      <w:bodyDiv w:val="1"/>
      <w:marLeft w:val="0"/>
      <w:marRight w:val="0"/>
      <w:marTop w:val="0"/>
      <w:marBottom w:val="0"/>
      <w:divBdr>
        <w:top w:val="none" w:sz="0" w:space="0" w:color="auto"/>
        <w:left w:val="none" w:sz="0" w:space="0" w:color="auto"/>
        <w:bottom w:val="none" w:sz="0" w:space="0" w:color="auto"/>
        <w:right w:val="none" w:sz="0" w:space="0" w:color="auto"/>
      </w:divBdr>
    </w:div>
    <w:div w:id="203951808">
      <w:bodyDiv w:val="1"/>
      <w:marLeft w:val="0"/>
      <w:marRight w:val="0"/>
      <w:marTop w:val="0"/>
      <w:marBottom w:val="0"/>
      <w:divBdr>
        <w:top w:val="none" w:sz="0" w:space="0" w:color="auto"/>
        <w:left w:val="none" w:sz="0" w:space="0" w:color="auto"/>
        <w:bottom w:val="none" w:sz="0" w:space="0" w:color="auto"/>
        <w:right w:val="none" w:sz="0" w:space="0" w:color="auto"/>
      </w:divBdr>
      <w:divsChild>
        <w:div w:id="2061202040">
          <w:marLeft w:val="0"/>
          <w:marRight w:val="0"/>
          <w:marTop w:val="0"/>
          <w:marBottom w:val="0"/>
          <w:divBdr>
            <w:top w:val="none" w:sz="0" w:space="0" w:color="auto"/>
            <w:left w:val="none" w:sz="0" w:space="0" w:color="auto"/>
            <w:bottom w:val="none" w:sz="0" w:space="0" w:color="auto"/>
            <w:right w:val="none" w:sz="0" w:space="0" w:color="auto"/>
          </w:divBdr>
          <w:divsChild>
            <w:div w:id="377437038">
              <w:marLeft w:val="0"/>
              <w:marRight w:val="0"/>
              <w:marTop w:val="0"/>
              <w:marBottom w:val="0"/>
              <w:divBdr>
                <w:top w:val="none" w:sz="0" w:space="0" w:color="auto"/>
                <w:left w:val="none" w:sz="0" w:space="0" w:color="auto"/>
                <w:bottom w:val="none" w:sz="0" w:space="0" w:color="auto"/>
                <w:right w:val="none" w:sz="0" w:space="0" w:color="auto"/>
              </w:divBdr>
            </w:div>
            <w:div w:id="2392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8011">
      <w:bodyDiv w:val="1"/>
      <w:marLeft w:val="0"/>
      <w:marRight w:val="0"/>
      <w:marTop w:val="0"/>
      <w:marBottom w:val="0"/>
      <w:divBdr>
        <w:top w:val="none" w:sz="0" w:space="0" w:color="auto"/>
        <w:left w:val="none" w:sz="0" w:space="0" w:color="auto"/>
        <w:bottom w:val="none" w:sz="0" w:space="0" w:color="auto"/>
        <w:right w:val="none" w:sz="0" w:space="0" w:color="auto"/>
      </w:divBdr>
    </w:div>
    <w:div w:id="210384052">
      <w:bodyDiv w:val="1"/>
      <w:marLeft w:val="0"/>
      <w:marRight w:val="0"/>
      <w:marTop w:val="0"/>
      <w:marBottom w:val="0"/>
      <w:divBdr>
        <w:top w:val="none" w:sz="0" w:space="0" w:color="auto"/>
        <w:left w:val="none" w:sz="0" w:space="0" w:color="auto"/>
        <w:bottom w:val="none" w:sz="0" w:space="0" w:color="auto"/>
        <w:right w:val="none" w:sz="0" w:space="0" w:color="auto"/>
      </w:divBdr>
    </w:div>
    <w:div w:id="226690128">
      <w:bodyDiv w:val="1"/>
      <w:marLeft w:val="0"/>
      <w:marRight w:val="0"/>
      <w:marTop w:val="0"/>
      <w:marBottom w:val="0"/>
      <w:divBdr>
        <w:top w:val="none" w:sz="0" w:space="0" w:color="auto"/>
        <w:left w:val="none" w:sz="0" w:space="0" w:color="auto"/>
        <w:bottom w:val="none" w:sz="0" w:space="0" w:color="auto"/>
        <w:right w:val="none" w:sz="0" w:space="0" w:color="auto"/>
      </w:divBdr>
    </w:div>
    <w:div w:id="233978022">
      <w:bodyDiv w:val="1"/>
      <w:marLeft w:val="0"/>
      <w:marRight w:val="0"/>
      <w:marTop w:val="0"/>
      <w:marBottom w:val="0"/>
      <w:divBdr>
        <w:top w:val="none" w:sz="0" w:space="0" w:color="auto"/>
        <w:left w:val="none" w:sz="0" w:space="0" w:color="auto"/>
        <w:bottom w:val="none" w:sz="0" w:space="0" w:color="auto"/>
        <w:right w:val="none" w:sz="0" w:space="0" w:color="auto"/>
      </w:divBdr>
    </w:div>
    <w:div w:id="236287602">
      <w:bodyDiv w:val="1"/>
      <w:marLeft w:val="0"/>
      <w:marRight w:val="0"/>
      <w:marTop w:val="0"/>
      <w:marBottom w:val="0"/>
      <w:divBdr>
        <w:top w:val="none" w:sz="0" w:space="0" w:color="auto"/>
        <w:left w:val="none" w:sz="0" w:space="0" w:color="auto"/>
        <w:bottom w:val="none" w:sz="0" w:space="0" w:color="auto"/>
        <w:right w:val="none" w:sz="0" w:space="0" w:color="auto"/>
      </w:divBdr>
    </w:div>
    <w:div w:id="256910583">
      <w:bodyDiv w:val="1"/>
      <w:marLeft w:val="0"/>
      <w:marRight w:val="0"/>
      <w:marTop w:val="0"/>
      <w:marBottom w:val="0"/>
      <w:divBdr>
        <w:top w:val="none" w:sz="0" w:space="0" w:color="auto"/>
        <w:left w:val="none" w:sz="0" w:space="0" w:color="auto"/>
        <w:bottom w:val="none" w:sz="0" w:space="0" w:color="auto"/>
        <w:right w:val="none" w:sz="0" w:space="0" w:color="auto"/>
      </w:divBdr>
    </w:div>
    <w:div w:id="258223503">
      <w:bodyDiv w:val="1"/>
      <w:marLeft w:val="0"/>
      <w:marRight w:val="0"/>
      <w:marTop w:val="0"/>
      <w:marBottom w:val="0"/>
      <w:divBdr>
        <w:top w:val="none" w:sz="0" w:space="0" w:color="auto"/>
        <w:left w:val="none" w:sz="0" w:space="0" w:color="auto"/>
        <w:bottom w:val="none" w:sz="0" w:space="0" w:color="auto"/>
        <w:right w:val="none" w:sz="0" w:space="0" w:color="auto"/>
      </w:divBdr>
    </w:div>
    <w:div w:id="263540441">
      <w:bodyDiv w:val="1"/>
      <w:marLeft w:val="0"/>
      <w:marRight w:val="0"/>
      <w:marTop w:val="0"/>
      <w:marBottom w:val="0"/>
      <w:divBdr>
        <w:top w:val="none" w:sz="0" w:space="0" w:color="auto"/>
        <w:left w:val="none" w:sz="0" w:space="0" w:color="auto"/>
        <w:bottom w:val="none" w:sz="0" w:space="0" w:color="auto"/>
        <w:right w:val="none" w:sz="0" w:space="0" w:color="auto"/>
      </w:divBdr>
    </w:div>
    <w:div w:id="272135696">
      <w:bodyDiv w:val="1"/>
      <w:marLeft w:val="0"/>
      <w:marRight w:val="0"/>
      <w:marTop w:val="0"/>
      <w:marBottom w:val="0"/>
      <w:divBdr>
        <w:top w:val="none" w:sz="0" w:space="0" w:color="auto"/>
        <w:left w:val="none" w:sz="0" w:space="0" w:color="auto"/>
        <w:bottom w:val="none" w:sz="0" w:space="0" w:color="auto"/>
        <w:right w:val="none" w:sz="0" w:space="0" w:color="auto"/>
      </w:divBdr>
    </w:div>
    <w:div w:id="288241888">
      <w:bodyDiv w:val="1"/>
      <w:marLeft w:val="0"/>
      <w:marRight w:val="0"/>
      <w:marTop w:val="0"/>
      <w:marBottom w:val="0"/>
      <w:divBdr>
        <w:top w:val="none" w:sz="0" w:space="0" w:color="auto"/>
        <w:left w:val="none" w:sz="0" w:space="0" w:color="auto"/>
        <w:bottom w:val="none" w:sz="0" w:space="0" w:color="auto"/>
        <w:right w:val="none" w:sz="0" w:space="0" w:color="auto"/>
      </w:divBdr>
    </w:div>
    <w:div w:id="294064453">
      <w:bodyDiv w:val="1"/>
      <w:marLeft w:val="0"/>
      <w:marRight w:val="0"/>
      <w:marTop w:val="0"/>
      <w:marBottom w:val="0"/>
      <w:divBdr>
        <w:top w:val="none" w:sz="0" w:space="0" w:color="auto"/>
        <w:left w:val="none" w:sz="0" w:space="0" w:color="auto"/>
        <w:bottom w:val="none" w:sz="0" w:space="0" w:color="auto"/>
        <w:right w:val="none" w:sz="0" w:space="0" w:color="auto"/>
      </w:divBdr>
    </w:div>
    <w:div w:id="324016025">
      <w:bodyDiv w:val="1"/>
      <w:marLeft w:val="0"/>
      <w:marRight w:val="0"/>
      <w:marTop w:val="0"/>
      <w:marBottom w:val="0"/>
      <w:divBdr>
        <w:top w:val="none" w:sz="0" w:space="0" w:color="auto"/>
        <w:left w:val="none" w:sz="0" w:space="0" w:color="auto"/>
        <w:bottom w:val="none" w:sz="0" w:space="0" w:color="auto"/>
        <w:right w:val="none" w:sz="0" w:space="0" w:color="auto"/>
      </w:divBdr>
      <w:divsChild>
        <w:div w:id="1564170220">
          <w:marLeft w:val="0"/>
          <w:marRight w:val="0"/>
          <w:marTop w:val="0"/>
          <w:marBottom w:val="0"/>
          <w:divBdr>
            <w:top w:val="none" w:sz="0" w:space="0" w:color="auto"/>
            <w:left w:val="none" w:sz="0" w:space="0" w:color="auto"/>
            <w:bottom w:val="none" w:sz="0" w:space="0" w:color="auto"/>
            <w:right w:val="none" w:sz="0" w:space="0" w:color="auto"/>
          </w:divBdr>
          <w:divsChild>
            <w:div w:id="1698004178">
              <w:marLeft w:val="0"/>
              <w:marRight w:val="0"/>
              <w:marTop w:val="0"/>
              <w:marBottom w:val="0"/>
              <w:divBdr>
                <w:top w:val="none" w:sz="0" w:space="0" w:color="auto"/>
                <w:left w:val="none" w:sz="0" w:space="0" w:color="auto"/>
                <w:bottom w:val="none" w:sz="0" w:space="0" w:color="auto"/>
                <w:right w:val="none" w:sz="0" w:space="0" w:color="auto"/>
              </w:divBdr>
            </w:div>
            <w:div w:id="8639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96686">
      <w:bodyDiv w:val="1"/>
      <w:marLeft w:val="0"/>
      <w:marRight w:val="0"/>
      <w:marTop w:val="0"/>
      <w:marBottom w:val="0"/>
      <w:divBdr>
        <w:top w:val="none" w:sz="0" w:space="0" w:color="auto"/>
        <w:left w:val="none" w:sz="0" w:space="0" w:color="auto"/>
        <w:bottom w:val="none" w:sz="0" w:space="0" w:color="auto"/>
        <w:right w:val="none" w:sz="0" w:space="0" w:color="auto"/>
      </w:divBdr>
    </w:div>
    <w:div w:id="366418573">
      <w:bodyDiv w:val="1"/>
      <w:marLeft w:val="0"/>
      <w:marRight w:val="0"/>
      <w:marTop w:val="0"/>
      <w:marBottom w:val="0"/>
      <w:divBdr>
        <w:top w:val="none" w:sz="0" w:space="0" w:color="auto"/>
        <w:left w:val="none" w:sz="0" w:space="0" w:color="auto"/>
        <w:bottom w:val="none" w:sz="0" w:space="0" w:color="auto"/>
        <w:right w:val="none" w:sz="0" w:space="0" w:color="auto"/>
      </w:divBdr>
    </w:div>
    <w:div w:id="371272916">
      <w:bodyDiv w:val="1"/>
      <w:marLeft w:val="0"/>
      <w:marRight w:val="0"/>
      <w:marTop w:val="0"/>
      <w:marBottom w:val="0"/>
      <w:divBdr>
        <w:top w:val="none" w:sz="0" w:space="0" w:color="auto"/>
        <w:left w:val="none" w:sz="0" w:space="0" w:color="auto"/>
        <w:bottom w:val="none" w:sz="0" w:space="0" w:color="auto"/>
        <w:right w:val="none" w:sz="0" w:space="0" w:color="auto"/>
      </w:divBdr>
      <w:divsChild>
        <w:div w:id="1930583044">
          <w:marLeft w:val="0"/>
          <w:marRight w:val="0"/>
          <w:marTop w:val="0"/>
          <w:marBottom w:val="0"/>
          <w:divBdr>
            <w:top w:val="none" w:sz="0" w:space="0" w:color="auto"/>
            <w:left w:val="none" w:sz="0" w:space="0" w:color="auto"/>
            <w:bottom w:val="none" w:sz="0" w:space="0" w:color="auto"/>
            <w:right w:val="none" w:sz="0" w:space="0" w:color="auto"/>
          </w:divBdr>
        </w:div>
      </w:divsChild>
    </w:div>
    <w:div w:id="376702226">
      <w:bodyDiv w:val="1"/>
      <w:marLeft w:val="0"/>
      <w:marRight w:val="0"/>
      <w:marTop w:val="0"/>
      <w:marBottom w:val="0"/>
      <w:divBdr>
        <w:top w:val="none" w:sz="0" w:space="0" w:color="auto"/>
        <w:left w:val="none" w:sz="0" w:space="0" w:color="auto"/>
        <w:bottom w:val="none" w:sz="0" w:space="0" w:color="auto"/>
        <w:right w:val="none" w:sz="0" w:space="0" w:color="auto"/>
      </w:divBdr>
    </w:div>
    <w:div w:id="377248013">
      <w:bodyDiv w:val="1"/>
      <w:marLeft w:val="0"/>
      <w:marRight w:val="0"/>
      <w:marTop w:val="0"/>
      <w:marBottom w:val="0"/>
      <w:divBdr>
        <w:top w:val="none" w:sz="0" w:space="0" w:color="auto"/>
        <w:left w:val="none" w:sz="0" w:space="0" w:color="auto"/>
        <w:bottom w:val="none" w:sz="0" w:space="0" w:color="auto"/>
        <w:right w:val="none" w:sz="0" w:space="0" w:color="auto"/>
      </w:divBdr>
    </w:div>
    <w:div w:id="379986186">
      <w:bodyDiv w:val="1"/>
      <w:marLeft w:val="0"/>
      <w:marRight w:val="0"/>
      <w:marTop w:val="0"/>
      <w:marBottom w:val="0"/>
      <w:divBdr>
        <w:top w:val="none" w:sz="0" w:space="0" w:color="auto"/>
        <w:left w:val="none" w:sz="0" w:space="0" w:color="auto"/>
        <w:bottom w:val="none" w:sz="0" w:space="0" w:color="auto"/>
        <w:right w:val="none" w:sz="0" w:space="0" w:color="auto"/>
      </w:divBdr>
    </w:div>
    <w:div w:id="386952316">
      <w:bodyDiv w:val="1"/>
      <w:marLeft w:val="0"/>
      <w:marRight w:val="0"/>
      <w:marTop w:val="0"/>
      <w:marBottom w:val="0"/>
      <w:divBdr>
        <w:top w:val="none" w:sz="0" w:space="0" w:color="auto"/>
        <w:left w:val="none" w:sz="0" w:space="0" w:color="auto"/>
        <w:bottom w:val="none" w:sz="0" w:space="0" w:color="auto"/>
        <w:right w:val="none" w:sz="0" w:space="0" w:color="auto"/>
      </w:divBdr>
    </w:div>
    <w:div w:id="389692131">
      <w:bodyDiv w:val="1"/>
      <w:marLeft w:val="0"/>
      <w:marRight w:val="0"/>
      <w:marTop w:val="0"/>
      <w:marBottom w:val="0"/>
      <w:divBdr>
        <w:top w:val="none" w:sz="0" w:space="0" w:color="auto"/>
        <w:left w:val="none" w:sz="0" w:space="0" w:color="auto"/>
        <w:bottom w:val="none" w:sz="0" w:space="0" w:color="auto"/>
        <w:right w:val="none" w:sz="0" w:space="0" w:color="auto"/>
      </w:divBdr>
      <w:divsChild>
        <w:div w:id="79836691">
          <w:marLeft w:val="0"/>
          <w:marRight w:val="0"/>
          <w:marTop w:val="0"/>
          <w:marBottom w:val="0"/>
          <w:divBdr>
            <w:top w:val="none" w:sz="0" w:space="0" w:color="auto"/>
            <w:left w:val="none" w:sz="0" w:space="0" w:color="auto"/>
            <w:bottom w:val="none" w:sz="0" w:space="0" w:color="auto"/>
            <w:right w:val="none" w:sz="0" w:space="0" w:color="auto"/>
          </w:divBdr>
          <w:divsChild>
            <w:div w:id="258606801">
              <w:marLeft w:val="0"/>
              <w:marRight w:val="0"/>
              <w:marTop w:val="0"/>
              <w:marBottom w:val="0"/>
              <w:divBdr>
                <w:top w:val="none" w:sz="0" w:space="0" w:color="auto"/>
                <w:left w:val="none" w:sz="0" w:space="0" w:color="auto"/>
                <w:bottom w:val="none" w:sz="0" w:space="0" w:color="auto"/>
                <w:right w:val="none" w:sz="0" w:space="0" w:color="auto"/>
              </w:divBdr>
            </w:div>
            <w:div w:id="20269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496">
      <w:bodyDiv w:val="1"/>
      <w:marLeft w:val="0"/>
      <w:marRight w:val="0"/>
      <w:marTop w:val="0"/>
      <w:marBottom w:val="0"/>
      <w:divBdr>
        <w:top w:val="none" w:sz="0" w:space="0" w:color="auto"/>
        <w:left w:val="none" w:sz="0" w:space="0" w:color="auto"/>
        <w:bottom w:val="none" w:sz="0" w:space="0" w:color="auto"/>
        <w:right w:val="none" w:sz="0" w:space="0" w:color="auto"/>
      </w:divBdr>
    </w:div>
    <w:div w:id="406197868">
      <w:bodyDiv w:val="1"/>
      <w:marLeft w:val="0"/>
      <w:marRight w:val="0"/>
      <w:marTop w:val="0"/>
      <w:marBottom w:val="0"/>
      <w:divBdr>
        <w:top w:val="none" w:sz="0" w:space="0" w:color="auto"/>
        <w:left w:val="none" w:sz="0" w:space="0" w:color="auto"/>
        <w:bottom w:val="none" w:sz="0" w:space="0" w:color="auto"/>
        <w:right w:val="none" w:sz="0" w:space="0" w:color="auto"/>
      </w:divBdr>
    </w:div>
    <w:div w:id="407265182">
      <w:bodyDiv w:val="1"/>
      <w:marLeft w:val="0"/>
      <w:marRight w:val="0"/>
      <w:marTop w:val="0"/>
      <w:marBottom w:val="0"/>
      <w:divBdr>
        <w:top w:val="none" w:sz="0" w:space="0" w:color="auto"/>
        <w:left w:val="none" w:sz="0" w:space="0" w:color="auto"/>
        <w:bottom w:val="none" w:sz="0" w:space="0" w:color="auto"/>
        <w:right w:val="none" w:sz="0" w:space="0" w:color="auto"/>
      </w:divBdr>
    </w:div>
    <w:div w:id="419064520">
      <w:bodyDiv w:val="1"/>
      <w:marLeft w:val="0"/>
      <w:marRight w:val="0"/>
      <w:marTop w:val="0"/>
      <w:marBottom w:val="0"/>
      <w:divBdr>
        <w:top w:val="none" w:sz="0" w:space="0" w:color="auto"/>
        <w:left w:val="none" w:sz="0" w:space="0" w:color="auto"/>
        <w:bottom w:val="none" w:sz="0" w:space="0" w:color="auto"/>
        <w:right w:val="none" w:sz="0" w:space="0" w:color="auto"/>
      </w:divBdr>
    </w:div>
    <w:div w:id="435490203">
      <w:bodyDiv w:val="1"/>
      <w:marLeft w:val="0"/>
      <w:marRight w:val="0"/>
      <w:marTop w:val="0"/>
      <w:marBottom w:val="0"/>
      <w:divBdr>
        <w:top w:val="none" w:sz="0" w:space="0" w:color="auto"/>
        <w:left w:val="none" w:sz="0" w:space="0" w:color="auto"/>
        <w:bottom w:val="none" w:sz="0" w:space="0" w:color="auto"/>
        <w:right w:val="none" w:sz="0" w:space="0" w:color="auto"/>
      </w:divBdr>
    </w:div>
    <w:div w:id="438260666">
      <w:bodyDiv w:val="1"/>
      <w:marLeft w:val="0"/>
      <w:marRight w:val="0"/>
      <w:marTop w:val="0"/>
      <w:marBottom w:val="0"/>
      <w:divBdr>
        <w:top w:val="none" w:sz="0" w:space="0" w:color="auto"/>
        <w:left w:val="none" w:sz="0" w:space="0" w:color="auto"/>
        <w:bottom w:val="none" w:sz="0" w:space="0" w:color="auto"/>
        <w:right w:val="none" w:sz="0" w:space="0" w:color="auto"/>
      </w:divBdr>
    </w:div>
    <w:div w:id="440346334">
      <w:bodyDiv w:val="1"/>
      <w:marLeft w:val="0"/>
      <w:marRight w:val="0"/>
      <w:marTop w:val="0"/>
      <w:marBottom w:val="0"/>
      <w:divBdr>
        <w:top w:val="none" w:sz="0" w:space="0" w:color="auto"/>
        <w:left w:val="none" w:sz="0" w:space="0" w:color="auto"/>
        <w:bottom w:val="none" w:sz="0" w:space="0" w:color="auto"/>
        <w:right w:val="none" w:sz="0" w:space="0" w:color="auto"/>
      </w:divBdr>
    </w:div>
    <w:div w:id="441729876">
      <w:bodyDiv w:val="1"/>
      <w:marLeft w:val="0"/>
      <w:marRight w:val="0"/>
      <w:marTop w:val="0"/>
      <w:marBottom w:val="0"/>
      <w:divBdr>
        <w:top w:val="none" w:sz="0" w:space="0" w:color="auto"/>
        <w:left w:val="none" w:sz="0" w:space="0" w:color="auto"/>
        <w:bottom w:val="none" w:sz="0" w:space="0" w:color="auto"/>
        <w:right w:val="none" w:sz="0" w:space="0" w:color="auto"/>
      </w:divBdr>
    </w:div>
    <w:div w:id="446704411">
      <w:bodyDiv w:val="1"/>
      <w:marLeft w:val="0"/>
      <w:marRight w:val="0"/>
      <w:marTop w:val="0"/>
      <w:marBottom w:val="0"/>
      <w:divBdr>
        <w:top w:val="none" w:sz="0" w:space="0" w:color="auto"/>
        <w:left w:val="none" w:sz="0" w:space="0" w:color="auto"/>
        <w:bottom w:val="none" w:sz="0" w:space="0" w:color="auto"/>
        <w:right w:val="none" w:sz="0" w:space="0" w:color="auto"/>
      </w:divBdr>
    </w:div>
    <w:div w:id="462428241">
      <w:bodyDiv w:val="1"/>
      <w:marLeft w:val="0"/>
      <w:marRight w:val="0"/>
      <w:marTop w:val="0"/>
      <w:marBottom w:val="0"/>
      <w:divBdr>
        <w:top w:val="none" w:sz="0" w:space="0" w:color="auto"/>
        <w:left w:val="none" w:sz="0" w:space="0" w:color="auto"/>
        <w:bottom w:val="none" w:sz="0" w:space="0" w:color="auto"/>
        <w:right w:val="none" w:sz="0" w:space="0" w:color="auto"/>
      </w:divBdr>
    </w:div>
    <w:div w:id="466581565">
      <w:bodyDiv w:val="1"/>
      <w:marLeft w:val="0"/>
      <w:marRight w:val="0"/>
      <w:marTop w:val="0"/>
      <w:marBottom w:val="0"/>
      <w:divBdr>
        <w:top w:val="none" w:sz="0" w:space="0" w:color="auto"/>
        <w:left w:val="none" w:sz="0" w:space="0" w:color="auto"/>
        <w:bottom w:val="none" w:sz="0" w:space="0" w:color="auto"/>
        <w:right w:val="none" w:sz="0" w:space="0" w:color="auto"/>
      </w:divBdr>
    </w:div>
    <w:div w:id="469175584">
      <w:bodyDiv w:val="1"/>
      <w:marLeft w:val="0"/>
      <w:marRight w:val="0"/>
      <w:marTop w:val="0"/>
      <w:marBottom w:val="0"/>
      <w:divBdr>
        <w:top w:val="none" w:sz="0" w:space="0" w:color="auto"/>
        <w:left w:val="none" w:sz="0" w:space="0" w:color="auto"/>
        <w:bottom w:val="none" w:sz="0" w:space="0" w:color="auto"/>
        <w:right w:val="none" w:sz="0" w:space="0" w:color="auto"/>
      </w:divBdr>
    </w:div>
    <w:div w:id="470486844">
      <w:bodyDiv w:val="1"/>
      <w:marLeft w:val="0"/>
      <w:marRight w:val="0"/>
      <w:marTop w:val="0"/>
      <w:marBottom w:val="0"/>
      <w:divBdr>
        <w:top w:val="none" w:sz="0" w:space="0" w:color="auto"/>
        <w:left w:val="none" w:sz="0" w:space="0" w:color="auto"/>
        <w:bottom w:val="none" w:sz="0" w:space="0" w:color="auto"/>
        <w:right w:val="none" w:sz="0" w:space="0" w:color="auto"/>
      </w:divBdr>
    </w:div>
    <w:div w:id="475342370">
      <w:bodyDiv w:val="1"/>
      <w:marLeft w:val="0"/>
      <w:marRight w:val="0"/>
      <w:marTop w:val="0"/>
      <w:marBottom w:val="0"/>
      <w:divBdr>
        <w:top w:val="none" w:sz="0" w:space="0" w:color="auto"/>
        <w:left w:val="none" w:sz="0" w:space="0" w:color="auto"/>
        <w:bottom w:val="none" w:sz="0" w:space="0" w:color="auto"/>
        <w:right w:val="none" w:sz="0" w:space="0" w:color="auto"/>
      </w:divBdr>
    </w:div>
    <w:div w:id="488208440">
      <w:bodyDiv w:val="1"/>
      <w:marLeft w:val="0"/>
      <w:marRight w:val="0"/>
      <w:marTop w:val="0"/>
      <w:marBottom w:val="0"/>
      <w:divBdr>
        <w:top w:val="none" w:sz="0" w:space="0" w:color="auto"/>
        <w:left w:val="none" w:sz="0" w:space="0" w:color="auto"/>
        <w:bottom w:val="none" w:sz="0" w:space="0" w:color="auto"/>
        <w:right w:val="none" w:sz="0" w:space="0" w:color="auto"/>
      </w:divBdr>
    </w:div>
    <w:div w:id="498616737">
      <w:bodyDiv w:val="1"/>
      <w:marLeft w:val="0"/>
      <w:marRight w:val="0"/>
      <w:marTop w:val="0"/>
      <w:marBottom w:val="0"/>
      <w:divBdr>
        <w:top w:val="none" w:sz="0" w:space="0" w:color="auto"/>
        <w:left w:val="none" w:sz="0" w:space="0" w:color="auto"/>
        <w:bottom w:val="none" w:sz="0" w:space="0" w:color="auto"/>
        <w:right w:val="none" w:sz="0" w:space="0" w:color="auto"/>
      </w:divBdr>
    </w:div>
    <w:div w:id="503590316">
      <w:bodyDiv w:val="1"/>
      <w:marLeft w:val="0"/>
      <w:marRight w:val="0"/>
      <w:marTop w:val="0"/>
      <w:marBottom w:val="0"/>
      <w:divBdr>
        <w:top w:val="none" w:sz="0" w:space="0" w:color="auto"/>
        <w:left w:val="none" w:sz="0" w:space="0" w:color="auto"/>
        <w:bottom w:val="none" w:sz="0" w:space="0" w:color="auto"/>
        <w:right w:val="none" w:sz="0" w:space="0" w:color="auto"/>
      </w:divBdr>
      <w:divsChild>
        <w:div w:id="1893492123">
          <w:marLeft w:val="0"/>
          <w:marRight w:val="0"/>
          <w:marTop w:val="0"/>
          <w:marBottom w:val="0"/>
          <w:divBdr>
            <w:top w:val="none" w:sz="0" w:space="0" w:color="auto"/>
            <w:left w:val="none" w:sz="0" w:space="0" w:color="auto"/>
            <w:bottom w:val="none" w:sz="0" w:space="0" w:color="auto"/>
            <w:right w:val="none" w:sz="0" w:space="0" w:color="auto"/>
          </w:divBdr>
        </w:div>
      </w:divsChild>
    </w:div>
    <w:div w:id="513761365">
      <w:bodyDiv w:val="1"/>
      <w:marLeft w:val="0"/>
      <w:marRight w:val="0"/>
      <w:marTop w:val="0"/>
      <w:marBottom w:val="0"/>
      <w:divBdr>
        <w:top w:val="none" w:sz="0" w:space="0" w:color="auto"/>
        <w:left w:val="none" w:sz="0" w:space="0" w:color="auto"/>
        <w:bottom w:val="none" w:sz="0" w:space="0" w:color="auto"/>
        <w:right w:val="none" w:sz="0" w:space="0" w:color="auto"/>
      </w:divBdr>
      <w:divsChild>
        <w:div w:id="385418208">
          <w:marLeft w:val="0"/>
          <w:marRight w:val="0"/>
          <w:marTop w:val="0"/>
          <w:marBottom w:val="0"/>
          <w:divBdr>
            <w:top w:val="none" w:sz="0" w:space="0" w:color="auto"/>
            <w:left w:val="none" w:sz="0" w:space="0" w:color="auto"/>
            <w:bottom w:val="none" w:sz="0" w:space="0" w:color="auto"/>
            <w:right w:val="none" w:sz="0" w:space="0" w:color="auto"/>
          </w:divBdr>
          <w:divsChild>
            <w:div w:id="1789003008">
              <w:marLeft w:val="0"/>
              <w:marRight w:val="0"/>
              <w:marTop w:val="0"/>
              <w:marBottom w:val="0"/>
              <w:divBdr>
                <w:top w:val="none" w:sz="0" w:space="0" w:color="auto"/>
                <w:left w:val="none" w:sz="0" w:space="0" w:color="auto"/>
                <w:bottom w:val="none" w:sz="0" w:space="0" w:color="auto"/>
                <w:right w:val="none" w:sz="0" w:space="0" w:color="auto"/>
              </w:divBdr>
            </w:div>
            <w:div w:id="15045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8645">
      <w:bodyDiv w:val="1"/>
      <w:marLeft w:val="0"/>
      <w:marRight w:val="0"/>
      <w:marTop w:val="0"/>
      <w:marBottom w:val="0"/>
      <w:divBdr>
        <w:top w:val="none" w:sz="0" w:space="0" w:color="auto"/>
        <w:left w:val="none" w:sz="0" w:space="0" w:color="auto"/>
        <w:bottom w:val="none" w:sz="0" w:space="0" w:color="auto"/>
        <w:right w:val="none" w:sz="0" w:space="0" w:color="auto"/>
      </w:divBdr>
      <w:divsChild>
        <w:div w:id="562836684">
          <w:marLeft w:val="0"/>
          <w:marRight w:val="0"/>
          <w:marTop w:val="0"/>
          <w:marBottom w:val="0"/>
          <w:divBdr>
            <w:top w:val="none" w:sz="0" w:space="0" w:color="auto"/>
            <w:left w:val="none" w:sz="0" w:space="0" w:color="auto"/>
            <w:bottom w:val="none" w:sz="0" w:space="0" w:color="auto"/>
            <w:right w:val="none" w:sz="0" w:space="0" w:color="auto"/>
          </w:divBdr>
          <w:divsChild>
            <w:div w:id="2132283837">
              <w:marLeft w:val="0"/>
              <w:marRight w:val="0"/>
              <w:marTop w:val="0"/>
              <w:marBottom w:val="0"/>
              <w:divBdr>
                <w:top w:val="none" w:sz="0" w:space="0" w:color="auto"/>
                <w:left w:val="none" w:sz="0" w:space="0" w:color="auto"/>
                <w:bottom w:val="none" w:sz="0" w:space="0" w:color="auto"/>
                <w:right w:val="none" w:sz="0" w:space="0" w:color="auto"/>
              </w:divBdr>
            </w:div>
            <w:div w:id="20834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59583">
      <w:bodyDiv w:val="1"/>
      <w:marLeft w:val="0"/>
      <w:marRight w:val="0"/>
      <w:marTop w:val="0"/>
      <w:marBottom w:val="0"/>
      <w:divBdr>
        <w:top w:val="none" w:sz="0" w:space="0" w:color="auto"/>
        <w:left w:val="none" w:sz="0" w:space="0" w:color="auto"/>
        <w:bottom w:val="none" w:sz="0" w:space="0" w:color="auto"/>
        <w:right w:val="none" w:sz="0" w:space="0" w:color="auto"/>
      </w:divBdr>
    </w:div>
    <w:div w:id="523638717">
      <w:bodyDiv w:val="1"/>
      <w:marLeft w:val="0"/>
      <w:marRight w:val="0"/>
      <w:marTop w:val="0"/>
      <w:marBottom w:val="0"/>
      <w:divBdr>
        <w:top w:val="none" w:sz="0" w:space="0" w:color="auto"/>
        <w:left w:val="none" w:sz="0" w:space="0" w:color="auto"/>
        <w:bottom w:val="none" w:sz="0" w:space="0" w:color="auto"/>
        <w:right w:val="none" w:sz="0" w:space="0" w:color="auto"/>
      </w:divBdr>
    </w:div>
    <w:div w:id="531695973">
      <w:bodyDiv w:val="1"/>
      <w:marLeft w:val="0"/>
      <w:marRight w:val="0"/>
      <w:marTop w:val="0"/>
      <w:marBottom w:val="0"/>
      <w:divBdr>
        <w:top w:val="none" w:sz="0" w:space="0" w:color="auto"/>
        <w:left w:val="none" w:sz="0" w:space="0" w:color="auto"/>
        <w:bottom w:val="none" w:sz="0" w:space="0" w:color="auto"/>
        <w:right w:val="none" w:sz="0" w:space="0" w:color="auto"/>
      </w:divBdr>
    </w:div>
    <w:div w:id="536626460">
      <w:bodyDiv w:val="1"/>
      <w:marLeft w:val="0"/>
      <w:marRight w:val="0"/>
      <w:marTop w:val="0"/>
      <w:marBottom w:val="0"/>
      <w:divBdr>
        <w:top w:val="none" w:sz="0" w:space="0" w:color="auto"/>
        <w:left w:val="none" w:sz="0" w:space="0" w:color="auto"/>
        <w:bottom w:val="none" w:sz="0" w:space="0" w:color="auto"/>
        <w:right w:val="none" w:sz="0" w:space="0" w:color="auto"/>
      </w:divBdr>
    </w:div>
    <w:div w:id="538248552">
      <w:bodyDiv w:val="1"/>
      <w:marLeft w:val="0"/>
      <w:marRight w:val="0"/>
      <w:marTop w:val="0"/>
      <w:marBottom w:val="0"/>
      <w:divBdr>
        <w:top w:val="none" w:sz="0" w:space="0" w:color="auto"/>
        <w:left w:val="none" w:sz="0" w:space="0" w:color="auto"/>
        <w:bottom w:val="none" w:sz="0" w:space="0" w:color="auto"/>
        <w:right w:val="none" w:sz="0" w:space="0" w:color="auto"/>
      </w:divBdr>
    </w:div>
    <w:div w:id="542400358">
      <w:bodyDiv w:val="1"/>
      <w:marLeft w:val="0"/>
      <w:marRight w:val="0"/>
      <w:marTop w:val="0"/>
      <w:marBottom w:val="0"/>
      <w:divBdr>
        <w:top w:val="none" w:sz="0" w:space="0" w:color="auto"/>
        <w:left w:val="none" w:sz="0" w:space="0" w:color="auto"/>
        <w:bottom w:val="none" w:sz="0" w:space="0" w:color="auto"/>
        <w:right w:val="none" w:sz="0" w:space="0" w:color="auto"/>
      </w:divBdr>
    </w:div>
    <w:div w:id="542518196">
      <w:bodyDiv w:val="1"/>
      <w:marLeft w:val="0"/>
      <w:marRight w:val="0"/>
      <w:marTop w:val="0"/>
      <w:marBottom w:val="0"/>
      <w:divBdr>
        <w:top w:val="none" w:sz="0" w:space="0" w:color="auto"/>
        <w:left w:val="none" w:sz="0" w:space="0" w:color="auto"/>
        <w:bottom w:val="none" w:sz="0" w:space="0" w:color="auto"/>
        <w:right w:val="none" w:sz="0" w:space="0" w:color="auto"/>
      </w:divBdr>
    </w:div>
    <w:div w:id="547648104">
      <w:bodyDiv w:val="1"/>
      <w:marLeft w:val="0"/>
      <w:marRight w:val="0"/>
      <w:marTop w:val="0"/>
      <w:marBottom w:val="0"/>
      <w:divBdr>
        <w:top w:val="none" w:sz="0" w:space="0" w:color="auto"/>
        <w:left w:val="none" w:sz="0" w:space="0" w:color="auto"/>
        <w:bottom w:val="none" w:sz="0" w:space="0" w:color="auto"/>
        <w:right w:val="none" w:sz="0" w:space="0" w:color="auto"/>
      </w:divBdr>
    </w:div>
    <w:div w:id="548305456">
      <w:bodyDiv w:val="1"/>
      <w:marLeft w:val="0"/>
      <w:marRight w:val="0"/>
      <w:marTop w:val="0"/>
      <w:marBottom w:val="0"/>
      <w:divBdr>
        <w:top w:val="none" w:sz="0" w:space="0" w:color="auto"/>
        <w:left w:val="none" w:sz="0" w:space="0" w:color="auto"/>
        <w:bottom w:val="none" w:sz="0" w:space="0" w:color="auto"/>
        <w:right w:val="none" w:sz="0" w:space="0" w:color="auto"/>
      </w:divBdr>
    </w:div>
    <w:div w:id="552742413">
      <w:bodyDiv w:val="1"/>
      <w:marLeft w:val="0"/>
      <w:marRight w:val="0"/>
      <w:marTop w:val="0"/>
      <w:marBottom w:val="0"/>
      <w:divBdr>
        <w:top w:val="none" w:sz="0" w:space="0" w:color="auto"/>
        <w:left w:val="none" w:sz="0" w:space="0" w:color="auto"/>
        <w:bottom w:val="none" w:sz="0" w:space="0" w:color="auto"/>
        <w:right w:val="none" w:sz="0" w:space="0" w:color="auto"/>
      </w:divBdr>
    </w:div>
    <w:div w:id="555118660">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1529443">
      <w:bodyDiv w:val="1"/>
      <w:marLeft w:val="0"/>
      <w:marRight w:val="0"/>
      <w:marTop w:val="0"/>
      <w:marBottom w:val="0"/>
      <w:divBdr>
        <w:top w:val="none" w:sz="0" w:space="0" w:color="auto"/>
        <w:left w:val="none" w:sz="0" w:space="0" w:color="auto"/>
        <w:bottom w:val="none" w:sz="0" w:space="0" w:color="auto"/>
        <w:right w:val="none" w:sz="0" w:space="0" w:color="auto"/>
      </w:divBdr>
    </w:div>
    <w:div w:id="564532825">
      <w:bodyDiv w:val="1"/>
      <w:marLeft w:val="0"/>
      <w:marRight w:val="0"/>
      <w:marTop w:val="0"/>
      <w:marBottom w:val="0"/>
      <w:divBdr>
        <w:top w:val="none" w:sz="0" w:space="0" w:color="auto"/>
        <w:left w:val="none" w:sz="0" w:space="0" w:color="auto"/>
        <w:bottom w:val="none" w:sz="0" w:space="0" w:color="auto"/>
        <w:right w:val="none" w:sz="0" w:space="0" w:color="auto"/>
      </w:divBdr>
    </w:div>
    <w:div w:id="567036980">
      <w:bodyDiv w:val="1"/>
      <w:marLeft w:val="0"/>
      <w:marRight w:val="0"/>
      <w:marTop w:val="0"/>
      <w:marBottom w:val="0"/>
      <w:divBdr>
        <w:top w:val="none" w:sz="0" w:space="0" w:color="auto"/>
        <w:left w:val="none" w:sz="0" w:space="0" w:color="auto"/>
        <w:bottom w:val="none" w:sz="0" w:space="0" w:color="auto"/>
        <w:right w:val="none" w:sz="0" w:space="0" w:color="auto"/>
      </w:divBdr>
      <w:divsChild>
        <w:div w:id="12457299">
          <w:marLeft w:val="0"/>
          <w:marRight w:val="0"/>
          <w:marTop w:val="0"/>
          <w:marBottom w:val="0"/>
          <w:divBdr>
            <w:top w:val="none" w:sz="0" w:space="0" w:color="auto"/>
            <w:left w:val="none" w:sz="0" w:space="0" w:color="auto"/>
            <w:bottom w:val="none" w:sz="0" w:space="0" w:color="auto"/>
            <w:right w:val="none" w:sz="0" w:space="0" w:color="auto"/>
          </w:divBdr>
        </w:div>
      </w:divsChild>
    </w:div>
    <w:div w:id="567421394">
      <w:bodyDiv w:val="1"/>
      <w:marLeft w:val="0"/>
      <w:marRight w:val="0"/>
      <w:marTop w:val="0"/>
      <w:marBottom w:val="0"/>
      <w:divBdr>
        <w:top w:val="none" w:sz="0" w:space="0" w:color="auto"/>
        <w:left w:val="none" w:sz="0" w:space="0" w:color="auto"/>
        <w:bottom w:val="none" w:sz="0" w:space="0" w:color="auto"/>
        <w:right w:val="none" w:sz="0" w:space="0" w:color="auto"/>
      </w:divBdr>
    </w:div>
    <w:div w:id="607470013">
      <w:bodyDiv w:val="1"/>
      <w:marLeft w:val="0"/>
      <w:marRight w:val="0"/>
      <w:marTop w:val="0"/>
      <w:marBottom w:val="0"/>
      <w:divBdr>
        <w:top w:val="none" w:sz="0" w:space="0" w:color="auto"/>
        <w:left w:val="none" w:sz="0" w:space="0" w:color="auto"/>
        <w:bottom w:val="none" w:sz="0" w:space="0" w:color="auto"/>
        <w:right w:val="none" w:sz="0" w:space="0" w:color="auto"/>
      </w:divBdr>
      <w:divsChild>
        <w:div w:id="970551154">
          <w:marLeft w:val="0"/>
          <w:marRight w:val="0"/>
          <w:marTop w:val="0"/>
          <w:marBottom w:val="0"/>
          <w:divBdr>
            <w:top w:val="none" w:sz="0" w:space="0" w:color="auto"/>
            <w:left w:val="none" w:sz="0" w:space="0" w:color="auto"/>
            <w:bottom w:val="none" w:sz="0" w:space="0" w:color="auto"/>
            <w:right w:val="none" w:sz="0" w:space="0" w:color="auto"/>
          </w:divBdr>
          <w:divsChild>
            <w:div w:id="364719155">
              <w:marLeft w:val="0"/>
              <w:marRight w:val="0"/>
              <w:marTop w:val="0"/>
              <w:marBottom w:val="0"/>
              <w:divBdr>
                <w:top w:val="none" w:sz="0" w:space="0" w:color="auto"/>
                <w:left w:val="none" w:sz="0" w:space="0" w:color="auto"/>
                <w:bottom w:val="none" w:sz="0" w:space="0" w:color="auto"/>
                <w:right w:val="none" w:sz="0" w:space="0" w:color="auto"/>
              </w:divBdr>
            </w:div>
            <w:div w:id="10429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01841">
      <w:bodyDiv w:val="1"/>
      <w:marLeft w:val="0"/>
      <w:marRight w:val="0"/>
      <w:marTop w:val="0"/>
      <w:marBottom w:val="0"/>
      <w:divBdr>
        <w:top w:val="none" w:sz="0" w:space="0" w:color="auto"/>
        <w:left w:val="none" w:sz="0" w:space="0" w:color="auto"/>
        <w:bottom w:val="none" w:sz="0" w:space="0" w:color="auto"/>
        <w:right w:val="none" w:sz="0" w:space="0" w:color="auto"/>
      </w:divBdr>
    </w:div>
    <w:div w:id="619186535">
      <w:bodyDiv w:val="1"/>
      <w:marLeft w:val="0"/>
      <w:marRight w:val="0"/>
      <w:marTop w:val="0"/>
      <w:marBottom w:val="0"/>
      <w:divBdr>
        <w:top w:val="none" w:sz="0" w:space="0" w:color="auto"/>
        <w:left w:val="none" w:sz="0" w:space="0" w:color="auto"/>
        <w:bottom w:val="none" w:sz="0" w:space="0" w:color="auto"/>
        <w:right w:val="none" w:sz="0" w:space="0" w:color="auto"/>
      </w:divBdr>
      <w:divsChild>
        <w:div w:id="1077560629">
          <w:marLeft w:val="0"/>
          <w:marRight w:val="0"/>
          <w:marTop w:val="0"/>
          <w:marBottom w:val="0"/>
          <w:divBdr>
            <w:top w:val="none" w:sz="0" w:space="0" w:color="auto"/>
            <w:left w:val="none" w:sz="0" w:space="0" w:color="auto"/>
            <w:bottom w:val="none" w:sz="0" w:space="0" w:color="auto"/>
            <w:right w:val="none" w:sz="0" w:space="0" w:color="auto"/>
          </w:divBdr>
        </w:div>
      </w:divsChild>
    </w:div>
    <w:div w:id="620499508">
      <w:bodyDiv w:val="1"/>
      <w:marLeft w:val="0"/>
      <w:marRight w:val="0"/>
      <w:marTop w:val="0"/>
      <w:marBottom w:val="0"/>
      <w:divBdr>
        <w:top w:val="none" w:sz="0" w:space="0" w:color="auto"/>
        <w:left w:val="none" w:sz="0" w:space="0" w:color="auto"/>
        <w:bottom w:val="none" w:sz="0" w:space="0" w:color="auto"/>
        <w:right w:val="none" w:sz="0" w:space="0" w:color="auto"/>
      </w:divBdr>
    </w:div>
    <w:div w:id="629477923">
      <w:bodyDiv w:val="1"/>
      <w:marLeft w:val="0"/>
      <w:marRight w:val="0"/>
      <w:marTop w:val="0"/>
      <w:marBottom w:val="0"/>
      <w:divBdr>
        <w:top w:val="none" w:sz="0" w:space="0" w:color="auto"/>
        <w:left w:val="none" w:sz="0" w:space="0" w:color="auto"/>
        <w:bottom w:val="none" w:sz="0" w:space="0" w:color="auto"/>
        <w:right w:val="none" w:sz="0" w:space="0" w:color="auto"/>
      </w:divBdr>
    </w:div>
    <w:div w:id="635255378">
      <w:bodyDiv w:val="1"/>
      <w:marLeft w:val="0"/>
      <w:marRight w:val="0"/>
      <w:marTop w:val="0"/>
      <w:marBottom w:val="0"/>
      <w:divBdr>
        <w:top w:val="none" w:sz="0" w:space="0" w:color="auto"/>
        <w:left w:val="none" w:sz="0" w:space="0" w:color="auto"/>
        <w:bottom w:val="none" w:sz="0" w:space="0" w:color="auto"/>
        <w:right w:val="none" w:sz="0" w:space="0" w:color="auto"/>
      </w:divBdr>
      <w:divsChild>
        <w:div w:id="1308784386">
          <w:marLeft w:val="0"/>
          <w:marRight w:val="0"/>
          <w:marTop w:val="0"/>
          <w:marBottom w:val="0"/>
          <w:divBdr>
            <w:top w:val="none" w:sz="0" w:space="0" w:color="auto"/>
            <w:left w:val="none" w:sz="0" w:space="0" w:color="auto"/>
            <w:bottom w:val="none" w:sz="0" w:space="0" w:color="auto"/>
            <w:right w:val="none" w:sz="0" w:space="0" w:color="auto"/>
          </w:divBdr>
          <w:divsChild>
            <w:div w:id="575628660">
              <w:marLeft w:val="0"/>
              <w:marRight w:val="0"/>
              <w:marTop w:val="0"/>
              <w:marBottom w:val="0"/>
              <w:divBdr>
                <w:top w:val="none" w:sz="0" w:space="0" w:color="auto"/>
                <w:left w:val="none" w:sz="0" w:space="0" w:color="auto"/>
                <w:bottom w:val="none" w:sz="0" w:space="0" w:color="auto"/>
                <w:right w:val="none" w:sz="0" w:space="0" w:color="auto"/>
              </w:divBdr>
            </w:div>
            <w:div w:id="83002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79341">
      <w:bodyDiv w:val="1"/>
      <w:marLeft w:val="0"/>
      <w:marRight w:val="0"/>
      <w:marTop w:val="0"/>
      <w:marBottom w:val="0"/>
      <w:divBdr>
        <w:top w:val="none" w:sz="0" w:space="0" w:color="auto"/>
        <w:left w:val="none" w:sz="0" w:space="0" w:color="auto"/>
        <w:bottom w:val="none" w:sz="0" w:space="0" w:color="auto"/>
        <w:right w:val="none" w:sz="0" w:space="0" w:color="auto"/>
      </w:divBdr>
    </w:div>
    <w:div w:id="650134491">
      <w:bodyDiv w:val="1"/>
      <w:marLeft w:val="0"/>
      <w:marRight w:val="0"/>
      <w:marTop w:val="0"/>
      <w:marBottom w:val="0"/>
      <w:divBdr>
        <w:top w:val="none" w:sz="0" w:space="0" w:color="auto"/>
        <w:left w:val="none" w:sz="0" w:space="0" w:color="auto"/>
        <w:bottom w:val="none" w:sz="0" w:space="0" w:color="auto"/>
        <w:right w:val="none" w:sz="0" w:space="0" w:color="auto"/>
      </w:divBdr>
    </w:div>
    <w:div w:id="650255770">
      <w:bodyDiv w:val="1"/>
      <w:marLeft w:val="0"/>
      <w:marRight w:val="0"/>
      <w:marTop w:val="0"/>
      <w:marBottom w:val="0"/>
      <w:divBdr>
        <w:top w:val="none" w:sz="0" w:space="0" w:color="auto"/>
        <w:left w:val="none" w:sz="0" w:space="0" w:color="auto"/>
        <w:bottom w:val="none" w:sz="0" w:space="0" w:color="auto"/>
        <w:right w:val="none" w:sz="0" w:space="0" w:color="auto"/>
      </w:divBdr>
    </w:div>
    <w:div w:id="656568582">
      <w:bodyDiv w:val="1"/>
      <w:marLeft w:val="0"/>
      <w:marRight w:val="0"/>
      <w:marTop w:val="0"/>
      <w:marBottom w:val="0"/>
      <w:divBdr>
        <w:top w:val="none" w:sz="0" w:space="0" w:color="auto"/>
        <w:left w:val="none" w:sz="0" w:space="0" w:color="auto"/>
        <w:bottom w:val="none" w:sz="0" w:space="0" w:color="auto"/>
        <w:right w:val="none" w:sz="0" w:space="0" w:color="auto"/>
      </w:divBdr>
    </w:div>
    <w:div w:id="669069021">
      <w:bodyDiv w:val="1"/>
      <w:marLeft w:val="0"/>
      <w:marRight w:val="0"/>
      <w:marTop w:val="0"/>
      <w:marBottom w:val="0"/>
      <w:divBdr>
        <w:top w:val="none" w:sz="0" w:space="0" w:color="auto"/>
        <w:left w:val="none" w:sz="0" w:space="0" w:color="auto"/>
        <w:bottom w:val="none" w:sz="0" w:space="0" w:color="auto"/>
        <w:right w:val="none" w:sz="0" w:space="0" w:color="auto"/>
      </w:divBdr>
    </w:div>
    <w:div w:id="673991178">
      <w:bodyDiv w:val="1"/>
      <w:marLeft w:val="0"/>
      <w:marRight w:val="0"/>
      <w:marTop w:val="0"/>
      <w:marBottom w:val="0"/>
      <w:divBdr>
        <w:top w:val="none" w:sz="0" w:space="0" w:color="auto"/>
        <w:left w:val="none" w:sz="0" w:space="0" w:color="auto"/>
        <w:bottom w:val="none" w:sz="0" w:space="0" w:color="auto"/>
        <w:right w:val="none" w:sz="0" w:space="0" w:color="auto"/>
      </w:divBdr>
    </w:div>
    <w:div w:id="681980722">
      <w:bodyDiv w:val="1"/>
      <w:marLeft w:val="0"/>
      <w:marRight w:val="0"/>
      <w:marTop w:val="0"/>
      <w:marBottom w:val="0"/>
      <w:divBdr>
        <w:top w:val="none" w:sz="0" w:space="0" w:color="auto"/>
        <w:left w:val="none" w:sz="0" w:space="0" w:color="auto"/>
        <w:bottom w:val="none" w:sz="0" w:space="0" w:color="auto"/>
        <w:right w:val="none" w:sz="0" w:space="0" w:color="auto"/>
      </w:divBdr>
    </w:div>
    <w:div w:id="687676125">
      <w:bodyDiv w:val="1"/>
      <w:marLeft w:val="0"/>
      <w:marRight w:val="0"/>
      <w:marTop w:val="0"/>
      <w:marBottom w:val="0"/>
      <w:divBdr>
        <w:top w:val="none" w:sz="0" w:space="0" w:color="auto"/>
        <w:left w:val="none" w:sz="0" w:space="0" w:color="auto"/>
        <w:bottom w:val="none" w:sz="0" w:space="0" w:color="auto"/>
        <w:right w:val="none" w:sz="0" w:space="0" w:color="auto"/>
      </w:divBdr>
    </w:div>
    <w:div w:id="689798721">
      <w:bodyDiv w:val="1"/>
      <w:marLeft w:val="0"/>
      <w:marRight w:val="0"/>
      <w:marTop w:val="0"/>
      <w:marBottom w:val="0"/>
      <w:divBdr>
        <w:top w:val="none" w:sz="0" w:space="0" w:color="auto"/>
        <w:left w:val="none" w:sz="0" w:space="0" w:color="auto"/>
        <w:bottom w:val="none" w:sz="0" w:space="0" w:color="auto"/>
        <w:right w:val="none" w:sz="0" w:space="0" w:color="auto"/>
      </w:divBdr>
    </w:div>
    <w:div w:id="697007508">
      <w:bodyDiv w:val="1"/>
      <w:marLeft w:val="0"/>
      <w:marRight w:val="0"/>
      <w:marTop w:val="0"/>
      <w:marBottom w:val="0"/>
      <w:divBdr>
        <w:top w:val="none" w:sz="0" w:space="0" w:color="auto"/>
        <w:left w:val="none" w:sz="0" w:space="0" w:color="auto"/>
        <w:bottom w:val="none" w:sz="0" w:space="0" w:color="auto"/>
        <w:right w:val="none" w:sz="0" w:space="0" w:color="auto"/>
      </w:divBdr>
      <w:divsChild>
        <w:div w:id="125467070">
          <w:marLeft w:val="0"/>
          <w:marRight w:val="0"/>
          <w:marTop w:val="0"/>
          <w:marBottom w:val="0"/>
          <w:divBdr>
            <w:top w:val="none" w:sz="0" w:space="0" w:color="auto"/>
            <w:left w:val="none" w:sz="0" w:space="0" w:color="auto"/>
            <w:bottom w:val="none" w:sz="0" w:space="0" w:color="auto"/>
            <w:right w:val="none" w:sz="0" w:space="0" w:color="auto"/>
          </w:divBdr>
        </w:div>
        <w:div w:id="138965667">
          <w:marLeft w:val="0"/>
          <w:marRight w:val="0"/>
          <w:marTop w:val="0"/>
          <w:marBottom w:val="0"/>
          <w:divBdr>
            <w:top w:val="none" w:sz="0" w:space="0" w:color="auto"/>
            <w:left w:val="none" w:sz="0" w:space="0" w:color="auto"/>
            <w:bottom w:val="none" w:sz="0" w:space="0" w:color="auto"/>
            <w:right w:val="none" w:sz="0" w:space="0" w:color="auto"/>
          </w:divBdr>
        </w:div>
        <w:div w:id="278996095">
          <w:marLeft w:val="0"/>
          <w:marRight w:val="0"/>
          <w:marTop w:val="0"/>
          <w:marBottom w:val="0"/>
          <w:divBdr>
            <w:top w:val="none" w:sz="0" w:space="0" w:color="auto"/>
            <w:left w:val="none" w:sz="0" w:space="0" w:color="auto"/>
            <w:bottom w:val="none" w:sz="0" w:space="0" w:color="auto"/>
            <w:right w:val="none" w:sz="0" w:space="0" w:color="auto"/>
          </w:divBdr>
        </w:div>
        <w:div w:id="790786113">
          <w:marLeft w:val="0"/>
          <w:marRight w:val="0"/>
          <w:marTop w:val="0"/>
          <w:marBottom w:val="0"/>
          <w:divBdr>
            <w:top w:val="none" w:sz="0" w:space="0" w:color="auto"/>
            <w:left w:val="none" w:sz="0" w:space="0" w:color="auto"/>
            <w:bottom w:val="none" w:sz="0" w:space="0" w:color="auto"/>
            <w:right w:val="none" w:sz="0" w:space="0" w:color="auto"/>
          </w:divBdr>
        </w:div>
        <w:div w:id="1826361082">
          <w:marLeft w:val="0"/>
          <w:marRight w:val="0"/>
          <w:marTop w:val="0"/>
          <w:marBottom w:val="0"/>
          <w:divBdr>
            <w:top w:val="none" w:sz="0" w:space="0" w:color="auto"/>
            <w:left w:val="none" w:sz="0" w:space="0" w:color="auto"/>
            <w:bottom w:val="none" w:sz="0" w:space="0" w:color="auto"/>
            <w:right w:val="none" w:sz="0" w:space="0" w:color="auto"/>
          </w:divBdr>
        </w:div>
      </w:divsChild>
    </w:div>
    <w:div w:id="700085411">
      <w:bodyDiv w:val="1"/>
      <w:marLeft w:val="0"/>
      <w:marRight w:val="0"/>
      <w:marTop w:val="0"/>
      <w:marBottom w:val="0"/>
      <w:divBdr>
        <w:top w:val="none" w:sz="0" w:space="0" w:color="auto"/>
        <w:left w:val="none" w:sz="0" w:space="0" w:color="auto"/>
        <w:bottom w:val="none" w:sz="0" w:space="0" w:color="auto"/>
        <w:right w:val="none" w:sz="0" w:space="0" w:color="auto"/>
      </w:divBdr>
    </w:div>
    <w:div w:id="722753592">
      <w:bodyDiv w:val="1"/>
      <w:marLeft w:val="0"/>
      <w:marRight w:val="0"/>
      <w:marTop w:val="0"/>
      <w:marBottom w:val="0"/>
      <w:divBdr>
        <w:top w:val="none" w:sz="0" w:space="0" w:color="auto"/>
        <w:left w:val="none" w:sz="0" w:space="0" w:color="auto"/>
        <w:bottom w:val="none" w:sz="0" w:space="0" w:color="auto"/>
        <w:right w:val="none" w:sz="0" w:space="0" w:color="auto"/>
      </w:divBdr>
      <w:divsChild>
        <w:div w:id="1850870102">
          <w:marLeft w:val="0"/>
          <w:marRight w:val="0"/>
          <w:marTop w:val="0"/>
          <w:marBottom w:val="0"/>
          <w:divBdr>
            <w:top w:val="none" w:sz="0" w:space="0" w:color="auto"/>
            <w:left w:val="none" w:sz="0" w:space="0" w:color="auto"/>
            <w:bottom w:val="none" w:sz="0" w:space="0" w:color="auto"/>
            <w:right w:val="none" w:sz="0" w:space="0" w:color="auto"/>
          </w:divBdr>
          <w:divsChild>
            <w:div w:id="422191465">
              <w:marLeft w:val="0"/>
              <w:marRight w:val="0"/>
              <w:marTop w:val="0"/>
              <w:marBottom w:val="0"/>
              <w:divBdr>
                <w:top w:val="none" w:sz="0" w:space="0" w:color="auto"/>
                <w:left w:val="none" w:sz="0" w:space="0" w:color="auto"/>
                <w:bottom w:val="none" w:sz="0" w:space="0" w:color="auto"/>
                <w:right w:val="none" w:sz="0" w:space="0" w:color="auto"/>
              </w:divBdr>
            </w:div>
            <w:div w:id="140680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65694">
      <w:bodyDiv w:val="1"/>
      <w:marLeft w:val="0"/>
      <w:marRight w:val="0"/>
      <w:marTop w:val="0"/>
      <w:marBottom w:val="0"/>
      <w:divBdr>
        <w:top w:val="none" w:sz="0" w:space="0" w:color="auto"/>
        <w:left w:val="none" w:sz="0" w:space="0" w:color="auto"/>
        <w:bottom w:val="none" w:sz="0" w:space="0" w:color="auto"/>
        <w:right w:val="none" w:sz="0" w:space="0" w:color="auto"/>
      </w:divBdr>
    </w:div>
    <w:div w:id="724063855">
      <w:bodyDiv w:val="1"/>
      <w:marLeft w:val="0"/>
      <w:marRight w:val="0"/>
      <w:marTop w:val="0"/>
      <w:marBottom w:val="0"/>
      <w:divBdr>
        <w:top w:val="none" w:sz="0" w:space="0" w:color="auto"/>
        <w:left w:val="none" w:sz="0" w:space="0" w:color="auto"/>
        <w:bottom w:val="none" w:sz="0" w:space="0" w:color="auto"/>
        <w:right w:val="none" w:sz="0" w:space="0" w:color="auto"/>
      </w:divBdr>
    </w:div>
    <w:div w:id="731588214">
      <w:bodyDiv w:val="1"/>
      <w:marLeft w:val="0"/>
      <w:marRight w:val="0"/>
      <w:marTop w:val="0"/>
      <w:marBottom w:val="0"/>
      <w:divBdr>
        <w:top w:val="none" w:sz="0" w:space="0" w:color="auto"/>
        <w:left w:val="none" w:sz="0" w:space="0" w:color="auto"/>
        <w:bottom w:val="none" w:sz="0" w:space="0" w:color="auto"/>
        <w:right w:val="none" w:sz="0" w:space="0" w:color="auto"/>
      </w:divBdr>
    </w:div>
    <w:div w:id="732897038">
      <w:bodyDiv w:val="1"/>
      <w:marLeft w:val="0"/>
      <w:marRight w:val="0"/>
      <w:marTop w:val="0"/>
      <w:marBottom w:val="0"/>
      <w:divBdr>
        <w:top w:val="none" w:sz="0" w:space="0" w:color="auto"/>
        <w:left w:val="none" w:sz="0" w:space="0" w:color="auto"/>
        <w:bottom w:val="none" w:sz="0" w:space="0" w:color="auto"/>
        <w:right w:val="none" w:sz="0" w:space="0" w:color="auto"/>
      </w:divBdr>
    </w:div>
    <w:div w:id="739135932">
      <w:bodyDiv w:val="1"/>
      <w:marLeft w:val="0"/>
      <w:marRight w:val="0"/>
      <w:marTop w:val="0"/>
      <w:marBottom w:val="0"/>
      <w:divBdr>
        <w:top w:val="none" w:sz="0" w:space="0" w:color="auto"/>
        <w:left w:val="none" w:sz="0" w:space="0" w:color="auto"/>
        <w:bottom w:val="none" w:sz="0" w:space="0" w:color="auto"/>
        <w:right w:val="none" w:sz="0" w:space="0" w:color="auto"/>
      </w:divBdr>
    </w:div>
    <w:div w:id="743722158">
      <w:bodyDiv w:val="1"/>
      <w:marLeft w:val="0"/>
      <w:marRight w:val="0"/>
      <w:marTop w:val="0"/>
      <w:marBottom w:val="0"/>
      <w:divBdr>
        <w:top w:val="none" w:sz="0" w:space="0" w:color="auto"/>
        <w:left w:val="none" w:sz="0" w:space="0" w:color="auto"/>
        <w:bottom w:val="none" w:sz="0" w:space="0" w:color="auto"/>
        <w:right w:val="none" w:sz="0" w:space="0" w:color="auto"/>
      </w:divBdr>
    </w:div>
    <w:div w:id="744840249">
      <w:bodyDiv w:val="1"/>
      <w:marLeft w:val="0"/>
      <w:marRight w:val="0"/>
      <w:marTop w:val="0"/>
      <w:marBottom w:val="0"/>
      <w:divBdr>
        <w:top w:val="none" w:sz="0" w:space="0" w:color="auto"/>
        <w:left w:val="none" w:sz="0" w:space="0" w:color="auto"/>
        <w:bottom w:val="none" w:sz="0" w:space="0" w:color="auto"/>
        <w:right w:val="none" w:sz="0" w:space="0" w:color="auto"/>
      </w:divBdr>
    </w:div>
    <w:div w:id="763381404">
      <w:bodyDiv w:val="1"/>
      <w:marLeft w:val="0"/>
      <w:marRight w:val="0"/>
      <w:marTop w:val="0"/>
      <w:marBottom w:val="0"/>
      <w:divBdr>
        <w:top w:val="none" w:sz="0" w:space="0" w:color="auto"/>
        <w:left w:val="none" w:sz="0" w:space="0" w:color="auto"/>
        <w:bottom w:val="none" w:sz="0" w:space="0" w:color="auto"/>
        <w:right w:val="none" w:sz="0" w:space="0" w:color="auto"/>
      </w:divBdr>
      <w:divsChild>
        <w:div w:id="1905985801">
          <w:marLeft w:val="0"/>
          <w:marRight w:val="0"/>
          <w:marTop w:val="0"/>
          <w:marBottom w:val="0"/>
          <w:divBdr>
            <w:top w:val="none" w:sz="0" w:space="0" w:color="auto"/>
            <w:left w:val="none" w:sz="0" w:space="0" w:color="auto"/>
            <w:bottom w:val="none" w:sz="0" w:space="0" w:color="auto"/>
            <w:right w:val="none" w:sz="0" w:space="0" w:color="auto"/>
          </w:divBdr>
        </w:div>
      </w:divsChild>
    </w:div>
    <w:div w:id="777142473">
      <w:bodyDiv w:val="1"/>
      <w:marLeft w:val="0"/>
      <w:marRight w:val="0"/>
      <w:marTop w:val="0"/>
      <w:marBottom w:val="0"/>
      <w:divBdr>
        <w:top w:val="none" w:sz="0" w:space="0" w:color="auto"/>
        <w:left w:val="none" w:sz="0" w:space="0" w:color="auto"/>
        <w:bottom w:val="none" w:sz="0" w:space="0" w:color="auto"/>
        <w:right w:val="none" w:sz="0" w:space="0" w:color="auto"/>
      </w:divBdr>
    </w:div>
    <w:div w:id="785539797">
      <w:bodyDiv w:val="1"/>
      <w:marLeft w:val="0"/>
      <w:marRight w:val="0"/>
      <w:marTop w:val="0"/>
      <w:marBottom w:val="0"/>
      <w:divBdr>
        <w:top w:val="none" w:sz="0" w:space="0" w:color="auto"/>
        <w:left w:val="none" w:sz="0" w:space="0" w:color="auto"/>
        <w:bottom w:val="none" w:sz="0" w:space="0" w:color="auto"/>
        <w:right w:val="none" w:sz="0" w:space="0" w:color="auto"/>
      </w:divBdr>
    </w:div>
    <w:div w:id="788822705">
      <w:bodyDiv w:val="1"/>
      <w:marLeft w:val="0"/>
      <w:marRight w:val="0"/>
      <w:marTop w:val="0"/>
      <w:marBottom w:val="0"/>
      <w:divBdr>
        <w:top w:val="none" w:sz="0" w:space="0" w:color="auto"/>
        <w:left w:val="none" w:sz="0" w:space="0" w:color="auto"/>
        <w:bottom w:val="none" w:sz="0" w:space="0" w:color="auto"/>
        <w:right w:val="none" w:sz="0" w:space="0" w:color="auto"/>
      </w:divBdr>
      <w:divsChild>
        <w:div w:id="1928659859">
          <w:marLeft w:val="0"/>
          <w:marRight w:val="0"/>
          <w:marTop w:val="0"/>
          <w:marBottom w:val="0"/>
          <w:divBdr>
            <w:top w:val="none" w:sz="0" w:space="0" w:color="auto"/>
            <w:left w:val="none" w:sz="0" w:space="0" w:color="auto"/>
            <w:bottom w:val="none" w:sz="0" w:space="0" w:color="auto"/>
            <w:right w:val="none" w:sz="0" w:space="0" w:color="auto"/>
          </w:divBdr>
          <w:divsChild>
            <w:div w:id="331223801">
              <w:marLeft w:val="0"/>
              <w:marRight w:val="0"/>
              <w:marTop w:val="0"/>
              <w:marBottom w:val="0"/>
              <w:divBdr>
                <w:top w:val="none" w:sz="0" w:space="0" w:color="auto"/>
                <w:left w:val="none" w:sz="0" w:space="0" w:color="auto"/>
                <w:bottom w:val="none" w:sz="0" w:space="0" w:color="auto"/>
                <w:right w:val="none" w:sz="0" w:space="0" w:color="auto"/>
              </w:divBdr>
            </w:div>
            <w:div w:id="14577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39487">
      <w:bodyDiv w:val="1"/>
      <w:marLeft w:val="0"/>
      <w:marRight w:val="0"/>
      <w:marTop w:val="0"/>
      <w:marBottom w:val="0"/>
      <w:divBdr>
        <w:top w:val="none" w:sz="0" w:space="0" w:color="auto"/>
        <w:left w:val="none" w:sz="0" w:space="0" w:color="auto"/>
        <w:bottom w:val="none" w:sz="0" w:space="0" w:color="auto"/>
        <w:right w:val="none" w:sz="0" w:space="0" w:color="auto"/>
      </w:divBdr>
    </w:div>
    <w:div w:id="790199900">
      <w:bodyDiv w:val="1"/>
      <w:marLeft w:val="0"/>
      <w:marRight w:val="0"/>
      <w:marTop w:val="0"/>
      <w:marBottom w:val="0"/>
      <w:divBdr>
        <w:top w:val="none" w:sz="0" w:space="0" w:color="auto"/>
        <w:left w:val="none" w:sz="0" w:space="0" w:color="auto"/>
        <w:bottom w:val="none" w:sz="0" w:space="0" w:color="auto"/>
        <w:right w:val="none" w:sz="0" w:space="0" w:color="auto"/>
      </w:divBdr>
      <w:divsChild>
        <w:div w:id="1912883176">
          <w:marLeft w:val="0"/>
          <w:marRight w:val="0"/>
          <w:marTop w:val="0"/>
          <w:marBottom w:val="0"/>
          <w:divBdr>
            <w:top w:val="none" w:sz="0" w:space="0" w:color="auto"/>
            <w:left w:val="none" w:sz="0" w:space="0" w:color="auto"/>
            <w:bottom w:val="none" w:sz="0" w:space="0" w:color="auto"/>
            <w:right w:val="none" w:sz="0" w:space="0" w:color="auto"/>
          </w:divBdr>
        </w:div>
      </w:divsChild>
    </w:div>
    <w:div w:id="797265363">
      <w:bodyDiv w:val="1"/>
      <w:marLeft w:val="0"/>
      <w:marRight w:val="0"/>
      <w:marTop w:val="0"/>
      <w:marBottom w:val="0"/>
      <w:divBdr>
        <w:top w:val="none" w:sz="0" w:space="0" w:color="auto"/>
        <w:left w:val="none" w:sz="0" w:space="0" w:color="auto"/>
        <w:bottom w:val="none" w:sz="0" w:space="0" w:color="auto"/>
        <w:right w:val="none" w:sz="0" w:space="0" w:color="auto"/>
      </w:divBdr>
    </w:div>
    <w:div w:id="801927401">
      <w:bodyDiv w:val="1"/>
      <w:marLeft w:val="0"/>
      <w:marRight w:val="0"/>
      <w:marTop w:val="0"/>
      <w:marBottom w:val="0"/>
      <w:divBdr>
        <w:top w:val="none" w:sz="0" w:space="0" w:color="auto"/>
        <w:left w:val="none" w:sz="0" w:space="0" w:color="auto"/>
        <w:bottom w:val="none" w:sz="0" w:space="0" w:color="auto"/>
        <w:right w:val="none" w:sz="0" w:space="0" w:color="auto"/>
      </w:divBdr>
    </w:div>
    <w:div w:id="806584150">
      <w:bodyDiv w:val="1"/>
      <w:marLeft w:val="0"/>
      <w:marRight w:val="0"/>
      <w:marTop w:val="0"/>
      <w:marBottom w:val="0"/>
      <w:divBdr>
        <w:top w:val="none" w:sz="0" w:space="0" w:color="auto"/>
        <w:left w:val="none" w:sz="0" w:space="0" w:color="auto"/>
        <w:bottom w:val="none" w:sz="0" w:space="0" w:color="auto"/>
        <w:right w:val="none" w:sz="0" w:space="0" w:color="auto"/>
      </w:divBdr>
    </w:div>
    <w:div w:id="813254958">
      <w:bodyDiv w:val="1"/>
      <w:marLeft w:val="0"/>
      <w:marRight w:val="0"/>
      <w:marTop w:val="0"/>
      <w:marBottom w:val="0"/>
      <w:divBdr>
        <w:top w:val="none" w:sz="0" w:space="0" w:color="auto"/>
        <w:left w:val="none" w:sz="0" w:space="0" w:color="auto"/>
        <w:bottom w:val="none" w:sz="0" w:space="0" w:color="auto"/>
        <w:right w:val="none" w:sz="0" w:space="0" w:color="auto"/>
      </w:divBdr>
      <w:divsChild>
        <w:div w:id="1437293239">
          <w:marLeft w:val="0"/>
          <w:marRight w:val="0"/>
          <w:marTop w:val="0"/>
          <w:marBottom w:val="0"/>
          <w:divBdr>
            <w:top w:val="none" w:sz="0" w:space="0" w:color="auto"/>
            <w:left w:val="none" w:sz="0" w:space="0" w:color="auto"/>
            <w:bottom w:val="none" w:sz="0" w:space="0" w:color="auto"/>
            <w:right w:val="none" w:sz="0" w:space="0" w:color="auto"/>
          </w:divBdr>
          <w:divsChild>
            <w:div w:id="1760832618">
              <w:marLeft w:val="0"/>
              <w:marRight w:val="0"/>
              <w:marTop w:val="0"/>
              <w:marBottom w:val="0"/>
              <w:divBdr>
                <w:top w:val="none" w:sz="0" w:space="0" w:color="auto"/>
                <w:left w:val="none" w:sz="0" w:space="0" w:color="auto"/>
                <w:bottom w:val="none" w:sz="0" w:space="0" w:color="auto"/>
                <w:right w:val="none" w:sz="0" w:space="0" w:color="auto"/>
              </w:divBdr>
            </w:div>
            <w:div w:id="644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80347">
      <w:bodyDiv w:val="1"/>
      <w:marLeft w:val="0"/>
      <w:marRight w:val="0"/>
      <w:marTop w:val="0"/>
      <w:marBottom w:val="0"/>
      <w:divBdr>
        <w:top w:val="none" w:sz="0" w:space="0" w:color="auto"/>
        <w:left w:val="none" w:sz="0" w:space="0" w:color="auto"/>
        <w:bottom w:val="none" w:sz="0" w:space="0" w:color="auto"/>
        <w:right w:val="none" w:sz="0" w:space="0" w:color="auto"/>
      </w:divBdr>
      <w:divsChild>
        <w:div w:id="782922134">
          <w:marLeft w:val="0"/>
          <w:marRight w:val="0"/>
          <w:marTop w:val="0"/>
          <w:marBottom w:val="0"/>
          <w:divBdr>
            <w:top w:val="none" w:sz="0" w:space="0" w:color="auto"/>
            <w:left w:val="none" w:sz="0" w:space="0" w:color="auto"/>
            <w:bottom w:val="none" w:sz="0" w:space="0" w:color="auto"/>
            <w:right w:val="none" w:sz="0" w:space="0" w:color="auto"/>
          </w:divBdr>
        </w:div>
      </w:divsChild>
    </w:div>
    <w:div w:id="833495612">
      <w:bodyDiv w:val="1"/>
      <w:marLeft w:val="0"/>
      <w:marRight w:val="0"/>
      <w:marTop w:val="0"/>
      <w:marBottom w:val="0"/>
      <w:divBdr>
        <w:top w:val="none" w:sz="0" w:space="0" w:color="auto"/>
        <w:left w:val="none" w:sz="0" w:space="0" w:color="auto"/>
        <w:bottom w:val="none" w:sz="0" w:space="0" w:color="auto"/>
        <w:right w:val="none" w:sz="0" w:space="0" w:color="auto"/>
      </w:divBdr>
    </w:div>
    <w:div w:id="835338866">
      <w:bodyDiv w:val="1"/>
      <w:marLeft w:val="0"/>
      <w:marRight w:val="0"/>
      <w:marTop w:val="0"/>
      <w:marBottom w:val="0"/>
      <w:divBdr>
        <w:top w:val="none" w:sz="0" w:space="0" w:color="auto"/>
        <w:left w:val="none" w:sz="0" w:space="0" w:color="auto"/>
        <w:bottom w:val="none" w:sz="0" w:space="0" w:color="auto"/>
        <w:right w:val="none" w:sz="0" w:space="0" w:color="auto"/>
      </w:divBdr>
      <w:divsChild>
        <w:div w:id="104009697">
          <w:marLeft w:val="0"/>
          <w:marRight w:val="0"/>
          <w:marTop w:val="0"/>
          <w:marBottom w:val="0"/>
          <w:divBdr>
            <w:top w:val="none" w:sz="0" w:space="0" w:color="auto"/>
            <w:left w:val="none" w:sz="0" w:space="0" w:color="auto"/>
            <w:bottom w:val="none" w:sz="0" w:space="0" w:color="auto"/>
            <w:right w:val="none" w:sz="0" w:space="0" w:color="auto"/>
          </w:divBdr>
          <w:divsChild>
            <w:div w:id="1472481117">
              <w:marLeft w:val="0"/>
              <w:marRight w:val="0"/>
              <w:marTop w:val="0"/>
              <w:marBottom w:val="0"/>
              <w:divBdr>
                <w:top w:val="none" w:sz="0" w:space="0" w:color="auto"/>
                <w:left w:val="none" w:sz="0" w:space="0" w:color="auto"/>
                <w:bottom w:val="none" w:sz="0" w:space="0" w:color="auto"/>
                <w:right w:val="none" w:sz="0" w:space="0" w:color="auto"/>
              </w:divBdr>
            </w:div>
            <w:div w:id="13768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10758">
      <w:bodyDiv w:val="1"/>
      <w:marLeft w:val="0"/>
      <w:marRight w:val="0"/>
      <w:marTop w:val="0"/>
      <w:marBottom w:val="0"/>
      <w:divBdr>
        <w:top w:val="none" w:sz="0" w:space="0" w:color="auto"/>
        <w:left w:val="none" w:sz="0" w:space="0" w:color="auto"/>
        <w:bottom w:val="none" w:sz="0" w:space="0" w:color="auto"/>
        <w:right w:val="none" w:sz="0" w:space="0" w:color="auto"/>
      </w:divBdr>
    </w:div>
    <w:div w:id="842357720">
      <w:bodyDiv w:val="1"/>
      <w:marLeft w:val="0"/>
      <w:marRight w:val="0"/>
      <w:marTop w:val="0"/>
      <w:marBottom w:val="0"/>
      <w:divBdr>
        <w:top w:val="none" w:sz="0" w:space="0" w:color="auto"/>
        <w:left w:val="none" w:sz="0" w:space="0" w:color="auto"/>
        <w:bottom w:val="none" w:sz="0" w:space="0" w:color="auto"/>
        <w:right w:val="none" w:sz="0" w:space="0" w:color="auto"/>
      </w:divBdr>
    </w:div>
    <w:div w:id="843783878">
      <w:bodyDiv w:val="1"/>
      <w:marLeft w:val="0"/>
      <w:marRight w:val="0"/>
      <w:marTop w:val="0"/>
      <w:marBottom w:val="0"/>
      <w:divBdr>
        <w:top w:val="none" w:sz="0" w:space="0" w:color="auto"/>
        <w:left w:val="none" w:sz="0" w:space="0" w:color="auto"/>
        <w:bottom w:val="none" w:sz="0" w:space="0" w:color="auto"/>
        <w:right w:val="none" w:sz="0" w:space="0" w:color="auto"/>
      </w:divBdr>
    </w:div>
    <w:div w:id="851535301">
      <w:bodyDiv w:val="1"/>
      <w:marLeft w:val="0"/>
      <w:marRight w:val="0"/>
      <w:marTop w:val="0"/>
      <w:marBottom w:val="0"/>
      <w:divBdr>
        <w:top w:val="none" w:sz="0" w:space="0" w:color="auto"/>
        <w:left w:val="none" w:sz="0" w:space="0" w:color="auto"/>
        <w:bottom w:val="none" w:sz="0" w:space="0" w:color="auto"/>
        <w:right w:val="none" w:sz="0" w:space="0" w:color="auto"/>
      </w:divBdr>
      <w:divsChild>
        <w:div w:id="103699536">
          <w:marLeft w:val="0"/>
          <w:marRight w:val="0"/>
          <w:marTop w:val="0"/>
          <w:marBottom w:val="0"/>
          <w:divBdr>
            <w:top w:val="none" w:sz="0" w:space="0" w:color="auto"/>
            <w:left w:val="none" w:sz="0" w:space="0" w:color="auto"/>
            <w:bottom w:val="none" w:sz="0" w:space="0" w:color="auto"/>
            <w:right w:val="none" w:sz="0" w:space="0" w:color="auto"/>
          </w:divBdr>
        </w:div>
      </w:divsChild>
    </w:div>
    <w:div w:id="856577975">
      <w:bodyDiv w:val="1"/>
      <w:marLeft w:val="0"/>
      <w:marRight w:val="0"/>
      <w:marTop w:val="0"/>
      <w:marBottom w:val="0"/>
      <w:divBdr>
        <w:top w:val="none" w:sz="0" w:space="0" w:color="auto"/>
        <w:left w:val="none" w:sz="0" w:space="0" w:color="auto"/>
        <w:bottom w:val="none" w:sz="0" w:space="0" w:color="auto"/>
        <w:right w:val="none" w:sz="0" w:space="0" w:color="auto"/>
      </w:divBdr>
    </w:div>
    <w:div w:id="860775925">
      <w:bodyDiv w:val="1"/>
      <w:marLeft w:val="0"/>
      <w:marRight w:val="0"/>
      <w:marTop w:val="0"/>
      <w:marBottom w:val="0"/>
      <w:divBdr>
        <w:top w:val="none" w:sz="0" w:space="0" w:color="auto"/>
        <w:left w:val="none" w:sz="0" w:space="0" w:color="auto"/>
        <w:bottom w:val="none" w:sz="0" w:space="0" w:color="auto"/>
        <w:right w:val="none" w:sz="0" w:space="0" w:color="auto"/>
      </w:divBdr>
    </w:div>
    <w:div w:id="861018198">
      <w:bodyDiv w:val="1"/>
      <w:marLeft w:val="0"/>
      <w:marRight w:val="0"/>
      <w:marTop w:val="0"/>
      <w:marBottom w:val="0"/>
      <w:divBdr>
        <w:top w:val="none" w:sz="0" w:space="0" w:color="auto"/>
        <w:left w:val="none" w:sz="0" w:space="0" w:color="auto"/>
        <w:bottom w:val="none" w:sz="0" w:space="0" w:color="auto"/>
        <w:right w:val="none" w:sz="0" w:space="0" w:color="auto"/>
      </w:divBdr>
    </w:div>
    <w:div w:id="862549984">
      <w:bodyDiv w:val="1"/>
      <w:marLeft w:val="0"/>
      <w:marRight w:val="0"/>
      <w:marTop w:val="0"/>
      <w:marBottom w:val="0"/>
      <w:divBdr>
        <w:top w:val="none" w:sz="0" w:space="0" w:color="auto"/>
        <w:left w:val="none" w:sz="0" w:space="0" w:color="auto"/>
        <w:bottom w:val="none" w:sz="0" w:space="0" w:color="auto"/>
        <w:right w:val="none" w:sz="0" w:space="0" w:color="auto"/>
      </w:divBdr>
    </w:div>
    <w:div w:id="878669027">
      <w:bodyDiv w:val="1"/>
      <w:marLeft w:val="0"/>
      <w:marRight w:val="0"/>
      <w:marTop w:val="0"/>
      <w:marBottom w:val="0"/>
      <w:divBdr>
        <w:top w:val="none" w:sz="0" w:space="0" w:color="auto"/>
        <w:left w:val="none" w:sz="0" w:space="0" w:color="auto"/>
        <w:bottom w:val="none" w:sz="0" w:space="0" w:color="auto"/>
        <w:right w:val="none" w:sz="0" w:space="0" w:color="auto"/>
      </w:divBdr>
    </w:div>
    <w:div w:id="880171429">
      <w:bodyDiv w:val="1"/>
      <w:marLeft w:val="0"/>
      <w:marRight w:val="0"/>
      <w:marTop w:val="0"/>
      <w:marBottom w:val="0"/>
      <w:divBdr>
        <w:top w:val="none" w:sz="0" w:space="0" w:color="auto"/>
        <w:left w:val="none" w:sz="0" w:space="0" w:color="auto"/>
        <w:bottom w:val="none" w:sz="0" w:space="0" w:color="auto"/>
        <w:right w:val="none" w:sz="0" w:space="0" w:color="auto"/>
      </w:divBdr>
      <w:divsChild>
        <w:div w:id="1556350364">
          <w:marLeft w:val="0"/>
          <w:marRight w:val="0"/>
          <w:marTop w:val="0"/>
          <w:marBottom w:val="0"/>
          <w:divBdr>
            <w:top w:val="none" w:sz="0" w:space="0" w:color="auto"/>
            <w:left w:val="none" w:sz="0" w:space="0" w:color="auto"/>
            <w:bottom w:val="none" w:sz="0" w:space="0" w:color="auto"/>
            <w:right w:val="none" w:sz="0" w:space="0" w:color="auto"/>
          </w:divBdr>
          <w:divsChild>
            <w:div w:id="1436096118">
              <w:marLeft w:val="0"/>
              <w:marRight w:val="0"/>
              <w:marTop w:val="0"/>
              <w:marBottom w:val="0"/>
              <w:divBdr>
                <w:top w:val="none" w:sz="0" w:space="0" w:color="auto"/>
                <w:left w:val="none" w:sz="0" w:space="0" w:color="auto"/>
                <w:bottom w:val="none" w:sz="0" w:space="0" w:color="auto"/>
                <w:right w:val="none" w:sz="0" w:space="0" w:color="auto"/>
              </w:divBdr>
            </w:div>
            <w:div w:id="7418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4052">
      <w:bodyDiv w:val="1"/>
      <w:marLeft w:val="0"/>
      <w:marRight w:val="0"/>
      <w:marTop w:val="0"/>
      <w:marBottom w:val="0"/>
      <w:divBdr>
        <w:top w:val="none" w:sz="0" w:space="0" w:color="auto"/>
        <w:left w:val="none" w:sz="0" w:space="0" w:color="auto"/>
        <w:bottom w:val="none" w:sz="0" w:space="0" w:color="auto"/>
        <w:right w:val="none" w:sz="0" w:space="0" w:color="auto"/>
      </w:divBdr>
    </w:div>
    <w:div w:id="886066678">
      <w:bodyDiv w:val="1"/>
      <w:marLeft w:val="0"/>
      <w:marRight w:val="0"/>
      <w:marTop w:val="0"/>
      <w:marBottom w:val="0"/>
      <w:divBdr>
        <w:top w:val="none" w:sz="0" w:space="0" w:color="auto"/>
        <w:left w:val="none" w:sz="0" w:space="0" w:color="auto"/>
        <w:bottom w:val="none" w:sz="0" w:space="0" w:color="auto"/>
        <w:right w:val="none" w:sz="0" w:space="0" w:color="auto"/>
      </w:divBdr>
    </w:div>
    <w:div w:id="893127318">
      <w:bodyDiv w:val="1"/>
      <w:marLeft w:val="0"/>
      <w:marRight w:val="0"/>
      <w:marTop w:val="0"/>
      <w:marBottom w:val="0"/>
      <w:divBdr>
        <w:top w:val="none" w:sz="0" w:space="0" w:color="auto"/>
        <w:left w:val="none" w:sz="0" w:space="0" w:color="auto"/>
        <w:bottom w:val="none" w:sz="0" w:space="0" w:color="auto"/>
        <w:right w:val="none" w:sz="0" w:space="0" w:color="auto"/>
      </w:divBdr>
    </w:div>
    <w:div w:id="895429042">
      <w:bodyDiv w:val="1"/>
      <w:marLeft w:val="0"/>
      <w:marRight w:val="0"/>
      <w:marTop w:val="0"/>
      <w:marBottom w:val="0"/>
      <w:divBdr>
        <w:top w:val="none" w:sz="0" w:space="0" w:color="auto"/>
        <w:left w:val="none" w:sz="0" w:space="0" w:color="auto"/>
        <w:bottom w:val="none" w:sz="0" w:space="0" w:color="auto"/>
        <w:right w:val="none" w:sz="0" w:space="0" w:color="auto"/>
      </w:divBdr>
    </w:div>
    <w:div w:id="899169960">
      <w:bodyDiv w:val="1"/>
      <w:marLeft w:val="0"/>
      <w:marRight w:val="0"/>
      <w:marTop w:val="0"/>
      <w:marBottom w:val="0"/>
      <w:divBdr>
        <w:top w:val="none" w:sz="0" w:space="0" w:color="auto"/>
        <w:left w:val="none" w:sz="0" w:space="0" w:color="auto"/>
        <w:bottom w:val="none" w:sz="0" w:space="0" w:color="auto"/>
        <w:right w:val="none" w:sz="0" w:space="0" w:color="auto"/>
      </w:divBdr>
    </w:div>
    <w:div w:id="900749581">
      <w:bodyDiv w:val="1"/>
      <w:marLeft w:val="0"/>
      <w:marRight w:val="0"/>
      <w:marTop w:val="0"/>
      <w:marBottom w:val="0"/>
      <w:divBdr>
        <w:top w:val="none" w:sz="0" w:space="0" w:color="auto"/>
        <w:left w:val="none" w:sz="0" w:space="0" w:color="auto"/>
        <w:bottom w:val="none" w:sz="0" w:space="0" w:color="auto"/>
        <w:right w:val="none" w:sz="0" w:space="0" w:color="auto"/>
      </w:divBdr>
    </w:div>
    <w:div w:id="905529942">
      <w:bodyDiv w:val="1"/>
      <w:marLeft w:val="0"/>
      <w:marRight w:val="0"/>
      <w:marTop w:val="0"/>
      <w:marBottom w:val="0"/>
      <w:divBdr>
        <w:top w:val="none" w:sz="0" w:space="0" w:color="auto"/>
        <w:left w:val="none" w:sz="0" w:space="0" w:color="auto"/>
        <w:bottom w:val="none" w:sz="0" w:space="0" w:color="auto"/>
        <w:right w:val="none" w:sz="0" w:space="0" w:color="auto"/>
      </w:divBdr>
    </w:div>
    <w:div w:id="920483328">
      <w:bodyDiv w:val="1"/>
      <w:marLeft w:val="0"/>
      <w:marRight w:val="0"/>
      <w:marTop w:val="0"/>
      <w:marBottom w:val="0"/>
      <w:divBdr>
        <w:top w:val="none" w:sz="0" w:space="0" w:color="auto"/>
        <w:left w:val="none" w:sz="0" w:space="0" w:color="auto"/>
        <w:bottom w:val="none" w:sz="0" w:space="0" w:color="auto"/>
        <w:right w:val="none" w:sz="0" w:space="0" w:color="auto"/>
      </w:divBdr>
    </w:div>
    <w:div w:id="923758532">
      <w:bodyDiv w:val="1"/>
      <w:marLeft w:val="0"/>
      <w:marRight w:val="0"/>
      <w:marTop w:val="0"/>
      <w:marBottom w:val="0"/>
      <w:divBdr>
        <w:top w:val="none" w:sz="0" w:space="0" w:color="auto"/>
        <w:left w:val="none" w:sz="0" w:space="0" w:color="auto"/>
        <w:bottom w:val="none" w:sz="0" w:space="0" w:color="auto"/>
        <w:right w:val="none" w:sz="0" w:space="0" w:color="auto"/>
      </w:divBdr>
    </w:div>
    <w:div w:id="925189366">
      <w:bodyDiv w:val="1"/>
      <w:marLeft w:val="0"/>
      <w:marRight w:val="0"/>
      <w:marTop w:val="0"/>
      <w:marBottom w:val="0"/>
      <w:divBdr>
        <w:top w:val="none" w:sz="0" w:space="0" w:color="auto"/>
        <w:left w:val="none" w:sz="0" w:space="0" w:color="auto"/>
        <w:bottom w:val="none" w:sz="0" w:space="0" w:color="auto"/>
        <w:right w:val="none" w:sz="0" w:space="0" w:color="auto"/>
      </w:divBdr>
    </w:div>
    <w:div w:id="928585836">
      <w:bodyDiv w:val="1"/>
      <w:marLeft w:val="0"/>
      <w:marRight w:val="0"/>
      <w:marTop w:val="0"/>
      <w:marBottom w:val="0"/>
      <w:divBdr>
        <w:top w:val="none" w:sz="0" w:space="0" w:color="auto"/>
        <w:left w:val="none" w:sz="0" w:space="0" w:color="auto"/>
        <w:bottom w:val="none" w:sz="0" w:space="0" w:color="auto"/>
        <w:right w:val="none" w:sz="0" w:space="0" w:color="auto"/>
      </w:divBdr>
    </w:div>
    <w:div w:id="938679133">
      <w:bodyDiv w:val="1"/>
      <w:marLeft w:val="0"/>
      <w:marRight w:val="0"/>
      <w:marTop w:val="0"/>
      <w:marBottom w:val="0"/>
      <w:divBdr>
        <w:top w:val="none" w:sz="0" w:space="0" w:color="auto"/>
        <w:left w:val="none" w:sz="0" w:space="0" w:color="auto"/>
        <w:bottom w:val="none" w:sz="0" w:space="0" w:color="auto"/>
        <w:right w:val="none" w:sz="0" w:space="0" w:color="auto"/>
      </w:divBdr>
    </w:div>
    <w:div w:id="940408259">
      <w:bodyDiv w:val="1"/>
      <w:marLeft w:val="0"/>
      <w:marRight w:val="0"/>
      <w:marTop w:val="0"/>
      <w:marBottom w:val="0"/>
      <w:divBdr>
        <w:top w:val="none" w:sz="0" w:space="0" w:color="auto"/>
        <w:left w:val="none" w:sz="0" w:space="0" w:color="auto"/>
        <w:bottom w:val="none" w:sz="0" w:space="0" w:color="auto"/>
        <w:right w:val="none" w:sz="0" w:space="0" w:color="auto"/>
      </w:divBdr>
    </w:div>
    <w:div w:id="949432808">
      <w:bodyDiv w:val="1"/>
      <w:marLeft w:val="0"/>
      <w:marRight w:val="0"/>
      <w:marTop w:val="0"/>
      <w:marBottom w:val="0"/>
      <w:divBdr>
        <w:top w:val="none" w:sz="0" w:space="0" w:color="auto"/>
        <w:left w:val="none" w:sz="0" w:space="0" w:color="auto"/>
        <w:bottom w:val="none" w:sz="0" w:space="0" w:color="auto"/>
        <w:right w:val="none" w:sz="0" w:space="0" w:color="auto"/>
      </w:divBdr>
    </w:div>
    <w:div w:id="957370407">
      <w:bodyDiv w:val="1"/>
      <w:marLeft w:val="0"/>
      <w:marRight w:val="0"/>
      <w:marTop w:val="0"/>
      <w:marBottom w:val="0"/>
      <w:divBdr>
        <w:top w:val="none" w:sz="0" w:space="0" w:color="auto"/>
        <w:left w:val="none" w:sz="0" w:space="0" w:color="auto"/>
        <w:bottom w:val="none" w:sz="0" w:space="0" w:color="auto"/>
        <w:right w:val="none" w:sz="0" w:space="0" w:color="auto"/>
      </w:divBdr>
    </w:div>
    <w:div w:id="961110921">
      <w:bodyDiv w:val="1"/>
      <w:marLeft w:val="0"/>
      <w:marRight w:val="0"/>
      <w:marTop w:val="0"/>
      <w:marBottom w:val="0"/>
      <w:divBdr>
        <w:top w:val="none" w:sz="0" w:space="0" w:color="auto"/>
        <w:left w:val="none" w:sz="0" w:space="0" w:color="auto"/>
        <w:bottom w:val="none" w:sz="0" w:space="0" w:color="auto"/>
        <w:right w:val="none" w:sz="0" w:space="0" w:color="auto"/>
      </w:divBdr>
    </w:div>
    <w:div w:id="963660904">
      <w:bodyDiv w:val="1"/>
      <w:marLeft w:val="0"/>
      <w:marRight w:val="0"/>
      <w:marTop w:val="0"/>
      <w:marBottom w:val="0"/>
      <w:divBdr>
        <w:top w:val="none" w:sz="0" w:space="0" w:color="auto"/>
        <w:left w:val="none" w:sz="0" w:space="0" w:color="auto"/>
        <w:bottom w:val="none" w:sz="0" w:space="0" w:color="auto"/>
        <w:right w:val="none" w:sz="0" w:space="0" w:color="auto"/>
      </w:divBdr>
    </w:div>
    <w:div w:id="967857702">
      <w:bodyDiv w:val="1"/>
      <w:marLeft w:val="0"/>
      <w:marRight w:val="0"/>
      <w:marTop w:val="0"/>
      <w:marBottom w:val="0"/>
      <w:divBdr>
        <w:top w:val="none" w:sz="0" w:space="0" w:color="auto"/>
        <w:left w:val="none" w:sz="0" w:space="0" w:color="auto"/>
        <w:bottom w:val="none" w:sz="0" w:space="0" w:color="auto"/>
        <w:right w:val="none" w:sz="0" w:space="0" w:color="auto"/>
      </w:divBdr>
    </w:div>
    <w:div w:id="970743957">
      <w:bodyDiv w:val="1"/>
      <w:marLeft w:val="0"/>
      <w:marRight w:val="0"/>
      <w:marTop w:val="0"/>
      <w:marBottom w:val="0"/>
      <w:divBdr>
        <w:top w:val="none" w:sz="0" w:space="0" w:color="auto"/>
        <w:left w:val="none" w:sz="0" w:space="0" w:color="auto"/>
        <w:bottom w:val="none" w:sz="0" w:space="0" w:color="auto"/>
        <w:right w:val="none" w:sz="0" w:space="0" w:color="auto"/>
      </w:divBdr>
    </w:div>
    <w:div w:id="977805503">
      <w:bodyDiv w:val="1"/>
      <w:marLeft w:val="0"/>
      <w:marRight w:val="0"/>
      <w:marTop w:val="0"/>
      <w:marBottom w:val="0"/>
      <w:divBdr>
        <w:top w:val="none" w:sz="0" w:space="0" w:color="auto"/>
        <w:left w:val="none" w:sz="0" w:space="0" w:color="auto"/>
        <w:bottom w:val="none" w:sz="0" w:space="0" w:color="auto"/>
        <w:right w:val="none" w:sz="0" w:space="0" w:color="auto"/>
      </w:divBdr>
    </w:div>
    <w:div w:id="987635305">
      <w:bodyDiv w:val="1"/>
      <w:marLeft w:val="0"/>
      <w:marRight w:val="0"/>
      <w:marTop w:val="0"/>
      <w:marBottom w:val="0"/>
      <w:divBdr>
        <w:top w:val="none" w:sz="0" w:space="0" w:color="auto"/>
        <w:left w:val="none" w:sz="0" w:space="0" w:color="auto"/>
        <w:bottom w:val="none" w:sz="0" w:space="0" w:color="auto"/>
        <w:right w:val="none" w:sz="0" w:space="0" w:color="auto"/>
      </w:divBdr>
    </w:div>
    <w:div w:id="989138412">
      <w:bodyDiv w:val="1"/>
      <w:marLeft w:val="0"/>
      <w:marRight w:val="0"/>
      <w:marTop w:val="0"/>
      <w:marBottom w:val="0"/>
      <w:divBdr>
        <w:top w:val="none" w:sz="0" w:space="0" w:color="auto"/>
        <w:left w:val="none" w:sz="0" w:space="0" w:color="auto"/>
        <w:bottom w:val="none" w:sz="0" w:space="0" w:color="auto"/>
        <w:right w:val="none" w:sz="0" w:space="0" w:color="auto"/>
      </w:divBdr>
    </w:div>
    <w:div w:id="991517783">
      <w:bodyDiv w:val="1"/>
      <w:marLeft w:val="0"/>
      <w:marRight w:val="0"/>
      <w:marTop w:val="0"/>
      <w:marBottom w:val="0"/>
      <w:divBdr>
        <w:top w:val="none" w:sz="0" w:space="0" w:color="auto"/>
        <w:left w:val="none" w:sz="0" w:space="0" w:color="auto"/>
        <w:bottom w:val="none" w:sz="0" w:space="0" w:color="auto"/>
        <w:right w:val="none" w:sz="0" w:space="0" w:color="auto"/>
      </w:divBdr>
    </w:div>
    <w:div w:id="1012419841">
      <w:bodyDiv w:val="1"/>
      <w:marLeft w:val="0"/>
      <w:marRight w:val="0"/>
      <w:marTop w:val="0"/>
      <w:marBottom w:val="0"/>
      <w:divBdr>
        <w:top w:val="none" w:sz="0" w:space="0" w:color="auto"/>
        <w:left w:val="none" w:sz="0" w:space="0" w:color="auto"/>
        <w:bottom w:val="none" w:sz="0" w:space="0" w:color="auto"/>
        <w:right w:val="none" w:sz="0" w:space="0" w:color="auto"/>
      </w:divBdr>
    </w:div>
    <w:div w:id="1024358174">
      <w:bodyDiv w:val="1"/>
      <w:marLeft w:val="0"/>
      <w:marRight w:val="0"/>
      <w:marTop w:val="0"/>
      <w:marBottom w:val="0"/>
      <w:divBdr>
        <w:top w:val="none" w:sz="0" w:space="0" w:color="auto"/>
        <w:left w:val="none" w:sz="0" w:space="0" w:color="auto"/>
        <w:bottom w:val="none" w:sz="0" w:space="0" w:color="auto"/>
        <w:right w:val="none" w:sz="0" w:space="0" w:color="auto"/>
      </w:divBdr>
    </w:div>
    <w:div w:id="1040858622">
      <w:bodyDiv w:val="1"/>
      <w:marLeft w:val="0"/>
      <w:marRight w:val="0"/>
      <w:marTop w:val="0"/>
      <w:marBottom w:val="0"/>
      <w:divBdr>
        <w:top w:val="none" w:sz="0" w:space="0" w:color="auto"/>
        <w:left w:val="none" w:sz="0" w:space="0" w:color="auto"/>
        <w:bottom w:val="none" w:sz="0" w:space="0" w:color="auto"/>
        <w:right w:val="none" w:sz="0" w:space="0" w:color="auto"/>
      </w:divBdr>
    </w:div>
    <w:div w:id="1041636652">
      <w:bodyDiv w:val="1"/>
      <w:marLeft w:val="0"/>
      <w:marRight w:val="0"/>
      <w:marTop w:val="0"/>
      <w:marBottom w:val="0"/>
      <w:divBdr>
        <w:top w:val="none" w:sz="0" w:space="0" w:color="auto"/>
        <w:left w:val="none" w:sz="0" w:space="0" w:color="auto"/>
        <w:bottom w:val="none" w:sz="0" w:space="0" w:color="auto"/>
        <w:right w:val="none" w:sz="0" w:space="0" w:color="auto"/>
      </w:divBdr>
    </w:div>
    <w:div w:id="1053232257">
      <w:bodyDiv w:val="1"/>
      <w:marLeft w:val="0"/>
      <w:marRight w:val="0"/>
      <w:marTop w:val="0"/>
      <w:marBottom w:val="0"/>
      <w:divBdr>
        <w:top w:val="none" w:sz="0" w:space="0" w:color="auto"/>
        <w:left w:val="none" w:sz="0" w:space="0" w:color="auto"/>
        <w:bottom w:val="none" w:sz="0" w:space="0" w:color="auto"/>
        <w:right w:val="none" w:sz="0" w:space="0" w:color="auto"/>
      </w:divBdr>
    </w:div>
    <w:div w:id="1057820932">
      <w:bodyDiv w:val="1"/>
      <w:marLeft w:val="0"/>
      <w:marRight w:val="0"/>
      <w:marTop w:val="0"/>
      <w:marBottom w:val="0"/>
      <w:divBdr>
        <w:top w:val="none" w:sz="0" w:space="0" w:color="auto"/>
        <w:left w:val="none" w:sz="0" w:space="0" w:color="auto"/>
        <w:bottom w:val="none" w:sz="0" w:space="0" w:color="auto"/>
        <w:right w:val="none" w:sz="0" w:space="0" w:color="auto"/>
      </w:divBdr>
    </w:div>
    <w:div w:id="1066418350">
      <w:bodyDiv w:val="1"/>
      <w:marLeft w:val="0"/>
      <w:marRight w:val="0"/>
      <w:marTop w:val="0"/>
      <w:marBottom w:val="0"/>
      <w:divBdr>
        <w:top w:val="none" w:sz="0" w:space="0" w:color="auto"/>
        <w:left w:val="none" w:sz="0" w:space="0" w:color="auto"/>
        <w:bottom w:val="none" w:sz="0" w:space="0" w:color="auto"/>
        <w:right w:val="none" w:sz="0" w:space="0" w:color="auto"/>
      </w:divBdr>
      <w:divsChild>
        <w:div w:id="1710834277">
          <w:marLeft w:val="0"/>
          <w:marRight w:val="0"/>
          <w:marTop w:val="0"/>
          <w:marBottom w:val="0"/>
          <w:divBdr>
            <w:top w:val="none" w:sz="0" w:space="0" w:color="auto"/>
            <w:left w:val="none" w:sz="0" w:space="0" w:color="auto"/>
            <w:bottom w:val="none" w:sz="0" w:space="0" w:color="auto"/>
            <w:right w:val="none" w:sz="0" w:space="0" w:color="auto"/>
          </w:divBdr>
        </w:div>
      </w:divsChild>
    </w:div>
    <w:div w:id="1068647549">
      <w:bodyDiv w:val="1"/>
      <w:marLeft w:val="0"/>
      <w:marRight w:val="0"/>
      <w:marTop w:val="0"/>
      <w:marBottom w:val="0"/>
      <w:divBdr>
        <w:top w:val="none" w:sz="0" w:space="0" w:color="auto"/>
        <w:left w:val="none" w:sz="0" w:space="0" w:color="auto"/>
        <w:bottom w:val="none" w:sz="0" w:space="0" w:color="auto"/>
        <w:right w:val="none" w:sz="0" w:space="0" w:color="auto"/>
      </w:divBdr>
    </w:div>
    <w:div w:id="1073888509">
      <w:bodyDiv w:val="1"/>
      <w:marLeft w:val="0"/>
      <w:marRight w:val="0"/>
      <w:marTop w:val="0"/>
      <w:marBottom w:val="0"/>
      <w:divBdr>
        <w:top w:val="none" w:sz="0" w:space="0" w:color="auto"/>
        <w:left w:val="none" w:sz="0" w:space="0" w:color="auto"/>
        <w:bottom w:val="none" w:sz="0" w:space="0" w:color="auto"/>
        <w:right w:val="none" w:sz="0" w:space="0" w:color="auto"/>
      </w:divBdr>
      <w:divsChild>
        <w:div w:id="1951623891">
          <w:marLeft w:val="0"/>
          <w:marRight w:val="0"/>
          <w:marTop w:val="0"/>
          <w:marBottom w:val="0"/>
          <w:divBdr>
            <w:top w:val="none" w:sz="0" w:space="0" w:color="auto"/>
            <w:left w:val="none" w:sz="0" w:space="0" w:color="auto"/>
            <w:bottom w:val="none" w:sz="0" w:space="0" w:color="auto"/>
            <w:right w:val="none" w:sz="0" w:space="0" w:color="auto"/>
          </w:divBdr>
          <w:divsChild>
            <w:div w:id="802776408">
              <w:marLeft w:val="0"/>
              <w:marRight w:val="0"/>
              <w:marTop w:val="0"/>
              <w:marBottom w:val="0"/>
              <w:divBdr>
                <w:top w:val="none" w:sz="0" w:space="0" w:color="auto"/>
                <w:left w:val="none" w:sz="0" w:space="0" w:color="auto"/>
                <w:bottom w:val="none" w:sz="0" w:space="0" w:color="auto"/>
                <w:right w:val="none" w:sz="0" w:space="0" w:color="auto"/>
              </w:divBdr>
            </w:div>
            <w:div w:id="177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0023">
      <w:bodyDiv w:val="1"/>
      <w:marLeft w:val="0"/>
      <w:marRight w:val="0"/>
      <w:marTop w:val="0"/>
      <w:marBottom w:val="0"/>
      <w:divBdr>
        <w:top w:val="none" w:sz="0" w:space="0" w:color="auto"/>
        <w:left w:val="none" w:sz="0" w:space="0" w:color="auto"/>
        <w:bottom w:val="none" w:sz="0" w:space="0" w:color="auto"/>
        <w:right w:val="none" w:sz="0" w:space="0" w:color="auto"/>
      </w:divBdr>
    </w:div>
    <w:div w:id="1093623375">
      <w:bodyDiv w:val="1"/>
      <w:marLeft w:val="0"/>
      <w:marRight w:val="0"/>
      <w:marTop w:val="0"/>
      <w:marBottom w:val="0"/>
      <w:divBdr>
        <w:top w:val="none" w:sz="0" w:space="0" w:color="auto"/>
        <w:left w:val="none" w:sz="0" w:space="0" w:color="auto"/>
        <w:bottom w:val="none" w:sz="0" w:space="0" w:color="auto"/>
        <w:right w:val="none" w:sz="0" w:space="0" w:color="auto"/>
      </w:divBdr>
    </w:div>
    <w:div w:id="1093861994">
      <w:bodyDiv w:val="1"/>
      <w:marLeft w:val="0"/>
      <w:marRight w:val="0"/>
      <w:marTop w:val="0"/>
      <w:marBottom w:val="0"/>
      <w:divBdr>
        <w:top w:val="none" w:sz="0" w:space="0" w:color="auto"/>
        <w:left w:val="none" w:sz="0" w:space="0" w:color="auto"/>
        <w:bottom w:val="none" w:sz="0" w:space="0" w:color="auto"/>
        <w:right w:val="none" w:sz="0" w:space="0" w:color="auto"/>
      </w:divBdr>
    </w:div>
    <w:div w:id="1102725440">
      <w:bodyDiv w:val="1"/>
      <w:marLeft w:val="0"/>
      <w:marRight w:val="0"/>
      <w:marTop w:val="0"/>
      <w:marBottom w:val="0"/>
      <w:divBdr>
        <w:top w:val="none" w:sz="0" w:space="0" w:color="auto"/>
        <w:left w:val="none" w:sz="0" w:space="0" w:color="auto"/>
        <w:bottom w:val="none" w:sz="0" w:space="0" w:color="auto"/>
        <w:right w:val="none" w:sz="0" w:space="0" w:color="auto"/>
      </w:divBdr>
    </w:div>
    <w:div w:id="1104107678">
      <w:bodyDiv w:val="1"/>
      <w:marLeft w:val="0"/>
      <w:marRight w:val="0"/>
      <w:marTop w:val="0"/>
      <w:marBottom w:val="0"/>
      <w:divBdr>
        <w:top w:val="none" w:sz="0" w:space="0" w:color="auto"/>
        <w:left w:val="none" w:sz="0" w:space="0" w:color="auto"/>
        <w:bottom w:val="none" w:sz="0" w:space="0" w:color="auto"/>
        <w:right w:val="none" w:sz="0" w:space="0" w:color="auto"/>
      </w:divBdr>
    </w:div>
    <w:div w:id="1109088198">
      <w:bodyDiv w:val="1"/>
      <w:marLeft w:val="0"/>
      <w:marRight w:val="0"/>
      <w:marTop w:val="0"/>
      <w:marBottom w:val="0"/>
      <w:divBdr>
        <w:top w:val="none" w:sz="0" w:space="0" w:color="auto"/>
        <w:left w:val="none" w:sz="0" w:space="0" w:color="auto"/>
        <w:bottom w:val="none" w:sz="0" w:space="0" w:color="auto"/>
        <w:right w:val="none" w:sz="0" w:space="0" w:color="auto"/>
      </w:divBdr>
    </w:div>
    <w:div w:id="1139493700">
      <w:bodyDiv w:val="1"/>
      <w:marLeft w:val="0"/>
      <w:marRight w:val="0"/>
      <w:marTop w:val="0"/>
      <w:marBottom w:val="0"/>
      <w:divBdr>
        <w:top w:val="none" w:sz="0" w:space="0" w:color="auto"/>
        <w:left w:val="none" w:sz="0" w:space="0" w:color="auto"/>
        <w:bottom w:val="none" w:sz="0" w:space="0" w:color="auto"/>
        <w:right w:val="none" w:sz="0" w:space="0" w:color="auto"/>
      </w:divBdr>
    </w:div>
    <w:div w:id="1143037506">
      <w:bodyDiv w:val="1"/>
      <w:marLeft w:val="0"/>
      <w:marRight w:val="0"/>
      <w:marTop w:val="0"/>
      <w:marBottom w:val="0"/>
      <w:divBdr>
        <w:top w:val="none" w:sz="0" w:space="0" w:color="auto"/>
        <w:left w:val="none" w:sz="0" w:space="0" w:color="auto"/>
        <w:bottom w:val="none" w:sz="0" w:space="0" w:color="auto"/>
        <w:right w:val="none" w:sz="0" w:space="0" w:color="auto"/>
      </w:divBdr>
    </w:div>
    <w:div w:id="1147940704">
      <w:bodyDiv w:val="1"/>
      <w:marLeft w:val="0"/>
      <w:marRight w:val="0"/>
      <w:marTop w:val="0"/>
      <w:marBottom w:val="0"/>
      <w:divBdr>
        <w:top w:val="none" w:sz="0" w:space="0" w:color="auto"/>
        <w:left w:val="none" w:sz="0" w:space="0" w:color="auto"/>
        <w:bottom w:val="none" w:sz="0" w:space="0" w:color="auto"/>
        <w:right w:val="none" w:sz="0" w:space="0" w:color="auto"/>
      </w:divBdr>
    </w:div>
    <w:div w:id="1152983071">
      <w:bodyDiv w:val="1"/>
      <w:marLeft w:val="0"/>
      <w:marRight w:val="0"/>
      <w:marTop w:val="0"/>
      <w:marBottom w:val="0"/>
      <w:divBdr>
        <w:top w:val="none" w:sz="0" w:space="0" w:color="auto"/>
        <w:left w:val="none" w:sz="0" w:space="0" w:color="auto"/>
        <w:bottom w:val="none" w:sz="0" w:space="0" w:color="auto"/>
        <w:right w:val="none" w:sz="0" w:space="0" w:color="auto"/>
      </w:divBdr>
    </w:div>
    <w:div w:id="1163276123">
      <w:bodyDiv w:val="1"/>
      <w:marLeft w:val="0"/>
      <w:marRight w:val="0"/>
      <w:marTop w:val="0"/>
      <w:marBottom w:val="0"/>
      <w:divBdr>
        <w:top w:val="none" w:sz="0" w:space="0" w:color="auto"/>
        <w:left w:val="none" w:sz="0" w:space="0" w:color="auto"/>
        <w:bottom w:val="none" w:sz="0" w:space="0" w:color="auto"/>
        <w:right w:val="none" w:sz="0" w:space="0" w:color="auto"/>
      </w:divBdr>
    </w:div>
    <w:div w:id="1173374170">
      <w:bodyDiv w:val="1"/>
      <w:marLeft w:val="0"/>
      <w:marRight w:val="0"/>
      <w:marTop w:val="0"/>
      <w:marBottom w:val="0"/>
      <w:divBdr>
        <w:top w:val="none" w:sz="0" w:space="0" w:color="auto"/>
        <w:left w:val="none" w:sz="0" w:space="0" w:color="auto"/>
        <w:bottom w:val="none" w:sz="0" w:space="0" w:color="auto"/>
        <w:right w:val="none" w:sz="0" w:space="0" w:color="auto"/>
      </w:divBdr>
    </w:div>
    <w:div w:id="1181430385">
      <w:bodyDiv w:val="1"/>
      <w:marLeft w:val="0"/>
      <w:marRight w:val="0"/>
      <w:marTop w:val="0"/>
      <w:marBottom w:val="0"/>
      <w:divBdr>
        <w:top w:val="none" w:sz="0" w:space="0" w:color="auto"/>
        <w:left w:val="none" w:sz="0" w:space="0" w:color="auto"/>
        <w:bottom w:val="none" w:sz="0" w:space="0" w:color="auto"/>
        <w:right w:val="none" w:sz="0" w:space="0" w:color="auto"/>
      </w:divBdr>
    </w:div>
    <w:div w:id="1201668329">
      <w:bodyDiv w:val="1"/>
      <w:marLeft w:val="0"/>
      <w:marRight w:val="0"/>
      <w:marTop w:val="0"/>
      <w:marBottom w:val="0"/>
      <w:divBdr>
        <w:top w:val="none" w:sz="0" w:space="0" w:color="auto"/>
        <w:left w:val="none" w:sz="0" w:space="0" w:color="auto"/>
        <w:bottom w:val="none" w:sz="0" w:space="0" w:color="auto"/>
        <w:right w:val="none" w:sz="0" w:space="0" w:color="auto"/>
      </w:divBdr>
    </w:div>
    <w:div w:id="1203785233">
      <w:bodyDiv w:val="1"/>
      <w:marLeft w:val="0"/>
      <w:marRight w:val="0"/>
      <w:marTop w:val="0"/>
      <w:marBottom w:val="0"/>
      <w:divBdr>
        <w:top w:val="none" w:sz="0" w:space="0" w:color="auto"/>
        <w:left w:val="none" w:sz="0" w:space="0" w:color="auto"/>
        <w:bottom w:val="none" w:sz="0" w:space="0" w:color="auto"/>
        <w:right w:val="none" w:sz="0" w:space="0" w:color="auto"/>
      </w:divBdr>
    </w:div>
    <w:div w:id="1224950477">
      <w:bodyDiv w:val="1"/>
      <w:marLeft w:val="0"/>
      <w:marRight w:val="0"/>
      <w:marTop w:val="0"/>
      <w:marBottom w:val="0"/>
      <w:divBdr>
        <w:top w:val="none" w:sz="0" w:space="0" w:color="auto"/>
        <w:left w:val="none" w:sz="0" w:space="0" w:color="auto"/>
        <w:bottom w:val="none" w:sz="0" w:space="0" w:color="auto"/>
        <w:right w:val="none" w:sz="0" w:space="0" w:color="auto"/>
      </w:divBdr>
    </w:div>
    <w:div w:id="1225796638">
      <w:bodyDiv w:val="1"/>
      <w:marLeft w:val="0"/>
      <w:marRight w:val="0"/>
      <w:marTop w:val="0"/>
      <w:marBottom w:val="0"/>
      <w:divBdr>
        <w:top w:val="none" w:sz="0" w:space="0" w:color="auto"/>
        <w:left w:val="none" w:sz="0" w:space="0" w:color="auto"/>
        <w:bottom w:val="none" w:sz="0" w:space="0" w:color="auto"/>
        <w:right w:val="none" w:sz="0" w:space="0" w:color="auto"/>
      </w:divBdr>
    </w:div>
    <w:div w:id="1229193693">
      <w:bodyDiv w:val="1"/>
      <w:marLeft w:val="0"/>
      <w:marRight w:val="0"/>
      <w:marTop w:val="0"/>
      <w:marBottom w:val="0"/>
      <w:divBdr>
        <w:top w:val="none" w:sz="0" w:space="0" w:color="auto"/>
        <w:left w:val="none" w:sz="0" w:space="0" w:color="auto"/>
        <w:bottom w:val="none" w:sz="0" w:space="0" w:color="auto"/>
        <w:right w:val="none" w:sz="0" w:space="0" w:color="auto"/>
      </w:divBdr>
      <w:divsChild>
        <w:div w:id="1196700634">
          <w:marLeft w:val="0"/>
          <w:marRight w:val="0"/>
          <w:marTop w:val="0"/>
          <w:marBottom w:val="0"/>
          <w:divBdr>
            <w:top w:val="none" w:sz="0" w:space="0" w:color="auto"/>
            <w:left w:val="none" w:sz="0" w:space="0" w:color="auto"/>
            <w:bottom w:val="none" w:sz="0" w:space="0" w:color="auto"/>
            <w:right w:val="none" w:sz="0" w:space="0" w:color="auto"/>
          </w:divBdr>
        </w:div>
      </w:divsChild>
    </w:div>
    <w:div w:id="1230531543">
      <w:bodyDiv w:val="1"/>
      <w:marLeft w:val="0"/>
      <w:marRight w:val="0"/>
      <w:marTop w:val="0"/>
      <w:marBottom w:val="0"/>
      <w:divBdr>
        <w:top w:val="none" w:sz="0" w:space="0" w:color="auto"/>
        <w:left w:val="none" w:sz="0" w:space="0" w:color="auto"/>
        <w:bottom w:val="none" w:sz="0" w:space="0" w:color="auto"/>
        <w:right w:val="none" w:sz="0" w:space="0" w:color="auto"/>
      </w:divBdr>
    </w:div>
    <w:div w:id="1231574084">
      <w:bodyDiv w:val="1"/>
      <w:marLeft w:val="0"/>
      <w:marRight w:val="0"/>
      <w:marTop w:val="0"/>
      <w:marBottom w:val="0"/>
      <w:divBdr>
        <w:top w:val="none" w:sz="0" w:space="0" w:color="auto"/>
        <w:left w:val="none" w:sz="0" w:space="0" w:color="auto"/>
        <w:bottom w:val="none" w:sz="0" w:space="0" w:color="auto"/>
        <w:right w:val="none" w:sz="0" w:space="0" w:color="auto"/>
      </w:divBdr>
    </w:div>
    <w:div w:id="1242638688">
      <w:bodyDiv w:val="1"/>
      <w:marLeft w:val="0"/>
      <w:marRight w:val="0"/>
      <w:marTop w:val="0"/>
      <w:marBottom w:val="0"/>
      <w:divBdr>
        <w:top w:val="none" w:sz="0" w:space="0" w:color="auto"/>
        <w:left w:val="none" w:sz="0" w:space="0" w:color="auto"/>
        <w:bottom w:val="none" w:sz="0" w:space="0" w:color="auto"/>
        <w:right w:val="none" w:sz="0" w:space="0" w:color="auto"/>
      </w:divBdr>
    </w:div>
    <w:div w:id="1243292297">
      <w:bodyDiv w:val="1"/>
      <w:marLeft w:val="0"/>
      <w:marRight w:val="0"/>
      <w:marTop w:val="0"/>
      <w:marBottom w:val="0"/>
      <w:divBdr>
        <w:top w:val="none" w:sz="0" w:space="0" w:color="auto"/>
        <w:left w:val="none" w:sz="0" w:space="0" w:color="auto"/>
        <w:bottom w:val="none" w:sz="0" w:space="0" w:color="auto"/>
        <w:right w:val="none" w:sz="0" w:space="0" w:color="auto"/>
      </w:divBdr>
    </w:div>
    <w:div w:id="1252540729">
      <w:bodyDiv w:val="1"/>
      <w:marLeft w:val="0"/>
      <w:marRight w:val="0"/>
      <w:marTop w:val="0"/>
      <w:marBottom w:val="0"/>
      <w:divBdr>
        <w:top w:val="none" w:sz="0" w:space="0" w:color="auto"/>
        <w:left w:val="none" w:sz="0" w:space="0" w:color="auto"/>
        <w:bottom w:val="none" w:sz="0" w:space="0" w:color="auto"/>
        <w:right w:val="none" w:sz="0" w:space="0" w:color="auto"/>
      </w:divBdr>
    </w:div>
    <w:div w:id="1258752718">
      <w:bodyDiv w:val="1"/>
      <w:marLeft w:val="0"/>
      <w:marRight w:val="0"/>
      <w:marTop w:val="0"/>
      <w:marBottom w:val="0"/>
      <w:divBdr>
        <w:top w:val="none" w:sz="0" w:space="0" w:color="auto"/>
        <w:left w:val="none" w:sz="0" w:space="0" w:color="auto"/>
        <w:bottom w:val="none" w:sz="0" w:space="0" w:color="auto"/>
        <w:right w:val="none" w:sz="0" w:space="0" w:color="auto"/>
      </w:divBdr>
    </w:div>
    <w:div w:id="1261374883">
      <w:bodyDiv w:val="1"/>
      <w:marLeft w:val="0"/>
      <w:marRight w:val="0"/>
      <w:marTop w:val="0"/>
      <w:marBottom w:val="0"/>
      <w:divBdr>
        <w:top w:val="none" w:sz="0" w:space="0" w:color="auto"/>
        <w:left w:val="none" w:sz="0" w:space="0" w:color="auto"/>
        <w:bottom w:val="none" w:sz="0" w:space="0" w:color="auto"/>
        <w:right w:val="none" w:sz="0" w:space="0" w:color="auto"/>
      </w:divBdr>
    </w:div>
    <w:div w:id="1263682546">
      <w:bodyDiv w:val="1"/>
      <w:marLeft w:val="0"/>
      <w:marRight w:val="0"/>
      <w:marTop w:val="0"/>
      <w:marBottom w:val="0"/>
      <w:divBdr>
        <w:top w:val="none" w:sz="0" w:space="0" w:color="auto"/>
        <w:left w:val="none" w:sz="0" w:space="0" w:color="auto"/>
        <w:bottom w:val="none" w:sz="0" w:space="0" w:color="auto"/>
        <w:right w:val="none" w:sz="0" w:space="0" w:color="auto"/>
      </w:divBdr>
    </w:div>
    <w:div w:id="1280181435">
      <w:bodyDiv w:val="1"/>
      <w:marLeft w:val="0"/>
      <w:marRight w:val="0"/>
      <w:marTop w:val="0"/>
      <w:marBottom w:val="0"/>
      <w:divBdr>
        <w:top w:val="none" w:sz="0" w:space="0" w:color="auto"/>
        <w:left w:val="none" w:sz="0" w:space="0" w:color="auto"/>
        <w:bottom w:val="none" w:sz="0" w:space="0" w:color="auto"/>
        <w:right w:val="none" w:sz="0" w:space="0" w:color="auto"/>
      </w:divBdr>
    </w:div>
    <w:div w:id="1288974030">
      <w:bodyDiv w:val="1"/>
      <w:marLeft w:val="0"/>
      <w:marRight w:val="0"/>
      <w:marTop w:val="0"/>
      <w:marBottom w:val="0"/>
      <w:divBdr>
        <w:top w:val="none" w:sz="0" w:space="0" w:color="auto"/>
        <w:left w:val="none" w:sz="0" w:space="0" w:color="auto"/>
        <w:bottom w:val="none" w:sz="0" w:space="0" w:color="auto"/>
        <w:right w:val="none" w:sz="0" w:space="0" w:color="auto"/>
      </w:divBdr>
    </w:div>
    <w:div w:id="1305693904">
      <w:bodyDiv w:val="1"/>
      <w:marLeft w:val="0"/>
      <w:marRight w:val="0"/>
      <w:marTop w:val="0"/>
      <w:marBottom w:val="0"/>
      <w:divBdr>
        <w:top w:val="none" w:sz="0" w:space="0" w:color="auto"/>
        <w:left w:val="none" w:sz="0" w:space="0" w:color="auto"/>
        <w:bottom w:val="none" w:sz="0" w:space="0" w:color="auto"/>
        <w:right w:val="none" w:sz="0" w:space="0" w:color="auto"/>
      </w:divBdr>
    </w:div>
    <w:div w:id="1305818483">
      <w:bodyDiv w:val="1"/>
      <w:marLeft w:val="0"/>
      <w:marRight w:val="0"/>
      <w:marTop w:val="0"/>
      <w:marBottom w:val="0"/>
      <w:divBdr>
        <w:top w:val="none" w:sz="0" w:space="0" w:color="auto"/>
        <w:left w:val="none" w:sz="0" w:space="0" w:color="auto"/>
        <w:bottom w:val="none" w:sz="0" w:space="0" w:color="auto"/>
        <w:right w:val="none" w:sz="0" w:space="0" w:color="auto"/>
      </w:divBdr>
    </w:div>
    <w:div w:id="1308708515">
      <w:bodyDiv w:val="1"/>
      <w:marLeft w:val="0"/>
      <w:marRight w:val="0"/>
      <w:marTop w:val="0"/>
      <w:marBottom w:val="0"/>
      <w:divBdr>
        <w:top w:val="none" w:sz="0" w:space="0" w:color="auto"/>
        <w:left w:val="none" w:sz="0" w:space="0" w:color="auto"/>
        <w:bottom w:val="none" w:sz="0" w:space="0" w:color="auto"/>
        <w:right w:val="none" w:sz="0" w:space="0" w:color="auto"/>
      </w:divBdr>
    </w:div>
    <w:div w:id="1309819797">
      <w:bodyDiv w:val="1"/>
      <w:marLeft w:val="0"/>
      <w:marRight w:val="0"/>
      <w:marTop w:val="0"/>
      <w:marBottom w:val="0"/>
      <w:divBdr>
        <w:top w:val="none" w:sz="0" w:space="0" w:color="auto"/>
        <w:left w:val="none" w:sz="0" w:space="0" w:color="auto"/>
        <w:bottom w:val="none" w:sz="0" w:space="0" w:color="auto"/>
        <w:right w:val="none" w:sz="0" w:space="0" w:color="auto"/>
      </w:divBdr>
    </w:div>
    <w:div w:id="1310553467">
      <w:bodyDiv w:val="1"/>
      <w:marLeft w:val="0"/>
      <w:marRight w:val="0"/>
      <w:marTop w:val="0"/>
      <w:marBottom w:val="0"/>
      <w:divBdr>
        <w:top w:val="none" w:sz="0" w:space="0" w:color="auto"/>
        <w:left w:val="none" w:sz="0" w:space="0" w:color="auto"/>
        <w:bottom w:val="none" w:sz="0" w:space="0" w:color="auto"/>
        <w:right w:val="none" w:sz="0" w:space="0" w:color="auto"/>
      </w:divBdr>
    </w:div>
    <w:div w:id="1311902372">
      <w:bodyDiv w:val="1"/>
      <w:marLeft w:val="0"/>
      <w:marRight w:val="0"/>
      <w:marTop w:val="0"/>
      <w:marBottom w:val="0"/>
      <w:divBdr>
        <w:top w:val="none" w:sz="0" w:space="0" w:color="auto"/>
        <w:left w:val="none" w:sz="0" w:space="0" w:color="auto"/>
        <w:bottom w:val="none" w:sz="0" w:space="0" w:color="auto"/>
        <w:right w:val="none" w:sz="0" w:space="0" w:color="auto"/>
      </w:divBdr>
    </w:div>
    <w:div w:id="1326977585">
      <w:bodyDiv w:val="1"/>
      <w:marLeft w:val="0"/>
      <w:marRight w:val="0"/>
      <w:marTop w:val="0"/>
      <w:marBottom w:val="0"/>
      <w:divBdr>
        <w:top w:val="none" w:sz="0" w:space="0" w:color="auto"/>
        <w:left w:val="none" w:sz="0" w:space="0" w:color="auto"/>
        <w:bottom w:val="none" w:sz="0" w:space="0" w:color="auto"/>
        <w:right w:val="none" w:sz="0" w:space="0" w:color="auto"/>
      </w:divBdr>
    </w:div>
    <w:div w:id="1340153450">
      <w:bodyDiv w:val="1"/>
      <w:marLeft w:val="0"/>
      <w:marRight w:val="0"/>
      <w:marTop w:val="0"/>
      <w:marBottom w:val="0"/>
      <w:divBdr>
        <w:top w:val="none" w:sz="0" w:space="0" w:color="auto"/>
        <w:left w:val="none" w:sz="0" w:space="0" w:color="auto"/>
        <w:bottom w:val="none" w:sz="0" w:space="0" w:color="auto"/>
        <w:right w:val="none" w:sz="0" w:space="0" w:color="auto"/>
      </w:divBdr>
    </w:div>
    <w:div w:id="1344208995">
      <w:bodyDiv w:val="1"/>
      <w:marLeft w:val="0"/>
      <w:marRight w:val="0"/>
      <w:marTop w:val="0"/>
      <w:marBottom w:val="0"/>
      <w:divBdr>
        <w:top w:val="none" w:sz="0" w:space="0" w:color="auto"/>
        <w:left w:val="none" w:sz="0" w:space="0" w:color="auto"/>
        <w:bottom w:val="none" w:sz="0" w:space="0" w:color="auto"/>
        <w:right w:val="none" w:sz="0" w:space="0" w:color="auto"/>
      </w:divBdr>
    </w:div>
    <w:div w:id="1347097843">
      <w:bodyDiv w:val="1"/>
      <w:marLeft w:val="0"/>
      <w:marRight w:val="0"/>
      <w:marTop w:val="0"/>
      <w:marBottom w:val="0"/>
      <w:divBdr>
        <w:top w:val="none" w:sz="0" w:space="0" w:color="auto"/>
        <w:left w:val="none" w:sz="0" w:space="0" w:color="auto"/>
        <w:bottom w:val="none" w:sz="0" w:space="0" w:color="auto"/>
        <w:right w:val="none" w:sz="0" w:space="0" w:color="auto"/>
      </w:divBdr>
      <w:divsChild>
        <w:div w:id="1411273939">
          <w:marLeft w:val="0"/>
          <w:marRight w:val="0"/>
          <w:marTop w:val="0"/>
          <w:marBottom w:val="0"/>
          <w:divBdr>
            <w:top w:val="none" w:sz="0" w:space="0" w:color="auto"/>
            <w:left w:val="none" w:sz="0" w:space="0" w:color="auto"/>
            <w:bottom w:val="none" w:sz="0" w:space="0" w:color="auto"/>
            <w:right w:val="none" w:sz="0" w:space="0" w:color="auto"/>
          </w:divBdr>
          <w:divsChild>
            <w:div w:id="571282289">
              <w:marLeft w:val="0"/>
              <w:marRight w:val="0"/>
              <w:marTop w:val="0"/>
              <w:marBottom w:val="0"/>
              <w:divBdr>
                <w:top w:val="none" w:sz="0" w:space="0" w:color="auto"/>
                <w:left w:val="none" w:sz="0" w:space="0" w:color="auto"/>
                <w:bottom w:val="none" w:sz="0" w:space="0" w:color="auto"/>
                <w:right w:val="none" w:sz="0" w:space="0" w:color="auto"/>
              </w:divBdr>
            </w:div>
            <w:div w:id="18545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7638">
      <w:bodyDiv w:val="1"/>
      <w:marLeft w:val="0"/>
      <w:marRight w:val="0"/>
      <w:marTop w:val="0"/>
      <w:marBottom w:val="0"/>
      <w:divBdr>
        <w:top w:val="none" w:sz="0" w:space="0" w:color="auto"/>
        <w:left w:val="none" w:sz="0" w:space="0" w:color="auto"/>
        <w:bottom w:val="none" w:sz="0" w:space="0" w:color="auto"/>
        <w:right w:val="none" w:sz="0" w:space="0" w:color="auto"/>
      </w:divBdr>
    </w:div>
    <w:div w:id="1358040835">
      <w:bodyDiv w:val="1"/>
      <w:marLeft w:val="0"/>
      <w:marRight w:val="0"/>
      <w:marTop w:val="0"/>
      <w:marBottom w:val="0"/>
      <w:divBdr>
        <w:top w:val="none" w:sz="0" w:space="0" w:color="auto"/>
        <w:left w:val="none" w:sz="0" w:space="0" w:color="auto"/>
        <w:bottom w:val="none" w:sz="0" w:space="0" w:color="auto"/>
        <w:right w:val="none" w:sz="0" w:space="0" w:color="auto"/>
      </w:divBdr>
    </w:div>
    <w:div w:id="1361786802">
      <w:bodyDiv w:val="1"/>
      <w:marLeft w:val="0"/>
      <w:marRight w:val="0"/>
      <w:marTop w:val="0"/>
      <w:marBottom w:val="0"/>
      <w:divBdr>
        <w:top w:val="none" w:sz="0" w:space="0" w:color="auto"/>
        <w:left w:val="none" w:sz="0" w:space="0" w:color="auto"/>
        <w:bottom w:val="none" w:sz="0" w:space="0" w:color="auto"/>
        <w:right w:val="none" w:sz="0" w:space="0" w:color="auto"/>
      </w:divBdr>
    </w:div>
    <w:div w:id="1362322109">
      <w:bodyDiv w:val="1"/>
      <w:marLeft w:val="0"/>
      <w:marRight w:val="0"/>
      <w:marTop w:val="0"/>
      <w:marBottom w:val="0"/>
      <w:divBdr>
        <w:top w:val="none" w:sz="0" w:space="0" w:color="auto"/>
        <w:left w:val="none" w:sz="0" w:space="0" w:color="auto"/>
        <w:bottom w:val="none" w:sz="0" w:space="0" w:color="auto"/>
        <w:right w:val="none" w:sz="0" w:space="0" w:color="auto"/>
      </w:divBdr>
    </w:div>
    <w:div w:id="1371494676">
      <w:bodyDiv w:val="1"/>
      <w:marLeft w:val="0"/>
      <w:marRight w:val="0"/>
      <w:marTop w:val="0"/>
      <w:marBottom w:val="0"/>
      <w:divBdr>
        <w:top w:val="none" w:sz="0" w:space="0" w:color="auto"/>
        <w:left w:val="none" w:sz="0" w:space="0" w:color="auto"/>
        <w:bottom w:val="none" w:sz="0" w:space="0" w:color="auto"/>
        <w:right w:val="none" w:sz="0" w:space="0" w:color="auto"/>
      </w:divBdr>
    </w:div>
    <w:div w:id="1381788731">
      <w:bodyDiv w:val="1"/>
      <w:marLeft w:val="0"/>
      <w:marRight w:val="0"/>
      <w:marTop w:val="0"/>
      <w:marBottom w:val="0"/>
      <w:divBdr>
        <w:top w:val="none" w:sz="0" w:space="0" w:color="auto"/>
        <w:left w:val="none" w:sz="0" w:space="0" w:color="auto"/>
        <w:bottom w:val="none" w:sz="0" w:space="0" w:color="auto"/>
        <w:right w:val="none" w:sz="0" w:space="0" w:color="auto"/>
      </w:divBdr>
    </w:div>
    <w:div w:id="1383945818">
      <w:bodyDiv w:val="1"/>
      <w:marLeft w:val="0"/>
      <w:marRight w:val="0"/>
      <w:marTop w:val="0"/>
      <w:marBottom w:val="0"/>
      <w:divBdr>
        <w:top w:val="none" w:sz="0" w:space="0" w:color="auto"/>
        <w:left w:val="none" w:sz="0" w:space="0" w:color="auto"/>
        <w:bottom w:val="none" w:sz="0" w:space="0" w:color="auto"/>
        <w:right w:val="none" w:sz="0" w:space="0" w:color="auto"/>
      </w:divBdr>
    </w:div>
    <w:div w:id="1397050301">
      <w:bodyDiv w:val="1"/>
      <w:marLeft w:val="0"/>
      <w:marRight w:val="0"/>
      <w:marTop w:val="0"/>
      <w:marBottom w:val="0"/>
      <w:divBdr>
        <w:top w:val="none" w:sz="0" w:space="0" w:color="auto"/>
        <w:left w:val="none" w:sz="0" w:space="0" w:color="auto"/>
        <w:bottom w:val="none" w:sz="0" w:space="0" w:color="auto"/>
        <w:right w:val="none" w:sz="0" w:space="0" w:color="auto"/>
      </w:divBdr>
    </w:div>
    <w:div w:id="1399672750">
      <w:bodyDiv w:val="1"/>
      <w:marLeft w:val="0"/>
      <w:marRight w:val="0"/>
      <w:marTop w:val="0"/>
      <w:marBottom w:val="0"/>
      <w:divBdr>
        <w:top w:val="none" w:sz="0" w:space="0" w:color="auto"/>
        <w:left w:val="none" w:sz="0" w:space="0" w:color="auto"/>
        <w:bottom w:val="none" w:sz="0" w:space="0" w:color="auto"/>
        <w:right w:val="none" w:sz="0" w:space="0" w:color="auto"/>
      </w:divBdr>
    </w:div>
    <w:div w:id="1403985152">
      <w:bodyDiv w:val="1"/>
      <w:marLeft w:val="0"/>
      <w:marRight w:val="0"/>
      <w:marTop w:val="0"/>
      <w:marBottom w:val="0"/>
      <w:divBdr>
        <w:top w:val="none" w:sz="0" w:space="0" w:color="auto"/>
        <w:left w:val="none" w:sz="0" w:space="0" w:color="auto"/>
        <w:bottom w:val="none" w:sz="0" w:space="0" w:color="auto"/>
        <w:right w:val="none" w:sz="0" w:space="0" w:color="auto"/>
      </w:divBdr>
    </w:div>
    <w:div w:id="1409883425">
      <w:bodyDiv w:val="1"/>
      <w:marLeft w:val="0"/>
      <w:marRight w:val="0"/>
      <w:marTop w:val="0"/>
      <w:marBottom w:val="0"/>
      <w:divBdr>
        <w:top w:val="none" w:sz="0" w:space="0" w:color="auto"/>
        <w:left w:val="none" w:sz="0" w:space="0" w:color="auto"/>
        <w:bottom w:val="none" w:sz="0" w:space="0" w:color="auto"/>
        <w:right w:val="none" w:sz="0" w:space="0" w:color="auto"/>
      </w:divBdr>
      <w:divsChild>
        <w:div w:id="813374328">
          <w:marLeft w:val="0"/>
          <w:marRight w:val="0"/>
          <w:marTop w:val="0"/>
          <w:marBottom w:val="0"/>
          <w:divBdr>
            <w:top w:val="none" w:sz="0" w:space="0" w:color="auto"/>
            <w:left w:val="none" w:sz="0" w:space="0" w:color="auto"/>
            <w:bottom w:val="none" w:sz="0" w:space="0" w:color="auto"/>
            <w:right w:val="none" w:sz="0" w:space="0" w:color="auto"/>
          </w:divBdr>
        </w:div>
      </w:divsChild>
    </w:div>
    <w:div w:id="1415979707">
      <w:bodyDiv w:val="1"/>
      <w:marLeft w:val="0"/>
      <w:marRight w:val="0"/>
      <w:marTop w:val="0"/>
      <w:marBottom w:val="0"/>
      <w:divBdr>
        <w:top w:val="none" w:sz="0" w:space="0" w:color="auto"/>
        <w:left w:val="none" w:sz="0" w:space="0" w:color="auto"/>
        <w:bottom w:val="none" w:sz="0" w:space="0" w:color="auto"/>
        <w:right w:val="none" w:sz="0" w:space="0" w:color="auto"/>
      </w:divBdr>
    </w:div>
    <w:div w:id="1417745469">
      <w:bodyDiv w:val="1"/>
      <w:marLeft w:val="0"/>
      <w:marRight w:val="0"/>
      <w:marTop w:val="0"/>
      <w:marBottom w:val="0"/>
      <w:divBdr>
        <w:top w:val="none" w:sz="0" w:space="0" w:color="auto"/>
        <w:left w:val="none" w:sz="0" w:space="0" w:color="auto"/>
        <w:bottom w:val="none" w:sz="0" w:space="0" w:color="auto"/>
        <w:right w:val="none" w:sz="0" w:space="0" w:color="auto"/>
      </w:divBdr>
    </w:div>
    <w:div w:id="1418599644">
      <w:bodyDiv w:val="1"/>
      <w:marLeft w:val="0"/>
      <w:marRight w:val="0"/>
      <w:marTop w:val="0"/>
      <w:marBottom w:val="0"/>
      <w:divBdr>
        <w:top w:val="none" w:sz="0" w:space="0" w:color="auto"/>
        <w:left w:val="none" w:sz="0" w:space="0" w:color="auto"/>
        <w:bottom w:val="none" w:sz="0" w:space="0" w:color="auto"/>
        <w:right w:val="none" w:sz="0" w:space="0" w:color="auto"/>
      </w:divBdr>
    </w:div>
    <w:div w:id="1423069319">
      <w:bodyDiv w:val="1"/>
      <w:marLeft w:val="0"/>
      <w:marRight w:val="0"/>
      <w:marTop w:val="0"/>
      <w:marBottom w:val="0"/>
      <w:divBdr>
        <w:top w:val="none" w:sz="0" w:space="0" w:color="auto"/>
        <w:left w:val="none" w:sz="0" w:space="0" w:color="auto"/>
        <w:bottom w:val="none" w:sz="0" w:space="0" w:color="auto"/>
        <w:right w:val="none" w:sz="0" w:space="0" w:color="auto"/>
      </w:divBdr>
    </w:div>
    <w:div w:id="1430738733">
      <w:bodyDiv w:val="1"/>
      <w:marLeft w:val="0"/>
      <w:marRight w:val="0"/>
      <w:marTop w:val="0"/>
      <w:marBottom w:val="0"/>
      <w:divBdr>
        <w:top w:val="none" w:sz="0" w:space="0" w:color="auto"/>
        <w:left w:val="none" w:sz="0" w:space="0" w:color="auto"/>
        <w:bottom w:val="none" w:sz="0" w:space="0" w:color="auto"/>
        <w:right w:val="none" w:sz="0" w:space="0" w:color="auto"/>
      </w:divBdr>
    </w:div>
    <w:div w:id="1432775404">
      <w:bodyDiv w:val="1"/>
      <w:marLeft w:val="0"/>
      <w:marRight w:val="0"/>
      <w:marTop w:val="0"/>
      <w:marBottom w:val="0"/>
      <w:divBdr>
        <w:top w:val="none" w:sz="0" w:space="0" w:color="auto"/>
        <w:left w:val="none" w:sz="0" w:space="0" w:color="auto"/>
        <w:bottom w:val="none" w:sz="0" w:space="0" w:color="auto"/>
        <w:right w:val="none" w:sz="0" w:space="0" w:color="auto"/>
      </w:divBdr>
    </w:div>
    <w:div w:id="1436749042">
      <w:bodyDiv w:val="1"/>
      <w:marLeft w:val="0"/>
      <w:marRight w:val="0"/>
      <w:marTop w:val="0"/>
      <w:marBottom w:val="0"/>
      <w:divBdr>
        <w:top w:val="none" w:sz="0" w:space="0" w:color="auto"/>
        <w:left w:val="none" w:sz="0" w:space="0" w:color="auto"/>
        <w:bottom w:val="none" w:sz="0" w:space="0" w:color="auto"/>
        <w:right w:val="none" w:sz="0" w:space="0" w:color="auto"/>
      </w:divBdr>
      <w:divsChild>
        <w:div w:id="577639421">
          <w:marLeft w:val="0"/>
          <w:marRight w:val="0"/>
          <w:marTop w:val="0"/>
          <w:marBottom w:val="0"/>
          <w:divBdr>
            <w:top w:val="none" w:sz="0" w:space="0" w:color="auto"/>
            <w:left w:val="none" w:sz="0" w:space="0" w:color="auto"/>
            <w:bottom w:val="none" w:sz="0" w:space="0" w:color="auto"/>
            <w:right w:val="none" w:sz="0" w:space="0" w:color="auto"/>
          </w:divBdr>
        </w:div>
      </w:divsChild>
    </w:div>
    <w:div w:id="1438719806">
      <w:bodyDiv w:val="1"/>
      <w:marLeft w:val="0"/>
      <w:marRight w:val="0"/>
      <w:marTop w:val="0"/>
      <w:marBottom w:val="0"/>
      <w:divBdr>
        <w:top w:val="none" w:sz="0" w:space="0" w:color="auto"/>
        <w:left w:val="none" w:sz="0" w:space="0" w:color="auto"/>
        <w:bottom w:val="none" w:sz="0" w:space="0" w:color="auto"/>
        <w:right w:val="none" w:sz="0" w:space="0" w:color="auto"/>
      </w:divBdr>
    </w:div>
    <w:div w:id="1444111321">
      <w:bodyDiv w:val="1"/>
      <w:marLeft w:val="0"/>
      <w:marRight w:val="0"/>
      <w:marTop w:val="0"/>
      <w:marBottom w:val="0"/>
      <w:divBdr>
        <w:top w:val="none" w:sz="0" w:space="0" w:color="auto"/>
        <w:left w:val="none" w:sz="0" w:space="0" w:color="auto"/>
        <w:bottom w:val="none" w:sz="0" w:space="0" w:color="auto"/>
        <w:right w:val="none" w:sz="0" w:space="0" w:color="auto"/>
      </w:divBdr>
    </w:div>
    <w:div w:id="1447699035">
      <w:bodyDiv w:val="1"/>
      <w:marLeft w:val="0"/>
      <w:marRight w:val="0"/>
      <w:marTop w:val="0"/>
      <w:marBottom w:val="0"/>
      <w:divBdr>
        <w:top w:val="none" w:sz="0" w:space="0" w:color="auto"/>
        <w:left w:val="none" w:sz="0" w:space="0" w:color="auto"/>
        <w:bottom w:val="none" w:sz="0" w:space="0" w:color="auto"/>
        <w:right w:val="none" w:sz="0" w:space="0" w:color="auto"/>
      </w:divBdr>
    </w:div>
    <w:div w:id="1456827061">
      <w:bodyDiv w:val="1"/>
      <w:marLeft w:val="0"/>
      <w:marRight w:val="0"/>
      <w:marTop w:val="0"/>
      <w:marBottom w:val="0"/>
      <w:divBdr>
        <w:top w:val="none" w:sz="0" w:space="0" w:color="auto"/>
        <w:left w:val="none" w:sz="0" w:space="0" w:color="auto"/>
        <w:bottom w:val="none" w:sz="0" w:space="0" w:color="auto"/>
        <w:right w:val="none" w:sz="0" w:space="0" w:color="auto"/>
      </w:divBdr>
    </w:div>
    <w:div w:id="1459493244">
      <w:bodyDiv w:val="1"/>
      <w:marLeft w:val="0"/>
      <w:marRight w:val="0"/>
      <w:marTop w:val="0"/>
      <w:marBottom w:val="0"/>
      <w:divBdr>
        <w:top w:val="none" w:sz="0" w:space="0" w:color="auto"/>
        <w:left w:val="none" w:sz="0" w:space="0" w:color="auto"/>
        <w:bottom w:val="none" w:sz="0" w:space="0" w:color="auto"/>
        <w:right w:val="none" w:sz="0" w:space="0" w:color="auto"/>
      </w:divBdr>
    </w:div>
    <w:div w:id="1464812227">
      <w:bodyDiv w:val="1"/>
      <w:marLeft w:val="0"/>
      <w:marRight w:val="0"/>
      <w:marTop w:val="0"/>
      <w:marBottom w:val="0"/>
      <w:divBdr>
        <w:top w:val="none" w:sz="0" w:space="0" w:color="auto"/>
        <w:left w:val="none" w:sz="0" w:space="0" w:color="auto"/>
        <w:bottom w:val="none" w:sz="0" w:space="0" w:color="auto"/>
        <w:right w:val="none" w:sz="0" w:space="0" w:color="auto"/>
      </w:divBdr>
    </w:div>
    <w:div w:id="1477800472">
      <w:bodyDiv w:val="1"/>
      <w:marLeft w:val="0"/>
      <w:marRight w:val="0"/>
      <w:marTop w:val="0"/>
      <w:marBottom w:val="0"/>
      <w:divBdr>
        <w:top w:val="none" w:sz="0" w:space="0" w:color="auto"/>
        <w:left w:val="none" w:sz="0" w:space="0" w:color="auto"/>
        <w:bottom w:val="none" w:sz="0" w:space="0" w:color="auto"/>
        <w:right w:val="none" w:sz="0" w:space="0" w:color="auto"/>
      </w:divBdr>
    </w:div>
    <w:div w:id="1478719721">
      <w:bodyDiv w:val="1"/>
      <w:marLeft w:val="0"/>
      <w:marRight w:val="0"/>
      <w:marTop w:val="0"/>
      <w:marBottom w:val="0"/>
      <w:divBdr>
        <w:top w:val="none" w:sz="0" w:space="0" w:color="auto"/>
        <w:left w:val="none" w:sz="0" w:space="0" w:color="auto"/>
        <w:bottom w:val="none" w:sz="0" w:space="0" w:color="auto"/>
        <w:right w:val="none" w:sz="0" w:space="0" w:color="auto"/>
      </w:divBdr>
    </w:div>
    <w:div w:id="1500922391">
      <w:bodyDiv w:val="1"/>
      <w:marLeft w:val="0"/>
      <w:marRight w:val="0"/>
      <w:marTop w:val="0"/>
      <w:marBottom w:val="0"/>
      <w:divBdr>
        <w:top w:val="none" w:sz="0" w:space="0" w:color="auto"/>
        <w:left w:val="none" w:sz="0" w:space="0" w:color="auto"/>
        <w:bottom w:val="none" w:sz="0" w:space="0" w:color="auto"/>
        <w:right w:val="none" w:sz="0" w:space="0" w:color="auto"/>
      </w:divBdr>
    </w:div>
    <w:div w:id="1505046066">
      <w:bodyDiv w:val="1"/>
      <w:marLeft w:val="0"/>
      <w:marRight w:val="0"/>
      <w:marTop w:val="0"/>
      <w:marBottom w:val="0"/>
      <w:divBdr>
        <w:top w:val="none" w:sz="0" w:space="0" w:color="auto"/>
        <w:left w:val="none" w:sz="0" w:space="0" w:color="auto"/>
        <w:bottom w:val="none" w:sz="0" w:space="0" w:color="auto"/>
        <w:right w:val="none" w:sz="0" w:space="0" w:color="auto"/>
      </w:divBdr>
    </w:div>
    <w:div w:id="1505970273">
      <w:bodyDiv w:val="1"/>
      <w:marLeft w:val="0"/>
      <w:marRight w:val="0"/>
      <w:marTop w:val="0"/>
      <w:marBottom w:val="0"/>
      <w:divBdr>
        <w:top w:val="none" w:sz="0" w:space="0" w:color="auto"/>
        <w:left w:val="none" w:sz="0" w:space="0" w:color="auto"/>
        <w:bottom w:val="none" w:sz="0" w:space="0" w:color="auto"/>
        <w:right w:val="none" w:sz="0" w:space="0" w:color="auto"/>
      </w:divBdr>
    </w:div>
    <w:div w:id="1510488746">
      <w:bodyDiv w:val="1"/>
      <w:marLeft w:val="0"/>
      <w:marRight w:val="0"/>
      <w:marTop w:val="0"/>
      <w:marBottom w:val="0"/>
      <w:divBdr>
        <w:top w:val="none" w:sz="0" w:space="0" w:color="auto"/>
        <w:left w:val="none" w:sz="0" w:space="0" w:color="auto"/>
        <w:bottom w:val="none" w:sz="0" w:space="0" w:color="auto"/>
        <w:right w:val="none" w:sz="0" w:space="0" w:color="auto"/>
      </w:divBdr>
    </w:div>
    <w:div w:id="1511523951">
      <w:bodyDiv w:val="1"/>
      <w:marLeft w:val="0"/>
      <w:marRight w:val="0"/>
      <w:marTop w:val="0"/>
      <w:marBottom w:val="0"/>
      <w:divBdr>
        <w:top w:val="none" w:sz="0" w:space="0" w:color="auto"/>
        <w:left w:val="none" w:sz="0" w:space="0" w:color="auto"/>
        <w:bottom w:val="none" w:sz="0" w:space="0" w:color="auto"/>
        <w:right w:val="none" w:sz="0" w:space="0" w:color="auto"/>
      </w:divBdr>
    </w:div>
    <w:div w:id="1518731308">
      <w:bodyDiv w:val="1"/>
      <w:marLeft w:val="0"/>
      <w:marRight w:val="0"/>
      <w:marTop w:val="0"/>
      <w:marBottom w:val="0"/>
      <w:divBdr>
        <w:top w:val="none" w:sz="0" w:space="0" w:color="auto"/>
        <w:left w:val="none" w:sz="0" w:space="0" w:color="auto"/>
        <w:bottom w:val="none" w:sz="0" w:space="0" w:color="auto"/>
        <w:right w:val="none" w:sz="0" w:space="0" w:color="auto"/>
      </w:divBdr>
    </w:div>
    <w:div w:id="1528831916">
      <w:bodyDiv w:val="1"/>
      <w:marLeft w:val="0"/>
      <w:marRight w:val="0"/>
      <w:marTop w:val="0"/>
      <w:marBottom w:val="0"/>
      <w:divBdr>
        <w:top w:val="none" w:sz="0" w:space="0" w:color="auto"/>
        <w:left w:val="none" w:sz="0" w:space="0" w:color="auto"/>
        <w:bottom w:val="none" w:sz="0" w:space="0" w:color="auto"/>
        <w:right w:val="none" w:sz="0" w:space="0" w:color="auto"/>
      </w:divBdr>
    </w:div>
    <w:div w:id="1529103848">
      <w:bodyDiv w:val="1"/>
      <w:marLeft w:val="0"/>
      <w:marRight w:val="0"/>
      <w:marTop w:val="0"/>
      <w:marBottom w:val="0"/>
      <w:divBdr>
        <w:top w:val="none" w:sz="0" w:space="0" w:color="auto"/>
        <w:left w:val="none" w:sz="0" w:space="0" w:color="auto"/>
        <w:bottom w:val="none" w:sz="0" w:space="0" w:color="auto"/>
        <w:right w:val="none" w:sz="0" w:space="0" w:color="auto"/>
      </w:divBdr>
    </w:div>
    <w:div w:id="1549028002">
      <w:bodyDiv w:val="1"/>
      <w:marLeft w:val="0"/>
      <w:marRight w:val="0"/>
      <w:marTop w:val="0"/>
      <w:marBottom w:val="0"/>
      <w:divBdr>
        <w:top w:val="none" w:sz="0" w:space="0" w:color="auto"/>
        <w:left w:val="none" w:sz="0" w:space="0" w:color="auto"/>
        <w:bottom w:val="none" w:sz="0" w:space="0" w:color="auto"/>
        <w:right w:val="none" w:sz="0" w:space="0" w:color="auto"/>
      </w:divBdr>
    </w:div>
    <w:div w:id="1560289760">
      <w:bodyDiv w:val="1"/>
      <w:marLeft w:val="0"/>
      <w:marRight w:val="0"/>
      <w:marTop w:val="0"/>
      <w:marBottom w:val="0"/>
      <w:divBdr>
        <w:top w:val="none" w:sz="0" w:space="0" w:color="auto"/>
        <w:left w:val="none" w:sz="0" w:space="0" w:color="auto"/>
        <w:bottom w:val="none" w:sz="0" w:space="0" w:color="auto"/>
        <w:right w:val="none" w:sz="0" w:space="0" w:color="auto"/>
      </w:divBdr>
      <w:divsChild>
        <w:div w:id="1250236683">
          <w:marLeft w:val="0"/>
          <w:marRight w:val="0"/>
          <w:marTop w:val="0"/>
          <w:marBottom w:val="0"/>
          <w:divBdr>
            <w:top w:val="none" w:sz="0" w:space="0" w:color="auto"/>
            <w:left w:val="none" w:sz="0" w:space="0" w:color="auto"/>
            <w:bottom w:val="none" w:sz="0" w:space="0" w:color="auto"/>
            <w:right w:val="none" w:sz="0" w:space="0" w:color="auto"/>
          </w:divBdr>
        </w:div>
      </w:divsChild>
    </w:div>
    <w:div w:id="1563517222">
      <w:bodyDiv w:val="1"/>
      <w:marLeft w:val="0"/>
      <w:marRight w:val="0"/>
      <w:marTop w:val="0"/>
      <w:marBottom w:val="0"/>
      <w:divBdr>
        <w:top w:val="none" w:sz="0" w:space="0" w:color="auto"/>
        <w:left w:val="none" w:sz="0" w:space="0" w:color="auto"/>
        <w:bottom w:val="none" w:sz="0" w:space="0" w:color="auto"/>
        <w:right w:val="none" w:sz="0" w:space="0" w:color="auto"/>
      </w:divBdr>
    </w:div>
    <w:div w:id="1569420008">
      <w:bodyDiv w:val="1"/>
      <w:marLeft w:val="0"/>
      <w:marRight w:val="0"/>
      <w:marTop w:val="0"/>
      <w:marBottom w:val="0"/>
      <w:divBdr>
        <w:top w:val="none" w:sz="0" w:space="0" w:color="auto"/>
        <w:left w:val="none" w:sz="0" w:space="0" w:color="auto"/>
        <w:bottom w:val="none" w:sz="0" w:space="0" w:color="auto"/>
        <w:right w:val="none" w:sz="0" w:space="0" w:color="auto"/>
      </w:divBdr>
      <w:divsChild>
        <w:div w:id="1320575812">
          <w:marLeft w:val="0"/>
          <w:marRight w:val="0"/>
          <w:marTop w:val="0"/>
          <w:marBottom w:val="0"/>
          <w:divBdr>
            <w:top w:val="none" w:sz="0" w:space="0" w:color="auto"/>
            <w:left w:val="none" w:sz="0" w:space="0" w:color="auto"/>
            <w:bottom w:val="none" w:sz="0" w:space="0" w:color="auto"/>
            <w:right w:val="none" w:sz="0" w:space="0" w:color="auto"/>
          </w:divBdr>
        </w:div>
      </w:divsChild>
    </w:div>
    <w:div w:id="1591620417">
      <w:bodyDiv w:val="1"/>
      <w:marLeft w:val="0"/>
      <w:marRight w:val="0"/>
      <w:marTop w:val="0"/>
      <w:marBottom w:val="0"/>
      <w:divBdr>
        <w:top w:val="none" w:sz="0" w:space="0" w:color="auto"/>
        <w:left w:val="none" w:sz="0" w:space="0" w:color="auto"/>
        <w:bottom w:val="none" w:sz="0" w:space="0" w:color="auto"/>
        <w:right w:val="none" w:sz="0" w:space="0" w:color="auto"/>
      </w:divBdr>
    </w:div>
    <w:div w:id="1595164454">
      <w:bodyDiv w:val="1"/>
      <w:marLeft w:val="0"/>
      <w:marRight w:val="0"/>
      <w:marTop w:val="0"/>
      <w:marBottom w:val="0"/>
      <w:divBdr>
        <w:top w:val="none" w:sz="0" w:space="0" w:color="auto"/>
        <w:left w:val="none" w:sz="0" w:space="0" w:color="auto"/>
        <w:bottom w:val="none" w:sz="0" w:space="0" w:color="auto"/>
        <w:right w:val="none" w:sz="0" w:space="0" w:color="auto"/>
      </w:divBdr>
    </w:div>
    <w:div w:id="1600211305">
      <w:bodyDiv w:val="1"/>
      <w:marLeft w:val="0"/>
      <w:marRight w:val="0"/>
      <w:marTop w:val="0"/>
      <w:marBottom w:val="0"/>
      <w:divBdr>
        <w:top w:val="none" w:sz="0" w:space="0" w:color="auto"/>
        <w:left w:val="none" w:sz="0" w:space="0" w:color="auto"/>
        <w:bottom w:val="none" w:sz="0" w:space="0" w:color="auto"/>
        <w:right w:val="none" w:sz="0" w:space="0" w:color="auto"/>
      </w:divBdr>
    </w:div>
    <w:div w:id="1606114446">
      <w:bodyDiv w:val="1"/>
      <w:marLeft w:val="0"/>
      <w:marRight w:val="0"/>
      <w:marTop w:val="0"/>
      <w:marBottom w:val="0"/>
      <w:divBdr>
        <w:top w:val="none" w:sz="0" w:space="0" w:color="auto"/>
        <w:left w:val="none" w:sz="0" w:space="0" w:color="auto"/>
        <w:bottom w:val="none" w:sz="0" w:space="0" w:color="auto"/>
        <w:right w:val="none" w:sz="0" w:space="0" w:color="auto"/>
      </w:divBdr>
      <w:divsChild>
        <w:div w:id="90976258">
          <w:marLeft w:val="0"/>
          <w:marRight w:val="0"/>
          <w:marTop w:val="0"/>
          <w:marBottom w:val="0"/>
          <w:divBdr>
            <w:top w:val="none" w:sz="0" w:space="0" w:color="auto"/>
            <w:left w:val="none" w:sz="0" w:space="0" w:color="auto"/>
            <w:bottom w:val="none" w:sz="0" w:space="0" w:color="auto"/>
            <w:right w:val="none" w:sz="0" w:space="0" w:color="auto"/>
          </w:divBdr>
        </w:div>
      </w:divsChild>
    </w:div>
    <w:div w:id="1608734047">
      <w:bodyDiv w:val="1"/>
      <w:marLeft w:val="0"/>
      <w:marRight w:val="0"/>
      <w:marTop w:val="0"/>
      <w:marBottom w:val="0"/>
      <w:divBdr>
        <w:top w:val="none" w:sz="0" w:space="0" w:color="auto"/>
        <w:left w:val="none" w:sz="0" w:space="0" w:color="auto"/>
        <w:bottom w:val="none" w:sz="0" w:space="0" w:color="auto"/>
        <w:right w:val="none" w:sz="0" w:space="0" w:color="auto"/>
      </w:divBdr>
    </w:div>
    <w:div w:id="1609240662">
      <w:bodyDiv w:val="1"/>
      <w:marLeft w:val="0"/>
      <w:marRight w:val="0"/>
      <w:marTop w:val="0"/>
      <w:marBottom w:val="0"/>
      <w:divBdr>
        <w:top w:val="none" w:sz="0" w:space="0" w:color="auto"/>
        <w:left w:val="none" w:sz="0" w:space="0" w:color="auto"/>
        <w:bottom w:val="none" w:sz="0" w:space="0" w:color="auto"/>
        <w:right w:val="none" w:sz="0" w:space="0" w:color="auto"/>
      </w:divBdr>
    </w:div>
    <w:div w:id="1619097409">
      <w:bodyDiv w:val="1"/>
      <w:marLeft w:val="0"/>
      <w:marRight w:val="0"/>
      <w:marTop w:val="0"/>
      <w:marBottom w:val="0"/>
      <w:divBdr>
        <w:top w:val="none" w:sz="0" w:space="0" w:color="auto"/>
        <w:left w:val="none" w:sz="0" w:space="0" w:color="auto"/>
        <w:bottom w:val="none" w:sz="0" w:space="0" w:color="auto"/>
        <w:right w:val="none" w:sz="0" w:space="0" w:color="auto"/>
      </w:divBdr>
    </w:div>
    <w:div w:id="1625427359">
      <w:bodyDiv w:val="1"/>
      <w:marLeft w:val="0"/>
      <w:marRight w:val="0"/>
      <w:marTop w:val="0"/>
      <w:marBottom w:val="0"/>
      <w:divBdr>
        <w:top w:val="none" w:sz="0" w:space="0" w:color="auto"/>
        <w:left w:val="none" w:sz="0" w:space="0" w:color="auto"/>
        <w:bottom w:val="none" w:sz="0" w:space="0" w:color="auto"/>
        <w:right w:val="none" w:sz="0" w:space="0" w:color="auto"/>
      </w:divBdr>
    </w:div>
    <w:div w:id="1628125458">
      <w:bodyDiv w:val="1"/>
      <w:marLeft w:val="0"/>
      <w:marRight w:val="0"/>
      <w:marTop w:val="0"/>
      <w:marBottom w:val="0"/>
      <w:divBdr>
        <w:top w:val="none" w:sz="0" w:space="0" w:color="auto"/>
        <w:left w:val="none" w:sz="0" w:space="0" w:color="auto"/>
        <w:bottom w:val="none" w:sz="0" w:space="0" w:color="auto"/>
        <w:right w:val="none" w:sz="0" w:space="0" w:color="auto"/>
      </w:divBdr>
    </w:div>
    <w:div w:id="1637418864">
      <w:bodyDiv w:val="1"/>
      <w:marLeft w:val="0"/>
      <w:marRight w:val="0"/>
      <w:marTop w:val="0"/>
      <w:marBottom w:val="0"/>
      <w:divBdr>
        <w:top w:val="none" w:sz="0" w:space="0" w:color="auto"/>
        <w:left w:val="none" w:sz="0" w:space="0" w:color="auto"/>
        <w:bottom w:val="none" w:sz="0" w:space="0" w:color="auto"/>
        <w:right w:val="none" w:sz="0" w:space="0" w:color="auto"/>
      </w:divBdr>
    </w:div>
    <w:div w:id="1639677809">
      <w:bodyDiv w:val="1"/>
      <w:marLeft w:val="0"/>
      <w:marRight w:val="0"/>
      <w:marTop w:val="0"/>
      <w:marBottom w:val="0"/>
      <w:divBdr>
        <w:top w:val="none" w:sz="0" w:space="0" w:color="auto"/>
        <w:left w:val="none" w:sz="0" w:space="0" w:color="auto"/>
        <w:bottom w:val="none" w:sz="0" w:space="0" w:color="auto"/>
        <w:right w:val="none" w:sz="0" w:space="0" w:color="auto"/>
      </w:divBdr>
      <w:divsChild>
        <w:div w:id="1020008485">
          <w:marLeft w:val="0"/>
          <w:marRight w:val="0"/>
          <w:marTop w:val="0"/>
          <w:marBottom w:val="0"/>
          <w:divBdr>
            <w:top w:val="none" w:sz="0" w:space="0" w:color="auto"/>
            <w:left w:val="none" w:sz="0" w:space="0" w:color="auto"/>
            <w:bottom w:val="none" w:sz="0" w:space="0" w:color="auto"/>
            <w:right w:val="none" w:sz="0" w:space="0" w:color="auto"/>
          </w:divBdr>
          <w:divsChild>
            <w:div w:id="1506940123">
              <w:marLeft w:val="0"/>
              <w:marRight w:val="0"/>
              <w:marTop w:val="0"/>
              <w:marBottom w:val="0"/>
              <w:divBdr>
                <w:top w:val="none" w:sz="0" w:space="0" w:color="auto"/>
                <w:left w:val="none" w:sz="0" w:space="0" w:color="auto"/>
                <w:bottom w:val="none" w:sz="0" w:space="0" w:color="auto"/>
                <w:right w:val="none" w:sz="0" w:space="0" w:color="auto"/>
              </w:divBdr>
            </w:div>
            <w:div w:id="4653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74497">
      <w:bodyDiv w:val="1"/>
      <w:marLeft w:val="0"/>
      <w:marRight w:val="0"/>
      <w:marTop w:val="0"/>
      <w:marBottom w:val="0"/>
      <w:divBdr>
        <w:top w:val="none" w:sz="0" w:space="0" w:color="auto"/>
        <w:left w:val="none" w:sz="0" w:space="0" w:color="auto"/>
        <w:bottom w:val="none" w:sz="0" w:space="0" w:color="auto"/>
        <w:right w:val="none" w:sz="0" w:space="0" w:color="auto"/>
      </w:divBdr>
    </w:div>
    <w:div w:id="1666468243">
      <w:bodyDiv w:val="1"/>
      <w:marLeft w:val="0"/>
      <w:marRight w:val="0"/>
      <w:marTop w:val="0"/>
      <w:marBottom w:val="0"/>
      <w:divBdr>
        <w:top w:val="none" w:sz="0" w:space="0" w:color="auto"/>
        <w:left w:val="none" w:sz="0" w:space="0" w:color="auto"/>
        <w:bottom w:val="none" w:sz="0" w:space="0" w:color="auto"/>
        <w:right w:val="none" w:sz="0" w:space="0" w:color="auto"/>
      </w:divBdr>
    </w:div>
    <w:div w:id="1668360529">
      <w:bodyDiv w:val="1"/>
      <w:marLeft w:val="0"/>
      <w:marRight w:val="0"/>
      <w:marTop w:val="0"/>
      <w:marBottom w:val="0"/>
      <w:divBdr>
        <w:top w:val="none" w:sz="0" w:space="0" w:color="auto"/>
        <w:left w:val="none" w:sz="0" w:space="0" w:color="auto"/>
        <w:bottom w:val="none" w:sz="0" w:space="0" w:color="auto"/>
        <w:right w:val="none" w:sz="0" w:space="0" w:color="auto"/>
      </w:divBdr>
    </w:div>
    <w:div w:id="1675304791">
      <w:bodyDiv w:val="1"/>
      <w:marLeft w:val="0"/>
      <w:marRight w:val="0"/>
      <w:marTop w:val="0"/>
      <w:marBottom w:val="0"/>
      <w:divBdr>
        <w:top w:val="none" w:sz="0" w:space="0" w:color="auto"/>
        <w:left w:val="none" w:sz="0" w:space="0" w:color="auto"/>
        <w:bottom w:val="none" w:sz="0" w:space="0" w:color="auto"/>
        <w:right w:val="none" w:sz="0" w:space="0" w:color="auto"/>
      </w:divBdr>
    </w:div>
    <w:div w:id="1679233024">
      <w:bodyDiv w:val="1"/>
      <w:marLeft w:val="0"/>
      <w:marRight w:val="0"/>
      <w:marTop w:val="0"/>
      <w:marBottom w:val="0"/>
      <w:divBdr>
        <w:top w:val="none" w:sz="0" w:space="0" w:color="auto"/>
        <w:left w:val="none" w:sz="0" w:space="0" w:color="auto"/>
        <w:bottom w:val="none" w:sz="0" w:space="0" w:color="auto"/>
        <w:right w:val="none" w:sz="0" w:space="0" w:color="auto"/>
      </w:divBdr>
    </w:div>
    <w:div w:id="1688289568">
      <w:bodyDiv w:val="1"/>
      <w:marLeft w:val="0"/>
      <w:marRight w:val="0"/>
      <w:marTop w:val="0"/>
      <w:marBottom w:val="0"/>
      <w:divBdr>
        <w:top w:val="none" w:sz="0" w:space="0" w:color="auto"/>
        <w:left w:val="none" w:sz="0" w:space="0" w:color="auto"/>
        <w:bottom w:val="none" w:sz="0" w:space="0" w:color="auto"/>
        <w:right w:val="none" w:sz="0" w:space="0" w:color="auto"/>
      </w:divBdr>
      <w:divsChild>
        <w:div w:id="615676329">
          <w:marLeft w:val="-90"/>
          <w:marRight w:val="90"/>
          <w:marTop w:val="0"/>
          <w:marBottom w:val="0"/>
          <w:divBdr>
            <w:top w:val="none" w:sz="0" w:space="0" w:color="auto"/>
            <w:left w:val="none" w:sz="0" w:space="0" w:color="auto"/>
            <w:bottom w:val="none" w:sz="0" w:space="0" w:color="auto"/>
            <w:right w:val="none" w:sz="0" w:space="0" w:color="auto"/>
          </w:divBdr>
          <w:divsChild>
            <w:div w:id="1882553290">
              <w:marLeft w:val="-60"/>
              <w:marRight w:val="-60"/>
              <w:marTop w:val="0"/>
              <w:marBottom w:val="0"/>
              <w:divBdr>
                <w:top w:val="none" w:sz="0" w:space="0" w:color="auto"/>
                <w:left w:val="none" w:sz="0" w:space="0" w:color="auto"/>
                <w:bottom w:val="none" w:sz="0" w:space="0" w:color="auto"/>
                <w:right w:val="none" w:sz="0" w:space="0" w:color="auto"/>
              </w:divBdr>
              <w:divsChild>
                <w:div w:id="586959256">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1101220695">
          <w:marLeft w:val="0"/>
          <w:marRight w:val="0"/>
          <w:marTop w:val="0"/>
          <w:marBottom w:val="0"/>
          <w:divBdr>
            <w:top w:val="none" w:sz="0" w:space="0" w:color="auto"/>
            <w:left w:val="none" w:sz="0" w:space="0" w:color="auto"/>
            <w:bottom w:val="none" w:sz="0" w:space="0" w:color="auto"/>
            <w:right w:val="none" w:sz="0" w:space="0" w:color="auto"/>
          </w:divBdr>
          <w:divsChild>
            <w:div w:id="560559274">
              <w:marLeft w:val="0"/>
              <w:marRight w:val="0"/>
              <w:marTop w:val="0"/>
              <w:marBottom w:val="0"/>
              <w:divBdr>
                <w:top w:val="none" w:sz="0" w:space="0" w:color="auto"/>
                <w:left w:val="none" w:sz="0" w:space="0" w:color="auto"/>
                <w:bottom w:val="none" w:sz="0" w:space="0" w:color="auto"/>
                <w:right w:val="none" w:sz="0" w:space="0" w:color="auto"/>
              </w:divBdr>
              <w:divsChild>
                <w:div w:id="177997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45801">
      <w:bodyDiv w:val="1"/>
      <w:marLeft w:val="0"/>
      <w:marRight w:val="0"/>
      <w:marTop w:val="0"/>
      <w:marBottom w:val="0"/>
      <w:divBdr>
        <w:top w:val="none" w:sz="0" w:space="0" w:color="auto"/>
        <w:left w:val="none" w:sz="0" w:space="0" w:color="auto"/>
        <w:bottom w:val="none" w:sz="0" w:space="0" w:color="auto"/>
        <w:right w:val="none" w:sz="0" w:space="0" w:color="auto"/>
      </w:divBdr>
    </w:div>
    <w:div w:id="1691294575">
      <w:bodyDiv w:val="1"/>
      <w:marLeft w:val="0"/>
      <w:marRight w:val="0"/>
      <w:marTop w:val="0"/>
      <w:marBottom w:val="0"/>
      <w:divBdr>
        <w:top w:val="none" w:sz="0" w:space="0" w:color="auto"/>
        <w:left w:val="none" w:sz="0" w:space="0" w:color="auto"/>
        <w:bottom w:val="none" w:sz="0" w:space="0" w:color="auto"/>
        <w:right w:val="none" w:sz="0" w:space="0" w:color="auto"/>
      </w:divBdr>
    </w:div>
    <w:div w:id="1694771178">
      <w:bodyDiv w:val="1"/>
      <w:marLeft w:val="0"/>
      <w:marRight w:val="0"/>
      <w:marTop w:val="0"/>
      <w:marBottom w:val="0"/>
      <w:divBdr>
        <w:top w:val="none" w:sz="0" w:space="0" w:color="auto"/>
        <w:left w:val="none" w:sz="0" w:space="0" w:color="auto"/>
        <w:bottom w:val="none" w:sz="0" w:space="0" w:color="auto"/>
        <w:right w:val="none" w:sz="0" w:space="0" w:color="auto"/>
      </w:divBdr>
    </w:div>
    <w:div w:id="1696538389">
      <w:bodyDiv w:val="1"/>
      <w:marLeft w:val="0"/>
      <w:marRight w:val="0"/>
      <w:marTop w:val="0"/>
      <w:marBottom w:val="0"/>
      <w:divBdr>
        <w:top w:val="none" w:sz="0" w:space="0" w:color="auto"/>
        <w:left w:val="none" w:sz="0" w:space="0" w:color="auto"/>
        <w:bottom w:val="none" w:sz="0" w:space="0" w:color="auto"/>
        <w:right w:val="none" w:sz="0" w:space="0" w:color="auto"/>
      </w:divBdr>
      <w:divsChild>
        <w:div w:id="18162854">
          <w:marLeft w:val="0"/>
          <w:marRight w:val="0"/>
          <w:marTop w:val="0"/>
          <w:marBottom w:val="0"/>
          <w:divBdr>
            <w:top w:val="none" w:sz="0" w:space="0" w:color="auto"/>
            <w:left w:val="none" w:sz="0" w:space="0" w:color="auto"/>
            <w:bottom w:val="none" w:sz="0" w:space="0" w:color="auto"/>
            <w:right w:val="none" w:sz="0" w:space="0" w:color="auto"/>
          </w:divBdr>
        </w:div>
        <w:div w:id="91976166">
          <w:marLeft w:val="0"/>
          <w:marRight w:val="0"/>
          <w:marTop w:val="0"/>
          <w:marBottom w:val="0"/>
          <w:divBdr>
            <w:top w:val="none" w:sz="0" w:space="0" w:color="auto"/>
            <w:left w:val="none" w:sz="0" w:space="0" w:color="auto"/>
            <w:bottom w:val="none" w:sz="0" w:space="0" w:color="auto"/>
            <w:right w:val="none" w:sz="0" w:space="0" w:color="auto"/>
          </w:divBdr>
        </w:div>
        <w:div w:id="139424227">
          <w:marLeft w:val="0"/>
          <w:marRight w:val="0"/>
          <w:marTop w:val="0"/>
          <w:marBottom w:val="0"/>
          <w:divBdr>
            <w:top w:val="none" w:sz="0" w:space="0" w:color="auto"/>
            <w:left w:val="none" w:sz="0" w:space="0" w:color="auto"/>
            <w:bottom w:val="none" w:sz="0" w:space="0" w:color="auto"/>
            <w:right w:val="none" w:sz="0" w:space="0" w:color="auto"/>
          </w:divBdr>
        </w:div>
        <w:div w:id="142431855">
          <w:marLeft w:val="0"/>
          <w:marRight w:val="0"/>
          <w:marTop w:val="0"/>
          <w:marBottom w:val="0"/>
          <w:divBdr>
            <w:top w:val="none" w:sz="0" w:space="0" w:color="auto"/>
            <w:left w:val="none" w:sz="0" w:space="0" w:color="auto"/>
            <w:bottom w:val="none" w:sz="0" w:space="0" w:color="auto"/>
            <w:right w:val="none" w:sz="0" w:space="0" w:color="auto"/>
          </w:divBdr>
        </w:div>
        <w:div w:id="166022272">
          <w:marLeft w:val="0"/>
          <w:marRight w:val="0"/>
          <w:marTop w:val="0"/>
          <w:marBottom w:val="0"/>
          <w:divBdr>
            <w:top w:val="none" w:sz="0" w:space="0" w:color="auto"/>
            <w:left w:val="none" w:sz="0" w:space="0" w:color="auto"/>
            <w:bottom w:val="none" w:sz="0" w:space="0" w:color="auto"/>
            <w:right w:val="none" w:sz="0" w:space="0" w:color="auto"/>
          </w:divBdr>
        </w:div>
        <w:div w:id="226959902">
          <w:marLeft w:val="0"/>
          <w:marRight w:val="0"/>
          <w:marTop w:val="0"/>
          <w:marBottom w:val="0"/>
          <w:divBdr>
            <w:top w:val="none" w:sz="0" w:space="0" w:color="auto"/>
            <w:left w:val="none" w:sz="0" w:space="0" w:color="auto"/>
            <w:bottom w:val="none" w:sz="0" w:space="0" w:color="auto"/>
            <w:right w:val="none" w:sz="0" w:space="0" w:color="auto"/>
          </w:divBdr>
        </w:div>
        <w:div w:id="249118123">
          <w:marLeft w:val="0"/>
          <w:marRight w:val="0"/>
          <w:marTop w:val="0"/>
          <w:marBottom w:val="0"/>
          <w:divBdr>
            <w:top w:val="none" w:sz="0" w:space="0" w:color="auto"/>
            <w:left w:val="none" w:sz="0" w:space="0" w:color="auto"/>
            <w:bottom w:val="none" w:sz="0" w:space="0" w:color="auto"/>
            <w:right w:val="none" w:sz="0" w:space="0" w:color="auto"/>
          </w:divBdr>
        </w:div>
        <w:div w:id="251202498">
          <w:marLeft w:val="0"/>
          <w:marRight w:val="0"/>
          <w:marTop w:val="0"/>
          <w:marBottom w:val="0"/>
          <w:divBdr>
            <w:top w:val="none" w:sz="0" w:space="0" w:color="auto"/>
            <w:left w:val="none" w:sz="0" w:space="0" w:color="auto"/>
            <w:bottom w:val="none" w:sz="0" w:space="0" w:color="auto"/>
            <w:right w:val="none" w:sz="0" w:space="0" w:color="auto"/>
          </w:divBdr>
        </w:div>
        <w:div w:id="281035115">
          <w:marLeft w:val="0"/>
          <w:marRight w:val="0"/>
          <w:marTop w:val="0"/>
          <w:marBottom w:val="0"/>
          <w:divBdr>
            <w:top w:val="none" w:sz="0" w:space="0" w:color="auto"/>
            <w:left w:val="none" w:sz="0" w:space="0" w:color="auto"/>
            <w:bottom w:val="none" w:sz="0" w:space="0" w:color="auto"/>
            <w:right w:val="none" w:sz="0" w:space="0" w:color="auto"/>
          </w:divBdr>
        </w:div>
        <w:div w:id="292367976">
          <w:marLeft w:val="0"/>
          <w:marRight w:val="0"/>
          <w:marTop w:val="0"/>
          <w:marBottom w:val="0"/>
          <w:divBdr>
            <w:top w:val="none" w:sz="0" w:space="0" w:color="auto"/>
            <w:left w:val="none" w:sz="0" w:space="0" w:color="auto"/>
            <w:bottom w:val="none" w:sz="0" w:space="0" w:color="auto"/>
            <w:right w:val="none" w:sz="0" w:space="0" w:color="auto"/>
          </w:divBdr>
        </w:div>
        <w:div w:id="311449233">
          <w:marLeft w:val="0"/>
          <w:marRight w:val="0"/>
          <w:marTop w:val="0"/>
          <w:marBottom w:val="0"/>
          <w:divBdr>
            <w:top w:val="none" w:sz="0" w:space="0" w:color="auto"/>
            <w:left w:val="none" w:sz="0" w:space="0" w:color="auto"/>
            <w:bottom w:val="none" w:sz="0" w:space="0" w:color="auto"/>
            <w:right w:val="none" w:sz="0" w:space="0" w:color="auto"/>
          </w:divBdr>
        </w:div>
        <w:div w:id="367681423">
          <w:marLeft w:val="0"/>
          <w:marRight w:val="0"/>
          <w:marTop w:val="0"/>
          <w:marBottom w:val="0"/>
          <w:divBdr>
            <w:top w:val="none" w:sz="0" w:space="0" w:color="auto"/>
            <w:left w:val="none" w:sz="0" w:space="0" w:color="auto"/>
            <w:bottom w:val="none" w:sz="0" w:space="0" w:color="auto"/>
            <w:right w:val="none" w:sz="0" w:space="0" w:color="auto"/>
          </w:divBdr>
        </w:div>
        <w:div w:id="370614347">
          <w:marLeft w:val="0"/>
          <w:marRight w:val="0"/>
          <w:marTop w:val="0"/>
          <w:marBottom w:val="0"/>
          <w:divBdr>
            <w:top w:val="none" w:sz="0" w:space="0" w:color="auto"/>
            <w:left w:val="none" w:sz="0" w:space="0" w:color="auto"/>
            <w:bottom w:val="none" w:sz="0" w:space="0" w:color="auto"/>
            <w:right w:val="none" w:sz="0" w:space="0" w:color="auto"/>
          </w:divBdr>
        </w:div>
        <w:div w:id="372269927">
          <w:marLeft w:val="0"/>
          <w:marRight w:val="0"/>
          <w:marTop w:val="0"/>
          <w:marBottom w:val="0"/>
          <w:divBdr>
            <w:top w:val="none" w:sz="0" w:space="0" w:color="auto"/>
            <w:left w:val="none" w:sz="0" w:space="0" w:color="auto"/>
            <w:bottom w:val="none" w:sz="0" w:space="0" w:color="auto"/>
            <w:right w:val="none" w:sz="0" w:space="0" w:color="auto"/>
          </w:divBdr>
        </w:div>
        <w:div w:id="416942373">
          <w:marLeft w:val="0"/>
          <w:marRight w:val="0"/>
          <w:marTop w:val="0"/>
          <w:marBottom w:val="0"/>
          <w:divBdr>
            <w:top w:val="none" w:sz="0" w:space="0" w:color="auto"/>
            <w:left w:val="none" w:sz="0" w:space="0" w:color="auto"/>
            <w:bottom w:val="none" w:sz="0" w:space="0" w:color="auto"/>
            <w:right w:val="none" w:sz="0" w:space="0" w:color="auto"/>
          </w:divBdr>
        </w:div>
        <w:div w:id="419373097">
          <w:marLeft w:val="0"/>
          <w:marRight w:val="0"/>
          <w:marTop w:val="0"/>
          <w:marBottom w:val="0"/>
          <w:divBdr>
            <w:top w:val="none" w:sz="0" w:space="0" w:color="auto"/>
            <w:left w:val="none" w:sz="0" w:space="0" w:color="auto"/>
            <w:bottom w:val="none" w:sz="0" w:space="0" w:color="auto"/>
            <w:right w:val="none" w:sz="0" w:space="0" w:color="auto"/>
          </w:divBdr>
        </w:div>
        <w:div w:id="422146834">
          <w:marLeft w:val="0"/>
          <w:marRight w:val="0"/>
          <w:marTop w:val="0"/>
          <w:marBottom w:val="0"/>
          <w:divBdr>
            <w:top w:val="none" w:sz="0" w:space="0" w:color="auto"/>
            <w:left w:val="none" w:sz="0" w:space="0" w:color="auto"/>
            <w:bottom w:val="none" w:sz="0" w:space="0" w:color="auto"/>
            <w:right w:val="none" w:sz="0" w:space="0" w:color="auto"/>
          </w:divBdr>
        </w:div>
        <w:div w:id="452476780">
          <w:marLeft w:val="0"/>
          <w:marRight w:val="0"/>
          <w:marTop w:val="0"/>
          <w:marBottom w:val="0"/>
          <w:divBdr>
            <w:top w:val="none" w:sz="0" w:space="0" w:color="auto"/>
            <w:left w:val="none" w:sz="0" w:space="0" w:color="auto"/>
            <w:bottom w:val="none" w:sz="0" w:space="0" w:color="auto"/>
            <w:right w:val="none" w:sz="0" w:space="0" w:color="auto"/>
          </w:divBdr>
        </w:div>
        <w:div w:id="454250968">
          <w:marLeft w:val="0"/>
          <w:marRight w:val="0"/>
          <w:marTop w:val="0"/>
          <w:marBottom w:val="0"/>
          <w:divBdr>
            <w:top w:val="none" w:sz="0" w:space="0" w:color="auto"/>
            <w:left w:val="none" w:sz="0" w:space="0" w:color="auto"/>
            <w:bottom w:val="none" w:sz="0" w:space="0" w:color="auto"/>
            <w:right w:val="none" w:sz="0" w:space="0" w:color="auto"/>
          </w:divBdr>
        </w:div>
        <w:div w:id="454493320">
          <w:marLeft w:val="0"/>
          <w:marRight w:val="0"/>
          <w:marTop w:val="0"/>
          <w:marBottom w:val="0"/>
          <w:divBdr>
            <w:top w:val="none" w:sz="0" w:space="0" w:color="auto"/>
            <w:left w:val="none" w:sz="0" w:space="0" w:color="auto"/>
            <w:bottom w:val="none" w:sz="0" w:space="0" w:color="auto"/>
            <w:right w:val="none" w:sz="0" w:space="0" w:color="auto"/>
          </w:divBdr>
        </w:div>
        <w:div w:id="455298779">
          <w:marLeft w:val="0"/>
          <w:marRight w:val="0"/>
          <w:marTop w:val="0"/>
          <w:marBottom w:val="0"/>
          <w:divBdr>
            <w:top w:val="none" w:sz="0" w:space="0" w:color="auto"/>
            <w:left w:val="none" w:sz="0" w:space="0" w:color="auto"/>
            <w:bottom w:val="none" w:sz="0" w:space="0" w:color="auto"/>
            <w:right w:val="none" w:sz="0" w:space="0" w:color="auto"/>
          </w:divBdr>
        </w:div>
        <w:div w:id="455756881">
          <w:marLeft w:val="0"/>
          <w:marRight w:val="0"/>
          <w:marTop w:val="0"/>
          <w:marBottom w:val="0"/>
          <w:divBdr>
            <w:top w:val="none" w:sz="0" w:space="0" w:color="auto"/>
            <w:left w:val="none" w:sz="0" w:space="0" w:color="auto"/>
            <w:bottom w:val="none" w:sz="0" w:space="0" w:color="auto"/>
            <w:right w:val="none" w:sz="0" w:space="0" w:color="auto"/>
          </w:divBdr>
        </w:div>
        <w:div w:id="480776099">
          <w:marLeft w:val="0"/>
          <w:marRight w:val="0"/>
          <w:marTop w:val="0"/>
          <w:marBottom w:val="0"/>
          <w:divBdr>
            <w:top w:val="none" w:sz="0" w:space="0" w:color="auto"/>
            <w:left w:val="none" w:sz="0" w:space="0" w:color="auto"/>
            <w:bottom w:val="none" w:sz="0" w:space="0" w:color="auto"/>
            <w:right w:val="none" w:sz="0" w:space="0" w:color="auto"/>
          </w:divBdr>
        </w:div>
        <w:div w:id="489249812">
          <w:marLeft w:val="0"/>
          <w:marRight w:val="0"/>
          <w:marTop w:val="0"/>
          <w:marBottom w:val="0"/>
          <w:divBdr>
            <w:top w:val="none" w:sz="0" w:space="0" w:color="auto"/>
            <w:left w:val="none" w:sz="0" w:space="0" w:color="auto"/>
            <w:bottom w:val="none" w:sz="0" w:space="0" w:color="auto"/>
            <w:right w:val="none" w:sz="0" w:space="0" w:color="auto"/>
          </w:divBdr>
        </w:div>
        <w:div w:id="510409371">
          <w:marLeft w:val="0"/>
          <w:marRight w:val="0"/>
          <w:marTop w:val="0"/>
          <w:marBottom w:val="0"/>
          <w:divBdr>
            <w:top w:val="none" w:sz="0" w:space="0" w:color="auto"/>
            <w:left w:val="none" w:sz="0" w:space="0" w:color="auto"/>
            <w:bottom w:val="none" w:sz="0" w:space="0" w:color="auto"/>
            <w:right w:val="none" w:sz="0" w:space="0" w:color="auto"/>
          </w:divBdr>
        </w:div>
        <w:div w:id="510949350">
          <w:marLeft w:val="0"/>
          <w:marRight w:val="0"/>
          <w:marTop w:val="0"/>
          <w:marBottom w:val="0"/>
          <w:divBdr>
            <w:top w:val="none" w:sz="0" w:space="0" w:color="auto"/>
            <w:left w:val="none" w:sz="0" w:space="0" w:color="auto"/>
            <w:bottom w:val="none" w:sz="0" w:space="0" w:color="auto"/>
            <w:right w:val="none" w:sz="0" w:space="0" w:color="auto"/>
          </w:divBdr>
        </w:div>
        <w:div w:id="523447244">
          <w:marLeft w:val="0"/>
          <w:marRight w:val="0"/>
          <w:marTop w:val="0"/>
          <w:marBottom w:val="0"/>
          <w:divBdr>
            <w:top w:val="none" w:sz="0" w:space="0" w:color="auto"/>
            <w:left w:val="none" w:sz="0" w:space="0" w:color="auto"/>
            <w:bottom w:val="none" w:sz="0" w:space="0" w:color="auto"/>
            <w:right w:val="none" w:sz="0" w:space="0" w:color="auto"/>
          </w:divBdr>
        </w:div>
        <w:div w:id="566383484">
          <w:marLeft w:val="0"/>
          <w:marRight w:val="0"/>
          <w:marTop w:val="0"/>
          <w:marBottom w:val="0"/>
          <w:divBdr>
            <w:top w:val="none" w:sz="0" w:space="0" w:color="auto"/>
            <w:left w:val="none" w:sz="0" w:space="0" w:color="auto"/>
            <w:bottom w:val="none" w:sz="0" w:space="0" w:color="auto"/>
            <w:right w:val="none" w:sz="0" w:space="0" w:color="auto"/>
          </w:divBdr>
        </w:div>
        <w:div w:id="582490776">
          <w:marLeft w:val="0"/>
          <w:marRight w:val="0"/>
          <w:marTop w:val="0"/>
          <w:marBottom w:val="0"/>
          <w:divBdr>
            <w:top w:val="none" w:sz="0" w:space="0" w:color="auto"/>
            <w:left w:val="none" w:sz="0" w:space="0" w:color="auto"/>
            <w:bottom w:val="none" w:sz="0" w:space="0" w:color="auto"/>
            <w:right w:val="none" w:sz="0" w:space="0" w:color="auto"/>
          </w:divBdr>
        </w:div>
        <w:div w:id="599870704">
          <w:marLeft w:val="0"/>
          <w:marRight w:val="0"/>
          <w:marTop w:val="0"/>
          <w:marBottom w:val="0"/>
          <w:divBdr>
            <w:top w:val="none" w:sz="0" w:space="0" w:color="auto"/>
            <w:left w:val="none" w:sz="0" w:space="0" w:color="auto"/>
            <w:bottom w:val="none" w:sz="0" w:space="0" w:color="auto"/>
            <w:right w:val="none" w:sz="0" w:space="0" w:color="auto"/>
          </w:divBdr>
        </w:div>
        <w:div w:id="662010988">
          <w:marLeft w:val="0"/>
          <w:marRight w:val="0"/>
          <w:marTop w:val="0"/>
          <w:marBottom w:val="0"/>
          <w:divBdr>
            <w:top w:val="none" w:sz="0" w:space="0" w:color="auto"/>
            <w:left w:val="none" w:sz="0" w:space="0" w:color="auto"/>
            <w:bottom w:val="none" w:sz="0" w:space="0" w:color="auto"/>
            <w:right w:val="none" w:sz="0" w:space="0" w:color="auto"/>
          </w:divBdr>
        </w:div>
        <w:div w:id="678965849">
          <w:marLeft w:val="0"/>
          <w:marRight w:val="0"/>
          <w:marTop w:val="0"/>
          <w:marBottom w:val="0"/>
          <w:divBdr>
            <w:top w:val="none" w:sz="0" w:space="0" w:color="auto"/>
            <w:left w:val="none" w:sz="0" w:space="0" w:color="auto"/>
            <w:bottom w:val="none" w:sz="0" w:space="0" w:color="auto"/>
            <w:right w:val="none" w:sz="0" w:space="0" w:color="auto"/>
          </w:divBdr>
        </w:div>
        <w:div w:id="696468712">
          <w:marLeft w:val="0"/>
          <w:marRight w:val="0"/>
          <w:marTop w:val="0"/>
          <w:marBottom w:val="0"/>
          <w:divBdr>
            <w:top w:val="none" w:sz="0" w:space="0" w:color="auto"/>
            <w:left w:val="none" w:sz="0" w:space="0" w:color="auto"/>
            <w:bottom w:val="none" w:sz="0" w:space="0" w:color="auto"/>
            <w:right w:val="none" w:sz="0" w:space="0" w:color="auto"/>
          </w:divBdr>
        </w:div>
        <w:div w:id="756170105">
          <w:marLeft w:val="0"/>
          <w:marRight w:val="0"/>
          <w:marTop w:val="0"/>
          <w:marBottom w:val="0"/>
          <w:divBdr>
            <w:top w:val="none" w:sz="0" w:space="0" w:color="auto"/>
            <w:left w:val="none" w:sz="0" w:space="0" w:color="auto"/>
            <w:bottom w:val="none" w:sz="0" w:space="0" w:color="auto"/>
            <w:right w:val="none" w:sz="0" w:space="0" w:color="auto"/>
          </w:divBdr>
        </w:div>
        <w:div w:id="775179823">
          <w:marLeft w:val="0"/>
          <w:marRight w:val="0"/>
          <w:marTop w:val="0"/>
          <w:marBottom w:val="0"/>
          <w:divBdr>
            <w:top w:val="none" w:sz="0" w:space="0" w:color="auto"/>
            <w:left w:val="none" w:sz="0" w:space="0" w:color="auto"/>
            <w:bottom w:val="none" w:sz="0" w:space="0" w:color="auto"/>
            <w:right w:val="none" w:sz="0" w:space="0" w:color="auto"/>
          </w:divBdr>
        </w:div>
        <w:div w:id="825897060">
          <w:marLeft w:val="0"/>
          <w:marRight w:val="0"/>
          <w:marTop w:val="0"/>
          <w:marBottom w:val="0"/>
          <w:divBdr>
            <w:top w:val="none" w:sz="0" w:space="0" w:color="auto"/>
            <w:left w:val="none" w:sz="0" w:space="0" w:color="auto"/>
            <w:bottom w:val="none" w:sz="0" w:space="0" w:color="auto"/>
            <w:right w:val="none" w:sz="0" w:space="0" w:color="auto"/>
          </w:divBdr>
        </w:div>
        <w:div w:id="868952353">
          <w:marLeft w:val="0"/>
          <w:marRight w:val="0"/>
          <w:marTop w:val="0"/>
          <w:marBottom w:val="0"/>
          <w:divBdr>
            <w:top w:val="none" w:sz="0" w:space="0" w:color="auto"/>
            <w:left w:val="none" w:sz="0" w:space="0" w:color="auto"/>
            <w:bottom w:val="none" w:sz="0" w:space="0" w:color="auto"/>
            <w:right w:val="none" w:sz="0" w:space="0" w:color="auto"/>
          </w:divBdr>
        </w:div>
        <w:div w:id="881132136">
          <w:marLeft w:val="0"/>
          <w:marRight w:val="0"/>
          <w:marTop w:val="0"/>
          <w:marBottom w:val="0"/>
          <w:divBdr>
            <w:top w:val="none" w:sz="0" w:space="0" w:color="auto"/>
            <w:left w:val="none" w:sz="0" w:space="0" w:color="auto"/>
            <w:bottom w:val="none" w:sz="0" w:space="0" w:color="auto"/>
            <w:right w:val="none" w:sz="0" w:space="0" w:color="auto"/>
          </w:divBdr>
        </w:div>
        <w:div w:id="882519602">
          <w:marLeft w:val="0"/>
          <w:marRight w:val="0"/>
          <w:marTop w:val="0"/>
          <w:marBottom w:val="0"/>
          <w:divBdr>
            <w:top w:val="none" w:sz="0" w:space="0" w:color="auto"/>
            <w:left w:val="none" w:sz="0" w:space="0" w:color="auto"/>
            <w:bottom w:val="none" w:sz="0" w:space="0" w:color="auto"/>
            <w:right w:val="none" w:sz="0" w:space="0" w:color="auto"/>
          </w:divBdr>
        </w:div>
        <w:div w:id="883710203">
          <w:marLeft w:val="0"/>
          <w:marRight w:val="0"/>
          <w:marTop w:val="0"/>
          <w:marBottom w:val="0"/>
          <w:divBdr>
            <w:top w:val="none" w:sz="0" w:space="0" w:color="auto"/>
            <w:left w:val="none" w:sz="0" w:space="0" w:color="auto"/>
            <w:bottom w:val="none" w:sz="0" w:space="0" w:color="auto"/>
            <w:right w:val="none" w:sz="0" w:space="0" w:color="auto"/>
          </w:divBdr>
        </w:div>
        <w:div w:id="893852544">
          <w:marLeft w:val="0"/>
          <w:marRight w:val="0"/>
          <w:marTop w:val="0"/>
          <w:marBottom w:val="0"/>
          <w:divBdr>
            <w:top w:val="none" w:sz="0" w:space="0" w:color="auto"/>
            <w:left w:val="none" w:sz="0" w:space="0" w:color="auto"/>
            <w:bottom w:val="none" w:sz="0" w:space="0" w:color="auto"/>
            <w:right w:val="none" w:sz="0" w:space="0" w:color="auto"/>
          </w:divBdr>
        </w:div>
        <w:div w:id="899244245">
          <w:marLeft w:val="0"/>
          <w:marRight w:val="0"/>
          <w:marTop w:val="0"/>
          <w:marBottom w:val="0"/>
          <w:divBdr>
            <w:top w:val="none" w:sz="0" w:space="0" w:color="auto"/>
            <w:left w:val="none" w:sz="0" w:space="0" w:color="auto"/>
            <w:bottom w:val="none" w:sz="0" w:space="0" w:color="auto"/>
            <w:right w:val="none" w:sz="0" w:space="0" w:color="auto"/>
          </w:divBdr>
        </w:div>
        <w:div w:id="918636820">
          <w:marLeft w:val="0"/>
          <w:marRight w:val="0"/>
          <w:marTop w:val="0"/>
          <w:marBottom w:val="0"/>
          <w:divBdr>
            <w:top w:val="none" w:sz="0" w:space="0" w:color="auto"/>
            <w:left w:val="none" w:sz="0" w:space="0" w:color="auto"/>
            <w:bottom w:val="none" w:sz="0" w:space="0" w:color="auto"/>
            <w:right w:val="none" w:sz="0" w:space="0" w:color="auto"/>
          </w:divBdr>
        </w:div>
        <w:div w:id="918907715">
          <w:marLeft w:val="0"/>
          <w:marRight w:val="0"/>
          <w:marTop w:val="0"/>
          <w:marBottom w:val="0"/>
          <w:divBdr>
            <w:top w:val="none" w:sz="0" w:space="0" w:color="auto"/>
            <w:left w:val="none" w:sz="0" w:space="0" w:color="auto"/>
            <w:bottom w:val="none" w:sz="0" w:space="0" w:color="auto"/>
            <w:right w:val="none" w:sz="0" w:space="0" w:color="auto"/>
          </w:divBdr>
        </w:div>
        <w:div w:id="949702773">
          <w:marLeft w:val="0"/>
          <w:marRight w:val="0"/>
          <w:marTop w:val="0"/>
          <w:marBottom w:val="0"/>
          <w:divBdr>
            <w:top w:val="none" w:sz="0" w:space="0" w:color="auto"/>
            <w:left w:val="none" w:sz="0" w:space="0" w:color="auto"/>
            <w:bottom w:val="none" w:sz="0" w:space="0" w:color="auto"/>
            <w:right w:val="none" w:sz="0" w:space="0" w:color="auto"/>
          </w:divBdr>
        </w:div>
        <w:div w:id="955526246">
          <w:marLeft w:val="0"/>
          <w:marRight w:val="0"/>
          <w:marTop w:val="0"/>
          <w:marBottom w:val="0"/>
          <w:divBdr>
            <w:top w:val="none" w:sz="0" w:space="0" w:color="auto"/>
            <w:left w:val="none" w:sz="0" w:space="0" w:color="auto"/>
            <w:bottom w:val="none" w:sz="0" w:space="0" w:color="auto"/>
            <w:right w:val="none" w:sz="0" w:space="0" w:color="auto"/>
          </w:divBdr>
        </w:div>
        <w:div w:id="984314375">
          <w:marLeft w:val="0"/>
          <w:marRight w:val="0"/>
          <w:marTop w:val="0"/>
          <w:marBottom w:val="0"/>
          <w:divBdr>
            <w:top w:val="none" w:sz="0" w:space="0" w:color="auto"/>
            <w:left w:val="none" w:sz="0" w:space="0" w:color="auto"/>
            <w:bottom w:val="none" w:sz="0" w:space="0" w:color="auto"/>
            <w:right w:val="none" w:sz="0" w:space="0" w:color="auto"/>
          </w:divBdr>
        </w:div>
        <w:div w:id="1013068626">
          <w:marLeft w:val="0"/>
          <w:marRight w:val="0"/>
          <w:marTop w:val="0"/>
          <w:marBottom w:val="0"/>
          <w:divBdr>
            <w:top w:val="none" w:sz="0" w:space="0" w:color="auto"/>
            <w:left w:val="none" w:sz="0" w:space="0" w:color="auto"/>
            <w:bottom w:val="none" w:sz="0" w:space="0" w:color="auto"/>
            <w:right w:val="none" w:sz="0" w:space="0" w:color="auto"/>
          </w:divBdr>
        </w:div>
        <w:div w:id="1031960589">
          <w:marLeft w:val="0"/>
          <w:marRight w:val="0"/>
          <w:marTop w:val="0"/>
          <w:marBottom w:val="0"/>
          <w:divBdr>
            <w:top w:val="none" w:sz="0" w:space="0" w:color="auto"/>
            <w:left w:val="none" w:sz="0" w:space="0" w:color="auto"/>
            <w:bottom w:val="none" w:sz="0" w:space="0" w:color="auto"/>
            <w:right w:val="none" w:sz="0" w:space="0" w:color="auto"/>
          </w:divBdr>
        </w:div>
        <w:div w:id="1038821177">
          <w:marLeft w:val="0"/>
          <w:marRight w:val="0"/>
          <w:marTop w:val="0"/>
          <w:marBottom w:val="0"/>
          <w:divBdr>
            <w:top w:val="none" w:sz="0" w:space="0" w:color="auto"/>
            <w:left w:val="none" w:sz="0" w:space="0" w:color="auto"/>
            <w:bottom w:val="none" w:sz="0" w:space="0" w:color="auto"/>
            <w:right w:val="none" w:sz="0" w:space="0" w:color="auto"/>
          </w:divBdr>
        </w:div>
        <w:div w:id="1039822427">
          <w:marLeft w:val="0"/>
          <w:marRight w:val="0"/>
          <w:marTop w:val="0"/>
          <w:marBottom w:val="0"/>
          <w:divBdr>
            <w:top w:val="none" w:sz="0" w:space="0" w:color="auto"/>
            <w:left w:val="none" w:sz="0" w:space="0" w:color="auto"/>
            <w:bottom w:val="none" w:sz="0" w:space="0" w:color="auto"/>
            <w:right w:val="none" w:sz="0" w:space="0" w:color="auto"/>
          </w:divBdr>
        </w:div>
        <w:div w:id="1055397909">
          <w:marLeft w:val="0"/>
          <w:marRight w:val="0"/>
          <w:marTop w:val="0"/>
          <w:marBottom w:val="0"/>
          <w:divBdr>
            <w:top w:val="none" w:sz="0" w:space="0" w:color="auto"/>
            <w:left w:val="none" w:sz="0" w:space="0" w:color="auto"/>
            <w:bottom w:val="none" w:sz="0" w:space="0" w:color="auto"/>
            <w:right w:val="none" w:sz="0" w:space="0" w:color="auto"/>
          </w:divBdr>
        </w:div>
        <w:div w:id="1058477915">
          <w:marLeft w:val="0"/>
          <w:marRight w:val="0"/>
          <w:marTop w:val="0"/>
          <w:marBottom w:val="0"/>
          <w:divBdr>
            <w:top w:val="none" w:sz="0" w:space="0" w:color="auto"/>
            <w:left w:val="none" w:sz="0" w:space="0" w:color="auto"/>
            <w:bottom w:val="none" w:sz="0" w:space="0" w:color="auto"/>
            <w:right w:val="none" w:sz="0" w:space="0" w:color="auto"/>
          </w:divBdr>
        </w:div>
        <w:div w:id="1095908229">
          <w:marLeft w:val="0"/>
          <w:marRight w:val="0"/>
          <w:marTop w:val="0"/>
          <w:marBottom w:val="0"/>
          <w:divBdr>
            <w:top w:val="none" w:sz="0" w:space="0" w:color="auto"/>
            <w:left w:val="none" w:sz="0" w:space="0" w:color="auto"/>
            <w:bottom w:val="none" w:sz="0" w:space="0" w:color="auto"/>
            <w:right w:val="none" w:sz="0" w:space="0" w:color="auto"/>
          </w:divBdr>
        </w:div>
        <w:div w:id="1157916036">
          <w:marLeft w:val="0"/>
          <w:marRight w:val="0"/>
          <w:marTop w:val="0"/>
          <w:marBottom w:val="0"/>
          <w:divBdr>
            <w:top w:val="none" w:sz="0" w:space="0" w:color="auto"/>
            <w:left w:val="none" w:sz="0" w:space="0" w:color="auto"/>
            <w:bottom w:val="none" w:sz="0" w:space="0" w:color="auto"/>
            <w:right w:val="none" w:sz="0" w:space="0" w:color="auto"/>
          </w:divBdr>
        </w:div>
        <w:div w:id="1220358031">
          <w:marLeft w:val="0"/>
          <w:marRight w:val="0"/>
          <w:marTop w:val="0"/>
          <w:marBottom w:val="0"/>
          <w:divBdr>
            <w:top w:val="none" w:sz="0" w:space="0" w:color="auto"/>
            <w:left w:val="none" w:sz="0" w:space="0" w:color="auto"/>
            <w:bottom w:val="none" w:sz="0" w:space="0" w:color="auto"/>
            <w:right w:val="none" w:sz="0" w:space="0" w:color="auto"/>
          </w:divBdr>
        </w:div>
        <w:div w:id="1225144040">
          <w:marLeft w:val="0"/>
          <w:marRight w:val="0"/>
          <w:marTop w:val="0"/>
          <w:marBottom w:val="0"/>
          <w:divBdr>
            <w:top w:val="none" w:sz="0" w:space="0" w:color="auto"/>
            <w:left w:val="none" w:sz="0" w:space="0" w:color="auto"/>
            <w:bottom w:val="none" w:sz="0" w:space="0" w:color="auto"/>
            <w:right w:val="none" w:sz="0" w:space="0" w:color="auto"/>
          </w:divBdr>
        </w:div>
        <w:div w:id="1261528546">
          <w:marLeft w:val="0"/>
          <w:marRight w:val="0"/>
          <w:marTop w:val="0"/>
          <w:marBottom w:val="0"/>
          <w:divBdr>
            <w:top w:val="none" w:sz="0" w:space="0" w:color="auto"/>
            <w:left w:val="none" w:sz="0" w:space="0" w:color="auto"/>
            <w:bottom w:val="none" w:sz="0" w:space="0" w:color="auto"/>
            <w:right w:val="none" w:sz="0" w:space="0" w:color="auto"/>
          </w:divBdr>
        </w:div>
        <w:div w:id="1280142826">
          <w:marLeft w:val="0"/>
          <w:marRight w:val="0"/>
          <w:marTop w:val="0"/>
          <w:marBottom w:val="0"/>
          <w:divBdr>
            <w:top w:val="none" w:sz="0" w:space="0" w:color="auto"/>
            <w:left w:val="none" w:sz="0" w:space="0" w:color="auto"/>
            <w:bottom w:val="none" w:sz="0" w:space="0" w:color="auto"/>
            <w:right w:val="none" w:sz="0" w:space="0" w:color="auto"/>
          </w:divBdr>
        </w:div>
        <w:div w:id="1282879921">
          <w:marLeft w:val="0"/>
          <w:marRight w:val="0"/>
          <w:marTop w:val="0"/>
          <w:marBottom w:val="0"/>
          <w:divBdr>
            <w:top w:val="none" w:sz="0" w:space="0" w:color="auto"/>
            <w:left w:val="none" w:sz="0" w:space="0" w:color="auto"/>
            <w:bottom w:val="none" w:sz="0" w:space="0" w:color="auto"/>
            <w:right w:val="none" w:sz="0" w:space="0" w:color="auto"/>
          </w:divBdr>
        </w:div>
        <w:div w:id="1306933055">
          <w:marLeft w:val="0"/>
          <w:marRight w:val="0"/>
          <w:marTop w:val="0"/>
          <w:marBottom w:val="0"/>
          <w:divBdr>
            <w:top w:val="none" w:sz="0" w:space="0" w:color="auto"/>
            <w:left w:val="none" w:sz="0" w:space="0" w:color="auto"/>
            <w:bottom w:val="none" w:sz="0" w:space="0" w:color="auto"/>
            <w:right w:val="none" w:sz="0" w:space="0" w:color="auto"/>
          </w:divBdr>
        </w:div>
        <w:div w:id="1329407792">
          <w:marLeft w:val="0"/>
          <w:marRight w:val="0"/>
          <w:marTop w:val="0"/>
          <w:marBottom w:val="0"/>
          <w:divBdr>
            <w:top w:val="none" w:sz="0" w:space="0" w:color="auto"/>
            <w:left w:val="none" w:sz="0" w:space="0" w:color="auto"/>
            <w:bottom w:val="none" w:sz="0" w:space="0" w:color="auto"/>
            <w:right w:val="none" w:sz="0" w:space="0" w:color="auto"/>
          </w:divBdr>
        </w:div>
        <w:div w:id="1361199834">
          <w:marLeft w:val="0"/>
          <w:marRight w:val="0"/>
          <w:marTop w:val="0"/>
          <w:marBottom w:val="0"/>
          <w:divBdr>
            <w:top w:val="none" w:sz="0" w:space="0" w:color="auto"/>
            <w:left w:val="none" w:sz="0" w:space="0" w:color="auto"/>
            <w:bottom w:val="none" w:sz="0" w:space="0" w:color="auto"/>
            <w:right w:val="none" w:sz="0" w:space="0" w:color="auto"/>
          </w:divBdr>
        </w:div>
        <w:div w:id="1365442913">
          <w:marLeft w:val="0"/>
          <w:marRight w:val="0"/>
          <w:marTop w:val="0"/>
          <w:marBottom w:val="0"/>
          <w:divBdr>
            <w:top w:val="none" w:sz="0" w:space="0" w:color="auto"/>
            <w:left w:val="none" w:sz="0" w:space="0" w:color="auto"/>
            <w:bottom w:val="none" w:sz="0" w:space="0" w:color="auto"/>
            <w:right w:val="none" w:sz="0" w:space="0" w:color="auto"/>
          </w:divBdr>
        </w:div>
        <w:div w:id="1399011996">
          <w:marLeft w:val="0"/>
          <w:marRight w:val="0"/>
          <w:marTop w:val="0"/>
          <w:marBottom w:val="0"/>
          <w:divBdr>
            <w:top w:val="none" w:sz="0" w:space="0" w:color="auto"/>
            <w:left w:val="none" w:sz="0" w:space="0" w:color="auto"/>
            <w:bottom w:val="none" w:sz="0" w:space="0" w:color="auto"/>
            <w:right w:val="none" w:sz="0" w:space="0" w:color="auto"/>
          </w:divBdr>
        </w:div>
        <w:div w:id="1410930624">
          <w:marLeft w:val="0"/>
          <w:marRight w:val="0"/>
          <w:marTop w:val="0"/>
          <w:marBottom w:val="0"/>
          <w:divBdr>
            <w:top w:val="none" w:sz="0" w:space="0" w:color="auto"/>
            <w:left w:val="none" w:sz="0" w:space="0" w:color="auto"/>
            <w:bottom w:val="none" w:sz="0" w:space="0" w:color="auto"/>
            <w:right w:val="none" w:sz="0" w:space="0" w:color="auto"/>
          </w:divBdr>
        </w:div>
        <w:div w:id="1472334025">
          <w:marLeft w:val="0"/>
          <w:marRight w:val="0"/>
          <w:marTop w:val="0"/>
          <w:marBottom w:val="0"/>
          <w:divBdr>
            <w:top w:val="none" w:sz="0" w:space="0" w:color="auto"/>
            <w:left w:val="none" w:sz="0" w:space="0" w:color="auto"/>
            <w:bottom w:val="none" w:sz="0" w:space="0" w:color="auto"/>
            <w:right w:val="none" w:sz="0" w:space="0" w:color="auto"/>
          </w:divBdr>
        </w:div>
        <w:div w:id="1489204882">
          <w:marLeft w:val="0"/>
          <w:marRight w:val="0"/>
          <w:marTop w:val="0"/>
          <w:marBottom w:val="0"/>
          <w:divBdr>
            <w:top w:val="none" w:sz="0" w:space="0" w:color="auto"/>
            <w:left w:val="none" w:sz="0" w:space="0" w:color="auto"/>
            <w:bottom w:val="none" w:sz="0" w:space="0" w:color="auto"/>
            <w:right w:val="none" w:sz="0" w:space="0" w:color="auto"/>
          </w:divBdr>
        </w:div>
        <w:div w:id="1498692470">
          <w:marLeft w:val="0"/>
          <w:marRight w:val="0"/>
          <w:marTop w:val="0"/>
          <w:marBottom w:val="0"/>
          <w:divBdr>
            <w:top w:val="none" w:sz="0" w:space="0" w:color="auto"/>
            <w:left w:val="none" w:sz="0" w:space="0" w:color="auto"/>
            <w:bottom w:val="none" w:sz="0" w:space="0" w:color="auto"/>
            <w:right w:val="none" w:sz="0" w:space="0" w:color="auto"/>
          </w:divBdr>
        </w:div>
        <w:div w:id="1539122794">
          <w:marLeft w:val="0"/>
          <w:marRight w:val="0"/>
          <w:marTop w:val="0"/>
          <w:marBottom w:val="0"/>
          <w:divBdr>
            <w:top w:val="none" w:sz="0" w:space="0" w:color="auto"/>
            <w:left w:val="none" w:sz="0" w:space="0" w:color="auto"/>
            <w:bottom w:val="none" w:sz="0" w:space="0" w:color="auto"/>
            <w:right w:val="none" w:sz="0" w:space="0" w:color="auto"/>
          </w:divBdr>
        </w:div>
        <w:div w:id="1546795110">
          <w:marLeft w:val="0"/>
          <w:marRight w:val="0"/>
          <w:marTop w:val="0"/>
          <w:marBottom w:val="0"/>
          <w:divBdr>
            <w:top w:val="none" w:sz="0" w:space="0" w:color="auto"/>
            <w:left w:val="none" w:sz="0" w:space="0" w:color="auto"/>
            <w:bottom w:val="none" w:sz="0" w:space="0" w:color="auto"/>
            <w:right w:val="none" w:sz="0" w:space="0" w:color="auto"/>
          </w:divBdr>
        </w:div>
        <w:div w:id="1582443304">
          <w:marLeft w:val="0"/>
          <w:marRight w:val="0"/>
          <w:marTop w:val="0"/>
          <w:marBottom w:val="0"/>
          <w:divBdr>
            <w:top w:val="none" w:sz="0" w:space="0" w:color="auto"/>
            <w:left w:val="none" w:sz="0" w:space="0" w:color="auto"/>
            <w:bottom w:val="none" w:sz="0" w:space="0" w:color="auto"/>
            <w:right w:val="none" w:sz="0" w:space="0" w:color="auto"/>
          </w:divBdr>
        </w:div>
        <w:div w:id="1583179043">
          <w:marLeft w:val="0"/>
          <w:marRight w:val="0"/>
          <w:marTop w:val="0"/>
          <w:marBottom w:val="0"/>
          <w:divBdr>
            <w:top w:val="none" w:sz="0" w:space="0" w:color="auto"/>
            <w:left w:val="none" w:sz="0" w:space="0" w:color="auto"/>
            <w:bottom w:val="none" w:sz="0" w:space="0" w:color="auto"/>
            <w:right w:val="none" w:sz="0" w:space="0" w:color="auto"/>
          </w:divBdr>
        </w:div>
        <w:div w:id="1591504753">
          <w:marLeft w:val="0"/>
          <w:marRight w:val="0"/>
          <w:marTop w:val="0"/>
          <w:marBottom w:val="0"/>
          <w:divBdr>
            <w:top w:val="none" w:sz="0" w:space="0" w:color="auto"/>
            <w:left w:val="none" w:sz="0" w:space="0" w:color="auto"/>
            <w:bottom w:val="none" w:sz="0" w:space="0" w:color="auto"/>
            <w:right w:val="none" w:sz="0" w:space="0" w:color="auto"/>
          </w:divBdr>
        </w:div>
        <w:div w:id="1606767578">
          <w:marLeft w:val="0"/>
          <w:marRight w:val="0"/>
          <w:marTop w:val="0"/>
          <w:marBottom w:val="0"/>
          <w:divBdr>
            <w:top w:val="none" w:sz="0" w:space="0" w:color="auto"/>
            <w:left w:val="none" w:sz="0" w:space="0" w:color="auto"/>
            <w:bottom w:val="none" w:sz="0" w:space="0" w:color="auto"/>
            <w:right w:val="none" w:sz="0" w:space="0" w:color="auto"/>
          </w:divBdr>
        </w:div>
        <w:div w:id="1609389854">
          <w:marLeft w:val="0"/>
          <w:marRight w:val="0"/>
          <w:marTop w:val="0"/>
          <w:marBottom w:val="0"/>
          <w:divBdr>
            <w:top w:val="none" w:sz="0" w:space="0" w:color="auto"/>
            <w:left w:val="none" w:sz="0" w:space="0" w:color="auto"/>
            <w:bottom w:val="none" w:sz="0" w:space="0" w:color="auto"/>
            <w:right w:val="none" w:sz="0" w:space="0" w:color="auto"/>
          </w:divBdr>
        </w:div>
        <w:div w:id="1609845766">
          <w:marLeft w:val="0"/>
          <w:marRight w:val="0"/>
          <w:marTop w:val="0"/>
          <w:marBottom w:val="0"/>
          <w:divBdr>
            <w:top w:val="none" w:sz="0" w:space="0" w:color="auto"/>
            <w:left w:val="none" w:sz="0" w:space="0" w:color="auto"/>
            <w:bottom w:val="none" w:sz="0" w:space="0" w:color="auto"/>
            <w:right w:val="none" w:sz="0" w:space="0" w:color="auto"/>
          </w:divBdr>
        </w:div>
        <w:div w:id="1626885905">
          <w:marLeft w:val="0"/>
          <w:marRight w:val="0"/>
          <w:marTop w:val="0"/>
          <w:marBottom w:val="0"/>
          <w:divBdr>
            <w:top w:val="none" w:sz="0" w:space="0" w:color="auto"/>
            <w:left w:val="none" w:sz="0" w:space="0" w:color="auto"/>
            <w:bottom w:val="none" w:sz="0" w:space="0" w:color="auto"/>
            <w:right w:val="none" w:sz="0" w:space="0" w:color="auto"/>
          </w:divBdr>
        </w:div>
        <w:div w:id="1630083943">
          <w:marLeft w:val="0"/>
          <w:marRight w:val="0"/>
          <w:marTop w:val="0"/>
          <w:marBottom w:val="0"/>
          <w:divBdr>
            <w:top w:val="none" w:sz="0" w:space="0" w:color="auto"/>
            <w:left w:val="none" w:sz="0" w:space="0" w:color="auto"/>
            <w:bottom w:val="none" w:sz="0" w:space="0" w:color="auto"/>
            <w:right w:val="none" w:sz="0" w:space="0" w:color="auto"/>
          </w:divBdr>
        </w:div>
        <w:div w:id="1720590304">
          <w:marLeft w:val="0"/>
          <w:marRight w:val="0"/>
          <w:marTop w:val="0"/>
          <w:marBottom w:val="0"/>
          <w:divBdr>
            <w:top w:val="none" w:sz="0" w:space="0" w:color="auto"/>
            <w:left w:val="none" w:sz="0" w:space="0" w:color="auto"/>
            <w:bottom w:val="none" w:sz="0" w:space="0" w:color="auto"/>
            <w:right w:val="none" w:sz="0" w:space="0" w:color="auto"/>
          </w:divBdr>
        </w:div>
        <w:div w:id="1735200936">
          <w:marLeft w:val="0"/>
          <w:marRight w:val="0"/>
          <w:marTop w:val="0"/>
          <w:marBottom w:val="0"/>
          <w:divBdr>
            <w:top w:val="none" w:sz="0" w:space="0" w:color="auto"/>
            <w:left w:val="none" w:sz="0" w:space="0" w:color="auto"/>
            <w:bottom w:val="none" w:sz="0" w:space="0" w:color="auto"/>
            <w:right w:val="none" w:sz="0" w:space="0" w:color="auto"/>
          </w:divBdr>
        </w:div>
        <w:div w:id="1754666082">
          <w:marLeft w:val="0"/>
          <w:marRight w:val="0"/>
          <w:marTop w:val="0"/>
          <w:marBottom w:val="0"/>
          <w:divBdr>
            <w:top w:val="none" w:sz="0" w:space="0" w:color="auto"/>
            <w:left w:val="none" w:sz="0" w:space="0" w:color="auto"/>
            <w:bottom w:val="none" w:sz="0" w:space="0" w:color="auto"/>
            <w:right w:val="none" w:sz="0" w:space="0" w:color="auto"/>
          </w:divBdr>
        </w:div>
        <w:div w:id="1756584626">
          <w:marLeft w:val="0"/>
          <w:marRight w:val="0"/>
          <w:marTop w:val="0"/>
          <w:marBottom w:val="0"/>
          <w:divBdr>
            <w:top w:val="none" w:sz="0" w:space="0" w:color="auto"/>
            <w:left w:val="none" w:sz="0" w:space="0" w:color="auto"/>
            <w:bottom w:val="none" w:sz="0" w:space="0" w:color="auto"/>
            <w:right w:val="none" w:sz="0" w:space="0" w:color="auto"/>
          </w:divBdr>
        </w:div>
        <w:div w:id="1762094585">
          <w:marLeft w:val="0"/>
          <w:marRight w:val="0"/>
          <w:marTop w:val="0"/>
          <w:marBottom w:val="0"/>
          <w:divBdr>
            <w:top w:val="none" w:sz="0" w:space="0" w:color="auto"/>
            <w:left w:val="none" w:sz="0" w:space="0" w:color="auto"/>
            <w:bottom w:val="none" w:sz="0" w:space="0" w:color="auto"/>
            <w:right w:val="none" w:sz="0" w:space="0" w:color="auto"/>
          </w:divBdr>
        </w:div>
        <w:div w:id="1786728868">
          <w:marLeft w:val="0"/>
          <w:marRight w:val="0"/>
          <w:marTop w:val="0"/>
          <w:marBottom w:val="0"/>
          <w:divBdr>
            <w:top w:val="none" w:sz="0" w:space="0" w:color="auto"/>
            <w:left w:val="none" w:sz="0" w:space="0" w:color="auto"/>
            <w:bottom w:val="none" w:sz="0" w:space="0" w:color="auto"/>
            <w:right w:val="none" w:sz="0" w:space="0" w:color="auto"/>
          </w:divBdr>
        </w:div>
        <w:div w:id="1794211700">
          <w:marLeft w:val="0"/>
          <w:marRight w:val="0"/>
          <w:marTop w:val="0"/>
          <w:marBottom w:val="0"/>
          <w:divBdr>
            <w:top w:val="none" w:sz="0" w:space="0" w:color="auto"/>
            <w:left w:val="none" w:sz="0" w:space="0" w:color="auto"/>
            <w:bottom w:val="none" w:sz="0" w:space="0" w:color="auto"/>
            <w:right w:val="none" w:sz="0" w:space="0" w:color="auto"/>
          </w:divBdr>
        </w:div>
        <w:div w:id="1796294806">
          <w:marLeft w:val="0"/>
          <w:marRight w:val="0"/>
          <w:marTop w:val="0"/>
          <w:marBottom w:val="0"/>
          <w:divBdr>
            <w:top w:val="none" w:sz="0" w:space="0" w:color="auto"/>
            <w:left w:val="none" w:sz="0" w:space="0" w:color="auto"/>
            <w:bottom w:val="none" w:sz="0" w:space="0" w:color="auto"/>
            <w:right w:val="none" w:sz="0" w:space="0" w:color="auto"/>
          </w:divBdr>
        </w:div>
        <w:div w:id="1804468270">
          <w:marLeft w:val="0"/>
          <w:marRight w:val="0"/>
          <w:marTop w:val="0"/>
          <w:marBottom w:val="0"/>
          <w:divBdr>
            <w:top w:val="none" w:sz="0" w:space="0" w:color="auto"/>
            <w:left w:val="none" w:sz="0" w:space="0" w:color="auto"/>
            <w:bottom w:val="none" w:sz="0" w:space="0" w:color="auto"/>
            <w:right w:val="none" w:sz="0" w:space="0" w:color="auto"/>
          </w:divBdr>
        </w:div>
        <w:div w:id="1809587259">
          <w:marLeft w:val="0"/>
          <w:marRight w:val="0"/>
          <w:marTop w:val="0"/>
          <w:marBottom w:val="0"/>
          <w:divBdr>
            <w:top w:val="none" w:sz="0" w:space="0" w:color="auto"/>
            <w:left w:val="none" w:sz="0" w:space="0" w:color="auto"/>
            <w:bottom w:val="none" w:sz="0" w:space="0" w:color="auto"/>
            <w:right w:val="none" w:sz="0" w:space="0" w:color="auto"/>
          </w:divBdr>
        </w:div>
        <w:div w:id="1825050327">
          <w:marLeft w:val="0"/>
          <w:marRight w:val="0"/>
          <w:marTop w:val="0"/>
          <w:marBottom w:val="0"/>
          <w:divBdr>
            <w:top w:val="none" w:sz="0" w:space="0" w:color="auto"/>
            <w:left w:val="none" w:sz="0" w:space="0" w:color="auto"/>
            <w:bottom w:val="none" w:sz="0" w:space="0" w:color="auto"/>
            <w:right w:val="none" w:sz="0" w:space="0" w:color="auto"/>
          </w:divBdr>
        </w:div>
        <w:div w:id="1833832480">
          <w:marLeft w:val="0"/>
          <w:marRight w:val="0"/>
          <w:marTop w:val="0"/>
          <w:marBottom w:val="0"/>
          <w:divBdr>
            <w:top w:val="none" w:sz="0" w:space="0" w:color="auto"/>
            <w:left w:val="none" w:sz="0" w:space="0" w:color="auto"/>
            <w:bottom w:val="none" w:sz="0" w:space="0" w:color="auto"/>
            <w:right w:val="none" w:sz="0" w:space="0" w:color="auto"/>
          </w:divBdr>
        </w:div>
        <w:div w:id="1837919013">
          <w:marLeft w:val="0"/>
          <w:marRight w:val="0"/>
          <w:marTop w:val="0"/>
          <w:marBottom w:val="0"/>
          <w:divBdr>
            <w:top w:val="none" w:sz="0" w:space="0" w:color="auto"/>
            <w:left w:val="none" w:sz="0" w:space="0" w:color="auto"/>
            <w:bottom w:val="none" w:sz="0" w:space="0" w:color="auto"/>
            <w:right w:val="none" w:sz="0" w:space="0" w:color="auto"/>
          </w:divBdr>
        </w:div>
        <w:div w:id="1894465557">
          <w:marLeft w:val="0"/>
          <w:marRight w:val="0"/>
          <w:marTop w:val="0"/>
          <w:marBottom w:val="0"/>
          <w:divBdr>
            <w:top w:val="none" w:sz="0" w:space="0" w:color="auto"/>
            <w:left w:val="none" w:sz="0" w:space="0" w:color="auto"/>
            <w:bottom w:val="none" w:sz="0" w:space="0" w:color="auto"/>
            <w:right w:val="none" w:sz="0" w:space="0" w:color="auto"/>
          </w:divBdr>
        </w:div>
        <w:div w:id="1907033716">
          <w:marLeft w:val="0"/>
          <w:marRight w:val="0"/>
          <w:marTop w:val="0"/>
          <w:marBottom w:val="0"/>
          <w:divBdr>
            <w:top w:val="none" w:sz="0" w:space="0" w:color="auto"/>
            <w:left w:val="none" w:sz="0" w:space="0" w:color="auto"/>
            <w:bottom w:val="none" w:sz="0" w:space="0" w:color="auto"/>
            <w:right w:val="none" w:sz="0" w:space="0" w:color="auto"/>
          </w:divBdr>
        </w:div>
        <w:div w:id="1926526180">
          <w:marLeft w:val="0"/>
          <w:marRight w:val="0"/>
          <w:marTop w:val="0"/>
          <w:marBottom w:val="0"/>
          <w:divBdr>
            <w:top w:val="none" w:sz="0" w:space="0" w:color="auto"/>
            <w:left w:val="none" w:sz="0" w:space="0" w:color="auto"/>
            <w:bottom w:val="none" w:sz="0" w:space="0" w:color="auto"/>
            <w:right w:val="none" w:sz="0" w:space="0" w:color="auto"/>
          </w:divBdr>
        </w:div>
        <w:div w:id="1947300118">
          <w:marLeft w:val="0"/>
          <w:marRight w:val="0"/>
          <w:marTop w:val="0"/>
          <w:marBottom w:val="0"/>
          <w:divBdr>
            <w:top w:val="none" w:sz="0" w:space="0" w:color="auto"/>
            <w:left w:val="none" w:sz="0" w:space="0" w:color="auto"/>
            <w:bottom w:val="none" w:sz="0" w:space="0" w:color="auto"/>
            <w:right w:val="none" w:sz="0" w:space="0" w:color="auto"/>
          </w:divBdr>
        </w:div>
        <w:div w:id="1948195369">
          <w:marLeft w:val="0"/>
          <w:marRight w:val="0"/>
          <w:marTop w:val="0"/>
          <w:marBottom w:val="0"/>
          <w:divBdr>
            <w:top w:val="none" w:sz="0" w:space="0" w:color="auto"/>
            <w:left w:val="none" w:sz="0" w:space="0" w:color="auto"/>
            <w:bottom w:val="none" w:sz="0" w:space="0" w:color="auto"/>
            <w:right w:val="none" w:sz="0" w:space="0" w:color="auto"/>
          </w:divBdr>
        </w:div>
        <w:div w:id="1957171187">
          <w:marLeft w:val="0"/>
          <w:marRight w:val="0"/>
          <w:marTop w:val="0"/>
          <w:marBottom w:val="0"/>
          <w:divBdr>
            <w:top w:val="none" w:sz="0" w:space="0" w:color="auto"/>
            <w:left w:val="none" w:sz="0" w:space="0" w:color="auto"/>
            <w:bottom w:val="none" w:sz="0" w:space="0" w:color="auto"/>
            <w:right w:val="none" w:sz="0" w:space="0" w:color="auto"/>
          </w:divBdr>
        </w:div>
        <w:div w:id="1963416610">
          <w:marLeft w:val="0"/>
          <w:marRight w:val="0"/>
          <w:marTop w:val="0"/>
          <w:marBottom w:val="0"/>
          <w:divBdr>
            <w:top w:val="none" w:sz="0" w:space="0" w:color="auto"/>
            <w:left w:val="none" w:sz="0" w:space="0" w:color="auto"/>
            <w:bottom w:val="none" w:sz="0" w:space="0" w:color="auto"/>
            <w:right w:val="none" w:sz="0" w:space="0" w:color="auto"/>
          </w:divBdr>
        </w:div>
        <w:div w:id="1970475625">
          <w:marLeft w:val="0"/>
          <w:marRight w:val="0"/>
          <w:marTop w:val="0"/>
          <w:marBottom w:val="0"/>
          <w:divBdr>
            <w:top w:val="none" w:sz="0" w:space="0" w:color="auto"/>
            <w:left w:val="none" w:sz="0" w:space="0" w:color="auto"/>
            <w:bottom w:val="none" w:sz="0" w:space="0" w:color="auto"/>
            <w:right w:val="none" w:sz="0" w:space="0" w:color="auto"/>
          </w:divBdr>
        </w:div>
        <w:div w:id="2009557576">
          <w:marLeft w:val="0"/>
          <w:marRight w:val="0"/>
          <w:marTop w:val="0"/>
          <w:marBottom w:val="0"/>
          <w:divBdr>
            <w:top w:val="none" w:sz="0" w:space="0" w:color="auto"/>
            <w:left w:val="none" w:sz="0" w:space="0" w:color="auto"/>
            <w:bottom w:val="none" w:sz="0" w:space="0" w:color="auto"/>
            <w:right w:val="none" w:sz="0" w:space="0" w:color="auto"/>
          </w:divBdr>
        </w:div>
        <w:div w:id="2013023835">
          <w:marLeft w:val="0"/>
          <w:marRight w:val="0"/>
          <w:marTop w:val="0"/>
          <w:marBottom w:val="0"/>
          <w:divBdr>
            <w:top w:val="none" w:sz="0" w:space="0" w:color="auto"/>
            <w:left w:val="none" w:sz="0" w:space="0" w:color="auto"/>
            <w:bottom w:val="none" w:sz="0" w:space="0" w:color="auto"/>
            <w:right w:val="none" w:sz="0" w:space="0" w:color="auto"/>
          </w:divBdr>
        </w:div>
        <w:div w:id="2013533440">
          <w:marLeft w:val="0"/>
          <w:marRight w:val="0"/>
          <w:marTop w:val="0"/>
          <w:marBottom w:val="0"/>
          <w:divBdr>
            <w:top w:val="none" w:sz="0" w:space="0" w:color="auto"/>
            <w:left w:val="none" w:sz="0" w:space="0" w:color="auto"/>
            <w:bottom w:val="none" w:sz="0" w:space="0" w:color="auto"/>
            <w:right w:val="none" w:sz="0" w:space="0" w:color="auto"/>
          </w:divBdr>
        </w:div>
        <w:div w:id="2016034301">
          <w:marLeft w:val="0"/>
          <w:marRight w:val="0"/>
          <w:marTop w:val="0"/>
          <w:marBottom w:val="0"/>
          <w:divBdr>
            <w:top w:val="none" w:sz="0" w:space="0" w:color="auto"/>
            <w:left w:val="none" w:sz="0" w:space="0" w:color="auto"/>
            <w:bottom w:val="none" w:sz="0" w:space="0" w:color="auto"/>
            <w:right w:val="none" w:sz="0" w:space="0" w:color="auto"/>
          </w:divBdr>
        </w:div>
        <w:div w:id="2018578536">
          <w:marLeft w:val="0"/>
          <w:marRight w:val="0"/>
          <w:marTop w:val="0"/>
          <w:marBottom w:val="0"/>
          <w:divBdr>
            <w:top w:val="none" w:sz="0" w:space="0" w:color="auto"/>
            <w:left w:val="none" w:sz="0" w:space="0" w:color="auto"/>
            <w:bottom w:val="none" w:sz="0" w:space="0" w:color="auto"/>
            <w:right w:val="none" w:sz="0" w:space="0" w:color="auto"/>
          </w:divBdr>
        </w:div>
        <w:div w:id="2018923652">
          <w:marLeft w:val="0"/>
          <w:marRight w:val="0"/>
          <w:marTop w:val="0"/>
          <w:marBottom w:val="0"/>
          <w:divBdr>
            <w:top w:val="none" w:sz="0" w:space="0" w:color="auto"/>
            <w:left w:val="none" w:sz="0" w:space="0" w:color="auto"/>
            <w:bottom w:val="none" w:sz="0" w:space="0" w:color="auto"/>
            <w:right w:val="none" w:sz="0" w:space="0" w:color="auto"/>
          </w:divBdr>
        </w:div>
        <w:div w:id="2052222536">
          <w:marLeft w:val="0"/>
          <w:marRight w:val="0"/>
          <w:marTop w:val="0"/>
          <w:marBottom w:val="0"/>
          <w:divBdr>
            <w:top w:val="none" w:sz="0" w:space="0" w:color="auto"/>
            <w:left w:val="none" w:sz="0" w:space="0" w:color="auto"/>
            <w:bottom w:val="none" w:sz="0" w:space="0" w:color="auto"/>
            <w:right w:val="none" w:sz="0" w:space="0" w:color="auto"/>
          </w:divBdr>
        </w:div>
        <w:div w:id="2053651324">
          <w:marLeft w:val="0"/>
          <w:marRight w:val="0"/>
          <w:marTop w:val="0"/>
          <w:marBottom w:val="0"/>
          <w:divBdr>
            <w:top w:val="none" w:sz="0" w:space="0" w:color="auto"/>
            <w:left w:val="none" w:sz="0" w:space="0" w:color="auto"/>
            <w:bottom w:val="none" w:sz="0" w:space="0" w:color="auto"/>
            <w:right w:val="none" w:sz="0" w:space="0" w:color="auto"/>
          </w:divBdr>
        </w:div>
        <w:div w:id="2073917228">
          <w:marLeft w:val="0"/>
          <w:marRight w:val="0"/>
          <w:marTop w:val="0"/>
          <w:marBottom w:val="0"/>
          <w:divBdr>
            <w:top w:val="none" w:sz="0" w:space="0" w:color="auto"/>
            <w:left w:val="none" w:sz="0" w:space="0" w:color="auto"/>
            <w:bottom w:val="none" w:sz="0" w:space="0" w:color="auto"/>
            <w:right w:val="none" w:sz="0" w:space="0" w:color="auto"/>
          </w:divBdr>
        </w:div>
        <w:div w:id="2089883271">
          <w:marLeft w:val="0"/>
          <w:marRight w:val="0"/>
          <w:marTop w:val="0"/>
          <w:marBottom w:val="0"/>
          <w:divBdr>
            <w:top w:val="none" w:sz="0" w:space="0" w:color="auto"/>
            <w:left w:val="none" w:sz="0" w:space="0" w:color="auto"/>
            <w:bottom w:val="none" w:sz="0" w:space="0" w:color="auto"/>
            <w:right w:val="none" w:sz="0" w:space="0" w:color="auto"/>
          </w:divBdr>
        </w:div>
        <w:div w:id="2126120667">
          <w:marLeft w:val="0"/>
          <w:marRight w:val="0"/>
          <w:marTop w:val="0"/>
          <w:marBottom w:val="0"/>
          <w:divBdr>
            <w:top w:val="none" w:sz="0" w:space="0" w:color="auto"/>
            <w:left w:val="none" w:sz="0" w:space="0" w:color="auto"/>
            <w:bottom w:val="none" w:sz="0" w:space="0" w:color="auto"/>
            <w:right w:val="none" w:sz="0" w:space="0" w:color="auto"/>
          </w:divBdr>
        </w:div>
        <w:div w:id="2140419836">
          <w:marLeft w:val="0"/>
          <w:marRight w:val="0"/>
          <w:marTop w:val="0"/>
          <w:marBottom w:val="0"/>
          <w:divBdr>
            <w:top w:val="none" w:sz="0" w:space="0" w:color="auto"/>
            <w:left w:val="none" w:sz="0" w:space="0" w:color="auto"/>
            <w:bottom w:val="none" w:sz="0" w:space="0" w:color="auto"/>
            <w:right w:val="none" w:sz="0" w:space="0" w:color="auto"/>
          </w:divBdr>
        </w:div>
      </w:divsChild>
    </w:div>
    <w:div w:id="1696927573">
      <w:bodyDiv w:val="1"/>
      <w:marLeft w:val="0"/>
      <w:marRight w:val="0"/>
      <w:marTop w:val="0"/>
      <w:marBottom w:val="0"/>
      <w:divBdr>
        <w:top w:val="none" w:sz="0" w:space="0" w:color="auto"/>
        <w:left w:val="none" w:sz="0" w:space="0" w:color="auto"/>
        <w:bottom w:val="none" w:sz="0" w:space="0" w:color="auto"/>
        <w:right w:val="none" w:sz="0" w:space="0" w:color="auto"/>
      </w:divBdr>
    </w:div>
    <w:div w:id="1705786135">
      <w:bodyDiv w:val="1"/>
      <w:marLeft w:val="0"/>
      <w:marRight w:val="0"/>
      <w:marTop w:val="0"/>
      <w:marBottom w:val="0"/>
      <w:divBdr>
        <w:top w:val="none" w:sz="0" w:space="0" w:color="auto"/>
        <w:left w:val="none" w:sz="0" w:space="0" w:color="auto"/>
        <w:bottom w:val="none" w:sz="0" w:space="0" w:color="auto"/>
        <w:right w:val="none" w:sz="0" w:space="0" w:color="auto"/>
      </w:divBdr>
    </w:div>
    <w:div w:id="1708987588">
      <w:bodyDiv w:val="1"/>
      <w:marLeft w:val="0"/>
      <w:marRight w:val="0"/>
      <w:marTop w:val="0"/>
      <w:marBottom w:val="0"/>
      <w:divBdr>
        <w:top w:val="none" w:sz="0" w:space="0" w:color="auto"/>
        <w:left w:val="none" w:sz="0" w:space="0" w:color="auto"/>
        <w:bottom w:val="none" w:sz="0" w:space="0" w:color="auto"/>
        <w:right w:val="none" w:sz="0" w:space="0" w:color="auto"/>
      </w:divBdr>
    </w:div>
    <w:div w:id="1713194061">
      <w:bodyDiv w:val="1"/>
      <w:marLeft w:val="0"/>
      <w:marRight w:val="0"/>
      <w:marTop w:val="0"/>
      <w:marBottom w:val="0"/>
      <w:divBdr>
        <w:top w:val="none" w:sz="0" w:space="0" w:color="auto"/>
        <w:left w:val="none" w:sz="0" w:space="0" w:color="auto"/>
        <w:bottom w:val="none" w:sz="0" w:space="0" w:color="auto"/>
        <w:right w:val="none" w:sz="0" w:space="0" w:color="auto"/>
      </w:divBdr>
    </w:div>
    <w:div w:id="1713572002">
      <w:bodyDiv w:val="1"/>
      <w:marLeft w:val="0"/>
      <w:marRight w:val="0"/>
      <w:marTop w:val="0"/>
      <w:marBottom w:val="0"/>
      <w:divBdr>
        <w:top w:val="none" w:sz="0" w:space="0" w:color="auto"/>
        <w:left w:val="none" w:sz="0" w:space="0" w:color="auto"/>
        <w:bottom w:val="none" w:sz="0" w:space="0" w:color="auto"/>
        <w:right w:val="none" w:sz="0" w:space="0" w:color="auto"/>
      </w:divBdr>
    </w:div>
    <w:div w:id="1722436384">
      <w:bodyDiv w:val="1"/>
      <w:marLeft w:val="0"/>
      <w:marRight w:val="0"/>
      <w:marTop w:val="0"/>
      <w:marBottom w:val="0"/>
      <w:divBdr>
        <w:top w:val="none" w:sz="0" w:space="0" w:color="auto"/>
        <w:left w:val="none" w:sz="0" w:space="0" w:color="auto"/>
        <w:bottom w:val="none" w:sz="0" w:space="0" w:color="auto"/>
        <w:right w:val="none" w:sz="0" w:space="0" w:color="auto"/>
      </w:divBdr>
      <w:divsChild>
        <w:div w:id="982613904">
          <w:marLeft w:val="0"/>
          <w:marRight w:val="0"/>
          <w:marTop w:val="0"/>
          <w:marBottom w:val="0"/>
          <w:divBdr>
            <w:top w:val="none" w:sz="0" w:space="0" w:color="auto"/>
            <w:left w:val="none" w:sz="0" w:space="0" w:color="auto"/>
            <w:bottom w:val="none" w:sz="0" w:space="0" w:color="auto"/>
            <w:right w:val="none" w:sz="0" w:space="0" w:color="auto"/>
          </w:divBdr>
          <w:divsChild>
            <w:div w:id="1978994330">
              <w:marLeft w:val="0"/>
              <w:marRight w:val="0"/>
              <w:marTop w:val="0"/>
              <w:marBottom w:val="0"/>
              <w:divBdr>
                <w:top w:val="none" w:sz="0" w:space="0" w:color="auto"/>
                <w:left w:val="none" w:sz="0" w:space="0" w:color="auto"/>
                <w:bottom w:val="none" w:sz="0" w:space="0" w:color="auto"/>
                <w:right w:val="none" w:sz="0" w:space="0" w:color="auto"/>
              </w:divBdr>
            </w:div>
            <w:div w:id="10864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72522">
      <w:bodyDiv w:val="1"/>
      <w:marLeft w:val="0"/>
      <w:marRight w:val="0"/>
      <w:marTop w:val="0"/>
      <w:marBottom w:val="0"/>
      <w:divBdr>
        <w:top w:val="none" w:sz="0" w:space="0" w:color="auto"/>
        <w:left w:val="none" w:sz="0" w:space="0" w:color="auto"/>
        <w:bottom w:val="none" w:sz="0" w:space="0" w:color="auto"/>
        <w:right w:val="none" w:sz="0" w:space="0" w:color="auto"/>
      </w:divBdr>
    </w:div>
    <w:div w:id="1734623760">
      <w:bodyDiv w:val="1"/>
      <w:marLeft w:val="0"/>
      <w:marRight w:val="0"/>
      <w:marTop w:val="0"/>
      <w:marBottom w:val="0"/>
      <w:divBdr>
        <w:top w:val="none" w:sz="0" w:space="0" w:color="auto"/>
        <w:left w:val="none" w:sz="0" w:space="0" w:color="auto"/>
        <w:bottom w:val="none" w:sz="0" w:space="0" w:color="auto"/>
        <w:right w:val="none" w:sz="0" w:space="0" w:color="auto"/>
      </w:divBdr>
    </w:div>
    <w:div w:id="1737246058">
      <w:bodyDiv w:val="1"/>
      <w:marLeft w:val="0"/>
      <w:marRight w:val="0"/>
      <w:marTop w:val="0"/>
      <w:marBottom w:val="0"/>
      <w:divBdr>
        <w:top w:val="none" w:sz="0" w:space="0" w:color="auto"/>
        <w:left w:val="none" w:sz="0" w:space="0" w:color="auto"/>
        <w:bottom w:val="none" w:sz="0" w:space="0" w:color="auto"/>
        <w:right w:val="none" w:sz="0" w:space="0" w:color="auto"/>
      </w:divBdr>
      <w:divsChild>
        <w:div w:id="773134494">
          <w:marLeft w:val="0"/>
          <w:marRight w:val="0"/>
          <w:marTop w:val="0"/>
          <w:marBottom w:val="0"/>
          <w:divBdr>
            <w:top w:val="none" w:sz="0" w:space="0" w:color="auto"/>
            <w:left w:val="none" w:sz="0" w:space="0" w:color="auto"/>
            <w:bottom w:val="none" w:sz="0" w:space="0" w:color="auto"/>
            <w:right w:val="none" w:sz="0" w:space="0" w:color="auto"/>
          </w:divBdr>
        </w:div>
      </w:divsChild>
    </w:div>
    <w:div w:id="1742016760">
      <w:bodyDiv w:val="1"/>
      <w:marLeft w:val="0"/>
      <w:marRight w:val="0"/>
      <w:marTop w:val="0"/>
      <w:marBottom w:val="0"/>
      <w:divBdr>
        <w:top w:val="none" w:sz="0" w:space="0" w:color="auto"/>
        <w:left w:val="none" w:sz="0" w:space="0" w:color="auto"/>
        <w:bottom w:val="none" w:sz="0" w:space="0" w:color="auto"/>
        <w:right w:val="none" w:sz="0" w:space="0" w:color="auto"/>
      </w:divBdr>
    </w:div>
    <w:div w:id="1742215064">
      <w:bodyDiv w:val="1"/>
      <w:marLeft w:val="0"/>
      <w:marRight w:val="0"/>
      <w:marTop w:val="0"/>
      <w:marBottom w:val="0"/>
      <w:divBdr>
        <w:top w:val="none" w:sz="0" w:space="0" w:color="auto"/>
        <w:left w:val="none" w:sz="0" w:space="0" w:color="auto"/>
        <w:bottom w:val="none" w:sz="0" w:space="0" w:color="auto"/>
        <w:right w:val="none" w:sz="0" w:space="0" w:color="auto"/>
      </w:divBdr>
    </w:div>
    <w:div w:id="1747190455">
      <w:bodyDiv w:val="1"/>
      <w:marLeft w:val="0"/>
      <w:marRight w:val="0"/>
      <w:marTop w:val="0"/>
      <w:marBottom w:val="0"/>
      <w:divBdr>
        <w:top w:val="none" w:sz="0" w:space="0" w:color="auto"/>
        <w:left w:val="none" w:sz="0" w:space="0" w:color="auto"/>
        <w:bottom w:val="none" w:sz="0" w:space="0" w:color="auto"/>
        <w:right w:val="none" w:sz="0" w:space="0" w:color="auto"/>
      </w:divBdr>
    </w:div>
    <w:div w:id="1748765296">
      <w:bodyDiv w:val="1"/>
      <w:marLeft w:val="0"/>
      <w:marRight w:val="0"/>
      <w:marTop w:val="0"/>
      <w:marBottom w:val="0"/>
      <w:divBdr>
        <w:top w:val="none" w:sz="0" w:space="0" w:color="auto"/>
        <w:left w:val="none" w:sz="0" w:space="0" w:color="auto"/>
        <w:bottom w:val="none" w:sz="0" w:space="0" w:color="auto"/>
        <w:right w:val="none" w:sz="0" w:space="0" w:color="auto"/>
      </w:divBdr>
    </w:div>
    <w:div w:id="1753310640">
      <w:bodyDiv w:val="1"/>
      <w:marLeft w:val="0"/>
      <w:marRight w:val="0"/>
      <w:marTop w:val="0"/>
      <w:marBottom w:val="0"/>
      <w:divBdr>
        <w:top w:val="none" w:sz="0" w:space="0" w:color="auto"/>
        <w:left w:val="none" w:sz="0" w:space="0" w:color="auto"/>
        <w:bottom w:val="none" w:sz="0" w:space="0" w:color="auto"/>
        <w:right w:val="none" w:sz="0" w:space="0" w:color="auto"/>
      </w:divBdr>
    </w:div>
    <w:div w:id="1759599042">
      <w:bodyDiv w:val="1"/>
      <w:marLeft w:val="0"/>
      <w:marRight w:val="0"/>
      <w:marTop w:val="0"/>
      <w:marBottom w:val="0"/>
      <w:divBdr>
        <w:top w:val="none" w:sz="0" w:space="0" w:color="auto"/>
        <w:left w:val="none" w:sz="0" w:space="0" w:color="auto"/>
        <w:bottom w:val="none" w:sz="0" w:space="0" w:color="auto"/>
        <w:right w:val="none" w:sz="0" w:space="0" w:color="auto"/>
      </w:divBdr>
    </w:div>
    <w:div w:id="1763836834">
      <w:bodyDiv w:val="1"/>
      <w:marLeft w:val="0"/>
      <w:marRight w:val="0"/>
      <w:marTop w:val="0"/>
      <w:marBottom w:val="0"/>
      <w:divBdr>
        <w:top w:val="none" w:sz="0" w:space="0" w:color="auto"/>
        <w:left w:val="none" w:sz="0" w:space="0" w:color="auto"/>
        <w:bottom w:val="none" w:sz="0" w:space="0" w:color="auto"/>
        <w:right w:val="none" w:sz="0" w:space="0" w:color="auto"/>
      </w:divBdr>
    </w:div>
    <w:div w:id="1767917136">
      <w:bodyDiv w:val="1"/>
      <w:marLeft w:val="0"/>
      <w:marRight w:val="0"/>
      <w:marTop w:val="0"/>
      <w:marBottom w:val="0"/>
      <w:divBdr>
        <w:top w:val="none" w:sz="0" w:space="0" w:color="auto"/>
        <w:left w:val="none" w:sz="0" w:space="0" w:color="auto"/>
        <w:bottom w:val="none" w:sz="0" w:space="0" w:color="auto"/>
        <w:right w:val="none" w:sz="0" w:space="0" w:color="auto"/>
      </w:divBdr>
    </w:div>
    <w:div w:id="1769231946">
      <w:bodyDiv w:val="1"/>
      <w:marLeft w:val="0"/>
      <w:marRight w:val="0"/>
      <w:marTop w:val="0"/>
      <w:marBottom w:val="0"/>
      <w:divBdr>
        <w:top w:val="none" w:sz="0" w:space="0" w:color="auto"/>
        <w:left w:val="none" w:sz="0" w:space="0" w:color="auto"/>
        <w:bottom w:val="none" w:sz="0" w:space="0" w:color="auto"/>
        <w:right w:val="none" w:sz="0" w:space="0" w:color="auto"/>
      </w:divBdr>
    </w:div>
    <w:div w:id="1769620360">
      <w:bodyDiv w:val="1"/>
      <w:marLeft w:val="0"/>
      <w:marRight w:val="0"/>
      <w:marTop w:val="0"/>
      <w:marBottom w:val="0"/>
      <w:divBdr>
        <w:top w:val="none" w:sz="0" w:space="0" w:color="auto"/>
        <w:left w:val="none" w:sz="0" w:space="0" w:color="auto"/>
        <w:bottom w:val="none" w:sz="0" w:space="0" w:color="auto"/>
        <w:right w:val="none" w:sz="0" w:space="0" w:color="auto"/>
      </w:divBdr>
    </w:div>
    <w:div w:id="1782148566">
      <w:bodyDiv w:val="1"/>
      <w:marLeft w:val="0"/>
      <w:marRight w:val="0"/>
      <w:marTop w:val="0"/>
      <w:marBottom w:val="0"/>
      <w:divBdr>
        <w:top w:val="none" w:sz="0" w:space="0" w:color="auto"/>
        <w:left w:val="none" w:sz="0" w:space="0" w:color="auto"/>
        <w:bottom w:val="none" w:sz="0" w:space="0" w:color="auto"/>
        <w:right w:val="none" w:sz="0" w:space="0" w:color="auto"/>
      </w:divBdr>
    </w:div>
    <w:div w:id="1796482633">
      <w:bodyDiv w:val="1"/>
      <w:marLeft w:val="0"/>
      <w:marRight w:val="0"/>
      <w:marTop w:val="0"/>
      <w:marBottom w:val="0"/>
      <w:divBdr>
        <w:top w:val="none" w:sz="0" w:space="0" w:color="auto"/>
        <w:left w:val="none" w:sz="0" w:space="0" w:color="auto"/>
        <w:bottom w:val="none" w:sz="0" w:space="0" w:color="auto"/>
        <w:right w:val="none" w:sz="0" w:space="0" w:color="auto"/>
      </w:divBdr>
    </w:div>
    <w:div w:id="1796826155">
      <w:bodyDiv w:val="1"/>
      <w:marLeft w:val="0"/>
      <w:marRight w:val="0"/>
      <w:marTop w:val="0"/>
      <w:marBottom w:val="0"/>
      <w:divBdr>
        <w:top w:val="none" w:sz="0" w:space="0" w:color="auto"/>
        <w:left w:val="none" w:sz="0" w:space="0" w:color="auto"/>
        <w:bottom w:val="none" w:sz="0" w:space="0" w:color="auto"/>
        <w:right w:val="none" w:sz="0" w:space="0" w:color="auto"/>
      </w:divBdr>
    </w:div>
    <w:div w:id="1813059409">
      <w:bodyDiv w:val="1"/>
      <w:marLeft w:val="0"/>
      <w:marRight w:val="0"/>
      <w:marTop w:val="0"/>
      <w:marBottom w:val="0"/>
      <w:divBdr>
        <w:top w:val="none" w:sz="0" w:space="0" w:color="auto"/>
        <w:left w:val="none" w:sz="0" w:space="0" w:color="auto"/>
        <w:bottom w:val="none" w:sz="0" w:space="0" w:color="auto"/>
        <w:right w:val="none" w:sz="0" w:space="0" w:color="auto"/>
      </w:divBdr>
    </w:div>
    <w:div w:id="1813473903">
      <w:bodyDiv w:val="1"/>
      <w:marLeft w:val="0"/>
      <w:marRight w:val="0"/>
      <w:marTop w:val="0"/>
      <w:marBottom w:val="0"/>
      <w:divBdr>
        <w:top w:val="none" w:sz="0" w:space="0" w:color="auto"/>
        <w:left w:val="none" w:sz="0" w:space="0" w:color="auto"/>
        <w:bottom w:val="none" w:sz="0" w:space="0" w:color="auto"/>
        <w:right w:val="none" w:sz="0" w:space="0" w:color="auto"/>
      </w:divBdr>
    </w:div>
    <w:div w:id="1830172688">
      <w:bodyDiv w:val="1"/>
      <w:marLeft w:val="0"/>
      <w:marRight w:val="0"/>
      <w:marTop w:val="0"/>
      <w:marBottom w:val="0"/>
      <w:divBdr>
        <w:top w:val="none" w:sz="0" w:space="0" w:color="auto"/>
        <w:left w:val="none" w:sz="0" w:space="0" w:color="auto"/>
        <w:bottom w:val="none" w:sz="0" w:space="0" w:color="auto"/>
        <w:right w:val="none" w:sz="0" w:space="0" w:color="auto"/>
      </w:divBdr>
      <w:divsChild>
        <w:div w:id="449280401">
          <w:marLeft w:val="0"/>
          <w:marRight w:val="0"/>
          <w:marTop w:val="0"/>
          <w:marBottom w:val="0"/>
          <w:divBdr>
            <w:top w:val="none" w:sz="0" w:space="0" w:color="auto"/>
            <w:left w:val="none" w:sz="0" w:space="0" w:color="auto"/>
            <w:bottom w:val="none" w:sz="0" w:space="0" w:color="auto"/>
            <w:right w:val="none" w:sz="0" w:space="0" w:color="auto"/>
          </w:divBdr>
          <w:divsChild>
            <w:div w:id="924613731">
              <w:marLeft w:val="0"/>
              <w:marRight w:val="0"/>
              <w:marTop w:val="0"/>
              <w:marBottom w:val="0"/>
              <w:divBdr>
                <w:top w:val="none" w:sz="0" w:space="0" w:color="auto"/>
                <w:left w:val="none" w:sz="0" w:space="0" w:color="auto"/>
                <w:bottom w:val="none" w:sz="0" w:space="0" w:color="auto"/>
                <w:right w:val="none" w:sz="0" w:space="0" w:color="auto"/>
              </w:divBdr>
            </w:div>
            <w:div w:id="1210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7420">
      <w:bodyDiv w:val="1"/>
      <w:marLeft w:val="0"/>
      <w:marRight w:val="0"/>
      <w:marTop w:val="0"/>
      <w:marBottom w:val="0"/>
      <w:divBdr>
        <w:top w:val="none" w:sz="0" w:space="0" w:color="auto"/>
        <w:left w:val="none" w:sz="0" w:space="0" w:color="auto"/>
        <w:bottom w:val="none" w:sz="0" w:space="0" w:color="auto"/>
        <w:right w:val="none" w:sz="0" w:space="0" w:color="auto"/>
      </w:divBdr>
    </w:div>
    <w:div w:id="1847162642">
      <w:bodyDiv w:val="1"/>
      <w:marLeft w:val="0"/>
      <w:marRight w:val="0"/>
      <w:marTop w:val="0"/>
      <w:marBottom w:val="0"/>
      <w:divBdr>
        <w:top w:val="none" w:sz="0" w:space="0" w:color="auto"/>
        <w:left w:val="none" w:sz="0" w:space="0" w:color="auto"/>
        <w:bottom w:val="none" w:sz="0" w:space="0" w:color="auto"/>
        <w:right w:val="none" w:sz="0" w:space="0" w:color="auto"/>
      </w:divBdr>
    </w:div>
    <w:div w:id="1855995581">
      <w:bodyDiv w:val="1"/>
      <w:marLeft w:val="0"/>
      <w:marRight w:val="0"/>
      <w:marTop w:val="0"/>
      <w:marBottom w:val="0"/>
      <w:divBdr>
        <w:top w:val="none" w:sz="0" w:space="0" w:color="auto"/>
        <w:left w:val="none" w:sz="0" w:space="0" w:color="auto"/>
        <w:bottom w:val="none" w:sz="0" w:space="0" w:color="auto"/>
        <w:right w:val="none" w:sz="0" w:space="0" w:color="auto"/>
      </w:divBdr>
    </w:div>
    <w:div w:id="1857382901">
      <w:bodyDiv w:val="1"/>
      <w:marLeft w:val="0"/>
      <w:marRight w:val="0"/>
      <w:marTop w:val="0"/>
      <w:marBottom w:val="0"/>
      <w:divBdr>
        <w:top w:val="none" w:sz="0" w:space="0" w:color="auto"/>
        <w:left w:val="none" w:sz="0" w:space="0" w:color="auto"/>
        <w:bottom w:val="none" w:sz="0" w:space="0" w:color="auto"/>
        <w:right w:val="none" w:sz="0" w:space="0" w:color="auto"/>
      </w:divBdr>
    </w:div>
    <w:div w:id="1861122758">
      <w:bodyDiv w:val="1"/>
      <w:marLeft w:val="0"/>
      <w:marRight w:val="0"/>
      <w:marTop w:val="0"/>
      <w:marBottom w:val="0"/>
      <w:divBdr>
        <w:top w:val="none" w:sz="0" w:space="0" w:color="auto"/>
        <w:left w:val="none" w:sz="0" w:space="0" w:color="auto"/>
        <w:bottom w:val="none" w:sz="0" w:space="0" w:color="auto"/>
        <w:right w:val="none" w:sz="0" w:space="0" w:color="auto"/>
      </w:divBdr>
    </w:div>
    <w:div w:id="1861235310">
      <w:bodyDiv w:val="1"/>
      <w:marLeft w:val="0"/>
      <w:marRight w:val="0"/>
      <w:marTop w:val="0"/>
      <w:marBottom w:val="0"/>
      <w:divBdr>
        <w:top w:val="none" w:sz="0" w:space="0" w:color="auto"/>
        <w:left w:val="none" w:sz="0" w:space="0" w:color="auto"/>
        <w:bottom w:val="none" w:sz="0" w:space="0" w:color="auto"/>
        <w:right w:val="none" w:sz="0" w:space="0" w:color="auto"/>
      </w:divBdr>
    </w:div>
    <w:div w:id="1861701023">
      <w:bodyDiv w:val="1"/>
      <w:marLeft w:val="0"/>
      <w:marRight w:val="0"/>
      <w:marTop w:val="0"/>
      <w:marBottom w:val="0"/>
      <w:divBdr>
        <w:top w:val="none" w:sz="0" w:space="0" w:color="auto"/>
        <w:left w:val="none" w:sz="0" w:space="0" w:color="auto"/>
        <w:bottom w:val="none" w:sz="0" w:space="0" w:color="auto"/>
        <w:right w:val="none" w:sz="0" w:space="0" w:color="auto"/>
      </w:divBdr>
    </w:div>
    <w:div w:id="1866210561">
      <w:bodyDiv w:val="1"/>
      <w:marLeft w:val="0"/>
      <w:marRight w:val="0"/>
      <w:marTop w:val="0"/>
      <w:marBottom w:val="0"/>
      <w:divBdr>
        <w:top w:val="none" w:sz="0" w:space="0" w:color="auto"/>
        <w:left w:val="none" w:sz="0" w:space="0" w:color="auto"/>
        <w:bottom w:val="none" w:sz="0" w:space="0" w:color="auto"/>
        <w:right w:val="none" w:sz="0" w:space="0" w:color="auto"/>
      </w:divBdr>
    </w:div>
    <w:div w:id="1868907483">
      <w:bodyDiv w:val="1"/>
      <w:marLeft w:val="0"/>
      <w:marRight w:val="0"/>
      <w:marTop w:val="0"/>
      <w:marBottom w:val="0"/>
      <w:divBdr>
        <w:top w:val="none" w:sz="0" w:space="0" w:color="auto"/>
        <w:left w:val="none" w:sz="0" w:space="0" w:color="auto"/>
        <w:bottom w:val="none" w:sz="0" w:space="0" w:color="auto"/>
        <w:right w:val="none" w:sz="0" w:space="0" w:color="auto"/>
      </w:divBdr>
    </w:div>
    <w:div w:id="1879321085">
      <w:bodyDiv w:val="1"/>
      <w:marLeft w:val="0"/>
      <w:marRight w:val="0"/>
      <w:marTop w:val="0"/>
      <w:marBottom w:val="0"/>
      <w:divBdr>
        <w:top w:val="none" w:sz="0" w:space="0" w:color="auto"/>
        <w:left w:val="none" w:sz="0" w:space="0" w:color="auto"/>
        <w:bottom w:val="none" w:sz="0" w:space="0" w:color="auto"/>
        <w:right w:val="none" w:sz="0" w:space="0" w:color="auto"/>
      </w:divBdr>
      <w:divsChild>
        <w:div w:id="1288589764">
          <w:marLeft w:val="0"/>
          <w:marRight w:val="0"/>
          <w:marTop w:val="0"/>
          <w:marBottom w:val="0"/>
          <w:divBdr>
            <w:top w:val="none" w:sz="0" w:space="0" w:color="auto"/>
            <w:left w:val="none" w:sz="0" w:space="0" w:color="auto"/>
            <w:bottom w:val="none" w:sz="0" w:space="0" w:color="auto"/>
            <w:right w:val="none" w:sz="0" w:space="0" w:color="auto"/>
          </w:divBdr>
        </w:div>
      </w:divsChild>
    </w:div>
    <w:div w:id="1885214570">
      <w:bodyDiv w:val="1"/>
      <w:marLeft w:val="0"/>
      <w:marRight w:val="0"/>
      <w:marTop w:val="0"/>
      <w:marBottom w:val="0"/>
      <w:divBdr>
        <w:top w:val="none" w:sz="0" w:space="0" w:color="auto"/>
        <w:left w:val="none" w:sz="0" w:space="0" w:color="auto"/>
        <w:bottom w:val="none" w:sz="0" w:space="0" w:color="auto"/>
        <w:right w:val="none" w:sz="0" w:space="0" w:color="auto"/>
      </w:divBdr>
    </w:div>
    <w:div w:id="1885217021">
      <w:bodyDiv w:val="1"/>
      <w:marLeft w:val="0"/>
      <w:marRight w:val="0"/>
      <w:marTop w:val="0"/>
      <w:marBottom w:val="0"/>
      <w:divBdr>
        <w:top w:val="none" w:sz="0" w:space="0" w:color="auto"/>
        <w:left w:val="none" w:sz="0" w:space="0" w:color="auto"/>
        <w:bottom w:val="none" w:sz="0" w:space="0" w:color="auto"/>
        <w:right w:val="none" w:sz="0" w:space="0" w:color="auto"/>
      </w:divBdr>
    </w:div>
    <w:div w:id="1887254295">
      <w:bodyDiv w:val="1"/>
      <w:marLeft w:val="0"/>
      <w:marRight w:val="0"/>
      <w:marTop w:val="0"/>
      <w:marBottom w:val="0"/>
      <w:divBdr>
        <w:top w:val="none" w:sz="0" w:space="0" w:color="auto"/>
        <w:left w:val="none" w:sz="0" w:space="0" w:color="auto"/>
        <w:bottom w:val="none" w:sz="0" w:space="0" w:color="auto"/>
        <w:right w:val="none" w:sz="0" w:space="0" w:color="auto"/>
      </w:divBdr>
    </w:div>
    <w:div w:id="1893733728">
      <w:bodyDiv w:val="1"/>
      <w:marLeft w:val="0"/>
      <w:marRight w:val="0"/>
      <w:marTop w:val="0"/>
      <w:marBottom w:val="0"/>
      <w:divBdr>
        <w:top w:val="none" w:sz="0" w:space="0" w:color="auto"/>
        <w:left w:val="none" w:sz="0" w:space="0" w:color="auto"/>
        <w:bottom w:val="none" w:sz="0" w:space="0" w:color="auto"/>
        <w:right w:val="none" w:sz="0" w:space="0" w:color="auto"/>
      </w:divBdr>
    </w:div>
    <w:div w:id="1906912789">
      <w:bodyDiv w:val="1"/>
      <w:marLeft w:val="0"/>
      <w:marRight w:val="0"/>
      <w:marTop w:val="0"/>
      <w:marBottom w:val="0"/>
      <w:divBdr>
        <w:top w:val="none" w:sz="0" w:space="0" w:color="auto"/>
        <w:left w:val="none" w:sz="0" w:space="0" w:color="auto"/>
        <w:bottom w:val="none" w:sz="0" w:space="0" w:color="auto"/>
        <w:right w:val="none" w:sz="0" w:space="0" w:color="auto"/>
      </w:divBdr>
    </w:div>
    <w:div w:id="1913999255">
      <w:bodyDiv w:val="1"/>
      <w:marLeft w:val="0"/>
      <w:marRight w:val="0"/>
      <w:marTop w:val="0"/>
      <w:marBottom w:val="0"/>
      <w:divBdr>
        <w:top w:val="none" w:sz="0" w:space="0" w:color="auto"/>
        <w:left w:val="none" w:sz="0" w:space="0" w:color="auto"/>
        <w:bottom w:val="none" w:sz="0" w:space="0" w:color="auto"/>
        <w:right w:val="none" w:sz="0" w:space="0" w:color="auto"/>
      </w:divBdr>
    </w:div>
    <w:div w:id="1914703812">
      <w:bodyDiv w:val="1"/>
      <w:marLeft w:val="0"/>
      <w:marRight w:val="0"/>
      <w:marTop w:val="0"/>
      <w:marBottom w:val="0"/>
      <w:divBdr>
        <w:top w:val="none" w:sz="0" w:space="0" w:color="auto"/>
        <w:left w:val="none" w:sz="0" w:space="0" w:color="auto"/>
        <w:bottom w:val="none" w:sz="0" w:space="0" w:color="auto"/>
        <w:right w:val="none" w:sz="0" w:space="0" w:color="auto"/>
      </w:divBdr>
    </w:div>
    <w:div w:id="1918243414">
      <w:bodyDiv w:val="1"/>
      <w:marLeft w:val="0"/>
      <w:marRight w:val="0"/>
      <w:marTop w:val="0"/>
      <w:marBottom w:val="0"/>
      <w:divBdr>
        <w:top w:val="none" w:sz="0" w:space="0" w:color="auto"/>
        <w:left w:val="none" w:sz="0" w:space="0" w:color="auto"/>
        <w:bottom w:val="none" w:sz="0" w:space="0" w:color="auto"/>
        <w:right w:val="none" w:sz="0" w:space="0" w:color="auto"/>
      </w:divBdr>
    </w:div>
    <w:div w:id="1919361119">
      <w:bodyDiv w:val="1"/>
      <w:marLeft w:val="0"/>
      <w:marRight w:val="0"/>
      <w:marTop w:val="0"/>
      <w:marBottom w:val="0"/>
      <w:divBdr>
        <w:top w:val="none" w:sz="0" w:space="0" w:color="auto"/>
        <w:left w:val="none" w:sz="0" w:space="0" w:color="auto"/>
        <w:bottom w:val="none" w:sz="0" w:space="0" w:color="auto"/>
        <w:right w:val="none" w:sz="0" w:space="0" w:color="auto"/>
      </w:divBdr>
      <w:divsChild>
        <w:div w:id="1572227040">
          <w:marLeft w:val="0"/>
          <w:marRight w:val="0"/>
          <w:marTop w:val="0"/>
          <w:marBottom w:val="0"/>
          <w:divBdr>
            <w:top w:val="none" w:sz="0" w:space="0" w:color="auto"/>
            <w:left w:val="none" w:sz="0" w:space="0" w:color="auto"/>
            <w:bottom w:val="none" w:sz="0" w:space="0" w:color="auto"/>
            <w:right w:val="none" w:sz="0" w:space="0" w:color="auto"/>
          </w:divBdr>
          <w:divsChild>
            <w:div w:id="1583835891">
              <w:marLeft w:val="0"/>
              <w:marRight w:val="0"/>
              <w:marTop w:val="0"/>
              <w:marBottom w:val="0"/>
              <w:divBdr>
                <w:top w:val="none" w:sz="0" w:space="0" w:color="auto"/>
                <w:left w:val="none" w:sz="0" w:space="0" w:color="auto"/>
                <w:bottom w:val="none" w:sz="0" w:space="0" w:color="auto"/>
                <w:right w:val="none" w:sz="0" w:space="0" w:color="auto"/>
              </w:divBdr>
            </w:div>
            <w:div w:id="592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19638">
      <w:bodyDiv w:val="1"/>
      <w:marLeft w:val="0"/>
      <w:marRight w:val="0"/>
      <w:marTop w:val="0"/>
      <w:marBottom w:val="0"/>
      <w:divBdr>
        <w:top w:val="none" w:sz="0" w:space="0" w:color="auto"/>
        <w:left w:val="none" w:sz="0" w:space="0" w:color="auto"/>
        <w:bottom w:val="none" w:sz="0" w:space="0" w:color="auto"/>
        <w:right w:val="none" w:sz="0" w:space="0" w:color="auto"/>
      </w:divBdr>
    </w:div>
    <w:div w:id="1957827837">
      <w:bodyDiv w:val="1"/>
      <w:marLeft w:val="0"/>
      <w:marRight w:val="0"/>
      <w:marTop w:val="0"/>
      <w:marBottom w:val="0"/>
      <w:divBdr>
        <w:top w:val="none" w:sz="0" w:space="0" w:color="auto"/>
        <w:left w:val="none" w:sz="0" w:space="0" w:color="auto"/>
        <w:bottom w:val="none" w:sz="0" w:space="0" w:color="auto"/>
        <w:right w:val="none" w:sz="0" w:space="0" w:color="auto"/>
      </w:divBdr>
    </w:div>
    <w:div w:id="1966814630">
      <w:bodyDiv w:val="1"/>
      <w:marLeft w:val="0"/>
      <w:marRight w:val="0"/>
      <w:marTop w:val="0"/>
      <w:marBottom w:val="0"/>
      <w:divBdr>
        <w:top w:val="none" w:sz="0" w:space="0" w:color="auto"/>
        <w:left w:val="none" w:sz="0" w:space="0" w:color="auto"/>
        <w:bottom w:val="none" w:sz="0" w:space="0" w:color="auto"/>
        <w:right w:val="none" w:sz="0" w:space="0" w:color="auto"/>
      </w:divBdr>
    </w:div>
    <w:div w:id="1968586411">
      <w:bodyDiv w:val="1"/>
      <w:marLeft w:val="0"/>
      <w:marRight w:val="0"/>
      <w:marTop w:val="0"/>
      <w:marBottom w:val="0"/>
      <w:divBdr>
        <w:top w:val="none" w:sz="0" w:space="0" w:color="auto"/>
        <w:left w:val="none" w:sz="0" w:space="0" w:color="auto"/>
        <w:bottom w:val="none" w:sz="0" w:space="0" w:color="auto"/>
        <w:right w:val="none" w:sz="0" w:space="0" w:color="auto"/>
      </w:divBdr>
    </w:div>
    <w:div w:id="1972437063">
      <w:bodyDiv w:val="1"/>
      <w:marLeft w:val="0"/>
      <w:marRight w:val="0"/>
      <w:marTop w:val="0"/>
      <w:marBottom w:val="0"/>
      <w:divBdr>
        <w:top w:val="none" w:sz="0" w:space="0" w:color="auto"/>
        <w:left w:val="none" w:sz="0" w:space="0" w:color="auto"/>
        <w:bottom w:val="none" w:sz="0" w:space="0" w:color="auto"/>
        <w:right w:val="none" w:sz="0" w:space="0" w:color="auto"/>
      </w:divBdr>
      <w:divsChild>
        <w:div w:id="1518108424">
          <w:marLeft w:val="0"/>
          <w:marRight w:val="0"/>
          <w:marTop w:val="0"/>
          <w:marBottom w:val="0"/>
          <w:divBdr>
            <w:top w:val="none" w:sz="0" w:space="0" w:color="auto"/>
            <w:left w:val="none" w:sz="0" w:space="0" w:color="auto"/>
            <w:bottom w:val="none" w:sz="0" w:space="0" w:color="auto"/>
            <w:right w:val="none" w:sz="0" w:space="0" w:color="auto"/>
          </w:divBdr>
        </w:div>
      </w:divsChild>
    </w:div>
    <w:div w:id="1978027127">
      <w:bodyDiv w:val="1"/>
      <w:marLeft w:val="0"/>
      <w:marRight w:val="0"/>
      <w:marTop w:val="0"/>
      <w:marBottom w:val="0"/>
      <w:divBdr>
        <w:top w:val="none" w:sz="0" w:space="0" w:color="auto"/>
        <w:left w:val="none" w:sz="0" w:space="0" w:color="auto"/>
        <w:bottom w:val="none" w:sz="0" w:space="0" w:color="auto"/>
        <w:right w:val="none" w:sz="0" w:space="0" w:color="auto"/>
      </w:divBdr>
    </w:div>
    <w:div w:id="1988362321">
      <w:bodyDiv w:val="1"/>
      <w:marLeft w:val="0"/>
      <w:marRight w:val="0"/>
      <w:marTop w:val="0"/>
      <w:marBottom w:val="0"/>
      <w:divBdr>
        <w:top w:val="none" w:sz="0" w:space="0" w:color="auto"/>
        <w:left w:val="none" w:sz="0" w:space="0" w:color="auto"/>
        <w:bottom w:val="none" w:sz="0" w:space="0" w:color="auto"/>
        <w:right w:val="none" w:sz="0" w:space="0" w:color="auto"/>
      </w:divBdr>
      <w:divsChild>
        <w:div w:id="1220750739">
          <w:marLeft w:val="0"/>
          <w:marRight w:val="0"/>
          <w:marTop w:val="0"/>
          <w:marBottom w:val="0"/>
          <w:divBdr>
            <w:top w:val="none" w:sz="0" w:space="0" w:color="auto"/>
            <w:left w:val="none" w:sz="0" w:space="0" w:color="auto"/>
            <w:bottom w:val="none" w:sz="0" w:space="0" w:color="auto"/>
            <w:right w:val="none" w:sz="0" w:space="0" w:color="auto"/>
          </w:divBdr>
          <w:divsChild>
            <w:div w:id="1551112065">
              <w:marLeft w:val="0"/>
              <w:marRight w:val="0"/>
              <w:marTop w:val="0"/>
              <w:marBottom w:val="0"/>
              <w:divBdr>
                <w:top w:val="none" w:sz="0" w:space="0" w:color="auto"/>
                <w:left w:val="none" w:sz="0" w:space="0" w:color="auto"/>
                <w:bottom w:val="none" w:sz="0" w:space="0" w:color="auto"/>
                <w:right w:val="none" w:sz="0" w:space="0" w:color="auto"/>
              </w:divBdr>
            </w:div>
            <w:div w:id="127240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67569">
      <w:bodyDiv w:val="1"/>
      <w:marLeft w:val="0"/>
      <w:marRight w:val="0"/>
      <w:marTop w:val="0"/>
      <w:marBottom w:val="0"/>
      <w:divBdr>
        <w:top w:val="none" w:sz="0" w:space="0" w:color="auto"/>
        <w:left w:val="none" w:sz="0" w:space="0" w:color="auto"/>
        <w:bottom w:val="none" w:sz="0" w:space="0" w:color="auto"/>
        <w:right w:val="none" w:sz="0" w:space="0" w:color="auto"/>
      </w:divBdr>
    </w:div>
    <w:div w:id="2000189114">
      <w:bodyDiv w:val="1"/>
      <w:marLeft w:val="0"/>
      <w:marRight w:val="0"/>
      <w:marTop w:val="0"/>
      <w:marBottom w:val="0"/>
      <w:divBdr>
        <w:top w:val="none" w:sz="0" w:space="0" w:color="auto"/>
        <w:left w:val="none" w:sz="0" w:space="0" w:color="auto"/>
        <w:bottom w:val="none" w:sz="0" w:space="0" w:color="auto"/>
        <w:right w:val="none" w:sz="0" w:space="0" w:color="auto"/>
      </w:divBdr>
    </w:div>
    <w:div w:id="2008972543">
      <w:bodyDiv w:val="1"/>
      <w:marLeft w:val="0"/>
      <w:marRight w:val="0"/>
      <w:marTop w:val="0"/>
      <w:marBottom w:val="0"/>
      <w:divBdr>
        <w:top w:val="none" w:sz="0" w:space="0" w:color="auto"/>
        <w:left w:val="none" w:sz="0" w:space="0" w:color="auto"/>
        <w:bottom w:val="none" w:sz="0" w:space="0" w:color="auto"/>
        <w:right w:val="none" w:sz="0" w:space="0" w:color="auto"/>
      </w:divBdr>
    </w:div>
    <w:div w:id="2010785765">
      <w:bodyDiv w:val="1"/>
      <w:marLeft w:val="0"/>
      <w:marRight w:val="0"/>
      <w:marTop w:val="0"/>
      <w:marBottom w:val="0"/>
      <w:divBdr>
        <w:top w:val="none" w:sz="0" w:space="0" w:color="auto"/>
        <w:left w:val="none" w:sz="0" w:space="0" w:color="auto"/>
        <w:bottom w:val="none" w:sz="0" w:space="0" w:color="auto"/>
        <w:right w:val="none" w:sz="0" w:space="0" w:color="auto"/>
      </w:divBdr>
    </w:div>
    <w:div w:id="2019379509">
      <w:bodyDiv w:val="1"/>
      <w:marLeft w:val="0"/>
      <w:marRight w:val="0"/>
      <w:marTop w:val="0"/>
      <w:marBottom w:val="0"/>
      <w:divBdr>
        <w:top w:val="none" w:sz="0" w:space="0" w:color="auto"/>
        <w:left w:val="none" w:sz="0" w:space="0" w:color="auto"/>
        <w:bottom w:val="none" w:sz="0" w:space="0" w:color="auto"/>
        <w:right w:val="none" w:sz="0" w:space="0" w:color="auto"/>
      </w:divBdr>
    </w:div>
    <w:div w:id="2027245629">
      <w:bodyDiv w:val="1"/>
      <w:marLeft w:val="0"/>
      <w:marRight w:val="0"/>
      <w:marTop w:val="0"/>
      <w:marBottom w:val="0"/>
      <w:divBdr>
        <w:top w:val="none" w:sz="0" w:space="0" w:color="auto"/>
        <w:left w:val="none" w:sz="0" w:space="0" w:color="auto"/>
        <w:bottom w:val="none" w:sz="0" w:space="0" w:color="auto"/>
        <w:right w:val="none" w:sz="0" w:space="0" w:color="auto"/>
      </w:divBdr>
    </w:div>
    <w:div w:id="2031489518">
      <w:bodyDiv w:val="1"/>
      <w:marLeft w:val="0"/>
      <w:marRight w:val="0"/>
      <w:marTop w:val="0"/>
      <w:marBottom w:val="0"/>
      <w:divBdr>
        <w:top w:val="none" w:sz="0" w:space="0" w:color="auto"/>
        <w:left w:val="none" w:sz="0" w:space="0" w:color="auto"/>
        <w:bottom w:val="none" w:sz="0" w:space="0" w:color="auto"/>
        <w:right w:val="none" w:sz="0" w:space="0" w:color="auto"/>
      </w:divBdr>
    </w:div>
    <w:div w:id="2039425145">
      <w:bodyDiv w:val="1"/>
      <w:marLeft w:val="0"/>
      <w:marRight w:val="0"/>
      <w:marTop w:val="0"/>
      <w:marBottom w:val="0"/>
      <w:divBdr>
        <w:top w:val="none" w:sz="0" w:space="0" w:color="auto"/>
        <w:left w:val="none" w:sz="0" w:space="0" w:color="auto"/>
        <w:bottom w:val="none" w:sz="0" w:space="0" w:color="auto"/>
        <w:right w:val="none" w:sz="0" w:space="0" w:color="auto"/>
      </w:divBdr>
    </w:div>
    <w:div w:id="2041010925">
      <w:bodyDiv w:val="1"/>
      <w:marLeft w:val="0"/>
      <w:marRight w:val="0"/>
      <w:marTop w:val="0"/>
      <w:marBottom w:val="0"/>
      <w:divBdr>
        <w:top w:val="none" w:sz="0" w:space="0" w:color="auto"/>
        <w:left w:val="none" w:sz="0" w:space="0" w:color="auto"/>
        <w:bottom w:val="none" w:sz="0" w:space="0" w:color="auto"/>
        <w:right w:val="none" w:sz="0" w:space="0" w:color="auto"/>
      </w:divBdr>
    </w:div>
    <w:div w:id="2055420506">
      <w:bodyDiv w:val="1"/>
      <w:marLeft w:val="0"/>
      <w:marRight w:val="0"/>
      <w:marTop w:val="0"/>
      <w:marBottom w:val="0"/>
      <w:divBdr>
        <w:top w:val="none" w:sz="0" w:space="0" w:color="auto"/>
        <w:left w:val="none" w:sz="0" w:space="0" w:color="auto"/>
        <w:bottom w:val="none" w:sz="0" w:space="0" w:color="auto"/>
        <w:right w:val="none" w:sz="0" w:space="0" w:color="auto"/>
      </w:divBdr>
    </w:div>
    <w:div w:id="2062091133">
      <w:bodyDiv w:val="1"/>
      <w:marLeft w:val="0"/>
      <w:marRight w:val="0"/>
      <w:marTop w:val="0"/>
      <w:marBottom w:val="0"/>
      <w:divBdr>
        <w:top w:val="none" w:sz="0" w:space="0" w:color="auto"/>
        <w:left w:val="none" w:sz="0" w:space="0" w:color="auto"/>
        <w:bottom w:val="none" w:sz="0" w:space="0" w:color="auto"/>
        <w:right w:val="none" w:sz="0" w:space="0" w:color="auto"/>
      </w:divBdr>
    </w:div>
    <w:div w:id="2069693245">
      <w:bodyDiv w:val="1"/>
      <w:marLeft w:val="0"/>
      <w:marRight w:val="0"/>
      <w:marTop w:val="0"/>
      <w:marBottom w:val="0"/>
      <w:divBdr>
        <w:top w:val="none" w:sz="0" w:space="0" w:color="auto"/>
        <w:left w:val="none" w:sz="0" w:space="0" w:color="auto"/>
        <w:bottom w:val="none" w:sz="0" w:space="0" w:color="auto"/>
        <w:right w:val="none" w:sz="0" w:space="0" w:color="auto"/>
      </w:divBdr>
      <w:divsChild>
        <w:div w:id="758911594">
          <w:marLeft w:val="0"/>
          <w:marRight w:val="0"/>
          <w:marTop w:val="0"/>
          <w:marBottom w:val="0"/>
          <w:divBdr>
            <w:top w:val="none" w:sz="0" w:space="0" w:color="auto"/>
            <w:left w:val="none" w:sz="0" w:space="0" w:color="auto"/>
            <w:bottom w:val="none" w:sz="0" w:space="0" w:color="auto"/>
            <w:right w:val="none" w:sz="0" w:space="0" w:color="auto"/>
          </w:divBdr>
          <w:divsChild>
            <w:div w:id="1656108382">
              <w:marLeft w:val="0"/>
              <w:marRight w:val="0"/>
              <w:marTop w:val="0"/>
              <w:marBottom w:val="0"/>
              <w:divBdr>
                <w:top w:val="none" w:sz="0" w:space="0" w:color="auto"/>
                <w:left w:val="none" w:sz="0" w:space="0" w:color="auto"/>
                <w:bottom w:val="none" w:sz="0" w:space="0" w:color="auto"/>
                <w:right w:val="none" w:sz="0" w:space="0" w:color="auto"/>
              </w:divBdr>
            </w:div>
            <w:div w:id="190645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80851">
      <w:bodyDiv w:val="1"/>
      <w:marLeft w:val="0"/>
      <w:marRight w:val="0"/>
      <w:marTop w:val="0"/>
      <w:marBottom w:val="0"/>
      <w:divBdr>
        <w:top w:val="none" w:sz="0" w:space="0" w:color="auto"/>
        <w:left w:val="none" w:sz="0" w:space="0" w:color="auto"/>
        <w:bottom w:val="none" w:sz="0" w:space="0" w:color="auto"/>
        <w:right w:val="none" w:sz="0" w:space="0" w:color="auto"/>
      </w:divBdr>
    </w:div>
    <w:div w:id="2111587593">
      <w:bodyDiv w:val="1"/>
      <w:marLeft w:val="0"/>
      <w:marRight w:val="0"/>
      <w:marTop w:val="0"/>
      <w:marBottom w:val="0"/>
      <w:divBdr>
        <w:top w:val="none" w:sz="0" w:space="0" w:color="auto"/>
        <w:left w:val="none" w:sz="0" w:space="0" w:color="auto"/>
        <w:bottom w:val="none" w:sz="0" w:space="0" w:color="auto"/>
        <w:right w:val="none" w:sz="0" w:space="0" w:color="auto"/>
      </w:divBdr>
    </w:div>
    <w:div w:id="2112896790">
      <w:bodyDiv w:val="1"/>
      <w:marLeft w:val="0"/>
      <w:marRight w:val="0"/>
      <w:marTop w:val="0"/>
      <w:marBottom w:val="0"/>
      <w:divBdr>
        <w:top w:val="none" w:sz="0" w:space="0" w:color="auto"/>
        <w:left w:val="none" w:sz="0" w:space="0" w:color="auto"/>
        <w:bottom w:val="none" w:sz="0" w:space="0" w:color="auto"/>
        <w:right w:val="none" w:sz="0" w:space="0" w:color="auto"/>
      </w:divBdr>
    </w:div>
    <w:div w:id="2113473220">
      <w:bodyDiv w:val="1"/>
      <w:marLeft w:val="0"/>
      <w:marRight w:val="0"/>
      <w:marTop w:val="0"/>
      <w:marBottom w:val="0"/>
      <w:divBdr>
        <w:top w:val="none" w:sz="0" w:space="0" w:color="auto"/>
        <w:left w:val="none" w:sz="0" w:space="0" w:color="auto"/>
        <w:bottom w:val="none" w:sz="0" w:space="0" w:color="auto"/>
        <w:right w:val="none" w:sz="0" w:space="0" w:color="auto"/>
      </w:divBdr>
    </w:div>
    <w:div w:id="2127037272">
      <w:bodyDiv w:val="1"/>
      <w:marLeft w:val="0"/>
      <w:marRight w:val="0"/>
      <w:marTop w:val="0"/>
      <w:marBottom w:val="0"/>
      <w:divBdr>
        <w:top w:val="none" w:sz="0" w:space="0" w:color="auto"/>
        <w:left w:val="none" w:sz="0" w:space="0" w:color="auto"/>
        <w:bottom w:val="none" w:sz="0" w:space="0" w:color="auto"/>
        <w:right w:val="none" w:sz="0" w:space="0" w:color="auto"/>
      </w:divBdr>
      <w:divsChild>
        <w:div w:id="79722281">
          <w:marLeft w:val="0"/>
          <w:marRight w:val="0"/>
          <w:marTop w:val="0"/>
          <w:marBottom w:val="0"/>
          <w:divBdr>
            <w:top w:val="none" w:sz="0" w:space="0" w:color="auto"/>
            <w:left w:val="none" w:sz="0" w:space="0" w:color="auto"/>
            <w:bottom w:val="none" w:sz="0" w:space="0" w:color="auto"/>
            <w:right w:val="none" w:sz="0" w:space="0" w:color="auto"/>
          </w:divBdr>
        </w:div>
      </w:divsChild>
    </w:div>
    <w:div w:id="2140370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stafaalfors@med.asu.edu.e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stafaalfors@med.asu.edu.eg" TargetMode="External"/><Relationship Id="rId4" Type="http://schemas.openxmlformats.org/officeDocument/2006/relationships/settings" Target="settings.xml"/><Relationship Id="rId9" Type="http://schemas.openxmlformats.org/officeDocument/2006/relationships/hyperlink" Target="mailto:mostafaalfors@med.asu.edu.e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00%20In%20Jesus%20Name%20Work\IM\GIT%20Mohamed%20Hamza\Excel%20dr%20Mohamed%20Ahmed%20Abdelmagied%20Hamza%20(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00%20In%20Jesus%20Name%20Work\IM\GIT%20Mohamed%20Hamza\Excel%20dr%20Mohamed%20Ahmed%20Abdelmagied%20Hamza%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IBS types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Charts!$C$47:$C$49</c:f>
              <c:strCache>
                <c:ptCount val="3"/>
                <c:pt idx="0">
                  <c:v>IBS-C</c:v>
                </c:pt>
                <c:pt idx="1">
                  <c:v>IBS-D</c:v>
                </c:pt>
                <c:pt idx="2">
                  <c:v>IBS-M</c:v>
                </c:pt>
              </c:strCache>
            </c:strRef>
          </c:cat>
          <c:val>
            <c:numRef>
              <c:f>Charts!$D$47:$D$49</c:f>
              <c:numCache>
                <c:formatCode>0.0%</c:formatCode>
                <c:ptCount val="3"/>
                <c:pt idx="0">
                  <c:v>0.26190476190476192</c:v>
                </c:pt>
                <c:pt idx="1">
                  <c:v>0.6071428571428571</c:v>
                </c:pt>
                <c:pt idx="2">
                  <c:v>0.13095238095238096</c:v>
                </c:pt>
              </c:numCache>
            </c:numRef>
          </c:val>
          <c:extLst>
            <c:ext xmlns:c16="http://schemas.microsoft.com/office/drawing/2014/chart" uri="{C3380CC4-5D6E-409C-BE32-E72D297353CC}">
              <c16:uniqueId val="{00000000-10C8-4135-9E35-6CE8B50FCB7B}"/>
            </c:ext>
          </c:extLst>
        </c:ser>
        <c:dLbls>
          <c:showLegendKey val="0"/>
          <c:showVal val="0"/>
          <c:showCatName val="0"/>
          <c:showSerName val="0"/>
          <c:showPercent val="0"/>
          <c:showBubbleSize val="0"/>
        </c:dLbls>
        <c:gapWidth val="219"/>
        <c:overlap val="-27"/>
        <c:axId val="276928816"/>
        <c:axId val="214918776"/>
      </c:barChart>
      <c:catAx>
        <c:axId val="276928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918776"/>
        <c:crosses val="autoZero"/>
        <c:auto val="1"/>
        <c:lblAlgn val="ctr"/>
        <c:lblOffset val="100"/>
        <c:noMultiLvlLbl val="0"/>
      </c:catAx>
      <c:valAx>
        <c:axId val="2149187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6928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a:t>Food allergy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solidFill>
                <a:schemeClr val="lt1"/>
              </a:solidFill>
              <a:ln w="12700" cap="flat" cmpd="sng" algn="ctr">
                <a:solidFill>
                  <a:schemeClr val="dk1"/>
                </a:solidFill>
                <a:prstDash val="solid"/>
                <a:miter lim="800000"/>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Charts!$C$75:$C$83</c:f>
              <c:strCache>
                <c:ptCount val="9"/>
                <c:pt idx="0">
                  <c:v>Food allergy</c:v>
                </c:pt>
                <c:pt idx="1">
                  <c:v>High serum IgE</c:v>
                </c:pt>
                <c:pt idx="2">
                  <c:v>Egg white</c:v>
                </c:pt>
                <c:pt idx="3">
                  <c:v>Cow milk</c:v>
                </c:pt>
                <c:pt idx="4">
                  <c:v>Wheat</c:v>
                </c:pt>
                <c:pt idx="5">
                  <c:v>Soy</c:v>
                </c:pt>
                <c:pt idx="6">
                  <c:v>Peanut</c:v>
                </c:pt>
                <c:pt idx="7">
                  <c:v>Tomato</c:v>
                </c:pt>
                <c:pt idx="8">
                  <c:v>Fish</c:v>
                </c:pt>
              </c:strCache>
            </c:strRef>
          </c:cat>
          <c:val>
            <c:numRef>
              <c:f>Charts!$D$75:$D$83</c:f>
              <c:numCache>
                <c:formatCode>0.0%</c:formatCode>
                <c:ptCount val="9"/>
                <c:pt idx="0" formatCode="0.00%">
                  <c:v>0.5</c:v>
                </c:pt>
                <c:pt idx="1">
                  <c:v>0.19047619047619047</c:v>
                </c:pt>
                <c:pt idx="2">
                  <c:v>0.39285714285714285</c:v>
                </c:pt>
                <c:pt idx="3">
                  <c:v>0.5</c:v>
                </c:pt>
                <c:pt idx="4">
                  <c:v>0.33333333333333331</c:v>
                </c:pt>
                <c:pt idx="5">
                  <c:v>0.23809523809523808</c:v>
                </c:pt>
                <c:pt idx="6">
                  <c:v>0.23809523809523808</c:v>
                </c:pt>
                <c:pt idx="7">
                  <c:v>0.23809523809523808</c:v>
                </c:pt>
                <c:pt idx="8">
                  <c:v>0.23809523809523808</c:v>
                </c:pt>
              </c:numCache>
            </c:numRef>
          </c:val>
          <c:extLst>
            <c:ext xmlns:c16="http://schemas.microsoft.com/office/drawing/2014/chart" uri="{C3380CC4-5D6E-409C-BE32-E72D297353CC}">
              <c16:uniqueId val="{00000000-2ABB-4E6C-A538-688656CE4A98}"/>
            </c:ext>
          </c:extLst>
        </c:ser>
        <c:dLbls>
          <c:showLegendKey val="0"/>
          <c:showVal val="0"/>
          <c:showCatName val="0"/>
          <c:showSerName val="0"/>
          <c:showPercent val="0"/>
          <c:showBubbleSize val="0"/>
        </c:dLbls>
        <c:gapWidth val="219"/>
        <c:overlap val="-27"/>
        <c:axId val="214923088"/>
        <c:axId val="214919168"/>
      </c:barChart>
      <c:catAx>
        <c:axId val="214923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14919168"/>
        <c:crosses val="autoZero"/>
        <c:auto val="1"/>
        <c:lblAlgn val="ctr"/>
        <c:lblOffset val="100"/>
        <c:noMultiLvlLbl val="0"/>
      </c:catAx>
      <c:valAx>
        <c:axId val="214919168"/>
        <c:scaling>
          <c:orientation val="minMax"/>
        </c:scaling>
        <c:delete val="0"/>
        <c:axPos val="l"/>
        <c:majorGridlines>
          <c:spPr>
            <a:ln w="6350" cap="flat" cmpd="sng" algn="ctr">
              <a:solidFill>
                <a:schemeClr val="dk1"/>
              </a:solidFill>
              <a:prstDash val="solid"/>
              <a:miter lim="800000"/>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14923088"/>
        <c:crosses val="autoZero"/>
        <c:crossBetween val="between"/>
        <c:majorUnit val="0.2"/>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7130C8-3284-40B0-BC31-CA41E42A637E}">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843E8-4506-440C-88EF-F0A9278D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21</Pages>
  <Words>5115</Words>
  <Characters>28788</Characters>
  <Application>Microsoft Office Word</Application>
  <DocSecurity>0</DocSecurity>
  <Lines>750</Lines>
  <Paragraphs>353</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33628</CharactersWithSpaces>
  <SharedDoc>false</SharedDoc>
  <HLinks>
    <vt:vector size="12" baseType="variant">
      <vt:variant>
        <vt:i4>4456475</vt:i4>
      </vt:variant>
      <vt:variant>
        <vt:i4>45</vt:i4>
      </vt:variant>
      <vt:variant>
        <vt:i4>0</vt:i4>
      </vt:variant>
      <vt:variant>
        <vt:i4>5</vt:i4>
      </vt:variant>
      <vt:variant>
        <vt:lpwstr>https://www.sciencedirect.com/topics/medicine-and-dentistry/spontaneous-remission</vt:lpwstr>
      </vt:variant>
      <vt:variant>
        <vt:lpwstr/>
      </vt:variant>
      <vt:variant>
        <vt:i4>1769506</vt:i4>
      </vt:variant>
      <vt:variant>
        <vt:i4>0</vt:i4>
      </vt:variant>
      <vt:variant>
        <vt:i4>0</vt:i4>
      </vt:variant>
      <vt:variant>
        <vt:i4>5</vt:i4>
      </vt:variant>
      <vt:variant>
        <vt:lpwstr>mailto:dr.n.badawy@gmail.com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Halfawy</dc:creator>
  <cp:lastModifiedBy>SYSalem</cp:lastModifiedBy>
  <cp:revision>28</cp:revision>
  <cp:lastPrinted>2024-11-22T19:10:00Z</cp:lastPrinted>
  <dcterms:created xsi:type="dcterms:W3CDTF">2024-11-19T12:25:00Z</dcterms:created>
  <dcterms:modified xsi:type="dcterms:W3CDTF">2024-11-22T19:13:00Z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2c5754d9c80be42269d377eb1ede72a6cf9f1c06f5818a6fa3ea8eaad49ac036</vt:lpwstr>
  </property>
</Properties>
</file>