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EA5C" w14:textId="77777777" w:rsidR="00072A68" w:rsidRDefault="00000000">
      <w:pPr>
        <w:rPr>
          <w:rFonts w:ascii="Arial" w:hAnsi="Arial" w:cs="Arial"/>
          <w:b/>
          <w:sz w:val="24"/>
          <w:szCs w:val="24"/>
        </w:rPr>
      </w:pPr>
      <w:r>
        <w:rPr>
          <w:rFonts w:ascii="Arial" w:hAnsi="Arial" w:cs="Arial"/>
          <w:b/>
          <w:sz w:val="32"/>
          <w:szCs w:val="24"/>
        </w:rPr>
        <w:t>A case report of double pylorus: a rare endoscopic finding</w:t>
      </w:r>
      <w:r>
        <w:rPr>
          <w:rFonts w:ascii="Arial" w:hAnsi="Arial" w:cs="Arial"/>
          <w:b/>
          <w:sz w:val="24"/>
          <w:szCs w:val="24"/>
        </w:rPr>
        <w:t xml:space="preserve"> </w:t>
      </w:r>
    </w:p>
    <w:p w14:paraId="479AB72B" w14:textId="77777777" w:rsidR="00072A68" w:rsidRDefault="00000000">
      <w:pPr>
        <w:rPr>
          <w:rFonts w:ascii="Arial" w:hAnsi="Arial" w:cs="Arial"/>
          <w:sz w:val="24"/>
          <w:szCs w:val="24"/>
        </w:rPr>
      </w:pPr>
      <w:bookmarkStart w:id="0" w:name="_Hlk186890518"/>
      <w:r>
        <w:rPr>
          <w:rFonts w:ascii="Arial" w:hAnsi="Arial" w:cs="Arial"/>
          <w:sz w:val="24"/>
          <w:szCs w:val="24"/>
        </w:rPr>
        <w:t>Zelalem Mulu¹, Wudassie Melak², Abdulsemed Nur³, Mengistu Erke⁴</w:t>
      </w:r>
    </w:p>
    <w:bookmarkEnd w:id="0"/>
    <w:p w14:paraId="1571CE1B" w14:textId="77777777" w:rsidR="00072A68" w:rsidRDefault="00000000">
      <w:pPr>
        <w:rPr>
          <w:rFonts w:ascii="Arial" w:hAnsi="Arial" w:cs="Arial"/>
          <w:sz w:val="24"/>
          <w:szCs w:val="24"/>
        </w:rPr>
      </w:pPr>
      <w:r>
        <w:rPr>
          <w:rFonts w:ascii="Arial" w:hAnsi="Arial" w:cs="Arial"/>
          <w:sz w:val="24"/>
          <w:szCs w:val="24"/>
        </w:rPr>
        <w:t>¹Department of Internal Medicine, Debre Markos University, Debre Markos, Ethiopia</w:t>
      </w:r>
    </w:p>
    <w:p w14:paraId="49FCA159" w14:textId="77777777" w:rsidR="00072A68" w:rsidRDefault="00000000">
      <w:pPr>
        <w:rPr>
          <w:rFonts w:ascii="Arial" w:hAnsi="Arial" w:cs="Arial"/>
          <w:sz w:val="24"/>
          <w:szCs w:val="24"/>
        </w:rPr>
      </w:pPr>
      <w:r>
        <w:rPr>
          <w:rFonts w:ascii="Arial" w:hAnsi="Arial" w:cs="Arial"/>
          <w:sz w:val="24"/>
          <w:szCs w:val="24"/>
        </w:rPr>
        <w:t>²Department of Gastroenterology and Hepatology, School of Medicine, Bahirdar University, Bahirdar, Ethiopia</w:t>
      </w:r>
    </w:p>
    <w:p w14:paraId="7BC6AE5E" w14:textId="77777777" w:rsidR="00072A68" w:rsidRDefault="00000000">
      <w:pPr>
        <w:rPr>
          <w:rFonts w:ascii="Arial" w:hAnsi="Arial" w:cs="Arial"/>
          <w:sz w:val="24"/>
          <w:szCs w:val="24"/>
        </w:rPr>
      </w:pPr>
      <w:r>
        <w:rPr>
          <w:rFonts w:ascii="Arial" w:hAnsi="Arial" w:cs="Arial"/>
          <w:sz w:val="24"/>
          <w:szCs w:val="24"/>
        </w:rPr>
        <w:t>³Department of Gastroenterology and Hepatology, School of Medicine, Addis Ababa University, Addis Ababa, Ethiopia</w:t>
      </w:r>
    </w:p>
    <w:p w14:paraId="101C4097" w14:textId="77777777" w:rsidR="00072A68" w:rsidRDefault="00000000">
      <w:pPr>
        <w:rPr>
          <w:rFonts w:ascii="Arial" w:hAnsi="Arial" w:cs="Arial"/>
          <w:sz w:val="24"/>
          <w:szCs w:val="24"/>
        </w:rPr>
      </w:pPr>
      <w:r>
        <w:rPr>
          <w:rFonts w:ascii="Arial" w:hAnsi="Arial" w:cs="Arial"/>
          <w:sz w:val="24"/>
          <w:szCs w:val="24"/>
        </w:rPr>
        <w:t>⁴Department of Gastroenterology and Hepatology, School of Medicine, Addis Ababa University, Addis Ababa, Ethiopia</w:t>
      </w:r>
    </w:p>
    <w:p w14:paraId="26E69ED3" w14:textId="47CC044E" w:rsidR="00072A68" w:rsidRDefault="00000000">
      <w:pPr>
        <w:rPr>
          <w:rFonts w:ascii="Arial" w:hAnsi="Arial" w:cs="Arial"/>
          <w:sz w:val="24"/>
          <w:szCs w:val="24"/>
        </w:rPr>
      </w:pPr>
      <w:r>
        <w:rPr>
          <w:rFonts w:ascii="Arial" w:hAnsi="Arial" w:cs="Arial"/>
          <w:sz w:val="24"/>
          <w:szCs w:val="24"/>
        </w:rPr>
        <w:t xml:space="preserve">Correspondence: Zelalem Mulu. Email: </w:t>
      </w:r>
      <w:hyperlink r:id="rId8" w:history="1">
        <w:r w:rsidR="00072A68">
          <w:rPr>
            <w:rStyle w:val="Hyperlink"/>
            <w:rFonts w:ascii="Arial" w:hAnsi="Arial" w:cs="Arial"/>
            <w:sz w:val="24"/>
            <w:szCs w:val="24"/>
          </w:rPr>
          <w:t>zmlaew@gmail.com</w:t>
        </w:r>
      </w:hyperlink>
      <w:r w:rsidR="008F77AF">
        <w:rPr>
          <w:rFonts w:ascii="Arial" w:hAnsi="Arial" w:cs="Arial"/>
          <w:sz w:val="24"/>
          <w:szCs w:val="24"/>
        </w:rPr>
        <w:t>.</w:t>
      </w:r>
    </w:p>
    <w:p w14:paraId="736B67A0" w14:textId="5B2E0A70" w:rsidR="00430B7A" w:rsidRDefault="00430B7A" w:rsidP="00430B7A">
      <w:pPr>
        <w:rPr>
          <w:rFonts w:ascii="Arial" w:hAnsi="Arial" w:cs="Arial"/>
          <w:sz w:val="24"/>
          <w:szCs w:val="24"/>
        </w:rPr>
      </w:pPr>
      <w:r>
        <w:rPr>
          <w:rFonts w:ascii="Arial" w:hAnsi="Arial" w:cs="Arial"/>
          <w:sz w:val="24"/>
          <w:szCs w:val="24"/>
        </w:rPr>
        <w:t>DOI:</w:t>
      </w:r>
      <w:hyperlink r:id="rId9" w:history="1">
        <w:r w:rsidRPr="00430B7A">
          <w:rPr>
            <w:rStyle w:val="Hyperlink"/>
            <w:rFonts w:ascii="Arial" w:hAnsi="Arial" w:cs="Arial"/>
            <w:b/>
            <w:bCs/>
            <w:sz w:val="24"/>
            <w:szCs w:val="24"/>
          </w:rPr>
          <w:t>10.21608/ajgh.2025.331053.1067</w:t>
        </w:r>
        <w:r w:rsidRPr="00430B7A">
          <w:rPr>
            <w:rStyle w:val="Hyperlink"/>
            <w:rFonts w:ascii="Arial" w:hAnsi="Arial" w:cs="Arial"/>
            <w:b/>
            <w:bCs/>
            <w:sz w:val="24"/>
            <w:szCs w:val="24"/>
          </w:rPr>
          <w:t>.</w:t>
        </w:r>
      </w:hyperlink>
    </w:p>
    <w:p w14:paraId="55632DCD" w14:textId="3CE1DB0A" w:rsidR="00E1740E" w:rsidRPr="00E1740E" w:rsidRDefault="00E1740E" w:rsidP="00E1740E">
      <w:pPr>
        <w:rPr>
          <w:rFonts w:ascii="Arial" w:hAnsi="Arial" w:cs="Arial"/>
          <w:b/>
          <w:bCs/>
          <w:sz w:val="24"/>
          <w:szCs w:val="24"/>
        </w:rPr>
      </w:pPr>
      <w:r w:rsidRPr="00E1740E">
        <w:rPr>
          <w:rFonts w:ascii="Arial" w:hAnsi="Arial" w:cs="Arial"/>
          <w:sz w:val="24"/>
          <w:szCs w:val="24"/>
        </w:rPr>
        <w:t xml:space="preserve">Submission </w:t>
      </w:r>
      <w:bookmarkStart w:id="1" w:name="_Hlk125994740"/>
      <w:r w:rsidRPr="00E1740E">
        <w:rPr>
          <w:rFonts w:ascii="Arial" w:hAnsi="Arial" w:cs="Arial"/>
          <w:sz w:val="24"/>
          <w:szCs w:val="24"/>
        </w:rPr>
        <w:t xml:space="preserve">date: </w:t>
      </w:r>
      <w:r w:rsidR="00284263">
        <w:rPr>
          <w:rFonts w:ascii="Arial" w:hAnsi="Arial" w:cs="Arial"/>
          <w:sz w:val="24"/>
          <w:szCs w:val="24"/>
        </w:rPr>
        <w:t>24</w:t>
      </w:r>
      <w:r w:rsidRPr="00E1740E">
        <w:rPr>
          <w:rFonts w:ascii="Arial" w:hAnsi="Arial" w:cs="Arial"/>
          <w:sz w:val="24"/>
          <w:szCs w:val="24"/>
        </w:rPr>
        <w:t xml:space="preserve"> October 2024.</w:t>
      </w:r>
    </w:p>
    <w:bookmarkEnd w:id="1"/>
    <w:p w14:paraId="58E0E2C5" w14:textId="2D62EECF" w:rsidR="00E1740E" w:rsidRPr="00E1740E" w:rsidRDefault="00E1740E" w:rsidP="00E1740E">
      <w:pPr>
        <w:rPr>
          <w:rFonts w:ascii="Arial" w:hAnsi="Arial" w:cs="Arial"/>
          <w:b/>
          <w:bCs/>
          <w:sz w:val="24"/>
          <w:szCs w:val="24"/>
        </w:rPr>
      </w:pPr>
      <w:r w:rsidRPr="00E1740E">
        <w:rPr>
          <w:rFonts w:ascii="Arial" w:hAnsi="Arial" w:cs="Arial"/>
          <w:sz w:val="24"/>
          <w:szCs w:val="24"/>
        </w:rPr>
        <w:t>Revision date (End of revision):</w:t>
      </w:r>
      <w:r w:rsidRPr="00E1740E">
        <w:rPr>
          <w:rFonts w:ascii="Arial" w:hAnsi="Arial" w:cs="Arial"/>
          <w:b/>
          <w:bCs/>
          <w:sz w:val="24"/>
          <w:szCs w:val="24"/>
        </w:rPr>
        <w:t xml:space="preserve"> </w:t>
      </w:r>
      <w:r w:rsidR="00284263">
        <w:rPr>
          <w:rFonts w:ascii="Arial" w:hAnsi="Arial" w:cs="Arial"/>
          <w:sz w:val="24"/>
          <w:szCs w:val="24"/>
        </w:rPr>
        <w:t>31</w:t>
      </w:r>
      <w:r w:rsidRPr="00E1740E">
        <w:rPr>
          <w:rFonts w:ascii="Arial" w:hAnsi="Arial" w:cs="Arial"/>
          <w:sz w:val="24"/>
          <w:szCs w:val="24"/>
        </w:rPr>
        <w:t xml:space="preserve"> </w:t>
      </w:r>
      <w:r w:rsidR="00284263">
        <w:rPr>
          <w:rFonts w:ascii="Arial" w:hAnsi="Arial" w:cs="Arial"/>
          <w:sz w:val="24"/>
          <w:szCs w:val="24"/>
        </w:rPr>
        <w:t>December</w:t>
      </w:r>
      <w:r w:rsidRPr="00E1740E">
        <w:rPr>
          <w:rFonts w:ascii="Arial" w:hAnsi="Arial" w:cs="Arial"/>
          <w:sz w:val="24"/>
          <w:szCs w:val="24"/>
        </w:rPr>
        <w:t xml:space="preserve"> 2024.</w:t>
      </w:r>
    </w:p>
    <w:p w14:paraId="46687C7A" w14:textId="6BD75F0F" w:rsidR="00E1740E" w:rsidRPr="00E1740E" w:rsidRDefault="00E1740E" w:rsidP="00E1740E">
      <w:pPr>
        <w:rPr>
          <w:rFonts w:ascii="Arial" w:hAnsi="Arial" w:cs="Arial"/>
          <w:b/>
          <w:bCs/>
          <w:sz w:val="24"/>
          <w:szCs w:val="24"/>
        </w:rPr>
      </w:pPr>
      <w:r w:rsidRPr="00E1740E">
        <w:rPr>
          <w:rFonts w:ascii="Arial" w:hAnsi="Arial" w:cs="Arial"/>
          <w:sz w:val="24"/>
          <w:szCs w:val="24"/>
        </w:rPr>
        <w:t>Acceptance date:</w:t>
      </w:r>
      <w:r w:rsidRPr="00E1740E">
        <w:rPr>
          <w:rFonts w:ascii="Arial" w:hAnsi="Arial" w:cs="Arial"/>
          <w:b/>
          <w:bCs/>
          <w:sz w:val="24"/>
          <w:szCs w:val="24"/>
        </w:rPr>
        <w:t xml:space="preserve"> </w:t>
      </w:r>
      <w:r w:rsidR="00284263">
        <w:rPr>
          <w:rFonts w:ascii="Arial" w:hAnsi="Arial" w:cs="Arial"/>
          <w:sz w:val="24"/>
          <w:szCs w:val="24"/>
        </w:rPr>
        <w:t>02</w:t>
      </w:r>
      <w:r w:rsidRPr="00E1740E">
        <w:rPr>
          <w:rFonts w:ascii="Arial" w:hAnsi="Arial" w:cs="Arial"/>
          <w:sz w:val="24"/>
          <w:szCs w:val="24"/>
        </w:rPr>
        <w:t xml:space="preserve"> </w:t>
      </w:r>
      <w:r w:rsidR="00284263">
        <w:rPr>
          <w:rFonts w:ascii="Arial" w:hAnsi="Arial" w:cs="Arial"/>
          <w:sz w:val="24"/>
          <w:szCs w:val="24"/>
        </w:rPr>
        <w:t>January</w:t>
      </w:r>
      <w:r w:rsidRPr="00E1740E">
        <w:rPr>
          <w:rFonts w:ascii="Arial" w:hAnsi="Arial" w:cs="Arial"/>
          <w:sz w:val="24"/>
          <w:szCs w:val="24"/>
        </w:rPr>
        <w:t xml:space="preserve"> 202</w:t>
      </w:r>
      <w:r w:rsidR="00284263">
        <w:rPr>
          <w:rFonts w:ascii="Arial" w:hAnsi="Arial" w:cs="Arial"/>
          <w:sz w:val="24"/>
          <w:szCs w:val="24"/>
        </w:rPr>
        <w:t>5</w:t>
      </w:r>
      <w:r w:rsidRPr="00E1740E">
        <w:rPr>
          <w:rFonts w:ascii="Arial" w:hAnsi="Arial" w:cs="Arial"/>
          <w:sz w:val="24"/>
          <w:szCs w:val="24"/>
        </w:rPr>
        <w:t>.</w:t>
      </w:r>
    </w:p>
    <w:p w14:paraId="10CDDF56" w14:textId="77777777" w:rsidR="008F77AF" w:rsidRDefault="008F77AF">
      <w:pPr>
        <w:rPr>
          <w:rFonts w:ascii="Arial" w:hAnsi="Arial" w:cs="Arial"/>
          <w:sz w:val="24"/>
          <w:szCs w:val="24"/>
        </w:rPr>
      </w:pPr>
    </w:p>
    <w:p w14:paraId="7867C071" w14:textId="77777777" w:rsidR="00072A68" w:rsidRDefault="00000000">
      <w:pPr>
        <w:jc w:val="both"/>
        <w:rPr>
          <w:rFonts w:ascii="Arial" w:hAnsi="Arial" w:cs="Arial"/>
          <w:b/>
          <w:sz w:val="24"/>
          <w:szCs w:val="24"/>
        </w:rPr>
      </w:pPr>
      <w:r>
        <w:rPr>
          <w:rFonts w:ascii="Arial" w:hAnsi="Arial" w:cs="Arial"/>
          <w:b/>
          <w:sz w:val="24"/>
          <w:szCs w:val="24"/>
        </w:rPr>
        <w:t xml:space="preserve">Abstract </w:t>
      </w:r>
    </w:p>
    <w:p w14:paraId="3F4EAD4E" w14:textId="77777777" w:rsidR="00072A68" w:rsidRPr="00AD0D76" w:rsidRDefault="00000000">
      <w:pPr>
        <w:jc w:val="both"/>
        <w:rPr>
          <w:rFonts w:ascii="Arial" w:hAnsi="Arial" w:cs="Arial"/>
          <w:b/>
          <w:sz w:val="24"/>
          <w:szCs w:val="24"/>
        </w:rPr>
      </w:pPr>
      <w:r w:rsidRPr="00AD0D76">
        <w:rPr>
          <w:rFonts w:ascii="Arial" w:hAnsi="Arial" w:cs="Arial"/>
          <w:b/>
          <w:sz w:val="24"/>
          <w:szCs w:val="24"/>
        </w:rPr>
        <w:t xml:space="preserve">Introduction </w:t>
      </w:r>
    </w:p>
    <w:p w14:paraId="485B65B9" w14:textId="77777777" w:rsidR="00072A68" w:rsidRPr="00E00C90" w:rsidRDefault="00000000">
      <w:pPr>
        <w:jc w:val="both"/>
        <w:rPr>
          <w:rFonts w:ascii="Arial" w:hAnsi="Arial" w:cs="Arial"/>
          <w:sz w:val="24"/>
          <w:szCs w:val="24"/>
        </w:rPr>
      </w:pPr>
      <w:r w:rsidRPr="00E00C90">
        <w:rPr>
          <w:rFonts w:ascii="Arial" w:hAnsi="Arial" w:cs="Arial"/>
          <w:sz w:val="24"/>
          <w:szCs w:val="24"/>
        </w:rPr>
        <w:t xml:space="preserve">Double pylorus or duplication of the pylorus is a rare condition characterized by a gastrointestinal fistula between the gastric antrum and the duodenal bulb. It may be present at birth or developed later. There are few case reports of this condition worldwide. Patients having acquired double pylorus have symptoms related to the underlying cause, such as peptic ulcer disease or other conditions like gastric cancer. In congenital cases, most are asymptomatic. </w:t>
      </w:r>
    </w:p>
    <w:p w14:paraId="755A429F" w14:textId="77777777" w:rsidR="00072A68" w:rsidRPr="00AD0D76" w:rsidRDefault="00000000">
      <w:pPr>
        <w:jc w:val="both"/>
        <w:rPr>
          <w:rFonts w:ascii="Arial" w:hAnsi="Arial" w:cs="Arial"/>
          <w:b/>
          <w:sz w:val="24"/>
          <w:szCs w:val="24"/>
        </w:rPr>
      </w:pPr>
      <w:r w:rsidRPr="00AD0D76">
        <w:rPr>
          <w:rFonts w:ascii="Arial" w:hAnsi="Arial" w:cs="Arial"/>
          <w:b/>
          <w:sz w:val="24"/>
          <w:szCs w:val="24"/>
        </w:rPr>
        <w:t xml:space="preserve">Case presentation </w:t>
      </w:r>
    </w:p>
    <w:p w14:paraId="22BAB47E" w14:textId="313B6CED" w:rsidR="00072A68" w:rsidRPr="00E00C90" w:rsidRDefault="00000000">
      <w:pPr>
        <w:jc w:val="both"/>
        <w:rPr>
          <w:rFonts w:ascii="Arial" w:hAnsi="Arial" w:cs="Arial"/>
          <w:sz w:val="24"/>
          <w:szCs w:val="24"/>
        </w:rPr>
      </w:pPr>
      <w:r w:rsidRPr="00E00C90">
        <w:rPr>
          <w:rFonts w:ascii="Arial" w:hAnsi="Arial" w:cs="Arial"/>
          <w:sz w:val="24"/>
          <w:szCs w:val="24"/>
        </w:rPr>
        <w:t xml:space="preserve">We report a case of </w:t>
      </w:r>
      <w:r w:rsidR="00357495" w:rsidRPr="00E00C90">
        <w:rPr>
          <w:rFonts w:ascii="Arial" w:hAnsi="Arial" w:cs="Arial"/>
          <w:sz w:val="24"/>
          <w:szCs w:val="24"/>
        </w:rPr>
        <w:t>a 41-year-old</w:t>
      </w:r>
      <w:r w:rsidRPr="00E00C90">
        <w:rPr>
          <w:rFonts w:ascii="Arial" w:hAnsi="Arial" w:cs="Arial"/>
          <w:sz w:val="24"/>
          <w:szCs w:val="24"/>
        </w:rPr>
        <w:t xml:space="preserve"> female with a history of epigastric burning-type pain for the past 1 week, which was associated with a single episode of hematemesis. She received treatment with intravenous omeprazole for the same period before being referred to our hospital. </w:t>
      </w:r>
      <w:r w:rsidR="00357495" w:rsidRPr="00E00C90">
        <w:rPr>
          <w:rFonts w:ascii="Arial" w:hAnsi="Arial" w:cs="Arial"/>
          <w:sz w:val="24"/>
          <w:szCs w:val="24"/>
        </w:rPr>
        <w:t>The physical</w:t>
      </w:r>
      <w:r w:rsidRPr="00E00C90">
        <w:rPr>
          <w:rFonts w:ascii="Arial" w:hAnsi="Arial" w:cs="Arial"/>
          <w:sz w:val="24"/>
          <w:szCs w:val="24"/>
        </w:rPr>
        <w:t xml:space="preserve"> findings were unremarkable. She was evaluated with endoscopy, during which a double pylorus was incidentally found. She was later treated with 40mg of pantoprazole orally once daily, with subsequent improvement in symptoms. </w:t>
      </w:r>
    </w:p>
    <w:p w14:paraId="6FAAFA72" w14:textId="77777777" w:rsidR="00072A68" w:rsidRPr="00AD0D76" w:rsidRDefault="00000000">
      <w:pPr>
        <w:jc w:val="both"/>
        <w:rPr>
          <w:rFonts w:ascii="Arial" w:hAnsi="Arial" w:cs="Arial"/>
          <w:b/>
          <w:sz w:val="24"/>
          <w:szCs w:val="24"/>
        </w:rPr>
      </w:pPr>
      <w:r w:rsidRPr="00AD0D76">
        <w:rPr>
          <w:rFonts w:ascii="Arial" w:hAnsi="Arial" w:cs="Arial"/>
          <w:b/>
          <w:sz w:val="24"/>
          <w:szCs w:val="24"/>
        </w:rPr>
        <w:t xml:space="preserve">Conclusion </w:t>
      </w:r>
    </w:p>
    <w:p w14:paraId="0D56DBDB" w14:textId="5D3EF2AC" w:rsidR="00072A68" w:rsidRPr="00E00C90" w:rsidRDefault="00000000">
      <w:pPr>
        <w:jc w:val="both"/>
        <w:rPr>
          <w:rFonts w:ascii="Arial" w:hAnsi="Arial" w:cs="Arial"/>
          <w:sz w:val="24"/>
          <w:szCs w:val="24"/>
        </w:rPr>
      </w:pPr>
      <w:r w:rsidRPr="00E00C90">
        <w:rPr>
          <w:rFonts w:ascii="Arial" w:hAnsi="Arial" w:cs="Arial"/>
          <w:sz w:val="24"/>
          <w:szCs w:val="24"/>
        </w:rPr>
        <w:lastRenderedPageBreak/>
        <w:t xml:space="preserve">Double pylorus is a rare and unexpected endoscopic finding. A typical, two-orifice pylorus is observed during diagnostic endoscopy. Medical management of such patients rests on proton pump inhibitors or histamine receptor blockers. </w:t>
      </w:r>
      <w:r w:rsidR="00AD0D76">
        <w:rPr>
          <w:rFonts w:ascii="Arial" w:hAnsi="Arial" w:cs="Arial"/>
          <w:sz w:val="24"/>
          <w:szCs w:val="24"/>
        </w:rPr>
        <w:t>Patients</w:t>
      </w:r>
      <w:r w:rsidRPr="00E00C90">
        <w:rPr>
          <w:rFonts w:ascii="Arial" w:hAnsi="Arial" w:cs="Arial"/>
          <w:sz w:val="24"/>
          <w:szCs w:val="24"/>
        </w:rPr>
        <w:t xml:space="preserve"> refractory to medical management and those with symptoms of gastric outlet obstruction benefit from interventional endoscopic procedures and surgical management for optimal outcomes. Our patient responded for medical management and is currently under follow-up. </w:t>
      </w:r>
    </w:p>
    <w:p w14:paraId="583D1E86" w14:textId="60C57948" w:rsidR="00072A68" w:rsidRPr="00357495" w:rsidRDefault="00357495">
      <w:pPr>
        <w:jc w:val="both"/>
        <w:rPr>
          <w:rFonts w:ascii="Arial" w:hAnsi="Arial" w:cs="Arial"/>
          <w:i/>
          <w:iCs/>
          <w:sz w:val="24"/>
          <w:szCs w:val="24"/>
        </w:rPr>
      </w:pPr>
      <w:r w:rsidRPr="00357495">
        <w:rPr>
          <w:rFonts w:ascii="Arial" w:hAnsi="Arial" w:cs="Arial"/>
          <w:b/>
          <w:i/>
          <w:iCs/>
          <w:sz w:val="24"/>
          <w:szCs w:val="24"/>
        </w:rPr>
        <w:t>Keywords</w:t>
      </w:r>
      <w:r w:rsidRPr="00357495">
        <w:rPr>
          <w:rFonts w:ascii="Arial" w:hAnsi="Arial" w:cs="Arial"/>
          <w:i/>
          <w:iCs/>
          <w:sz w:val="24"/>
          <w:szCs w:val="24"/>
        </w:rPr>
        <w:t xml:space="preserve">: peptic ulcer disease, gastric polyps, esophagogastroduodenoscopy, double pylorus, penetration, H.pylori. </w:t>
      </w:r>
    </w:p>
    <w:p w14:paraId="3BC8DCD6" w14:textId="77777777" w:rsidR="00072A68" w:rsidRDefault="00000000">
      <w:pPr>
        <w:jc w:val="both"/>
        <w:rPr>
          <w:rFonts w:ascii="Arial" w:hAnsi="Arial" w:cs="Arial"/>
          <w:b/>
          <w:sz w:val="24"/>
          <w:szCs w:val="24"/>
        </w:rPr>
      </w:pPr>
      <w:r>
        <w:rPr>
          <w:rFonts w:ascii="Arial" w:hAnsi="Arial" w:cs="Arial"/>
          <w:b/>
          <w:sz w:val="24"/>
          <w:szCs w:val="24"/>
        </w:rPr>
        <w:t xml:space="preserve">Introduction </w:t>
      </w:r>
    </w:p>
    <w:p w14:paraId="23CCD5A3" w14:textId="3F9E5F00" w:rsidR="00072A68" w:rsidRDefault="00000000">
      <w:pPr>
        <w:jc w:val="both"/>
        <w:rPr>
          <w:rFonts w:ascii="Arial" w:hAnsi="Arial" w:cs="Arial"/>
          <w:sz w:val="24"/>
          <w:szCs w:val="24"/>
        </w:rPr>
      </w:pPr>
      <w:r>
        <w:rPr>
          <w:rFonts w:ascii="Arial" w:hAnsi="Arial" w:cs="Arial"/>
          <w:sz w:val="24"/>
          <w:szCs w:val="24"/>
        </w:rPr>
        <w:t>Duplication of the pylorus</w:t>
      </w:r>
      <w:r w:rsidR="00357495">
        <w:rPr>
          <w:rFonts w:ascii="Arial" w:hAnsi="Arial" w:cs="Arial"/>
          <w:sz w:val="24"/>
          <w:szCs w:val="24"/>
        </w:rPr>
        <w:t>,</w:t>
      </w:r>
      <w:r>
        <w:rPr>
          <w:rFonts w:ascii="Arial" w:hAnsi="Arial" w:cs="Arial"/>
          <w:sz w:val="24"/>
          <w:szCs w:val="24"/>
        </w:rPr>
        <w:t xml:space="preserve"> more frequently termed double pylorus (DP), is a rare condition characterized by two communicating channels between the gastric antrum and the first part of the duodenum. Both pyloric openings lead to the first part of the duodenum [1].  It is found in 0.001% to 0.4% of esophagogastroduodenoscopies (EGD) [2]. This condition may arise (occur) </w:t>
      </w:r>
      <w:r w:rsidR="00357495">
        <w:rPr>
          <w:rFonts w:ascii="Arial" w:hAnsi="Arial" w:cs="Arial"/>
          <w:sz w:val="24"/>
          <w:szCs w:val="24"/>
        </w:rPr>
        <w:t xml:space="preserve">due to a congenital abnormality or </w:t>
      </w:r>
      <w:r>
        <w:rPr>
          <w:rFonts w:ascii="Arial" w:hAnsi="Arial" w:cs="Arial"/>
          <w:sz w:val="24"/>
          <w:szCs w:val="24"/>
        </w:rPr>
        <w:t xml:space="preserve">an acquired complication of </w:t>
      </w:r>
      <w:r w:rsidR="00357495">
        <w:rPr>
          <w:rFonts w:ascii="Arial" w:hAnsi="Arial" w:cs="Arial"/>
          <w:sz w:val="24"/>
          <w:szCs w:val="24"/>
        </w:rPr>
        <w:t xml:space="preserve">a </w:t>
      </w:r>
      <w:r>
        <w:rPr>
          <w:rFonts w:ascii="Arial" w:hAnsi="Arial" w:cs="Arial"/>
          <w:sz w:val="24"/>
          <w:szCs w:val="24"/>
        </w:rPr>
        <w:t>penetrating ulcer [3].</w:t>
      </w:r>
    </w:p>
    <w:p w14:paraId="042C842B" w14:textId="4BCFB0F3" w:rsidR="00072A68" w:rsidRDefault="00000000">
      <w:pPr>
        <w:jc w:val="both"/>
        <w:rPr>
          <w:rFonts w:ascii="Arial" w:hAnsi="Arial" w:cs="Arial"/>
          <w:sz w:val="24"/>
          <w:szCs w:val="24"/>
        </w:rPr>
      </w:pPr>
      <w:r>
        <w:rPr>
          <w:rFonts w:ascii="Arial" w:hAnsi="Arial" w:cs="Arial"/>
          <w:sz w:val="24"/>
          <w:szCs w:val="24"/>
        </w:rPr>
        <w:t>Here</w:t>
      </w:r>
      <w:r w:rsidR="00357495">
        <w:rPr>
          <w:rFonts w:ascii="Arial" w:hAnsi="Arial" w:cs="Arial"/>
          <w:sz w:val="24"/>
          <w:szCs w:val="24"/>
        </w:rPr>
        <w:t>,</w:t>
      </w:r>
      <w:r>
        <w:rPr>
          <w:rFonts w:ascii="Arial" w:hAnsi="Arial" w:cs="Arial"/>
          <w:sz w:val="24"/>
          <w:szCs w:val="24"/>
        </w:rPr>
        <w:t xml:space="preserve"> we describe a 41-year-old female Ethiopian patient who initially presented with hematemesis and epigastric pain with an unexpected endoscopic finding of double pylorus. Her symptoms resolved after medical management with proton pump inhibitors.</w:t>
      </w:r>
    </w:p>
    <w:p w14:paraId="3AD710B5" w14:textId="77777777" w:rsidR="00072A68" w:rsidRDefault="00000000">
      <w:pPr>
        <w:jc w:val="both"/>
        <w:rPr>
          <w:rFonts w:ascii="Arial" w:hAnsi="Arial" w:cs="Arial"/>
          <w:b/>
          <w:sz w:val="24"/>
          <w:szCs w:val="24"/>
        </w:rPr>
      </w:pPr>
      <w:r>
        <w:rPr>
          <w:rFonts w:ascii="Arial" w:hAnsi="Arial" w:cs="Arial"/>
          <w:b/>
          <w:sz w:val="24"/>
          <w:szCs w:val="24"/>
        </w:rPr>
        <w:t xml:space="preserve">Case description </w:t>
      </w:r>
    </w:p>
    <w:p w14:paraId="67A8B43C" w14:textId="516761E6" w:rsidR="00072A68" w:rsidRDefault="00000000">
      <w:pPr>
        <w:jc w:val="both"/>
        <w:rPr>
          <w:rFonts w:ascii="Arial" w:hAnsi="Arial" w:cs="Arial"/>
          <w:sz w:val="24"/>
          <w:szCs w:val="24"/>
        </w:rPr>
      </w:pPr>
      <w:r>
        <w:rPr>
          <w:rFonts w:ascii="Arial" w:hAnsi="Arial" w:cs="Arial"/>
          <w:sz w:val="24"/>
          <w:szCs w:val="24"/>
        </w:rPr>
        <w:t xml:space="preserve">This is a </w:t>
      </w:r>
      <w:r w:rsidR="00357495">
        <w:rPr>
          <w:rFonts w:ascii="Arial" w:hAnsi="Arial" w:cs="Arial"/>
          <w:sz w:val="24"/>
          <w:szCs w:val="24"/>
        </w:rPr>
        <w:t>41-year-old</w:t>
      </w:r>
      <w:r>
        <w:rPr>
          <w:rFonts w:ascii="Arial" w:hAnsi="Arial" w:cs="Arial"/>
          <w:sz w:val="24"/>
          <w:szCs w:val="24"/>
        </w:rPr>
        <w:t xml:space="preserve"> female patient who presented with epigastric burning type of pain for the past 7 days before admission to Felege Hiwot Comprehensive Specialized Hospital. She </w:t>
      </w:r>
      <w:r w:rsidR="00357495">
        <w:rPr>
          <w:rFonts w:ascii="Arial" w:hAnsi="Arial" w:cs="Arial"/>
          <w:sz w:val="24"/>
          <w:szCs w:val="24"/>
        </w:rPr>
        <w:t>also had</w:t>
      </w:r>
      <w:r>
        <w:rPr>
          <w:rFonts w:ascii="Arial" w:hAnsi="Arial" w:cs="Arial"/>
          <w:sz w:val="24"/>
          <w:szCs w:val="24"/>
        </w:rPr>
        <w:t xml:space="preserve"> a single episode of hematemesis at the onset of the illness. She was treated with intravenous omeprazole at a local health center for 1 week before coming to our hospital. </w:t>
      </w:r>
      <w:r w:rsidR="00357495">
        <w:rPr>
          <w:rFonts w:ascii="Arial" w:hAnsi="Arial" w:cs="Arial"/>
          <w:sz w:val="24"/>
          <w:szCs w:val="24"/>
        </w:rPr>
        <w:t>The physical</w:t>
      </w:r>
      <w:r>
        <w:rPr>
          <w:rFonts w:ascii="Arial" w:hAnsi="Arial" w:cs="Arial"/>
          <w:sz w:val="24"/>
          <w:szCs w:val="24"/>
        </w:rPr>
        <w:t xml:space="preserve"> examination was unremarkable</w:t>
      </w:r>
      <w:r w:rsidR="00357495">
        <w:rPr>
          <w:rFonts w:ascii="Arial" w:hAnsi="Arial" w:cs="Arial"/>
          <w:sz w:val="24"/>
          <w:szCs w:val="24"/>
        </w:rPr>
        <w:t>,</w:t>
      </w:r>
      <w:r>
        <w:rPr>
          <w:rFonts w:ascii="Arial" w:hAnsi="Arial" w:cs="Arial"/>
          <w:sz w:val="24"/>
          <w:szCs w:val="24"/>
        </w:rPr>
        <w:t xml:space="preserve"> with stable vital signs and no signs of anemia or jaundice. Laboratory investigations showed normal serial determination of complete blood count</w:t>
      </w:r>
      <w:r w:rsidR="00357495">
        <w:rPr>
          <w:rFonts w:ascii="Arial" w:hAnsi="Arial" w:cs="Arial"/>
          <w:sz w:val="24"/>
          <w:szCs w:val="24"/>
        </w:rPr>
        <w:t xml:space="preserve"> and </w:t>
      </w:r>
      <w:r>
        <w:rPr>
          <w:rFonts w:ascii="Arial" w:hAnsi="Arial" w:cs="Arial"/>
          <w:sz w:val="24"/>
          <w:szCs w:val="24"/>
        </w:rPr>
        <w:t xml:space="preserve">renal and liver function. Serology for hepatitis B, hepatitis C, and HIV were negative. </w:t>
      </w:r>
      <w:r w:rsidR="00357495">
        <w:rPr>
          <w:rFonts w:ascii="Arial" w:hAnsi="Arial" w:cs="Arial"/>
          <w:sz w:val="24"/>
          <w:szCs w:val="24"/>
        </w:rPr>
        <w:t>The H.</w:t>
      </w:r>
      <w:r>
        <w:rPr>
          <w:rFonts w:ascii="Arial" w:hAnsi="Arial" w:cs="Arial"/>
          <w:sz w:val="24"/>
          <w:szCs w:val="24"/>
        </w:rPr>
        <w:t xml:space="preserve"> pylori stool antigen test was negative. </w:t>
      </w:r>
      <w:r w:rsidR="00357495">
        <w:rPr>
          <w:rFonts w:ascii="Arial" w:hAnsi="Arial" w:cs="Arial"/>
          <w:sz w:val="24"/>
          <w:szCs w:val="24"/>
        </w:rPr>
        <w:t>The abdominopelvic</w:t>
      </w:r>
      <w:r>
        <w:rPr>
          <w:rFonts w:ascii="Arial" w:hAnsi="Arial" w:cs="Arial"/>
          <w:sz w:val="24"/>
          <w:szCs w:val="24"/>
        </w:rPr>
        <w:t xml:space="preserve"> ultrasound was normal. Later</w:t>
      </w:r>
      <w:r w:rsidR="00357495">
        <w:rPr>
          <w:rFonts w:ascii="Arial" w:hAnsi="Arial" w:cs="Arial"/>
          <w:sz w:val="24"/>
          <w:szCs w:val="24"/>
        </w:rPr>
        <w:t xml:space="preserve">, an upper gastrointestinal endoscopy was done to reveal double pylorus and multiple antral polyps (Figure 1), from which a </w:t>
      </w:r>
      <w:r>
        <w:rPr>
          <w:rFonts w:ascii="Arial" w:hAnsi="Arial" w:cs="Arial"/>
          <w:sz w:val="24"/>
          <w:szCs w:val="24"/>
        </w:rPr>
        <w:t xml:space="preserve">biopsy was taken. </w:t>
      </w:r>
      <w:r w:rsidRPr="00E00C90">
        <w:rPr>
          <w:rFonts w:ascii="Arial" w:hAnsi="Arial" w:cs="Arial"/>
          <w:sz w:val="24"/>
          <w:szCs w:val="24"/>
        </w:rPr>
        <w:t>The endoscope was able to pass through each of the double pyloric openings to enter the first part of the duodenum.</w:t>
      </w:r>
      <w:r>
        <w:rPr>
          <w:rFonts w:ascii="Arial" w:hAnsi="Arial" w:cs="Arial"/>
          <w:sz w:val="24"/>
          <w:szCs w:val="24"/>
        </w:rPr>
        <w:t xml:space="preserve"> Histology was suggestive of hyperplastic polyps. Our patient was treated with pantoprazole 40mg orally daily with improvement of the symptoms and was asymptomatic with continued treatment during </w:t>
      </w:r>
      <w:r w:rsidR="00357495">
        <w:rPr>
          <w:rFonts w:ascii="Arial" w:hAnsi="Arial" w:cs="Arial"/>
          <w:sz w:val="24"/>
          <w:szCs w:val="24"/>
        </w:rPr>
        <w:t>follow-up</w:t>
      </w:r>
      <w:r>
        <w:rPr>
          <w:rFonts w:ascii="Arial" w:hAnsi="Arial" w:cs="Arial"/>
          <w:sz w:val="24"/>
          <w:szCs w:val="24"/>
        </w:rPr>
        <w:t xml:space="preserve">. </w:t>
      </w:r>
    </w:p>
    <w:p w14:paraId="73B18579" w14:textId="5BC111CF" w:rsidR="00AE1341" w:rsidRDefault="00E77147" w:rsidP="00284263">
      <w:pPr>
        <w:pStyle w:val="NormalWeb"/>
        <w:keepNext/>
        <w:jc w:val="center"/>
      </w:pPr>
      <w:r>
        <w:rPr>
          <w:noProof/>
        </w:rPr>
        <w:drawing>
          <wp:inline distT="0" distB="0" distL="0" distR="0" wp14:anchorId="05F3FA83" wp14:editId="1240D1E6">
            <wp:extent cx="2743200" cy="3810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3810000"/>
                    </a:xfrm>
                    <a:prstGeom prst="rect">
                      <a:avLst/>
                    </a:prstGeom>
                    <a:noFill/>
                    <a:ln>
                      <a:noFill/>
                    </a:ln>
                  </pic:spPr>
                </pic:pic>
              </a:graphicData>
            </a:graphic>
          </wp:inline>
        </w:drawing>
      </w:r>
    </w:p>
    <w:p w14:paraId="3E4021B8" w14:textId="2568F13C" w:rsidR="00AE1341" w:rsidRPr="00AE1341" w:rsidRDefault="00AE1341" w:rsidP="00AE1341">
      <w:pPr>
        <w:pStyle w:val="Caption"/>
      </w:pPr>
      <w:bookmarkStart w:id="2" w:name="_Hlk186890381"/>
      <w:r>
        <w:t>Fig</w:t>
      </w:r>
      <w:fldSimple w:instr=" SEQ Figure \* ARABIC ">
        <w:r>
          <w:rPr>
            <w:noProof/>
          </w:rPr>
          <w:t>1</w:t>
        </w:r>
      </w:fldSimple>
      <w:r>
        <w:t>.</w:t>
      </w:r>
      <w:r w:rsidRPr="00AE1341">
        <w:t xml:space="preserve">Double pyloric orifices with small polyps </w:t>
      </w:r>
      <w:r w:rsidR="007F79BA">
        <w:t xml:space="preserve">are </w:t>
      </w:r>
      <w:r w:rsidRPr="00AE1341">
        <w:t xml:space="preserve">seen at the antrum. The scope could traverse both openings to enter the duodenal bulb. </w:t>
      </w:r>
    </w:p>
    <w:bookmarkEnd w:id="2"/>
    <w:p w14:paraId="564AA1C8" w14:textId="77777777" w:rsidR="00072A68" w:rsidRDefault="00000000">
      <w:pPr>
        <w:jc w:val="both"/>
        <w:rPr>
          <w:rFonts w:ascii="Arial" w:hAnsi="Arial" w:cs="Arial"/>
          <w:b/>
          <w:sz w:val="24"/>
          <w:szCs w:val="24"/>
        </w:rPr>
      </w:pPr>
      <w:r>
        <w:rPr>
          <w:rFonts w:ascii="Arial" w:hAnsi="Arial" w:cs="Arial"/>
          <w:b/>
          <w:sz w:val="24"/>
          <w:szCs w:val="24"/>
        </w:rPr>
        <w:t xml:space="preserve">Discussion </w:t>
      </w:r>
    </w:p>
    <w:p w14:paraId="082D47B5" w14:textId="77777777" w:rsidR="00072A68" w:rsidRDefault="00000000">
      <w:pPr>
        <w:jc w:val="both"/>
        <w:rPr>
          <w:rFonts w:ascii="Arial" w:hAnsi="Arial" w:cs="Arial"/>
          <w:sz w:val="24"/>
          <w:szCs w:val="24"/>
        </w:rPr>
      </w:pPr>
      <w:r>
        <w:rPr>
          <w:rFonts w:ascii="Arial" w:hAnsi="Arial" w:cs="Arial"/>
          <w:sz w:val="24"/>
          <w:szCs w:val="24"/>
        </w:rPr>
        <w:t xml:space="preserve">Double pylorus, or acquired double pylorus, is a rare condition defined as a gastrointestinal fistula connecting the stomach antrum and duodenal bulb. The prevalence of double pylorus ranges from 0.001 to 0.4% by esophagogastroduodenoscopy (EGD) [4]. </w:t>
      </w:r>
    </w:p>
    <w:p w14:paraId="4C249A42" w14:textId="3A79A238" w:rsidR="00072A68" w:rsidRPr="00E00C90" w:rsidRDefault="00000000">
      <w:pPr>
        <w:jc w:val="both"/>
        <w:rPr>
          <w:rFonts w:ascii="Arial" w:hAnsi="Arial" w:cs="Arial"/>
          <w:sz w:val="24"/>
          <w:szCs w:val="24"/>
        </w:rPr>
      </w:pPr>
      <w:r>
        <w:rPr>
          <w:rFonts w:ascii="Arial" w:hAnsi="Arial" w:cs="Arial"/>
          <w:sz w:val="24"/>
          <w:szCs w:val="24"/>
        </w:rPr>
        <w:t>Acquired cases can occur in gastric cancer or as a complication of chronic peptic ulcer disease</w:t>
      </w:r>
      <w:r w:rsidR="00357495">
        <w:rPr>
          <w:rFonts w:ascii="Arial" w:hAnsi="Arial" w:cs="Arial"/>
          <w:sz w:val="24"/>
          <w:szCs w:val="24"/>
        </w:rPr>
        <w:t>,</w:t>
      </w:r>
      <w:r>
        <w:rPr>
          <w:rFonts w:ascii="Arial" w:hAnsi="Arial" w:cs="Arial"/>
          <w:sz w:val="24"/>
          <w:szCs w:val="24"/>
        </w:rPr>
        <w:t xml:space="preserve"> leading to penetration of the peptic ulcer and the formation of a fistula between the duodenal bulb and the prepyloric antrum [5].</w:t>
      </w:r>
      <w:r>
        <w:t xml:space="preserve"> </w:t>
      </w:r>
      <w:r w:rsidRPr="00E00C90">
        <w:rPr>
          <w:rFonts w:ascii="Arial" w:hAnsi="Arial" w:cs="Arial"/>
          <w:sz w:val="24"/>
          <w:szCs w:val="24"/>
        </w:rPr>
        <w:t xml:space="preserve">Most </w:t>
      </w:r>
      <w:r w:rsidR="0098665B" w:rsidRPr="00E00C90">
        <w:rPr>
          <w:rFonts w:ascii="Arial" w:hAnsi="Arial" w:cs="Arial"/>
          <w:sz w:val="24"/>
          <w:szCs w:val="24"/>
        </w:rPr>
        <w:t xml:space="preserve">cases </w:t>
      </w:r>
      <w:r w:rsidR="00637A12" w:rsidRPr="00E00C90">
        <w:rPr>
          <w:rFonts w:ascii="Arial" w:hAnsi="Arial" w:cs="Arial"/>
          <w:sz w:val="24"/>
          <w:szCs w:val="24"/>
        </w:rPr>
        <w:t>result from</w:t>
      </w:r>
      <w:r w:rsidR="0098665B" w:rsidRPr="00E00C90">
        <w:rPr>
          <w:rFonts w:ascii="Arial" w:hAnsi="Arial" w:cs="Arial"/>
          <w:sz w:val="24"/>
          <w:szCs w:val="24"/>
        </w:rPr>
        <w:t xml:space="preserve"> gastric ulcers, and only a </w:t>
      </w:r>
      <w:r w:rsidR="00637A12" w:rsidRPr="00E00C90">
        <w:rPr>
          <w:rFonts w:ascii="Arial" w:hAnsi="Arial" w:cs="Arial"/>
          <w:sz w:val="24"/>
          <w:szCs w:val="24"/>
        </w:rPr>
        <w:t>few</w:t>
      </w:r>
      <w:r w:rsidR="0098665B" w:rsidRPr="00E00C90">
        <w:rPr>
          <w:rFonts w:ascii="Arial" w:hAnsi="Arial" w:cs="Arial"/>
          <w:sz w:val="24"/>
          <w:szCs w:val="24"/>
        </w:rPr>
        <w:t xml:space="preserve"> cases</w:t>
      </w:r>
      <w:r w:rsidR="00E4075C" w:rsidRPr="00E00C90">
        <w:rPr>
          <w:rFonts w:ascii="Arial" w:hAnsi="Arial" w:cs="Arial"/>
          <w:sz w:val="24"/>
          <w:szCs w:val="24"/>
        </w:rPr>
        <w:t xml:space="preserve"> are caused by duodenal ulcers</w:t>
      </w:r>
      <w:r w:rsidRPr="00E00C90">
        <w:rPr>
          <w:rFonts w:ascii="Arial" w:hAnsi="Arial" w:cs="Arial"/>
          <w:sz w:val="24"/>
          <w:szCs w:val="24"/>
        </w:rPr>
        <w:t xml:space="preserve"> [6].  The use of various medications and the presence of Helicobacter pylori might play a role in the development of double pylorus. Long-term treatment with drugs</w:t>
      </w:r>
      <w:r w:rsidR="0098665B" w:rsidRPr="00E00C90">
        <w:rPr>
          <w:rFonts w:ascii="Arial" w:hAnsi="Arial" w:cs="Arial"/>
          <w:sz w:val="24"/>
          <w:szCs w:val="24"/>
        </w:rPr>
        <w:t>, including corticosteroids and NSAIDs,</w:t>
      </w:r>
      <w:r w:rsidRPr="00E00C90">
        <w:rPr>
          <w:rFonts w:ascii="Arial" w:hAnsi="Arial" w:cs="Arial"/>
          <w:sz w:val="24"/>
          <w:szCs w:val="24"/>
        </w:rPr>
        <w:t xml:space="preserve"> may also prevent healing, leading to fistula formation [7]. In our patient, we think that the double pylorus is due to a gastric ulcer that was initially managed at a health center with intravenous omeprazole, leading to the healing of the ulcer; however, the gastric polyps, later identified as hyperplastic polyps, were likely associated with the surrounding inflammatory response in the antrum. </w:t>
      </w:r>
    </w:p>
    <w:p w14:paraId="333EB5F6" w14:textId="2E3F56EC" w:rsidR="00072A68" w:rsidRPr="00E00C90" w:rsidRDefault="00000000">
      <w:pPr>
        <w:jc w:val="both"/>
        <w:rPr>
          <w:rFonts w:ascii="Arial" w:hAnsi="Arial" w:cs="Arial"/>
          <w:sz w:val="24"/>
          <w:szCs w:val="24"/>
        </w:rPr>
      </w:pPr>
      <w:r w:rsidRPr="00E00C90">
        <w:rPr>
          <w:rFonts w:ascii="Arial" w:hAnsi="Arial" w:cs="Arial"/>
          <w:sz w:val="24"/>
          <w:szCs w:val="24"/>
        </w:rPr>
        <w:t xml:space="preserve">Double pylorus may occur as an exceedingly rare congenital anomaly. The cause of congenital double pylorus has been attributed to a tubular duplication of the pylorus. In a comprehensive literature review of all gastrointestinal tract duplications available in English literature, pyloric duplication was identified in only 1 out of 281 documented cases. It is generally recognized that the congenital double pylorus is primarily asymptomatic and does not necessitate intervention in </w:t>
      </w:r>
      <w:r w:rsidR="0098665B" w:rsidRPr="00E00C90">
        <w:rPr>
          <w:rFonts w:ascii="Arial" w:hAnsi="Arial" w:cs="Arial"/>
          <w:sz w:val="24"/>
          <w:szCs w:val="24"/>
        </w:rPr>
        <w:t>most</w:t>
      </w:r>
      <w:r w:rsidRPr="00E00C90">
        <w:rPr>
          <w:rFonts w:ascii="Arial" w:hAnsi="Arial" w:cs="Arial"/>
          <w:sz w:val="24"/>
          <w:szCs w:val="24"/>
        </w:rPr>
        <w:t xml:space="preserve"> instances [8]. </w:t>
      </w:r>
    </w:p>
    <w:p w14:paraId="07D76BFF" w14:textId="76713638" w:rsidR="00072A68" w:rsidRPr="00E00C90" w:rsidRDefault="00000000">
      <w:pPr>
        <w:jc w:val="both"/>
        <w:rPr>
          <w:rFonts w:ascii="Arial" w:hAnsi="Arial" w:cs="Arial"/>
          <w:sz w:val="24"/>
          <w:szCs w:val="24"/>
        </w:rPr>
      </w:pPr>
      <w:r w:rsidRPr="00E00C90">
        <w:rPr>
          <w:rFonts w:ascii="Arial" w:hAnsi="Arial" w:cs="Arial"/>
          <w:sz w:val="24"/>
          <w:szCs w:val="24"/>
        </w:rPr>
        <w:t>An acquired double pylorus typically exhibits symptoms, and individuals may experience chronic upper abdominal pain, vomiting, dyspepsia</w:t>
      </w:r>
      <w:r w:rsidR="0098665B" w:rsidRPr="00E00C90">
        <w:rPr>
          <w:rFonts w:ascii="Arial" w:hAnsi="Arial" w:cs="Arial"/>
          <w:sz w:val="24"/>
          <w:szCs w:val="24"/>
        </w:rPr>
        <w:t>,</w:t>
      </w:r>
      <w:r w:rsidRPr="00E00C90">
        <w:rPr>
          <w:rFonts w:ascii="Arial" w:hAnsi="Arial" w:cs="Arial"/>
          <w:sz w:val="24"/>
          <w:szCs w:val="24"/>
        </w:rPr>
        <w:t xml:space="preserve"> or may present with upper gastrointestinal bleeding [9]. There are no specific clinical symptoms of double pylorus [10]. In our situation, the patient’s vital signs and the subsequent hematocrit determinations were normal, indicating non-massive upper GI bleeding. </w:t>
      </w:r>
    </w:p>
    <w:p w14:paraId="6E56D001" w14:textId="1F37937F" w:rsidR="00072A68" w:rsidRDefault="00000000">
      <w:pPr>
        <w:jc w:val="both"/>
        <w:rPr>
          <w:rFonts w:ascii="Arial" w:hAnsi="Arial" w:cs="Arial"/>
          <w:sz w:val="24"/>
          <w:szCs w:val="24"/>
        </w:rPr>
      </w:pPr>
      <w:r>
        <w:rPr>
          <w:rFonts w:ascii="Arial" w:hAnsi="Arial" w:cs="Arial"/>
          <w:sz w:val="24"/>
          <w:szCs w:val="24"/>
        </w:rPr>
        <w:t xml:space="preserve">Acquired double pylorus is most frequently an incidental finding during investigations of other conditions. The diagnosis is typically </w:t>
      </w:r>
      <w:r w:rsidR="00637A12">
        <w:rPr>
          <w:rFonts w:ascii="Arial" w:hAnsi="Arial" w:cs="Arial"/>
          <w:sz w:val="24"/>
          <w:szCs w:val="24"/>
        </w:rPr>
        <w:t>based on endoscopic findings, but it is occasionally</w:t>
      </w:r>
      <w:r>
        <w:rPr>
          <w:rFonts w:ascii="Arial" w:hAnsi="Arial" w:cs="Arial"/>
          <w:sz w:val="24"/>
          <w:szCs w:val="24"/>
        </w:rPr>
        <w:t xml:space="preserve"> based on radiologic findings. Endoscopy is generally the preferred method of visualization [11]. </w:t>
      </w:r>
    </w:p>
    <w:p w14:paraId="1376A350" w14:textId="63469F69" w:rsidR="00072A68" w:rsidRPr="00E00C90" w:rsidRDefault="00000000">
      <w:pPr>
        <w:jc w:val="both"/>
        <w:rPr>
          <w:rFonts w:ascii="Arial" w:hAnsi="Arial" w:cs="Arial"/>
          <w:sz w:val="24"/>
          <w:szCs w:val="24"/>
        </w:rPr>
      </w:pPr>
      <w:r>
        <w:rPr>
          <w:rFonts w:ascii="Arial" w:hAnsi="Arial" w:cs="Arial"/>
          <w:sz w:val="24"/>
          <w:szCs w:val="24"/>
        </w:rPr>
        <w:t xml:space="preserve">Treatment includes acid suppression via proton pump inhibitors or </w:t>
      </w:r>
      <w:r w:rsidR="00637A12">
        <w:rPr>
          <w:rFonts w:ascii="Arial" w:hAnsi="Arial" w:cs="Arial"/>
          <w:sz w:val="24"/>
          <w:szCs w:val="24"/>
        </w:rPr>
        <w:t>H2-receptor</w:t>
      </w:r>
      <w:r>
        <w:rPr>
          <w:rFonts w:ascii="Arial" w:hAnsi="Arial" w:cs="Arial"/>
          <w:sz w:val="24"/>
          <w:szCs w:val="24"/>
        </w:rPr>
        <w:t xml:space="preserve"> antagonists. Refractory and complicated cases require advanced endoscopic or surgical interventions [12]. </w:t>
      </w:r>
      <w:r w:rsidRPr="00E00C90">
        <w:rPr>
          <w:rFonts w:ascii="Arial" w:hAnsi="Arial" w:cs="Arial"/>
          <w:sz w:val="24"/>
          <w:szCs w:val="24"/>
        </w:rPr>
        <w:t xml:space="preserve">For patients experiencing the symptoms of gastric outlet obstruction, the initial option to consider should be </w:t>
      </w:r>
      <w:r w:rsidR="00637A12" w:rsidRPr="00E00C90">
        <w:rPr>
          <w:rFonts w:ascii="Arial" w:hAnsi="Arial" w:cs="Arial"/>
          <w:sz w:val="24"/>
          <w:szCs w:val="24"/>
        </w:rPr>
        <w:t xml:space="preserve">an </w:t>
      </w:r>
      <w:r w:rsidRPr="00E00C90">
        <w:rPr>
          <w:rFonts w:ascii="Arial" w:hAnsi="Arial" w:cs="Arial"/>
          <w:sz w:val="24"/>
          <w:szCs w:val="24"/>
        </w:rPr>
        <w:t xml:space="preserve">endoscopic division of the tissue bridge using a sphincterotome, as restoring a normal pyloric aperture will relieve symptoms [13]. In patients with persistent ulcers despite anti-ulcer therapy, surgical treatment such as distal gastrectomy should be considered [14]. </w:t>
      </w:r>
    </w:p>
    <w:p w14:paraId="4963EBBC" w14:textId="3BA27BCC" w:rsidR="00072A68" w:rsidRPr="00E00C90" w:rsidRDefault="00637A12">
      <w:pPr>
        <w:jc w:val="both"/>
        <w:rPr>
          <w:rFonts w:ascii="Arial" w:hAnsi="Arial" w:cs="Arial"/>
          <w:sz w:val="24"/>
          <w:szCs w:val="24"/>
        </w:rPr>
      </w:pPr>
      <w:r w:rsidRPr="00E00C90">
        <w:rPr>
          <w:rFonts w:ascii="Arial" w:hAnsi="Arial" w:cs="Arial"/>
          <w:sz w:val="24"/>
          <w:szCs w:val="24"/>
        </w:rPr>
        <w:t xml:space="preserve">The clinical presentation was comparable to other reported cases but diagnosed earlier with no recognized risk factors. </w:t>
      </w:r>
      <w:r w:rsidR="00E00C90" w:rsidRPr="00E00C90">
        <w:rPr>
          <w:rFonts w:ascii="Arial" w:hAnsi="Arial" w:cs="Arial"/>
          <w:sz w:val="24"/>
          <w:szCs w:val="24"/>
        </w:rPr>
        <w:t>Like</w:t>
      </w:r>
      <w:r w:rsidRPr="00E00C90">
        <w:rPr>
          <w:rFonts w:ascii="Arial" w:hAnsi="Arial" w:cs="Arial"/>
          <w:sz w:val="24"/>
          <w:szCs w:val="24"/>
        </w:rPr>
        <w:t xml:space="preserve"> most cases, the patient responded positively to PPI treatment. </w:t>
      </w:r>
      <w:r w:rsidR="00140629">
        <w:rPr>
          <w:rFonts w:ascii="Arial" w:hAnsi="Arial" w:cs="Arial"/>
          <w:sz w:val="24"/>
          <w:szCs w:val="24"/>
        </w:rPr>
        <w:t xml:space="preserve">The table below </w:t>
      </w:r>
      <w:r w:rsidR="008F77AF">
        <w:rPr>
          <w:rFonts w:ascii="Arial" w:hAnsi="Arial" w:cs="Arial"/>
          <w:sz w:val="24"/>
          <w:szCs w:val="24"/>
        </w:rPr>
        <w:t>summarizes</w:t>
      </w:r>
      <w:r w:rsidR="00140629">
        <w:rPr>
          <w:rFonts w:ascii="Arial" w:hAnsi="Arial" w:cs="Arial"/>
          <w:sz w:val="24"/>
          <w:szCs w:val="24"/>
        </w:rPr>
        <w:t xml:space="preserve"> four other selected instances </w:t>
      </w:r>
      <w:r w:rsidRPr="00E00C90">
        <w:rPr>
          <w:rFonts w:ascii="Arial" w:hAnsi="Arial" w:cs="Arial"/>
          <w:sz w:val="24"/>
          <w:szCs w:val="24"/>
        </w:rPr>
        <w:t xml:space="preserve">for comparison (Tab 1). </w:t>
      </w:r>
    </w:p>
    <w:p w14:paraId="292146F9" w14:textId="4B93A43F" w:rsidR="00140629" w:rsidRDefault="00140629" w:rsidP="00140629">
      <w:pPr>
        <w:pStyle w:val="Caption"/>
        <w:keepNext/>
      </w:pPr>
      <w:r>
        <w:t xml:space="preserve">Tab </w:t>
      </w:r>
      <w:fldSimple w:instr=" SEQ Table \* ARABIC ">
        <w:r>
          <w:rPr>
            <w:noProof/>
          </w:rPr>
          <w:t>1</w:t>
        </w:r>
      </w:fldSimple>
      <w:r>
        <w:t>.</w:t>
      </w:r>
      <w:r w:rsidRPr="00140629">
        <w:t>Clinical features and outcomes of selected cases of acquired double pylorus</w:t>
      </w:r>
      <w:r>
        <w:t xml:space="preserve">. </w:t>
      </w:r>
    </w:p>
    <w:tbl>
      <w:tblPr>
        <w:tblW w:w="5000" w:type="pct"/>
        <w:tblLook w:val="0000" w:firstRow="0" w:lastRow="0" w:firstColumn="0" w:lastColumn="0" w:noHBand="0" w:noVBand="0"/>
      </w:tblPr>
      <w:tblGrid>
        <w:gridCol w:w="884"/>
        <w:gridCol w:w="615"/>
        <w:gridCol w:w="675"/>
        <w:gridCol w:w="1950"/>
        <w:gridCol w:w="1194"/>
        <w:gridCol w:w="1367"/>
        <w:gridCol w:w="1458"/>
        <w:gridCol w:w="1217"/>
      </w:tblGrid>
      <w:tr w:rsidR="00072A68" w14:paraId="01DD08FD" w14:textId="77777777" w:rsidTr="008F77AF">
        <w:tc>
          <w:tcPr>
            <w:tcW w:w="471" w:type="pct"/>
            <w:tcBorders>
              <w:top w:val="single" w:sz="4" w:space="0" w:color="auto"/>
              <w:bottom w:val="single" w:sz="4" w:space="0" w:color="auto"/>
            </w:tcBorders>
          </w:tcPr>
          <w:p w14:paraId="19576391" w14:textId="05B10032" w:rsidR="00072A68" w:rsidRPr="00E00C90" w:rsidRDefault="00072A68" w:rsidP="00E00C90">
            <w:pPr>
              <w:jc w:val="both"/>
              <w:rPr>
                <w:rFonts w:ascii="Arial" w:hAnsi="Arial" w:cs="Arial"/>
                <w:sz w:val="20"/>
                <w:szCs w:val="20"/>
              </w:rPr>
            </w:pPr>
          </w:p>
        </w:tc>
        <w:tc>
          <w:tcPr>
            <w:tcW w:w="329" w:type="pct"/>
            <w:tcBorders>
              <w:top w:val="single" w:sz="4" w:space="0" w:color="auto"/>
              <w:bottom w:val="single" w:sz="4" w:space="0" w:color="auto"/>
            </w:tcBorders>
          </w:tcPr>
          <w:p w14:paraId="4893641A"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Age</w:t>
            </w:r>
          </w:p>
          <w:p w14:paraId="59741CA6"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 xml:space="preserve">(yr) </w:t>
            </w:r>
          </w:p>
        </w:tc>
        <w:tc>
          <w:tcPr>
            <w:tcW w:w="361" w:type="pct"/>
            <w:tcBorders>
              <w:top w:val="single" w:sz="4" w:space="0" w:color="auto"/>
              <w:bottom w:val="single" w:sz="4" w:space="0" w:color="auto"/>
            </w:tcBorders>
          </w:tcPr>
          <w:p w14:paraId="567BF906"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 xml:space="preserve">Sex </w:t>
            </w:r>
          </w:p>
        </w:tc>
        <w:tc>
          <w:tcPr>
            <w:tcW w:w="1042" w:type="pct"/>
            <w:tcBorders>
              <w:top w:val="single" w:sz="4" w:space="0" w:color="auto"/>
              <w:bottom w:val="single" w:sz="4" w:space="0" w:color="auto"/>
            </w:tcBorders>
          </w:tcPr>
          <w:p w14:paraId="6D0D4A85"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Clinical features</w:t>
            </w:r>
          </w:p>
        </w:tc>
        <w:tc>
          <w:tcPr>
            <w:tcW w:w="638" w:type="pct"/>
            <w:tcBorders>
              <w:top w:val="single" w:sz="4" w:space="0" w:color="auto"/>
              <w:bottom w:val="single" w:sz="4" w:space="0" w:color="auto"/>
            </w:tcBorders>
          </w:tcPr>
          <w:p w14:paraId="31F0CD5F"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Risk factor(s)</w:t>
            </w:r>
          </w:p>
        </w:tc>
        <w:tc>
          <w:tcPr>
            <w:tcW w:w="730" w:type="pct"/>
            <w:tcBorders>
              <w:top w:val="single" w:sz="4" w:space="0" w:color="auto"/>
              <w:bottom w:val="single" w:sz="4" w:space="0" w:color="auto"/>
            </w:tcBorders>
          </w:tcPr>
          <w:p w14:paraId="7E03957E"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Underlying cause</w:t>
            </w:r>
          </w:p>
        </w:tc>
        <w:tc>
          <w:tcPr>
            <w:tcW w:w="779" w:type="pct"/>
            <w:tcBorders>
              <w:top w:val="single" w:sz="4" w:space="0" w:color="auto"/>
              <w:bottom w:val="single" w:sz="4" w:space="0" w:color="auto"/>
            </w:tcBorders>
          </w:tcPr>
          <w:p w14:paraId="6A8AF6C3"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 xml:space="preserve">Treatment </w:t>
            </w:r>
          </w:p>
        </w:tc>
        <w:tc>
          <w:tcPr>
            <w:tcW w:w="650" w:type="pct"/>
            <w:tcBorders>
              <w:top w:val="single" w:sz="4" w:space="0" w:color="auto"/>
              <w:bottom w:val="single" w:sz="4" w:space="0" w:color="auto"/>
            </w:tcBorders>
          </w:tcPr>
          <w:p w14:paraId="70297792"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 xml:space="preserve">Outcome </w:t>
            </w:r>
          </w:p>
        </w:tc>
      </w:tr>
      <w:tr w:rsidR="00072A68" w14:paraId="64908430" w14:textId="77777777" w:rsidTr="008F77AF">
        <w:tc>
          <w:tcPr>
            <w:tcW w:w="471" w:type="pct"/>
            <w:tcBorders>
              <w:top w:val="single" w:sz="4" w:space="0" w:color="auto"/>
            </w:tcBorders>
          </w:tcPr>
          <w:p w14:paraId="17AE8996"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Thapa et.al⁴</w:t>
            </w:r>
          </w:p>
        </w:tc>
        <w:tc>
          <w:tcPr>
            <w:tcW w:w="329" w:type="pct"/>
            <w:tcBorders>
              <w:top w:val="single" w:sz="4" w:space="0" w:color="auto"/>
            </w:tcBorders>
          </w:tcPr>
          <w:p w14:paraId="1DE0F166"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69</w:t>
            </w:r>
          </w:p>
        </w:tc>
        <w:tc>
          <w:tcPr>
            <w:tcW w:w="361" w:type="pct"/>
            <w:tcBorders>
              <w:top w:val="single" w:sz="4" w:space="0" w:color="auto"/>
            </w:tcBorders>
          </w:tcPr>
          <w:p w14:paraId="59999F7C"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M</w:t>
            </w:r>
          </w:p>
        </w:tc>
        <w:tc>
          <w:tcPr>
            <w:tcW w:w="1042" w:type="pct"/>
            <w:tcBorders>
              <w:top w:val="single" w:sz="4" w:space="0" w:color="auto"/>
            </w:tcBorders>
          </w:tcPr>
          <w:p w14:paraId="7588322F"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Epigastric pain, recurrent hematemesis</w:t>
            </w:r>
          </w:p>
        </w:tc>
        <w:tc>
          <w:tcPr>
            <w:tcW w:w="638" w:type="pct"/>
            <w:tcBorders>
              <w:top w:val="single" w:sz="4" w:space="0" w:color="auto"/>
            </w:tcBorders>
          </w:tcPr>
          <w:p w14:paraId="04FA22A0"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NSAID and steroid use</w:t>
            </w:r>
          </w:p>
        </w:tc>
        <w:tc>
          <w:tcPr>
            <w:tcW w:w="730" w:type="pct"/>
            <w:tcBorders>
              <w:top w:val="single" w:sz="4" w:space="0" w:color="auto"/>
            </w:tcBorders>
          </w:tcPr>
          <w:p w14:paraId="0B0EF6D2"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DU</w:t>
            </w:r>
          </w:p>
        </w:tc>
        <w:tc>
          <w:tcPr>
            <w:tcW w:w="779" w:type="pct"/>
            <w:tcBorders>
              <w:top w:val="single" w:sz="4" w:space="0" w:color="auto"/>
            </w:tcBorders>
          </w:tcPr>
          <w:p w14:paraId="581F8D96"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PPI and Surgery</w:t>
            </w:r>
          </w:p>
        </w:tc>
        <w:tc>
          <w:tcPr>
            <w:tcW w:w="650" w:type="pct"/>
            <w:tcBorders>
              <w:top w:val="single" w:sz="4" w:space="0" w:color="auto"/>
            </w:tcBorders>
          </w:tcPr>
          <w:p w14:paraId="4D878F47"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 xml:space="preserve">Improved </w:t>
            </w:r>
          </w:p>
        </w:tc>
      </w:tr>
      <w:tr w:rsidR="00072A68" w14:paraId="7D15DBCD" w14:textId="77777777" w:rsidTr="008F77AF">
        <w:tc>
          <w:tcPr>
            <w:tcW w:w="471" w:type="pct"/>
          </w:tcPr>
          <w:p w14:paraId="172C06C6"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Laabidi et.al¹⁵</w:t>
            </w:r>
          </w:p>
        </w:tc>
        <w:tc>
          <w:tcPr>
            <w:tcW w:w="329" w:type="pct"/>
          </w:tcPr>
          <w:p w14:paraId="0F0C8B89"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65</w:t>
            </w:r>
          </w:p>
        </w:tc>
        <w:tc>
          <w:tcPr>
            <w:tcW w:w="361" w:type="pct"/>
          </w:tcPr>
          <w:p w14:paraId="6F51C3AF"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M</w:t>
            </w:r>
          </w:p>
        </w:tc>
        <w:tc>
          <w:tcPr>
            <w:tcW w:w="1042" w:type="pct"/>
          </w:tcPr>
          <w:p w14:paraId="2ECD0444"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Hematemesis and indigestion</w:t>
            </w:r>
          </w:p>
        </w:tc>
        <w:tc>
          <w:tcPr>
            <w:tcW w:w="638" w:type="pct"/>
          </w:tcPr>
          <w:p w14:paraId="0A296991"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Tobacco use, H. Pylori infection</w:t>
            </w:r>
          </w:p>
        </w:tc>
        <w:tc>
          <w:tcPr>
            <w:tcW w:w="730" w:type="pct"/>
          </w:tcPr>
          <w:p w14:paraId="71C39060"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GU and gastritis</w:t>
            </w:r>
          </w:p>
        </w:tc>
        <w:tc>
          <w:tcPr>
            <w:tcW w:w="779" w:type="pct"/>
          </w:tcPr>
          <w:p w14:paraId="7686B59F"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H. pylori eradication, PPI</w:t>
            </w:r>
          </w:p>
        </w:tc>
        <w:tc>
          <w:tcPr>
            <w:tcW w:w="650" w:type="pct"/>
          </w:tcPr>
          <w:p w14:paraId="28F2939E"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 xml:space="preserve">Improved </w:t>
            </w:r>
          </w:p>
        </w:tc>
      </w:tr>
      <w:tr w:rsidR="00072A68" w14:paraId="58113AE1" w14:textId="77777777" w:rsidTr="008F77AF">
        <w:tc>
          <w:tcPr>
            <w:tcW w:w="471" w:type="pct"/>
          </w:tcPr>
          <w:p w14:paraId="4A9E4BA5"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Akbulut et.al⁷</w:t>
            </w:r>
          </w:p>
        </w:tc>
        <w:tc>
          <w:tcPr>
            <w:tcW w:w="329" w:type="pct"/>
          </w:tcPr>
          <w:p w14:paraId="35C8E2AB"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74</w:t>
            </w:r>
          </w:p>
        </w:tc>
        <w:tc>
          <w:tcPr>
            <w:tcW w:w="361" w:type="pct"/>
          </w:tcPr>
          <w:p w14:paraId="76AC78E8"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F</w:t>
            </w:r>
          </w:p>
        </w:tc>
        <w:tc>
          <w:tcPr>
            <w:tcW w:w="1042" w:type="pct"/>
          </w:tcPr>
          <w:p w14:paraId="51A764BA"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 xml:space="preserve">Epigastric pain </w:t>
            </w:r>
          </w:p>
        </w:tc>
        <w:tc>
          <w:tcPr>
            <w:tcW w:w="638" w:type="pct"/>
          </w:tcPr>
          <w:p w14:paraId="1DD00492"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NSAID use</w:t>
            </w:r>
          </w:p>
        </w:tc>
        <w:tc>
          <w:tcPr>
            <w:tcW w:w="730" w:type="pct"/>
          </w:tcPr>
          <w:p w14:paraId="504C1613"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GU</w:t>
            </w:r>
          </w:p>
        </w:tc>
        <w:tc>
          <w:tcPr>
            <w:tcW w:w="779" w:type="pct"/>
          </w:tcPr>
          <w:p w14:paraId="11F7CA38"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PPI</w:t>
            </w:r>
          </w:p>
        </w:tc>
        <w:tc>
          <w:tcPr>
            <w:tcW w:w="650" w:type="pct"/>
          </w:tcPr>
          <w:p w14:paraId="6A158EB9"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 xml:space="preserve">Improved </w:t>
            </w:r>
          </w:p>
        </w:tc>
      </w:tr>
      <w:tr w:rsidR="00072A68" w14:paraId="745B700D" w14:textId="77777777" w:rsidTr="008F77AF">
        <w:tc>
          <w:tcPr>
            <w:tcW w:w="471" w:type="pct"/>
            <w:tcBorders>
              <w:bottom w:val="single" w:sz="4" w:space="0" w:color="auto"/>
            </w:tcBorders>
          </w:tcPr>
          <w:p w14:paraId="280CA441"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Koh et.al¹⁶</w:t>
            </w:r>
          </w:p>
        </w:tc>
        <w:tc>
          <w:tcPr>
            <w:tcW w:w="329" w:type="pct"/>
            <w:tcBorders>
              <w:bottom w:val="single" w:sz="4" w:space="0" w:color="auto"/>
            </w:tcBorders>
          </w:tcPr>
          <w:p w14:paraId="08061547"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62</w:t>
            </w:r>
          </w:p>
        </w:tc>
        <w:tc>
          <w:tcPr>
            <w:tcW w:w="361" w:type="pct"/>
            <w:tcBorders>
              <w:bottom w:val="single" w:sz="4" w:space="0" w:color="auto"/>
            </w:tcBorders>
          </w:tcPr>
          <w:p w14:paraId="6C6AF917"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M</w:t>
            </w:r>
          </w:p>
        </w:tc>
        <w:tc>
          <w:tcPr>
            <w:tcW w:w="1042" w:type="pct"/>
            <w:tcBorders>
              <w:bottom w:val="single" w:sz="4" w:space="0" w:color="auto"/>
            </w:tcBorders>
          </w:tcPr>
          <w:p w14:paraId="5EE2DF50"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Dizziness, nausea, and melena</w:t>
            </w:r>
          </w:p>
        </w:tc>
        <w:tc>
          <w:tcPr>
            <w:tcW w:w="638" w:type="pct"/>
            <w:tcBorders>
              <w:bottom w:val="single" w:sz="4" w:space="0" w:color="auto"/>
            </w:tcBorders>
          </w:tcPr>
          <w:p w14:paraId="409DF8EC" w14:textId="53A8FF93" w:rsidR="00072A68" w:rsidRPr="00E00C90" w:rsidRDefault="00637A12" w:rsidP="00E00C90">
            <w:pPr>
              <w:jc w:val="both"/>
              <w:rPr>
                <w:rFonts w:ascii="Arial" w:hAnsi="Arial" w:cs="Arial"/>
                <w:sz w:val="20"/>
                <w:szCs w:val="20"/>
              </w:rPr>
            </w:pPr>
            <w:r w:rsidRPr="00E00C90">
              <w:rPr>
                <w:rFonts w:ascii="Arial" w:hAnsi="Arial" w:cs="Arial"/>
                <w:sz w:val="20"/>
                <w:szCs w:val="20"/>
              </w:rPr>
              <w:t>History of gastric ulcer</w:t>
            </w:r>
          </w:p>
        </w:tc>
        <w:tc>
          <w:tcPr>
            <w:tcW w:w="730" w:type="pct"/>
            <w:tcBorders>
              <w:bottom w:val="single" w:sz="4" w:space="0" w:color="auto"/>
            </w:tcBorders>
          </w:tcPr>
          <w:p w14:paraId="07634F0D"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GU</w:t>
            </w:r>
          </w:p>
        </w:tc>
        <w:tc>
          <w:tcPr>
            <w:tcW w:w="779" w:type="pct"/>
            <w:tcBorders>
              <w:bottom w:val="single" w:sz="4" w:space="0" w:color="auto"/>
            </w:tcBorders>
          </w:tcPr>
          <w:p w14:paraId="07DC6CFC" w14:textId="77777777" w:rsidR="00072A68" w:rsidRPr="00E00C90" w:rsidRDefault="00000000" w:rsidP="00E00C90">
            <w:pPr>
              <w:jc w:val="both"/>
              <w:rPr>
                <w:rFonts w:ascii="Arial" w:hAnsi="Arial" w:cs="Arial"/>
                <w:sz w:val="20"/>
                <w:szCs w:val="20"/>
              </w:rPr>
            </w:pPr>
            <w:r w:rsidRPr="00E00C90">
              <w:rPr>
                <w:rFonts w:ascii="Arial" w:hAnsi="Arial" w:cs="Arial"/>
                <w:sz w:val="20"/>
                <w:szCs w:val="20"/>
              </w:rPr>
              <w:t>PPI</w:t>
            </w:r>
          </w:p>
        </w:tc>
        <w:tc>
          <w:tcPr>
            <w:tcW w:w="650" w:type="pct"/>
            <w:tcBorders>
              <w:bottom w:val="single" w:sz="4" w:space="0" w:color="auto"/>
            </w:tcBorders>
          </w:tcPr>
          <w:p w14:paraId="2E4DA90F" w14:textId="77777777" w:rsidR="00072A68" w:rsidRPr="00E00C90" w:rsidRDefault="00000000" w:rsidP="008F77AF">
            <w:pPr>
              <w:keepNext/>
              <w:jc w:val="both"/>
              <w:rPr>
                <w:rFonts w:ascii="Arial" w:hAnsi="Arial" w:cs="Arial"/>
                <w:sz w:val="20"/>
                <w:szCs w:val="20"/>
              </w:rPr>
            </w:pPr>
            <w:r w:rsidRPr="00E00C90">
              <w:rPr>
                <w:rFonts w:ascii="Arial" w:hAnsi="Arial" w:cs="Arial"/>
                <w:sz w:val="20"/>
                <w:szCs w:val="20"/>
              </w:rPr>
              <w:t xml:space="preserve">Improved </w:t>
            </w:r>
          </w:p>
        </w:tc>
      </w:tr>
    </w:tbl>
    <w:p w14:paraId="69979A1B" w14:textId="19A4E021" w:rsidR="008F77AF" w:rsidRPr="008F77AF" w:rsidRDefault="008F77AF" w:rsidP="008F77AF">
      <w:pPr>
        <w:jc w:val="both"/>
        <w:rPr>
          <w:b/>
          <w:bCs/>
          <w:sz w:val="20"/>
          <w:szCs w:val="20"/>
        </w:rPr>
      </w:pPr>
      <w:r w:rsidRPr="008F77AF">
        <w:rPr>
          <w:b/>
          <w:bCs/>
          <w:sz w:val="20"/>
          <w:szCs w:val="20"/>
        </w:rPr>
        <w:t>DU: Duodenal ulcer, GU: Gastric ulcer, NSAID: Non-steroidal anti-inflammatory drug, PPI: Proton pump inhibitor</w:t>
      </w:r>
      <w:r>
        <w:rPr>
          <w:b/>
          <w:bCs/>
          <w:sz w:val="20"/>
          <w:szCs w:val="20"/>
        </w:rPr>
        <w:t>.</w:t>
      </w:r>
    </w:p>
    <w:p w14:paraId="32FAFC99" w14:textId="77777777" w:rsidR="00072A68" w:rsidRPr="00E00C90" w:rsidRDefault="00072A68">
      <w:pPr>
        <w:jc w:val="both"/>
        <w:rPr>
          <w:rFonts w:ascii="Arial" w:hAnsi="Arial" w:cs="Arial"/>
          <w:sz w:val="24"/>
          <w:szCs w:val="24"/>
        </w:rPr>
      </w:pPr>
    </w:p>
    <w:p w14:paraId="61B936DF" w14:textId="77777777" w:rsidR="00072A68" w:rsidRDefault="00000000">
      <w:pPr>
        <w:jc w:val="both"/>
        <w:rPr>
          <w:rFonts w:ascii="Arial" w:hAnsi="Arial" w:cs="Arial"/>
          <w:b/>
          <w:sz w:val="24"/>
          <w:szCs w:val="24"/>
        </w:rPr>
      </w:pPr>
      <w:r>
        <w:rPr>
          <w:rFonts w:ascii="Arial" w:hAnsi="Arial" w:cs="Arial"/>
          <w:b/>
          <w:sz w:val="24"/>
          <w:szCs w:val="24"/>
        </w:rPr>
        <w:t xml:space="preserve">Conclusion </w:t>
      </w:r>
    </w:p>
    <w:p w14:paraId="17E4AAB8" w14:textId="77777777" w:rsidR="00E1740E" w:rsidRDefault="00000000">
      <w:pPr>
        <w:jc w:val="both"/>
        <w:rPr>
          <w:rFonts w:ascii="Arial" w:hAnsi="Arial" w:cs="Arial"/>
          <w:sz w:val="24"/>
          <w:szCs w:val="24"/>
        </w:rPr>
      </w:pPr>
      <w:r>
        <w:rPr>
          <w:rFonts w:ascii="Arial" w:hAnsi="Arial" w:cs="Arial"/>
          <w:sz w:val="24"/>
          <w:szCs w:val="24"/>
        </w:rPr>
        <w:t xml:space="preserve">Double pylorus is </w:t>
      </w:r>
      <w:r w:rsidR="00637A12">
        <w:rPr>
          <w:rFonts w:ascii="Arial" w:hAnsi="Arial" w:cs="Arial"/>
          <w:sz w:val="24"/>
          <w:szCs w:val="24"/>
        </w:rPr>
        <w:t>a rare</w:t>
      </w:r>
      <w:r>
        <w:rPr>
          <w:rFonts w:ascii="Arial" w:hAnsi="Arial" w:cs="Arial"/>
          <w:sz w:val="24"/>
          <w:szCs w:val="24"/>
        </w:rPr>
        <w:t xml:space="preserve"> condition </w:t>
      </w:r>
      <w:r w:rsidR="00637A12">
        <w:rPr>
          <w:rFonts w:ascii="Arial" w:hAnsi="Arial" w:cs="Arial"/>
          <w:sz w:val="24"/>
          <w:szCs w:val="24"/>
        </w:rPr>
        <w:t>caused primarily by peptic ulcer disease. It may be congenital or acquired. Acquired cases are more prevalent and typically more symptomatic. Endoscopy is</w:t>
      </w:r>
      <w:r>
        <w:rPr>
          <w:rFonts w:ascii="Arial" w:hAnsi="Arial" w:cs="Arial"/>
          <w:sz w:val="24"/>
          <w:szCs w:val="24"/>
        </w:rPr>
        <w:t xml:space="preserve"> a reliable diagnostic modality. Proton pump inhibitors are the recommended </w:t>
      </w:r>
      <w:r w:rsidR="00637A12">
        <w:rPr>
          <w:rFonts w:ascii="Arial" w:hAnsi="Arial" w:cs="Arial"/>
          <w:sz w:val="24"/>
          <w:szCs w:val="24"/>
        </w:rPr>
        <w:t>medical treatment. Endoscopic and surgical management options</w:t>
      </w:r>
      <w:r>
        <w:rPr>
          <w:rFonts w:ascii="Arial" w:hAnsi="Arial" w:cs="Arial"/>
          <w:sz w:val="24"/>
          <w:szCs w:val="24"/>
        </w:rPr>
        <w:t xml:space="preserve"> are set aside for refractory cases.</w:t>
      </w:r>
    </w:p>
    <w:p w14:paraId="4B8D7582" w14:textId="77777777" w:rsidR="00E1740E" w:rsidRPr="00E1740E" w:rsidRDefault="00E1740E" w:rsidP="00E1740E">
      <w:pPr>
        <w:jc w:val="both"/>
        <w:rPr>
          <w:rFonts w:ascii="Arial" w:hAnsi="Arial" w:cs="Arial"/>
          <w:b/>
          <w:bCs/>
          <w:sz w:val="24"/>
          <w:szCs w:val="24"/>
        </w:rPr>
      </w:pPr>
      <w:r w:rsidRPr="00E1740E">
        <w:rPr>
          <w:rFonts w:ascii="Arial" w:hAnsi="Arial" w:cs="Arial"/>
          <w:b/>
          <w:bCs/>
          <w:sz w:val="24"/>
          <w:szCs w:val="24"/>
        </w:rPr>
        <w:t>Footnotes.</w:t>
      </w:r>
    </w:p>
    <w:p w14:paraId="0CE1CC54" w14:textId="60AF26E1" w:rsidR="00E1740E" w:rsidRPr="00E1740E" w:rsidRDefault="00B72BC0" w:rsidP="00E1740E">
      <w:pPr>
        <w:jc w:val="both"/>
        <w:rPr>
          <w:rFonts w:ascii="Arial" w:hAnsi="Arial" w:cs="Arial"/>
          <w:sz w:val="24"/>
          <w:szCs w:val="24"/>
        </w:rPr>
      </w:pPr>
      <w:r>
        <w:rPr>
          <w:rFonts w:ascii="Arial" w:hAnsi="Arial" w:cs="Arial"/>
          <w:sz w:val="24"/>
          <w:szCs w:val="24"/>
        </w:rPr>
        <w:t>Mohamed Emara</w:t>
      </w:r>
      <w:r w:rsidR="00E1740E" w:rsidRPr="00E1740E">
        <w:rPr>
          <w:rFonts w:ascii="Arial" w:hAnsi="Arial" w:cs="Arial"/>
          <w:sz w:val="24"/>
          <w:szCs w:val="24"/>
        </w:rPr>
        <w:t xml:space="preserve"> </w:t>
      </w:r>
      <w:bookmarkStart w:id="3" w:name="_Hlk175576913"/>
      <w:r w:rsidR="00E77147" w:rsidRPr="00E1740E">
        <w:rPr>
          <w:rFonts w:ascii="Arial" w:hAnsi="Arial" w:cs="Arial"/>
          <w:sz w:val="24"/>
          <w:szCs w:val="24"/>
        </w:rPr>
        <w:t>(</w:t>
      </w:r>
      <w:r w:rsidR="00E77147">
        <w:rPr>
          <w:rFonts w:ascii="Arial" w:hAnsi="Arial" w:cs="Arial"/>
          <w:sz w:val="24"/>
          <w:szCs w:val="24"/>
        </w:rPr>
        <w:t>professor</w:t>
      </w:r>
      <w:r w:rsidR="00E1740E" w:rsidRPr="00E1740E">
        <w:rPr>
          <w:rFonts w:ascii="Arial" w:hAnsi="Arial" w:cs="Arial"/>
          <w:sz w:val="24"/>
          <w:szCs w:val="24"/>
        </w:rPr>
        <w:t xml:space="preserve"> of </w:t>
      </w:r>
      <w:r>
        <w:rPr>
          <w:rFonts w:ascii="Arial" w:hAnsi="Arial" w:cs="Arial"/>
          <w:sz w:val="24"/>
          <w:szCs w:val="24"/>
        </w:rPr>
        <w:t xml:space="preserve">gastroenterology, hepatology, and infectious </w:t>
      </w:r>
      <w:bookmarkEnd w:id="3"/>
      <w:r>
        <w:rPr>
          <w:rFonts w:ascii="Arial" w:hAnsi="Arial" w:cs="Arial"/>
          <w:sz w:val="24"/>
          <w:szCs w:val="24"/>
        </w:rPr>
        <w:t>diseases</w:t>
      </w:r>
      <w:r w:rsidR="00E1740E" w:rsidRPr="00E1740E">
        <w:rPr>
          <w:rFonts w:ascii="Arial" w:hAnsi="Arial" w:cs="Arial"/>
          <w:sz w:val="24"/>
          <w:szCs w:val="24"/>
        </w:rPr>
        <w:t>) and </w:t>
      </w:r>
      <w:r>
        <w:rPr>
          <w:rFonts w:ascii="Arial" w:hAnsi="Arial" w:cs="Arial"/>
          <w:sz w:val="24"/>
          <w:szCs w:val="24"/>
        </w:rPr>
        <w:t>Sara Salem</w:t>
      </w:r>
      <w:r w:rsidR="00E1740E" w:rsidRPr="00E1740E">
        <w:rPr>
          <w:rFonts w:ascii="Arial" w:hAnsi="Arial" w:cs="Arial"/>
          <w:sz w:val="24"/>
          <w:szCs w:val="24"/>
        </w:rPr>
        <w:t xml:space="preserve"> (</w:t>
      </w:r>
      <w:r>
        <w:rPr>
          <w:rFonts w:ascii="Arial" w:hAnsi="Arial" w:cs="Arial"/>
          <w:sz w:val="24"/>
          <w:szCs w:val="24"/>
        </w:rPr>
        <w:t>lecturer of internal medicine, gastroenterology, and hepatology unit</w:t>
      </w:r>
      <w:r w:rsidR="00E1740E" w:rsidRPr="00E1740E">
        <w:rPr>
          <w:rFonts w:ascii="Arial" w:hAnsi="Arial" w:cs="Arial"/>
          <w:sz w:val="24"/>
          <w:szCs w:val="24"/>
        </w:rPr>
        <w:t>) were the peer reviewers.</w:t>
      </w:r>
    </w:p>
    <w:p w14:paraId="4D686CA9" w14:textId="77777777" w:rsidR="00E1740E" w:rsidRPr="00E1740E" w:rsidRDefault="00E1740E" w:rsidP="00E1740E">
      <w:pPr>
        <w:jc w:val="both"/>
        <w:rPr>
          <w:rFonts w:ascii="Arial" w:hAnsi="Arial" w:cs="Arial"/>
          <w:sz w:val="24"/>
          <w:szCs w:val="24"/>
        </w:rPr>
      </w:pPr>
      <w:r w:rsidRPr="00E1740E">
        <w:rPr>
          <w:rFonts w:ascii="Arial" w:hAnsi="Arial" w:cs="Arial"/>
          <w:b/>
          <w:bCs/>
          <w:sz w:val="24"/>
          <w:szCs w:val="24"/>
        </w:rPr>
        <w:t>E- Editor:</w:t>
      </w:r>
      <w:r w:rsidRPr="00E1740E">
        <w:rPr>
          <w:rFonts w:ascii="Arial" w:hAnsi="Arial" w:cs="Arial"/>
          <w:sz w:val="24"/>
          <w:szCs w:val="24"/>
        </w:rPr>
        <w:t xml:space="preserve"> Salem Youssef Mohamed, Osama Ahmed Khalil, Amany Mohammed.</w:t>
      </w:r>
    </w:p>
    <w:p w14:paraId="3A1D6770" w14:textId="77777777" w:rsidR="00E1740E" w:rsidRPr="00E1740E" w:rsidRDefault="00E1740E" w:rsidP="00E1740E">
      <w:pPr>
        <w:jc w:val="both"/>
        <w:rPr>
          <w:rFonts w:ascii="Arial" w:hAnsi="Arial" w:cs="Arial"/>
          <w:sz w:val="24"/>
          <w:szCs w:val="24"/>
        </w:rPr>
      </w:pPr>
      <w:r w:rsidRPr="00E1740E">
        <w:rPr>
          <w:rFonts w:ascii="Arial" w:hAnsi="Arial" w:cs="Arial"/>
          <w:b/>
          <w:bCs/>
          <w:sz w:val="24"/>
          <w:szCs w:val="24"/>
        </w:rPr>
        <w:t>Copyright ©.</w:t>
      </w:r>
      <w:r w:rsidRPr="00E1740E">
        <w:rPr>
          <w:rFonts w:ascii="Arial" w:hAnsi="Arial" w:cs="Arial"/>
          <w:sz w:val="24"/>
          <w:szCs w:val="24"/>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1515F793" w14:textId="77777777" w:rsidR="00E1740E" w:rsidRPr="00E1740E" w:rsidRDefault="00E1740E" w:rsidP="00E1740E">
      <w:pPr>
        <w:jc w:val="both"/>
        <w:rPr>
          <w:rFonts w:ascii="Arial" w:hAnsi="Arial" w:cs="Arial"/>
          <w:sz w:val="24"/>
          <w:szCs w:val="24"/>
        </w:rPr>
      </w:pPr>
      <w:r w:rsidRPr="00E1740E">
        <w:rPr>
          <w:rFonts w:ascii="Arial" w:hAnsi="Arial" w:cs="Arial"/>
          <w:b/>
          <w:bCs/>
          <w:sz w:val="24"/>
          <w:szCs w:val="24"/>
        </w:rPr>
        <w:t>Disclaimer:</w:t>
      </w:r>
      <w:r w:rsidRPr="00E1740E">
        <w:rPr>
          <w:rFonts w:ascii="Arial" w:hAnsi="Arial" w:cs="Arial"/>
          <w:sz w:val="24"/>
          <w:szCs w:val="24"/>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06C78B9C" w14:textId="77777777" w:rsidR="00E1740E" w:rsidRPr="00E1740E" w:rsidRDefault="00E1740E" w:rsidP="00E1740E">
      <w:pPr>
        <w:jc w:val="both"/>
        <w:rPr>
          <w:rFonts w:ascii="Arial" w:hAnsi="Arial" w:cs="Arial"/>
          <w:b/>
          <w:sz w:val="24"/>
          <w:szCs w:val="24"/>
        </w:rPr>
      </w:pPr>
      <w:r w:rsidRPr="00E1740E">
        <w:rPr>
          <w:rFonts w:ascii="Arial" w:hAnsi="Arial" w:cs="Arial"/>
          <w:b/>
          <w:sz w:val="24"/>
          <w:szCs w:val="24"/>
        </w:rPr>
        <w:t>Ethical approval:</w:t>
      </w:r>
      <w:r w:rsidRPr="00E1740E">
        <w:rPr>
          <w:rFonts w:ascii="Arial" w:hAnsi="Arial" w:cs="Arial"/>
          <w:sz w:val="24"/>
          <w:szCs w:val="24"/>
        </w:rPr>
        <w:t xml:space="preserve"> </w:t>
      </w:r>
    </w:p>
    <w:p w14:paraId="709C44B7" w14:textId="77777777" w:rsidR="00B72BC0" w:rsidRPr="00B72BC0" w:rsidRDefault="00B72BC0" w:rsidP="00B72BC0">
      <w:pPr>
        <w:jc w:val="both"/>
        <w:rPr>
          <w:rFonts w:ascii="Arial" w:hAnsi="Arial" w:cs="Arial"/>
          <w:sz w:val="24"/>
          <w:szCs w:val="24"/>
        </w:rPr>
      </w:pPr>
      <w:r w:rsidRPr="00B72BC0">
        <w:rPr>
          <w:rFonts w:ascii="Arial" w:hAnsi="Arial" w:cs="Arial"/>
          <w:sz w:val="24"/>
          <w:szCs w:val="24"/>
        </w:rPr>
        <w:t xml:space="preserve">Written informed consent was obtained from the patient after the studies were well explained before data collection. The hospital's Research Ethics Review Committee approved the case report. </w:t>
      </w:r>
    </w:p>
    <w:p w14:paraId="3D102BCC" w14:textId="77777777" w:rsidR="00E1740E" w:rsidRPr="00E1740E" w:rsidRDefault="00E1740E" w:rsidP="00E1740E">
      <w:pPr>
        <w:jc w:val="both"/>
        <w:rPr>
          <w:rFonts w:ascii="Arial" w:hAnsi="Arial" w:cs="Arial"/>
          <w:b/>
          <w:sz w:val="24"/>
          <w:szCs w:val="24"/>
          <w:lang w:val="en-GB"/>
        </w:rPr>
      </w:pPr>
      <w:r w:rsidRPr="00E1740E">
        <w:rPr>
          <w:rFonts w:ascii="Arial" w:hAnsi="Arial" w:cs="Arial"/>
          <w:b/>
          <w:sz w:val="24"/>
          <w:szCs w:val="24"/>
          <w:lang w:val="en-GB"/>
        </w:rPr>
        <w:t>Study protocol: </w:t>
      </w:r>
    </w:p>
    <w:p w14:paraId="306D0B66" w14:textId="6F3B7D81" w:rsidR="00E1740E" w:rsidRPr="00E1740E" w:rsidRDefault="00E1740E" w:rsidP="00E1740E">
      <w:pPr>
        <w:jc w:val="both"/>
        <w:rPr>
          <w:rFonts w:ascii="Arial" w:hAnsi="Arial" w:cs="Arial"/>
          <w:sz w:val="24"/>
          <w:szCs w:val="24"/>
          <w:lang w:val="en-GB"/>
        </w:rPr>
      </w:pPr>
      <w:r w:rsidRPr="00E1740E">
        <w:rPr>
          <w:rFonts w:ascii="Arial" w:hAnsi="Arial" w:cs="Arial"/>
          <w:sz w:val="24"/>
          <w:szCs w:val="24"/>
          <w:lang w:val="en-GB"/>
        </w:rPr>
        <w:t>In adherence to the principles outlined in the Helsinki Declaration, the study protocol was implemented with approval from the institutional review board. Before commencing the research, written consent was obtained from the patient to utilize their clinical information.</w:t>
      </w:r>
    </w:p>
    <w:p w14:paraId="625B1D2C" w14:textId="77777777" w:rsidR="00E1740E" w:rsidRPr="00E1740E" w:rsidRDefault="00E1740E" w:rsidP="00E1740E">
      <w:pPr>
        <w:jc w:val="both"/>
        <w:rPr>
          <w:rFonts w:ascii="Arial" w:hAnsi="Arial" w:cs="Arial"/>
          <w:sz w:val="24"/>
          <w:szCs w:val="24"/>
        </w:rPr>
      </w:pPr>
      <w:r w:rsidRPr="00E1740E">
        <w:rPr>
          <w:rFonts w:ascii="Arial" w:hAnsi="Arial" w:cs="Arial"/>
          <w:b/>
          <w:bCs/>
          <w:sz w:val="24"/>
          <w:szCs w:val="24"/>
        </w:rPr>
        <w:t>Data and materials availability:</w:t>
      </w:r>
      <w:r w:rsidRPr="00E1740E">
        <w:rPr>
          <w:rFonts w:ascii="Arial" w:hAnsi="Arial" w:cs="Arial"/>
          <w:sz w:val="24"/>
          <w:szCs w:val="24"/>
        </w:rPr>
        <w:t xml:space="preserve"> The datasets used or analyzed during the current study are available from the corresponding author upon reasonable request.</w:t>
      </w:r>
    </w:p>
    <w:p w14:paraId="5C7B0802" w14:textId="77777777" w:rsidR="00E1740E" w:rsidRPr="00E1740E" w:rsidRDefault="00E1740E" w:rsidP="00E1740E">
      <w:pPr>
        <w:jc w:val="both"/>
        <w:rPr>
          <w:rFonts w:ascii="Arial" w:hAnsi="Arial" w:cs="Arial"/>
          <w:sz w:val="24"/>
          <w:szCs w:val="24"/>
        </w:rPr>
      </w:pPr>
      <w:r w:rsidRPr="00E1740E">
        <w:rPr>
          <w:rFonts w:ascii="Arial" w:hAnsi="Arial" w:cs="Arial"/>
          <w:b/>
          <w:bCs/>
          <w:sz w:val="24"/>
          <w:szCs w:val="24"/>
        </w:rPr>
        <w:t>Competing interests</w:t>
      </w:r>
      <w:r w:rsidRPr="00E1740E">
        <w:rPr>
          <w:rFonts w:ascii="Arial" w:hAnsi="Arial" w:cs="Arial"/>
          <w:sz w:val="24"/>
          <w:szCs w:val="24"/>
        </w:rPr>
        <w:t>: The authors declare that they have no competing interests.</w:t>
      </w:r>
    </w:p>
    <w:p w14:paraId="76EF2B8F" w14:textId="77777777" w:rsidR="00E1740E" w:rsidRPr="00E1740E" w:rsidRDefault="00E1740E" w:rsidP="00E1740E">
      <w:pPr>
        <w:jc w:val="both"/>
        <w:rPr>
          <w:rFonts w:ascii="Arial" w:hAnsi="Arial" w:cs="Arial"/>
          <w:sz w:val="24"/>
          <w:szCs w:val="24"/>
        </w:rPr>
      </w:pPr>
      <w:r w:rsidRPr="00E1740E">
        <w:rPr>
          <w:rFonts w:ascii="Arial" w:hAnsi="Arial" w:cs="Arial"/>
          <w:b/>
          <w:bCs/>
          <w:sz w:val="24"/>
          <w:szCs w:val="24"/>
        </w:rPr>
        <w:t>Funding</w:t>
      </w:r>
      <w:r w:rsidRPr="00E1740E">
        <w:rPr>
          <w:rFonts w:ascii="Arial" w:hAnsi="Arial" w:cs="Arial"/>
          <w:sz w:val="24"/>
          <w:szCs w:val="24"/>
        </w:rPr>
        <w:t>: This study had no funding from any resource.</w:t>
      </w:r>
    </w:p>
    <w:p w14:paraId="5067104C" w14:textId="5FB409AE" w:rsidR="00E1740E" w:rsidRPr="00E1740E" w:rsidRDefault="00E1740E" w:rsidP="00E1740E">
      <w:pPr>
        <w:jc w:val="both"/>
        <w:rPr>
          <w:rFonts w:ascii="Arial" w:hAnsi="Arial" w:cs="Arial"/>
          <w:sz w:val="24"/>
          <w:szCs w:val="24"/>
        </w:rPr>
      </w:pPr>
      <w:r w:rsidRPr="00E1740E">
        <w:rPr>
          <w:rFonts w:ascii="Arial" w:hAnsi="Arial" w:cs="Arial"/>
          <w:sz w:val="24"/>
          <w:szCs w:val="24"/>
        </w:rPr>
        <w:t xml:space="preserve">This work was done according to the </w:t>
      </w:r>
      <w:r w:rsidR="00D95F16">
        <w:rPr>
          <w:rFonts w:ascii="Arial" w:hAnsi="Arial" w:cs="Arial"/>
          <w:b/>
          <w:bCs/>
          <w:sz w:val="24"/>
          <w:szCs w:val="24"/>
        </w:rPr>
        <w:t xml:space="preserve">CARE </w:t>
      </w:r>
      <w:r w:rsidRPr="00E1740E">
        <w:rPr>
          <w:rFonts w:ascii="Arial" w:hAnsi="Arial" w:cs="Arial"/>
          <w:sz w:val="24"/>
          <w:szCs w:val="24"/>
        </w:rPr>
        <w:t>guidelines.</w:t>
      </w:r>
      <w:bookmarkStart w:id="4" w:name="h11"/>
      <w:bookmarkEnd w:id="4"/>
    </w:p>
    <w:p w14:paraId="1CE91D7C" w14:textId="77777777" w:rsidR="00E1740E" w:rsidRPr="00E1740E" w:rsidRDefault="00E1740E" w:rsidP="00E1740E">
      <w:pPr>
        <w:jc w:val="both"/>
        <w:rPr>
          <w:rFonts w:ascii="Arial" w:hAnsi="Arial" w:cs="Arial"/>
          <w:b/>
          <w:bCs/>
          <w:sz w:val="24"/>
          <w:szCs w:val="24"/>
        </w:rPr>
      </w:pPr>
      <w:r w:rsidRPr="00E1740E">
        <w:rPr>
          <w:rFonts w:ascii="Arial" w:hAnsi="Arial" w:cs="Arial"/>
          <w:b/>
          <w:bCs/>
          <w:sz w:val="24"/>
          <w:szCs w:val="24"/>
        </w:rPr>
        <w:t xml:space="preserve">Authors' contributions </w:t>
      </w:r>
    </w:p>
    <w:p w14:paraId="361CEAC6" w14:textId="50C70B2C" w:rsidR="00E1740E" w:rsidRPr="00E1740E" w:rsidRDefault="00803197" w:rsidP="00803197">
      <w:pPr>
        <w:jc w:val="both"/>
        <w:rPr>
          <w:rFonts w:ascii="Arial" w:hAnsi="Arial" w:cs="Arial"/>
          <w:sz w:val="24"/>
          <w:szCs w:val="24"/>
        </w:rPr>
      </w:pPr>
      <w:r w:rsidRPr="00803197">
        <w:rPr>
          <w:rFonts w:ascii="Arial" w:hAnsi="Arial" w:cs="Arial"/>
          <w:sz w:val="24"/>
          <w:szCs w:val="24"/>
        </w:rPr>
        <w:t>Zelalem Mulu</w:t>
      </w:r>
      <w:r>
        <w:rPr>
          <w:rFonts w:ascii="Arial" w:hAnsi="Arial" w:cs="Arial"/>
          <w:sz w:val="24"/>
          <w:szCs w:val="24"/>
        </w:rPr>
        <w:t xml:space="preserve"> and Wudassie Melak collected and followed up on the patients, carrying out the requested investigations. Abdulsemed Nur and Mengistu Erke also followed up on the patients and analyzed</w:t>
      </w:r>
      <w:r w:rsidR="00E1740E" w:rsidRPr="00E1740E">
        <w:rPr>
          <w:rFonts w:ascii="Arial" w:hAnsi="Arial" w:cs="Arial"/>
          <w:sz w:val="24"/>
          <w:szCs w:val="24"/>
        </w:rPr>
        <w:t xml:space="preserve"> the collected data. All authors authorized the manuscript.</w:t>
      </w:r>
    </w:p>
    <w:p w14:paraId="0E6787C6" w14:textId="2974AFFD" w:rsidR="00E1740E" w:rsidRPr="00E1740E" w:rsidRDefault="00E1740E" w:rsidP="00E1740E">
      <w:pPr>
        <w:jc w:val="both"/>
        <w:rPr>
          <w:rFonts w:ascii="Arial" w:hAnsi="Arial" w:cs="Arial"/>
          <w:sz w:val="24"/>
          <w:szCs w:val="24"/>
        </w:rPr>
      </w:pPr>
      <w:r w:rsidRPr="00E1740E">
        <w:rPr>
          <w:rFonts w:ascii="Arial" w:hAnsi="Arial" w:cs="Arial"/>
          <w:b/>
          <w:bCs/>
          <w:sz w:val="24"/>
          <w:szCs w:val="24"/>
          <w:lang w:val="en-GB"/>
        </w:rPr>
        <w:t>Acknowledgment</w:t>
      </w:r>
      <w:r w:rsidRPr="00E1740E">
        <w:rPr>
          <w:rFonts w:ascii="Arial" w:hAnsi="Arial" w:cs="Arial"/>
          <w:sz w:val="24"/>
          <w:szCs w:val="24"/>
          <w:lang w:val="en-GB"/>
        </w:rPr>
        <w:t xml:space="preserve">: </w:t>
      </w:r>
      <w:r w:rsidR="00803197">
        <w:rPr>
          <w:rFonts w:ascii="Arial" w:hAnsi="Arial" w:cs="Arial"/>
          <w:sz w:val="24"/>
          <w:szCs w:val="24"/>
        </w:rPr>
        <w:t>none</w:t>
      </w:r>
      <w:r w:rsidRPr="00E1740E">
        <w:rPr>
          <w:rFonts w:ascii="Arial" w:hAnsi="Arial" w:cs="Arial"/>
          <w:sz w:val="24"/>
          <w:szCs w:val="24"/>
        </w:rPr>
        <w:t>.</w:t>
      </w:r>
    </w:p>
    <w:p w14:paraId="5157149B" w14:textId="77777777" w:rsidR="00072A68" w:rsidRDefault="00000000">
      <w:pPr>
        <w:jc w:val="both"/>
        <w:rPr>
          <w:rFonts w:ascii="Arial" w:hAnsi="Arial" w:cs="Arial"/>
          <w:b/>
          <w:sz w:val="24"/>
          <w:szCs w:val="24"/>
        </w:rPr>
      </w:pPr>
      <w:r>
        <w:rPr>
          <w:rFonts w:ascii="Arial" w:hAnsi="Arial" w:cs="Arial"/>
          <w:b/>
          <w:sz w:val="24"/>
          <w:szCs w:val="24"/>
        </w:rPr>
        <w:t xml:space="preserve">References </w:t>
      </w:r>
    </w:p>
    <w:p w14:paraId="14BE6065"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 xml:space="preserve">Fattahi MR, Katayoon Homayoon, Laleh Hamidpour. Double Pylorus in a Cirrhotic Patient: A Case Report and Review of the Literature. Middle East Journal of Digestive Diseases. 2012 Apr;4(2):130. Available from: </w:t>
      </w:r>
      <w:hyperlink r:id="rId11" w:history="1">
        <w:r w:rsidR="00072A68">
          <w:rPr>
            <w:rStyle w:val="Hyperlink"/>
            <w:rFonts w:ascii="Arial" w:hAnsi="Arial" w:cs="Arial"/>
            <w:sz w:val="24"/>
            <w:szCs w:val="24"/>
          </w:rPr>
          <w:t>https://pmc.ncbi.nlm.nih.gov/articles/PMC4017689/</w:t>
        </w:r>
      </w:hyperlink>
    </w:p>
    <w:p w14:paraId="6684AD40" w14:textId="2F229753"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Ofosu A, Brana C, Culliford A, Gaduputi V. A Case Report of Double Pylorus: An Unusual Complication of Peptic Ulcer Disease. American Journal of Gastroenterology. 2018 Oct;113(Supplement</w:t>
      </w:r>
      <w:r w:rsidR="00E00C90">
        <w:rPr>
          <w:rFonts w:ascii="Arial" w:hAnsi="Arial" w:cs="Arial"/>
          <w:sz w:val="24"/>
          <w:szCs w:val="24"/>
        </w:rPr>
        <w:t>): S</w:t>
      </w:r>
      <w:r>
        <w:rPr>
          <w:rFonts w:ascii="Arial" w:hAnsi="Arial" w:cs="Arial"/>
          <w:sz w:val="24"/>
          <w:szCs w:val="24"/>
        </w:rPr>
        <w:t>1069.</w:t>
      </w:r>
    </w:p>
    <w:p w14:paraId="0AF750B0"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Oktaricha H, Miftahussurur M. Double Pylorus in Upper Gastrointestinal Bleeding. Case Rep Gastroenterol. 2021 Mar 11;15(1):332-7.</w:t>
      </w:r>
    </w:p>
    <w:p w14:paraId="4CDF1AA5" w14:textId="28565E52"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 xml:space="preserve">Thapa SS, Scott J. Double pylorus. BMJ Case Reports. 2018 Sep </w:t>
      </w:r>
      <w:r w:rsidR="00E00C90">
        <w:rPr>
          <w:rFonts w:ascii="Arial" w:hAnsi="Arial" w:cs="Arial"/>
          <w:sz w:val="24"/>
          <w:szCs w:val="24"/>
        </w:rPr>
        <w:t>4: bcr</w:t>
      </w:r>
      <w:r>
        <w:rPr>
          <w:rFonts w:ascii="Arial" w:hAnsi="Arial" w:cs="Arial"/>
          <w:sz w:val="24"/>
          <w:szCs w:val="24"/>
        </w:rPr>
        <w:t>-2018-225850.</w:t>
      </w:r>
    </w:p>
    <w:p w14:paraId="260E1A50"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Yong E, Yong E, Wong J, Ho T. Acquired double pylorus. smedj. 2018 Jun;59(6):335-6.</w:t>
      </w:r>
    </w:p>
    <w:p w14:paraId="061437E6"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Safatle-Ribeiro AV, Ribeiro Júnior U, Habr-Gama A, Gama-Rodrigues JJ. Double pylorus: case report and review of the literature. Rev Hosp Clin. 1999 Aug;54(4):131-4.</w:t>
      </w:r>
    </w:p>
    <w:p w14:paraId="50B114F2"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Akbulut S, Erten A, Ozaslan E, Altiparmak E. Double Pylorus. Balkan Med J. 2014 Jun 10;31(2):187-8.</w:t>
      </w:r>
    </w:p>
    <w:p w14:paraId="347D7011" w14:textId="4F806372"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 xml:space="preserve">Naidoo R, Singh B. Congenital Double Pylorus. Case Reports in Gastrointestinal Medicine. </w:t>
      </w:r>
      <w:r w:rsidR="00637A12">
        <w:rPr>
          <w:rFonts w:ascii="Arial" w:hAnsi="Arial" w:cs="Arial"/>
          <w:sz w:val="24"/>
          <w:szCs w:val="24"/>
        </w:rPr>
        <w:t>2012; 2012:1</w:t>
      </w:r>
      <w:r>
        <w:rPr>
          <w:rFonts w:ascii="Arial" w:hAnsi="Arial" w:cs="Arial"/>
          <w:sz w:val="24"/>
          <w:szCs w:val="24"/>
        </w:rPr>
        <w:t>-2.</w:t>
      </w:r>
    </w:p>
    <w:p w14:paraId="4B410215" w14:textId="0B0E4793"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 xml:space="preserve">Fousekis F, Aggeli P, Kotsaftis P, Pappas-Gogos G. Double Pylorus: Report of a Case </w:t>
      </w:r>
      <w:r w:rsidR="00637A12">
        <w:rPr>
          <w:rFonts w:ascii="Arial" w:hAnsi="Arial" w:cs="Arial"/>
          <w:sz w:val="24"/>
          <w:szCs w:val="24"/>
        </w:rPr>
        <w:t>with</w:t>
      </w:r>
      <w:r>
        <w:rPr>
          <w:rFonts w:ascii="Arial" w:hAnsi="Arial" w:cs="Arial"/>
          <w:sz w:val="24"/>
          <w:szCs w:val="24"/>
        </w:rPr>
        <w:t xml:space="preserve"> Endoscopic Follow-Up and Review of </w:t>
      </w:r>
      <w:r w:rsidR="00637A12">
        <w:rPr>
          <w:rFonts w:ascii="Arial" w:hAnsi="Arial" w:cs="Arial"/>
          <w:sz w:val="24"/>
          <w:szCs w:val="24"/>
        </w:rPr>
        <w:t>Literature</w:t>
      </w:r>
      <w:r>
        <w:rPr>
          <w:rFonts w:ascii="Arial" w:hAnsi="Arial" w:cs="Arial"/>
          <w:sz w:val="24"/>
          <w:szCs w:val="24"/>
        </w:rPr>
        <w:t>. Gastroenterol Res. 2018;11(2):154-6.</w:t>
      </w:r>
    </w:p>
    <w:p w14:paraId="17F9CB87"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Oktaricha H, Miftahussurur M. Double Pylorus in Upper Gastrointestinal Bleeding. Case Rep Gastroenterol. 2021 Mar 11;15(1):332-7.</w:t>
      </w:r>
    </w:p>
    <w:p w14:paraId="6501C319"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Lei J. Acquired double pylorus: Clinical and endoscopic characteristics and four-year follow-up observations. WJG. 2016;22(6):2153.</w:t>
      </w:r>
    </w:p>
    <w:p w14:paraId="0FA673BF" w14:textId="35CE2BBA"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 xml:space="preserve">Sandoval V, Chittajallu V, Haddad FG. An Endoscopic </w:t>
      </w:r>
      <w:r w:rsidR="00637A12">
        <w:rPr>
          <w:rFonts w:ascii="Arial" w:hAnsi="Arial" w:cs="Arial"/>
          <w:sz w:val="24"/>
          <w:szCs w:val="24"/>
        </w:rPr>
        <w:t>Illusion.</w:t>
      </w:r>
      <w:r>
        <w:rPr>
          <w:rFonts w:ascii="Arial" w:hAnsi="Arial" w:cs="Arial"/>
          <w:sz w:val="24"/>
          <w:szCs w:val="24"/>
        </w:rPr>
        <w:t xml:space="preserve"> ACG Case Rep J. 2024 Mar;11(3</w:t>
      </w:r>
      <w:r w:rsidR="00637A12">
        <w:rPr>
          <w:rFonts w:ascii="Arial" w:hAnsi="Arial" w:cs="Arial"/>
          <w:sz w:val="24"/>
          <w:szCs w:val="24"/>
        </w:rPr>
        <w:t>): e</w:t>
      </w:r>
      <w:r>
        <w:rPr>
          <w:rFonts w:ascii="Arial" w:hAnsi="Arial" w:cs="Arial"/>
          <w:sz w:val="24"/>
          <w:szCs w:val="24"/>
        </w:rPr>
        <w:t>01278.</w:t>
      </w:r>
    </w:p>
    <w:p w14:paraId="7FB31BCF"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Graham SM, Lin F, Flowers JL. Symptomatic double-channel pylorus. Surg Endosc. 1994 Jul;8(7):792-3.</w:t>
      </w:r>
    </w:p>
    <w:p w14:paraId="153EC199"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Goh BK, Tan H. Double pylorus. The American Journal of Surgery. 2006 Apr;191(4):515-6.</w:t>
      </w:r>
    </w:p>
    <w:p w14:paraId="2395C58D" w14:textId="3DDC86DA"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Laabidi S, Ben Mohamed A, Khsiba A, et al. Acquired double pylorus presenting as gastrointestinal bleeding. Clinical Case Reports. 2022;10(3)</w:t>
      </w:r>
    </w:p>
    <w:p w14:paraId="43C88A30" w14:textId="77777777" w:rsidR="00072A68" w:rsidRDefault="00000000">
      <w:pPr>
        <w:pStyle w:val="ListParagraph1"/>
        <w:numPr>
          <w:ilvl w:val="0"/>
          <w:numId w:val="1"/>
        </w:numPr>
        <w:jc w:val="both"/>
        <w:rPr>
          <w:rFonts w:ascii="Arial" w:hAnsi="Arial" w:cs="Arial"/>
          <w:sz w:val="24"/>
          <w:szCs w:val="24"/>
        </w:rPr>
      </w:pPr>
      <w:r>
        <w:rPr>
          <w:rFonts w:ascii="Arial" w:hAnsi="Arial" w:cs="Arial"/>
          <w:sz w:val="24"/>
          <w:szCs w:val="24"/>
        </w:rPr>
        <w:t>Koh M, Jang JS. Gastric Ectopic Pyloric Opening with Gastric Ulcer: A Rare Case. Korean J Gastroenterol. 2022 Mar 25;79(3):126-9.</w:t>
      </w:r>
    </w:p>
    <w:sectPr w:rsidR="00072A6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7A843" w14:textId="77777777" w:rsidR="001B7B6A" w:rsidRDefault="001B7B6A" w:rsidP="005C5182">
      <w:pPr>
        <w:spacing w:after="0" w:line="240" w:lineRule="auto"/>
      </w:pPr>
      <w:r>
        <w:separator/>
      </w:r>
    </w:p>
  </w:endnote>
  <w:endnote w:type="continuationSeparator" w:id="0">
    <w:p w14:paraId="6B11F91B" w14:textId="77777777" w:rsidR="001B7B6A" w:rsidRDefault="001B7B6A" w:rsidP="005C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5890" w14:textId="3AE42982" w:rsidR="005C5182" w:rsidRDefault="00B7648F" w:rsidP="00B7648F">
    <w:pPr>
      <w:pBdr>
        <w:top w:val="thinThickSmallGap" w:sz="24" w:space="1" w:color="823B0B"/>
      </w:pBdr>
      <w:tabs>
        <w:tab w:val="right" w:pos="9360"/>
      </w:tabs>
      <w:spacing w:after="240" w:line="256" w:lineRule="auto"/>
      <w:ind w:firstLine="357"/>
    </w:pPr>
    <w:r>
      <w:rPr>
        <w:rFonts w:eastAsia="Times New Roman" w:cs="Calibri"/>
        <w:color w:val="000000"/>
        <w:kern w:val="2"/>
        <w:sz w:val="24"/>
        <w:szCs w:val="24"/>
        <w:lang w:eastAsia="en-GB"/>
      </w:rPr>
      <w:t>Mulu Z</w:t>
    </w:r>
    <w:r w:rsidRPr="00B7648F">
      <w:rPr>
        <w:rFonts w:eastAsia="Times New Roman" w:cs="Arial"/>
      </w:rPr>
      <w:t xml:space="preserve"> et al.2024</w:t>
    </w:r>
    <w:r w:rsidRPr="00B7648F">
      <w:rPr>
        <w:rFonts w:eastAsia="Times New Roman" w:cs="Arial"/>
      </w:rPr>
      <w:tab/>
    </w:r>
    <w:r w:rsidRPr="00B7648F">
      <w:rPr>
        <w:rFonts w:eastAsia="Times New Roman" w:cs="Arial"/>
      </w:rPr>
      <w:fldChar w:fldCharType="begin"/>
    </w:r>
    <w:r w:rsidRPr="00B7648F">
      <w:rPr>
        <w:rFonts w:eastAsia="Times New Roman" w:cs="Arial"/>
      </w:rPr>
      <w:instrText xml:space="preserve"> PAGE   \* MERGEFORMAT </w:instrText>
    </w:r>
    <w:r w:rsidRPr="00B7648F">
      <w:rPr>
        <w:rFonts w:eastAsia="Times New Roman" w:cs="Arial"/>
      </w:rPr>
      <w:fldChar w:fldCharType="separate"/>
    </w:r>
    <w:r w:rsidRPr="00B7648F">
      <w:rPr>
        <w:rFonts w:eastAsia="Aptos" w:cs="Arial"/>
        <w:kern w:val="2"/>
        <w:lang w:val="en-GB"/>
      </w:rPr>
      <w:t>304</w:t>
    </w:r>
    <w:r w:rsidRPr="00B7648F">
      <w:rPr>
        <w:rFonts w:eastAsia="Times New Roman"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E1127" w14:textId="77777777" w:rsidR="001B7B6A" w:rsidRDefault="001B7B6A" w:rsidP="005C5182">
      <w:pPr>
        <w:spacing w:after="0" w:line="240" w:lineRule="auto"/>
      </w:pPr>
      <w:r>
        <w:separator/>
      </w:r>
    </w:p>
  </w:footnote>
  <w:footnote w:type="continuationSeparator" w:id="0">
    <w:p w14:paraId="3CE3205D" w14:textId="77777777" w:rsidR="001B7B6A" w:rsidRDefault="001B7B6A" w:rsidP="005C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F057" w14:textId="1CA376DD" w:rsidR="005C5182" w:rsidRPr="005C5182" w:rsidRDefault="005C5182" w:rsidP="005C5182">
    <w:pPr>
      <w:pBdr>
        <w:bottom w:val="thickThinSmallGap" w:sz="24" w:space="21" w:color="622423"/>
      </w:pBdr>
      <w:tabs>
        <w:tab w:val="right" w:pos="8640"/>
      </w:tabs>
      <w:spacing w:after="0" w:line="240" w:lineRule="auto"/>
      <w:rPr>
        <w:rFonts w:ascii="Cambria" w:eastAsia="Times New Roman" w:hAnsi="Cambria"/>
        <w:sz w:val="18"/>
        <w:szCs w:val="18"/>
      </w:rPr>
    </w:pPr>
    <w:r w:rsidRPr="005C5182">
      <w:rPr>
        <w:rFonts w:ascii="Cambria" w:eastAsia="Times New Roman" w:hAnsi="Cambria"/>
        <w:sz w:val="18"/>
        <w:szCs w:val="18"/>
      </w:rPr>
      <w:t>African journal of gastroenterology and hepatology</w:t>
    </w:r>
    <w:r w:rsidRPr="005C5182">
      <w:rPr>
        <w:rFonts w:ascii="Cambria" w:eastAsia="Times New Roman" w:hAnsi="Cambria"/>
        <w:sz w:val="18"/>
        <w:szCs w:val="18"/>
      </w:rPr>
      <w:tab/>
    </w:r>
    <w:r w:rsidR="00E77147" w:rsidRPr="005C5182">
      <w:rPr>
        <w:rFonts w:ascii="Calibri Light" w:eastAsia="Times New Roman" w:hAnsi="Calibri Light"/>
        <w:noProof/>
        <w:sz w:val="32"/>
        <w:szCs w:val="32"/>
      </w:rPr>
      <w:drawing>
        <wp:inline distT="0" distB="0" distL="0" distR="0" wp14:anchorId="0BBBDB2C" wp14:editId="1465B37D">
          <wp:extent cx="1428750"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09550"/>
                  </a:xfrm>
                  <a:prstGeom prst="rect">
                    <a:avLst/>
                  </a:prstGeom>
                  <a:noFill/>
                  <a:ln>
                    <a:noFill/>
                  </a:ln>
                </pic:spPr>
              </pic:pic>
            </a:graphicData>
          </a:graphic>
        </wp:inline>
      </w:drawing>
    </w:r>
  </w:p>
  <w:p w14:paraId="1DB80CC7" w14:textId="77777777" w:rsidR="005C5182" w:rsidRPr="005C5182" w:rsidRDefault="005C5182" w:rsidP="005C5182">
    <w:pPr>
      <w:tabs>
        <w:tab w:val="center" w:pos="4153"/>
        <w:tab w:val="right" w:pos="8306"/>
      </w:tabs>
      <w:spacing w:after="0" w:line="240" w:lineRule="auto"/>
      <w:jc w:val="both"/>
      <w:rPr>
        <w:rFonts w:ascii="Times New Roman" w:eastAsia="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D07ED"/>
    <w:multiLevelType w:val="multilevel"/>
    <w:tmpl w:val="735D07E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048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0"/>
  <w:characterSpacingControl w:val="doNotCompress"/>
  <w:savePreviewPicture/>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68"/>
    <w:rsid w:val="00072A68"/>
    <w:rsid w:val="00140629"/>
    <w:rsid w:val="001B7B6A"/>
    <w:rsid w:val="00284263"/>
    <w:rsid w:val="00292666"/>
    <w:rsid w:val="00357495"/>
    <w:rsid w:val="003B2104"/>
    <w:rsid w:val="00430B7A"/>
    <w:rsid w:val="005C5182"/>
    <w:rsid w:val="005F4665"/>
    <w:rsid w:val="00637A12"/>
    <w:rsid w:val="006B3CF6"/>
    <w:rsid w:val="007F79BA"/>
    <w:rsid w:val="00803197"/>
    <w:rsid w:val="008F77AF"/>
    <w:rsid w:val="00924CB9"/>
    <w:rsid w:val="0098665B"/>
    <w:rsid w:val="00AD0D76"/>
    <w:rsid w:val="00AE1341"/>
    <w:rsid w:val="00B570FC"/>
    <w:rsid w:val="00B72BC0"/>
    <w:rsid w:val="00B7648F"/>
    <w:rsid w:val="00CD2012"/>
    <w:rsid w:val="00CF6D0F"/>
    <w:rsid w:val="00D95F16"/>
    <w:rsid w:val="00E00C90"/>
    <w:rsid w:val="00E1740E"/>
    <w:rsid w:val="00E4075C"/>
    <w:rsid w:val="00E77147"/>
    <w:rsid w:val="00F60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5C4D729"/>
  <w15:docId w15:val="{6E2DA333-77CE-4449-A364-D740F7FA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paragraph" w:customStyle="1" w:styleId="ListParagraph1">
    <w:name w:val="List Paragraph1"/>
    <w:basedOn w:val="Normal"/>
    <w:uiPriority w:val="34"/>
    <w:qFormat/>
    <w:pPr>
      <w:ind w:left="720"/>
      <w:contextualSpacing/>
    </w:pPr>
  </w:style>
  <w:style w:type="character" w:customStyle="1" w:styleId="PlaceholderText1">
    <w:name w:val="Placeholder Text1"/>
    <w:uiPriority w:val="99"/>
    <w:semiHidden/>
    <w:rPr>
      <w:color w:val="808080"/>
    </w:rPr>
  </w:style>
  <w:style w:type="paragraph" w:styleId="NormalWeb">
    <w:name w:val="Normal (Web)"/>
    <w:basedOn w:val="Normal"/>
    <w:uiPriority w:val="99"/>
    <w:semiHidden/>
    <w:unhideWhenUsed/>
    <w:rsid w:val="00CD2012"/>
    <w:pPr>
      <w:spacing w:before="100" w:beforeAutospacing="1" w:after="100" w:afterAutospacing="1" w:line="240" w:lineRule="auto"/>
    </w:pPr>
    <w:rPr>
      <w:rFonts w:ascii="Times New Roman" w:eastAsia="Times New Roman" w:hAnsi="Times New Roman"/>
      <w:sz w:val="24"/>
      <w:szCs w:val="24"/>
      <w:lang w:eastAsia="zh-CN"/>
    </w:rPr>
  </w:style>
  <w:style w:type="paragraph" w:styleId="Caption">
    <w:name w:val="caption"/>
    <w:basedOn w:val="Normal"/>
    <w:next w:val="Normal"/>
    <w:uiPriority w:val="35"/>
    <w:unhideWhenUsed/>
    <w:qFormat/>
    <w:rsid w:val="00AE1341"/>
    <w:rPr>
      <w:b/>
      <w:bCs/>
      <w:sz w:val="20"/>
      <w:szCs w:val="20"/>
    </w:rPr>
  </w:style>
  <w:style w:type="paragraph" w:styleId="Header">
    <w:name w:val="header"/>
    <w:basedOn w:val="Normal"/>
    <w:link w:val="HeaderChar"/>
    <w:unhideWhenUsed/>
    <w:rsid w:val="005C5182"/>
    <w:pPr>
      <w:tabs>
        <w:tab w:val="center" w:pos="4680"/>
        <w:tab w:val="right" w:pos="9360"/>
      </w:tabs>
    </w:pPr>
  </w:style>
  <w:style w:type="character" w:customStyle="1" w:styleId="HeaderChar">
    <w:name w:val="Header Char"/>
    <w:basedOn w:val="DefaultParagraphFont"/>
    <w:link w:val="Header"/>
    <w:rsid w:val="005C5182"/>
    <w:rPr>
      <w:rFonts w:ascii="Calibri" w:eastAsia="Calibri" w:hAnsi="Calibri"/>
      <w:sz w:val="22"/>
      <w:szCs w:val="22"/>
      <w:lang w:eastAsia="en-US"/>
    </w:rPr>
  </w:style>
  <w:style w:type="paragraph" w:styleId="Footer">
    <w:name w:val="footer"/>
    <w:basedOn w:val="Normal"/>
    <w:link w:val="FooterChar"/>
    <w:unhideWhenUsed/>
    <w:rsid w:val="005C5182"/>
    <w:pPr>
      <w:tabs>
        <w:tab w:val="center" w:pos="4680"/>
        <w:tab w:val="right" w:pos="9360"/>
      </w:tabs>
    </w:pPr>
  </w:style>
  <w:style w:type="character" w:customStyle="1" w:styleId="FooterChar">
    <w:name w:val="Footer Char"/>
    <w:basedOn w:val="DefaultParagraphFont"/>
    <w:link w:val="Footer"/>
    <w:rsid w:val="005C5182"/>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3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45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mlaew@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mc.ncbi.nlm.nih.gov/articles/PMC40176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alemyousefmohamed@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1891</Words>
  <Characters>11277</Characters>
  <Application>Microsoft Office Word</Application>
  <DocSecurity>0</DocSecurity>
  <Lines>256</Lines>
  <Paragraphs>130</Paragraphs>
  <ScaleCrop>false</ScaleCrop>
  <HeadingPairs>
    <vt:vector size="2" baseType="variant">
      <vt:variant>
        <vt:lpstr>Title</vt:lpstr>
      </vt:variant>
      <vt:variant>
        <vt:i4>1</vt:i4>
      </vt:variant>
    </vt:vector>
  </HeadingPairs>
  <TitlesOfParts>
    <vt:vector size="1" baseType="lpstr">
      <vt:lpstr>A case report of double pylorus: a rare endoscopic finding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case report of double pylorus: a rare endoscopic finding</dc:title>
  <dc:creator>W10X64_AUG-2020</dc:creator>
  <cp:lastModifiedBy>SYSalem</cp:lastModifiedBy>
  <cp:revision>2</cp:revision>
  <dcterms:created xsi:type="dcterms:W3CDTF">2025-01-04T11:52:00Z</dcterms:created>
  <dcterms:modified xsi:type="dcterms:W3CDTF">2025-01-04T11:52:00Z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y fmtid="{D5CDD505-2E9C-101B-9397-08002B2CF9AE}" pid="3" name="GrammarlyDocumentId">
    <vt:lpwstr>3d3cae048574f344bb2ed8de9e6cbbbf4b49153d0775fb94bd2f76a1117edaba</vt:lpwstr>
  </property>
</Properties>
</file>