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756862D2" w:rsidR="008D0F87" w:rsidRPr="00C76128" w:rsidRDefault="009C0D90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AF1B1D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ecember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68598DD6" w:rsidR="00122579" w:rsidRPr="00522261" w:rsidRDefault="007F5209" w:rsidP="002B7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B727F" w:rsidRPr="002B727F">
        <w:rPr>
          <w:rFonts w:ascii="Times New Roman" w:eastAsia="Times New Roman" w:hAnsi="Times New Roman" w:cs="Times New Roman"/>
          <w:color w:val="222222"/>
          <w:sz w:val="24"/>
          <w:szCs w:val="24"/>
        </w:rPr>
        <w:t> Zelalem Mulu</w:t>
      </w:r>
      <w:r w:rsidR="00522261" w:rsidRP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</w:p>
    <w:p w14:paraId="51F0FF52" w14:textId="7BB4194E" w:rsidR="008D0F87" w:rsidRPr="00C76128" w:rsidRDefault="00D1630B" w:rsidP="009C0D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9C0D90" w:rsidRPr="009C0D90">
        <w:rPr>
          <w:rFonts w:ascii="Times New Roman" w:eastAsia="Times New Roman" w:hAnsi="Times New Roman" w:cs="Times New Roman"/>
          <w:color w:val="222222"/>
          <w:sz w:val="24"/>
          <w:szCs w:val="24"/>
        </w:rPr>
        <w:t>AJGH-2410-1067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r w:rsidR="009C0D90" w:rsidRPr="009C0D90">
        <w:rPr>
          <w:rFonts w:ascii="Times New Roman" w:eastAsia="Times New Roman" w:hAnsi="Times New Roman" w:cs="Times New Roman"/>
          <w:color w:val="222222"/>
          <w:sz w:val="24"/>
          <w:szCs w:val="24"/>
        </w:rPr>
        <w:t>A case report of double pylorus: a rare endoscopic finding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35FD90A7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730E9A">
        <w:rPr>
          <w:b/>
          <w:bCs/>
          <w:sz w:val="28"/>
          <w:szCs w:val="28"/>
        </w:rPr>
        <w:t>SS</w:t>
      </w:r>
      <w:r w:rsidR="00A37054">
        <w:rPr>
          <w:b/>
          <w:bCs/>
          <w:sz w:val="28"/>
          <w:szCs w:val="28"/>
        </w:rPr>
        <w:t>)</w:t>
      </w:r>
    </w:p>
    <w:p w14:paraId="1EF7BA42" w14:textId="5CF1C031" w:rsidR="00730E9A" w:rsidRPr="00730E9A" w:rsidRDefault="00730E9A" w:rsidP="00730E9A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I read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the case report of double pylorus with great interest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. I think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the double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pylorus term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is 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given when there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are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2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openings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with 2 ways, I mean 2 pylori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openings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lead to 2 duodenal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bulbs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.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 </w:t>
      </w:r>
      <w:r w:rsidRPr="00730E9A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I think it is a deformed pylori ring in the setting of inflamed gastric mucosa</w:t>
      </w:r>
      <w:r w:rsidR="00AF1B1D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.</w:t>
      </w:r>
    </w:p>
    <w:p w14:paraId="38873FC7" w14:textId="5AD94688" w:rsidR="0052405C" w:rsidRDefault="008D0F87" w:rsidP="00F50183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5A0CB1">
        <w:rPr>
          <w:b/>
          <w:bCs/>
          <w:sz w:val="28"/>
          <w:szCs w:val="28"/>
        </w:rPr>
        <w:t>M</w:t>
      </w:r>
      <w:r w:rsidR="00730E9A">
        <w:rPr>
          <w:b/>
          <w:bCs/>
          <w:sz w:val="28"/>
          <w:szCs w:val="28"/>
        </w:rPr>
        <w:t>E</w:t>
      </w:r>
      <w:r w:rsidR="00117321">
        <w:rPr>
          <w:b/>
          <w:bCs/>
          <w:sz w:val="28"/>
          <w:szCs w:val="28"/>
        </w:rPr>
        <w:t>)</w:t>
      </w:r>
    </w:p>
    <w:p w14:paraId="083A57F4" w14:textId="1B21060C" w:rsidR="00F50183" w:rsidRPr="00F50183" w:rsidRDefault="00AF1B1D" w:rsidP="00AF1B1D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The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authors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describe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 case of double pyloric opening. The finding is not </w:t>
      </w:r>
      <w:r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 common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event during the upper GI endoscopy and hence it may have potential interest to readers of the journal. </w:t>
      </w:r>
      <w:r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However,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 xml:space="preserve">1- The introduction and discussion are very deficient. The authors are encouraged to review the literature and discuss in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detail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types of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double pylorus (congenital vs acquired ), causes, manifestations, treatment (details of surgical and endoscopy)..</w:t>
      </w:r>
      <w:r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etc.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2- It may be of benefit if the authors tabulate many case reports for double pylorus comparing their demographic, clinical, endoscopic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,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and treatment data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3- The authors must discuss their case in comparison to other cases in the abstract and also in the discussion and not merely describe the literature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4- It is not clear how they treated their patient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5- Many points in the described case: First of all, the endoscopic image is not clear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Do you have a </w:t>
      </w:r>
      <w:r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clearer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picture? Or the video. Second, how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do you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confirm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that it is an opening? Do you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pass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the endoscope through it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?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Third, did you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have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a 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CT or barium study for this patient? Picture if any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?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Fourth, it is not clear 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lastRenderedPageBreak/>
        <w:t>what are the endoscopic findings in the duodenal bulb, is there any DU or other pathology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?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Fifth, what was the source of GI bleeding in this patient? Any ulcer at this presumed double pylorus?</w:t>
      </w:r>
      <w:r w:rsidR="00730E9A" w:rsidRPr="00730E9A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</w:r>
      <w:r w:rsidR="00730E9A" w:rsidRPr="00730E9A">
        <w:rPr>
          <w:rFonts w:ascii="ltr-font" w:eastAsia="Aptos" w:hAnsi="ltr-font" w:cs="Arial"/>
          <w:b/>
          <w:bCs/>
          <w:color w:val="333333"/>
          <w:kern w:val="2"/>
          <w:sz w:val="21"/>
          <w:szCs w:val="21"/>
          <w:shd w:val="clear" w:color="auto" w:fill="FFFFFF"/>
        </w:rPr>
        <w:t xml:space="preserve">6- Some comments in the attached </w:t>
      </w:r>
      <w:r w:rsidRPr="00AF1B1D">
        <w:rPr>
          <w:rFonts w:ascii="ltr-font" w:eastAsia="Aptos" w:hAnsi="ltr-font" w:cs="Arial"/>
          <w:b/>
          <w:bCs/>
          <w:color w:val="333333"/>
          <w:kern w:val="2"/>
          <w:sz w:val="21"/>
          <w:szCs w:val="21"/>
          <w:shd w:val="clear" w:color="auto" w:fill="FFFFFF"/>
        </w:rPr>
        <w:t>Word</w:t>
      </w:r>
      <w:r w:rsidR="00730E9A" w:rsidRPr="00730E9A">
        <w:rPr>
          <w:rFonts w:ascii="ltr-font" w:eastAsia="Aptos" w:hAnsi="ltr-font" w:cs="Arial"/>
          <w:b/>
          <w:bCs/>
          <w:color w:val="333333"/>
          <w:kern w:val="2"/>
          <w:sz w:val="21"/>
          <w:szCs w:val="21"/>
          <w:shd w:val="clear" w:color="auto" w:fill="FFFFFF"/>
        </w:rPr>
        <w:t xml:space="preserve"> file.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B727F"/>
    <w:rsid w:val="003078E7"/>
    <w:rsid w:val="00322BAE"/>
    <w:rsid w:val="00375AFB"/>
    <w:rsid w:val="00376DB1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2261"/>
    <w:rsid w:val="0052405C"/>
    <w:rsid w:val="005673FF"/>
    <w:rsid w:val="005740DE"/>
    <w:rsid w:val="005913A9"/>
    <w:rsid w:val="005A0CB1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30E9A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9C0D90"/>
    <w:rsid w:val="00A37054"/>
    <w:rsid w:val="00A635E7"/>
    <w:rsid w:val="00A72555"/>
    <w:rsid w:val="00A76C04"/>
    <w:rsid w:val="00AF1B1D"/>
    <w:rsid w:val="00B15678"/>
    <w:rsid w:val="00B243F6"/>
    <w:rsid w:val="00B26F35"/>
    <w:rsid w:val="00B66EBA"/>
    <w:rsid w:val="00B745FB"/>
    <w:rsid w:val="00B866E0"/>
    <w:rsid w:val="00BC1849"/>
    <w:rsid w:val="00BC62D4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465B"/>
    <w:rsid w:val="00D4540F"/>
    <w:rsid w:val="00D7072A"/>
    <w:rsid w:val="00D77F89"/>
    <w:rsid w:val="00D85A0F"/>
    <w:rsid w:val="00DA73ED"/>
    <w:rsid w:val="00DE4C58"/>
    <w:rsid w:val="00DE643B"/>
    <w:rsid w:val="00E24EF2"/>
    <w:rsid w:val="00E420F5"/>
    <w:rsid w:val="00E63287"/>
    <w:rsid w:val="00E63FE4"/>
    <w:rsid w:val="00E660E6"/>
    <w:rsid w:val="00EF5B39"/>
    <w:rsid w:val="00F50183"/>
    <w:rsid w:val="00F5070B"/>
    <w:rsid w:val="00F55BDA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831</Words>
  <Characters>4299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80</cp:revision>
  <dcterms:created xsi:type="dcterms:W3CDTF">2022-08-06T12:10:00Z</dcterms:created>
  <dcterms:modified xsi:type="dcterms:W3CDTF">2024-12-12T12:37:00Z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