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EC87" w14:textId="736CE746" w:rsidR="007B7280" w:rsidRDefault="002060E6" w:rsidP="002060E6">
      <w:pPr>
        <w:spacing w:before="120" w:after="0" w:line="480" w:lineRule="auto"/>
        <w:rPr>
          <w:rFonts w:asciiTheme="majorBidi" w:hAnsiTheme="majorBidi" w:cstheme="majorBidi"/>
          <w:b/>
          <w:bCs/>
          <w:sz w:val="24"/>
          <w:szCs w:val="24"/>
        </w:rPr>
      </w:pPr>
      <w:r>
        <w:rPr>
          <w:b/>
          <w:i/>
          <w:iCs/>
          <w:sz w:val="28"/>
          <w:szCs w:val="28"/>
        </w:rPr>
        <w:t>H</w:t>
      </w:r>
      <w:r w:rsidRPr="002060E6">
        <w:rPr>
          <w:b/>
          <w:i/>
          <w:iCs/>
          <w:sz w:val="28"/>
          <w:szCs w:val="28"/>
        </w:rPr>
        <w:t xml:space="preserve">elicobacter pylori infection as a risk factor for changes in some hematological and biochemical parameters among </w:t>
      </w:r>
      <w:r>
        <w:rPr>
          <w:b/>
          <w:i/>
          <w:iCs/>
          <w:sz w:val="28"/>
          <w:szCs w:val="28"/>
        </w:rPr>
        <w:t>E</w:t>
      </w:r>
      <w:r w:rsidRPr="002060E6">
        <w:rPr>
          <w:b/>
          <w:i/>
          <w:iCs/>
          <w:sz w:val="28"/>
          <w:szCs w:val="28"/>
        </w:rPr>
        <w:t>gyptian population</w:t>
      </w:r>
    </w:p>
    <w:p w14:paraId="0A41D66B" w14:textId="780D7681" w:rsidR="00E032E4" w:rsidRPr="00E20C73" w:rsidRDefault="00E032E4" w:rsidP="00E032E4">
      <w:pPr>
        <w:spacing w:before="120" w:after="0" w:line="480" w:lineRule="auto"/>
        <w:jc w:val="both"/>
        <w:rPr>
          <w:rFonts w:asciiTheme="majorBidi" w:hAnsiTheme="majorBidi" w:cstheme="majorBidi"/>
          <w:vertAlign w:val="superscript"/>
        </w:rPr>
      </w:pPr>
      <w:bookmarkStart w:id="0" w:name="_Hlk190867417"/>
      <w:r w:rsidRPr="00E20C73">
        <w:rPr>
          <w:rFonts w:asciiTheme="majorBidi" w:hAnsiTheme="majorBidi" w:cstheme="majorBidi"/>
        </w:rPr>
        <w:t xml:space="preserve">Mohamed Gamal </w:t>
      </w:r>
      <w:bookmarkStart w:id="1" w:name="_Hlk190868229"/>
      <w:r w:rsidRPr="00E20C73">
        <w:rPr>
          <w:rFonts w:asciiTheme="majorBidi" w:hAnsiTheme="majorBidi" w:cstheme="majorBidi"/>
        </w:rPr>
        <w:t>Abdrabou</w:t>
      </w:r>
      <w:bookmarkEnd w:id="1"/>
      <w:r w:rsidRPr="00E20C73">
        <w:rPr>
          <w:rFonts w:asciiTheme="majorBidi" w:hAnsiTheme="majorBidi" w:cstheme="majorBidi"/>
          <w:vertAlign w:val="superscript"/>
        </w:rPr>
        <w:t>1</w:t>
      </w:r>
      <w:bookmarkEnd w:id="0"/>
      <w:r w:rsidRPr="00E20C73">
        <w:rPr>
          <w:rFonts w:asciiTheme="majorBidi" w:hAnsiTheme="majorBidi" w:cstheme="majorBidi"/>
        </w:rPr>
        <w:t>, Emad Rashad badr</w:t>
      </w:r>
      <w:r w:rsidRPr="00E20C73">
        <w:rPr>
          <w:rFonts w:asciiTheme="majorBidi" w:hAnsiTheme="majorBidi" w:cstheme="majorBidi"/>
          <w:vertAlign w:val="superscript"/>
        </w:rPr>
        <w:t>2</w:t>
      </w:r>
      <w:r w:rsidRPr="00E20C73">
        <w:rPr>
          <w:rFonts w:asciiTheme="majorBidi" w:hAnsiTheme="majorBidi" w:cstheme="majorBidi"/>
        </w:rPr>
        <w:t>, Hosam Eldin Abouelkheir</w:t>
      </w:r>
      <w:r w:rsidRPr="00E20C73">
        <w:rPr>
          <w:rFonts w:asciiTheme="majorBidi" w:hAnsiTheme="majorBidi" w:cstheme="majorBidi"/>
          <w:vertAlign w:val="superscript"/>
        </w:rPr>
        <w:t>1</w:t>
      </w:r>
      <w:r w:rsidRPr="00E20C73">
        <w:rPr>
          <w:rFonts w:asciiTheme="majorBidi" w:hAnsiTheme="majorBidi" w:cstheme="majorBidi"/>
        </w:rPr>
        <w:t>, Abeer Elhadidi</w:t>
      </w:r>
      <w:r w:rsidRPr="00E20C73">
        <w:rPr>
          <w:rFonts w:asciiTheme="majorBidi" w:hAnsiTheme="majorBidi" w:cstheme="majorBidi"/>
          <w:vertAlign w:val="superscript"/>
        </w:rPr>
        <w:t>3</w:t>
      </w:r>
      <w:r w:rsidRPr="00E20C73">
        <w:rPr>
          <w:rFonts w:asciiTheme="majorBidi" w:hAnsiTheme="majorBidi" w:cstheme="majorBidi"/>
        </w:rPr>
        <w:t>.</w:t>
      </w:r>
    </w:p>
    <w:p w14:paraId="1ACB6C0A" w14:textId="37881BEA" w:rsidR="00E032E4" w:rsidRDefault="00E032E4" w:rsidP="00E032E4">
      <w:pPr>
        <w:spacing w:before="120" w:after="0" w:line="480" w:lineRule="auto"/>
        <w:jc w:val="both"/>
        <w:rPr>
          <w:rFonts w:asciiTheme="majorBidi" w:hAnsiTheme="majorBidi" w:cstheme="majorBidi"/>
        </w:rPr>
      </w:pPr>
      <w:bookmarkStart w:id="2" w:name="_Hlk132532635"/>
      <w:r w:rsidRPr="00E032E4">
        <w:rPr>
          <w:rFonts w:asciiTheme="majorBidi" w:hAnsiTheme="majorBidi" w:cstheme="majorBidi"/>
          <w:sz w:val="24"/>
          <w:szCs w:val="24"/>
          <w:vertAlign w:val="superscript"/>
        </w:rPr>
        <w:t>1</w:t>
      </w:r>
      <w:bookmarkStart w:id="3" w:name="_Hlk190867445"/>
      <w:r w:rsidRPr="00E032E4">
        <w:rPr>
          <w:rFonts w:asciiTheme="majorBidi" w:hAnsiTheme="majorBidi" w:cstheme="majorBidi"/>
          <w:sz w:val="20"/>
          <w:szCs w:val="20"/>
        </w:rPr>
        <w:t>Alexandria University, Faculty of Medicine, Department of Tropical Medicine, Alexandria, Egypt</w:t>
      </w:r>
      <w:bookmarkEnd w:id="2"/>
      <w:r>
        <w:rPr>
          <w:rFonts w:asciiTheme="majorBidi" w:hAnsiTheme="majorBidi" w:cstheme="majorBidi"/>
          <w:sz w:val="20"/>
          <w:szCs w:val="20"/>
        </w:rPr>
        <w:t>.</w:t>
      </w:r>
      <w:bookmarkEnd w:id="3"/>
      <w:r w:rsidRPr="00E032E4">
        <w:rPr>
          <w:rFonts w:asciiTheme="majorBidi" w:hAnsiTheme="majorBidi" w:cstheme="majorBidi"/>
          <w:sz w:val="20"/>
          <w:szCs w:val="20"/>
        </w:rPr>
        <w:br/>
      </w:r>
      <w:r w:rsidRPr="00E032E4">
        <w:rPr>
          <w:rFonts w:asciiTheme="majorBidi" w:hAnsiTheme="majorBidi" w:cstheme="majorBidi"/>
          <w:vertAlign w:val="superscript"/>
        </w:rPr>
        <w:t>2</w:t>
      </w:r>
      <w:r w:rsidRPr="00E032E4">
        <w:rPr>
          <w:rFonts w:asciiTheme="majorBidi" w:hAnsiTheme="majorBidi" w:cstheme="majorBidi"/>
        </w:rPr>
        <w:t xml:space="preserve">Damanhour fever hospital, </w:t>
      </w:r>
      <w:proofErr w:type="spellStart"/>
      <w:r w:rsidRPr="00E032E4">
        <w:rPr>
          <w:rFonts w:asciiTheme="majorBidi" w:hAnsiTheme="majorBidi" w:cstheme="majorBidi"/>
        </w:rPr>
        <w:t>Elbeheira</w:t>
      </w:r>
      <w:proofErr w:type="spellEnd"/>
      <w:r w:rsidRPr="00E032E4">
        <w:rPr>
          <w:rFonts w:asciiTheme="majorBidi" w:hAnsiTheme="majorBidi" w:cstheme="majorBidi"/>
        </w:rPr>
        <w:t>, Egypt.</w:t>
      </w:r>
      <w:r w:rsidRPr="00E032E4">
        <w:rPr>
          <w:rFonts w:asciiTheme="majorBidi" w:hAnsiTheme="majorBidi" w:cstheme="majorBidi"/>
        </w:rPr>
        <w:br/>
      </w:r>
      <w:r w:rsidRPr="00E032E4">
        <w:rPr>
          <w:rFonts w:asciiTheme="majorBidi" w:hAnsiTheme="majorBidi" w:cstheme="majorBidi"/>
          <w:vertAlign w:val="superscript"/>
        </w:rPr>
        <w:t>3</w:t>
      </w:r>
      <w:r w:rsidRPr="00E032E4">
        <w:rPr>
          <w:rFonts w:asciiTheme="majorBidi" w:hAnsiTheme="majorBidi" w:cstheme="majorBidi"/>
        </w:rPr>
        <w:t>Alexandria University, Faculty of Medicine, Department of chemical and clinical pathology, Alexandria, Egypt</w:t>
      </w:r>
      <w:r>
        <w:rPr>
          <w:rFonts w:asciiTheme="majorBidi" w:hAnsiTheme="majorBidi" w:cstheme="majorBidi"/>
        </w:rPr>
        <w:t>.</w:t>
      </w:r>
    </w:p>
    <w:p w14:paraId="512F21BF" w14:textId="4E7755A3" w:rsidR="00E032E4" w:rsidRDefault="00E032E4" w:rsidP="00E032E4">
      <w:pPr>
        <w:spacing w:before="120" w:after="0" w:line="480" w:lineRule="auto"/>
        <w:jc w:val="both"/>
        <w:rPr>
          <w:rFonts w:asciiTheme="majorBidi" w:hAnsiTheme="majorBidi" w:cstheme="majorBidi"/>
        </w:rPr>
      </w:pPr>
      <w:r w:rsidRPr="00E032E4">
        <w:rPr>
          <w:rFonts w:asciiTheme="majorBidi" w:hAnsiTheme="majorBidi" w:cstheme="majorBidi"/>
          <w:b/>
          <w:bCs/>
        </w:rPr>
        <w:t>Corresponding author:</w:t>
      </w:r>
      <w:r>
        <w:rPr>
          <w:rFonts w:asciiTheme="majorBidi" w:hAnsiTheme="majorBidi" w:cstheme="majorBidi"/>
        </w:rPr>
        <w:t xml:space="preserve"> </w:t>
      </w:r>
      <w:r w:rsidRPr="00E032E4">
        <w:rPr>
          <w:rFonts w:asciiTheme="majorBidi" w:hAnsiTheme="majorBidi" w:cstheme="majorBidi"/>
        </w:rPr>
        <w:t xml:space="preserve">Mohamed Gamal </w:t>
      </w:r>
      <w:proofErr w:type="spellStart"/>
      <w:r w:rsidRPr="00E032E4">
        <w:rPr>
          <w:rFonts w:asciiTheme="majorBidi" w:hAnsiTheme="majorBidi" w:cstheme="majorBidi"/>
        </w:rPr>
        <w:t>Abdrabou</w:t>
      </w:r>
      <w:proofErr w:type="spellEnd"/>
      <w:r>
        <w:rPr>
          <w:rFonts w:asciiTheme="majorBidi" w:hAnsiTheme="majorBidi" w:cstheme="majorBidi"/>
        </w:rPr>
        <w:t xml:space="preserve">, </w:t>
      </w:r>
      <w:r w:rsidRPr="00E032E4">
        <w:rPr>
          <w:rFonts w:asciiTheme="majorBidi" w:hAnsiTheme="majorBidi" w:cstheme="majorBidi"/>
        </w:rPr>
        <w:t>Alexandria University, Faculty of Medicine, Department of Tropical Medicine, Alexandria, Egypt.</w:t>
      </w:r>
    </w:p>
    <w:p w14:paraId="68FDC585" w14:textId="508D1954" w:rsidR="00E032E4" w:rsidRPr="00E032E4" w:rsidRDefault="00E032E4" w:rsidP="00E20C73">
      <w:pPr>
        <w:spacing w:before="120" w:after="0" w:line="480" w:lineRule="auto"/>
        <w:jc w:val="both"/>
        <w:rPr>
          <w:rFonts w:asciiTheme="majorBidi" w:hAnsiTheme="majorBidi" w:cstheme="majorBidi"/>
          <w:b/>
          <w:bCs/>
        </w:rPr>
      </w:pPr>
      <w:r w:rsidRPr="00E032E4">
        <w:rPr>
          <w:rFonts w:asciiTheme="majorBidi" w:hAnsiTheme="majorBidi" w:cstheme="majorBidi"/>
          <w:b/>
          <w:bCs/>
        </w:rPr>
        <w:t xml:space="preserve">Mail </w:t>
      </w:r>
      <w:r w:rsidR="00435F71" w:rsidRPr="00E032E4">
        <w:rPr>
          <w:rFonts w:asciiTheme="majorBidi" w:hAnsiTheme="majorBidi" w:cstheme="majorBidi"/>
          <w:b/>
          <w:bCs/>
        </w:rPr>
        <w:t>address</w:t>
      </w:r>
      <w:r w:rsidR="00E20C73">
        <w:rPr>
          <w:rFonts w:asciiTheme="majorBidi" w:hAnsiTheme="majorBidi" w:cstheme="majorBidi"/>
          <w:b/>
          <w:bCs/>
        </w:rPr>
        <w:t xml:space="preserve">: </w:t>
      </w:r>
      <w:hyperlink r:id="rId8" w:history="1">
        <w:r w:rsidR="00E20C73" w:rsidRPr="00E20C73">
          <w:rPr>
            <w:rStyle w:val="Hyperlink"/>
            <w:rFonts w:asciiTheme="majorBidi" w:hAnsiTheme="majorBidi" w:cstheme="majorBidi"/>
          </w:rPr>
          <w:t>mg_theking2010@yahoo.com</w:t>
        </w:r>
      </w:hyperlink>
    </w:p>
    <w:p w14:paraId="65A4BC09" w14:textId="33EA4FE6" w:rsidR="00E032E4" w:rsidRPr="00E032E4" w:rsidRDefault="00E032E4" w:rsidP="00E20C73">
      <w:pPr>
        <w:spacing w:before="120" w:after="0" w:line="480" w:lineRule="auto"/>
        <w:jc w:val="both"/>
        <w:rPr>
          <w:rFonts w:asciiTheme="majorBidi" w:hAnsiTheme="majorBidi" w:cstheme="majorBidi"/>
          <w:b/>
          <w:bCs/>
          <w:sz w:val="24"/>
          <w:szCs w:val="24"/>
        </w:rPr>
      </w:pPr>
      <w:r w:rsidRPr="00E032E4">
        <w:rPr>
          <w:rFonts w:asciiTheme="majorBidi" w:hAnsiTheme="majorBidi" w:cstheme="majorBidi"/>
          <w:b/>
          <w:bCs/>
        </w:rPr>
        <w:t xml:space="preserve">Telephone number: </w:t>
      </w:r>
      <w:r w:rsidR="00E20C73" w:rsidRPr="00E20C73">
        <w:rPr>
          <w:rFonts w:asciiTheme="majorBidi" w:hAnsiTheme="majorBidi" w:cstheme="majorBidi"/>
        </w:rPr>
        <w:t>+201016780167</w:t>
      </w:r>
    </w:p>
    <w:p w14:paraId="0FB8B62A" w14:textId="139C27EC" w:rsidR="007B7280" w:rsidRPr="007B7280" w:rsidRDefault="007B7280" w:rsidP="007769F7">
      <w:pPr>
        <w:spacing w:before="120" w:after="0" w:line="480" w:lineRule="auto"/>
        <w:jc w:val="both"/>
        <w:rPr>
          <w:rFonts w:asciiTheme="majorBidi" w:hAnsiTheme="majorBidi" w:cstheme="majorBidi"/>
          <w:b/>
          <w:bCs/>
          <w:sz w:val="24"/>
          <w:szCs w:val="24"/>
        </w:rPr>
      </w:pPr>
      <w:r w:rsidRPr="007B7280">
        <w:rPr>
          <w:rFonts w:asciiTheme="majorBidi" w:hAnsiTheme="majorBidi" w:cstheme="majorBidi"/>
          <w:b/>
          <w:bCs/>
          <w:sz w:val="24"/>
          <w:szCs w:val="24"/>
        </w:rPr>
        <w:t>DOI:</w:t>
      </w:r>
      <w:hyperlink r:id="rId9" w:history="1">
        <w:r w:rsidR="007769F7" w:rsidRPr="007769F7">
          <w:rPr>
            <w:rStyle w:val="Hyperlink"/>
            <w:rFonts w:asciiTheme="majorBidi" w:hAnsiTheme="majorBidi" w:cstheme="majorBidi"/>
            <w:b/>
            <w:bCs/>
            <w:sz w:val="24"/>
            <w:szCs w:val="24"/>
          </w:rPr>
          <w:t>10.21608/ajgh.2025.342145.1071</w:t>
        </w:r>
        <w:r w:rsidRPr="007769F7">
          <w:rPr>
            <w:rStyle w:val="Hyperlink"/>
            <w:rFonts w:asciiTheme="majorBidi" w:hAnsiTheme="majorBidi" w:cstheme="majorBidi"/>
            <w:b/>
            <w:bCs/>
            <w:sz w:val="24"/>
            <w:szCs w:val="24"/>
          </w:rPr>
          <w:t>.</w:t>
        </w:r>
      </w:hyperlink>
    </w:p>
    <w:p w14:paraId="3C311A30" w14:textId="0F8BA499" w:rsidR="007B7280" w:rsidRPr="007B7280" w:rsidRDefault="007B7280" w:rsidP="007B7280">
      <w:pPr>
        <w:spacing w:before="120" w:after="0" w:line="480" w:lineRule="auto"/>
        <w:jc w:val="both"/>
        <w:rPr>
          <w:rFonts w:asciiTheme="majorBidi" w:hAnsiTheme="majorBidi" w:cstheme="majorBidi"/>
          <w:b/>
          <w:bCs/>
          <w:sz w:val="24"/>
          <w:szCs w:val="24"/>
        </w:rPr>
      </w:pPr>
      <w:r w:rsidRPr="007B7280">
        <w:rPr>
          <w:rFonts w:asciiTheme="majorBidi" w:hAnsiTheme="majorBidi" w:cstheme="majorBidi"/>
          <w:b/>
          <w:bCs/>
          <w:sz w:val="24"/>
          <w:szCs w:val="24"/>
        </w:rPr>
        <w:t xml:space="preserve">Submission </w:t>
      </w:r>
      <w:bookmarkStart w:id="4" w:name="_Hlk125994740"/>
      <w:r w:rsidRPr="007B7280">
        <w:rPr>
          <w:rFonts w:asciiTheme="majorBidi" w:hAnsiTheme="majorBidi" w:cstheme="majorBidi"/>
          <w:b/>
          <w:bCs/>
          <w:sz w:val="24"/>
          <w:szCs w:val="24"/>
        </w:rPr>
        <w:t xml:space="preserve">date: </w:t>
      </w:r>
      <w:r w:rsidR="007769F7" w:rsidRPr="00600B6C">
        <w:rPr>
          <w:rFonts w:asciiTheme="majorBidi" w:hAnsiTheme="majorBidi" w:cstheme="majorBidi"/>
          <w:sz w:val="24"/>
          <w:szCs w:val="24"/>
        </w:rPr>
        <w:t>05</w:t>
      </w:r>
      <w:r w:rsidRPr="00600B6C">
        <w:rPr>
          <w:rFonts w:asciiTheme="majorBidi" w:hAnsiTheme="majorBidi" w:cstheme="majorBidi"/>
          <w:sz w:val="24"/>
          <w:szCs w:val="24"/>
        </w:rPr>
        <w:t xml:space="preserve"> </w:t>
      </w:r>
      <w:r w:rsidR="007769F7" w:rsidRPr="00600B6C">
        <w:rPr>
          <w:rFonts w:asciiTheme="majorBidi" w:hAnsiTheme="majorBidi" w:cstheme="majorBidi"/>
          <w:sz w:val="24"/>
          <w:szCs w:val="24"/>
        </w:rPr>
        <w:t>December</w:t>
      </w:r>
      <w:r w:rsidRPr="00600B6C">
        <w:rPr>
          <w:rFonts w:asciiTheme="majorBidi" w:hAnsiTheme="majorBidi" w:cstheme="majorBidi"/>
          <w:sz w:val="24"/>
          <w:szCs w:val="24"/>
        </w:rPr>
        <w:t xml:space="preserve"> 2024.</w:t>
      </w:r>
    </w:p>
    <w:bookmarkEnd w:id="4"/>
    <w:p w14:paraId="42C66E5E" w14:textId="38229AF7" w:rsidR="007B7280" w:rsidRPr="00600B6C" w:rsidRDefault="007B7280" w:rsidP="007B7280">
      <w:pPr>
        <w:spacing w:before="120" w:after="0" w:line="480" w:lineRule="auto"/>
        <w:jc w:val="both"/>
        <w:rPr>
          <w:rFonts w:asciiTheme="majorBidi" w:hAnsiTheme="majorBidi" w:cstheme="majorBidi"/>
          <w:sz w:val="24"/>
          <w:szCs w:val="24"/>
        </w:rPr>
      </w:pPr>
      <w:r w:rsidRPr="007B7280">
        <w:rPr>
          <w:rFonts w:asciiTheme="majorBidi" w:hAnsiTheme="majorBidi" w:cstheme="majorBidi"/>
          <w:b/>
          <w:bCs/>
          <w:sz w:val="24"/>
          <w:szCs w:val="24"/>
        </w:rPr>
        <w:t xml:space="preserve">Revision date (End of revision): </w:t>
      </w:r>
      <w:r w:rsidR="007769F7" w:rsidRPr="00600B6C">
        <w:rPr>
          <w:rFonts w:asciiTheme="majorBidi" w:hAnsiTheme="majorBidi" w:cstheme="majorBidi"/>
          <w:sz w:val="24"/>
          <w:szCs w:val="24"/>
        </w:rPr>
        <w:t>14 February</w:t>
      </w:r>
      <w:r w:rsidRPr="00600B6C">
        <w:rPr>
          <w:rFonts w:asciiTheme="majorBidi" w:hAnsiTheme="majorBidi" w:cstheme="majorBidi"/>
          <w:sz w:val="24"/>
          <w:szCs w:val="24"/>
        </w:rPr>
        <w:t xml:space="preserve"> 202</w:t>
      </w:r>
      <w:r w:rsidR="007769F7" w:rsidRPr="00600B6C">
        <w:rPr>
          <w:rFonts w:asciiTheme="majorBidi" w:hAnsiTheme="majorBidi" w:cstheme="majorBidi"/>
          <w:sz w:val="24"/>
          <w:szCs w:val="24"/>
        </w:rPr>
        <w:t>5</w:t>
      </w:r>
      <w:r w:rsidRPr="00600B6C">
        <w:rPr>
          <w:rFonts w:asciiTheme="majorBidi" w:hAnsiTheme="majorBidi" w:cstheme="majorBidi"/>
          <w:sz w:val="24"/>
          <w:szCs w:val="24"/>
        </w:rPr>
        <w:t>.</w:t>
      </w:r>
    </w:p>
    <w:p w14:paraId="5184D833" w14:textId="778374BD" w:rsidR="007B7280" w:rsidRPr="00600B6C" w:rsidRDefault="007B7280" w:rsidP="007B7280">
      <w:pPr>
        <w:spacing w:before="120" w:after="0" w:line="480" w:lineRule="auto"/>
        <w:jc w:val="both"/>
        <w:rPr>
          <w:rFonts w:asciiTheme="majorBidi" w:hAnsiTheme="majorBidi" w:cstheme="majorBidi"/>
          <w:sz w:val="24"/>
          <w:szCs w:val="24"/>
        </w:rPr>
      </w:pPr>
      <w:r w:rsidRPr="007B7280">
        <w:rPr>
          <w:rFonts w:asciiTheme="majorBidi" w:hAnsiTheme="majorBidi" w:cstheme="majorBidi"/>
          <w:b/>
          <w:bCs/>
          <w:sz w:val="24"/>
          <w:szCs w:val="24"/>
        </w:rPr>
        <w:t xml:space="preserve">Acceptance date: </w:t>
      </w:r>
      <w:r w:rsidR="007769F7" w:rsidRPr="00600B6C">
        <w:rPr>
          <w:rFonts w:asciiTheme="majorBidi" w:hAnsiTheme="majorBidi" w:cstheme="majorBidi"/>
          <w:sz w:val="24"/>
          <w:szCs w:val="24"/>
        </w:rPr>
        <w:t>20</w:t>
      </w:r>
      <w:r w:rsidRPr="00600B6C">
        <w:rPr>
          <w:rFonts w:asciiTheme="majorBidi" w:hAnsiTheme="majorBidi" w:cstheme="majorBidi"/>
          <w:sz w:val="24"/>
          <w:szCs w:val="24"/>
        </w:rPr>
        <w:t xml:space="preserve"> </w:t>
      </w:r>
      <w:r w:rsidR="007769F7" w:rsidRPr="00600B6C">
        <w:rPr>
          <w:rFonts w:asciiTheme="majorBidi" w:hAnsiTheme="majorBidi" w:cstheme="majorBidi"/>
          <w:sz w:val="24"/>
          <w:szCs w:val="24"/>
        </w:rPr>
        <w:t>February</w:t>
      </w:r>
      <w:r w:rsidRPr="00600B6C">
        <w:rPr>
          <w:rFonts w:asciiTheme="majorBidi" w:hAnsiTheme="majorBidi" w:cstheme="majorBidi"/>
          <w:sz w:val="24"/>
          <w:szCs w:val="24"/>
        </w:rPr>
        <w:t xml:space="preserve"> 2025.</w:t>
      </w:r>
    </w:p>
    <w:p w14:paraId="00750FC9" w14:textId="5CEA08E9" w:rsidR="009A7CA4" w:rsidRPr="00E20FEF" w:rsidRDefault="00A16AA6" w:rsidP="001E1AC1">
      <w:pPr>
        <w:spacing w:before="120" w:after="0" w:line="480" w:lineRule="auto"/>
        <w:jc w:val="both"/>
        <w:rPr>
          <w:rFonts w:asciiTheme="majorBidi" w:hAnsiTheme="majorBidi" w:cstheme="majorBidi"/>
          <w:b/>
          <w:bCs/>
          <w:sz w:val="24"/>
          <w:szCs w:val="24"/>
          <w:lang w:bidi="ar-EG"/>
        </w:rPr>
      </w:pPr>
      <w:r w:rsidRPr="00E20FEF">
        <w:rPr>
          <w:rFonts w:asciiTheme="majorBidi" w:hAnsiTheme="majorBidi" w:cstheme="majorBidi"/>
          <w:b/>
          <w:bCs/>
          <w:sz w:val="24"/>
          <w:szCs w:val="24"/>
        </w:rPr>
        <w:t>Abstract</w:t>
      </w:r>
      <w:r w:rsidR="00C0688A" w:rsidRPr="00E20FEF">
        <w:rPr>
          <w:rFonts w:asciiTheme="majorBidi" w:hAnsiTheme="majorBidi" w:cstheme="majorBidi"/>
          <w:b/>
          <w:bCs/>
          <w:sz w:val="24"/>
          <w:szCs w:val="24"/>
        </w:rPr>
        <w:t xml:space="preserve"> </w:t>
      </w:r>
    </w:p>
    <w:p w14:paraId="25EB3683" w14:textId="09130618" w:rsidR="009A7CA4" w:rsidRPr="00C0688A" w:rsidRDefault="00A16AA6" w:rsidP="00D9288F">
      <w:pPr>
        <w:spacing w:before="120" w:after="0" w:line="480" w:lineRule="auto"/>
        <w:jc w:val="both"/>
        <w:rPr>
          <w:rFonts w:asciiTheme="majorBidi" w:hAnsiTheme="majorBidi" w:cstheme="majorBidi"/>
          <w:sz w:val="24"/>
          <w:szCs w:val="24"/>
        </w:rPr>
      </w:pPr>
      <w:r w:rsidRPr="00C0688A">
        <w:rPr>
          <w:rFonts w:asciiTheme="majorBidi" w:hAnsiTheme="majorBidi" w:cstheme="majorBidi"/>
          <w:b/>
          <w:bCs/>
          <w:sz w:val="24"/>
          <w:szCs w:val="24"/>
        </w:rPr>
        <w:t>Background:</w:t>
      </w:r>
      <w:r w:rsidRPr="00C0688A">
        <w:rPr>
          <w:rFonts w:asciiTheme="majorBidi" w:hAnsiTheme="majorBidi" w:cstheme="majorBidi"/>
          <w:sz w:val="24"/>
          <w:szCs w:val="24"/>
        </w:rPr>
        <w:t xml:space="preserve"> </w:t>
      </w:r>
      <w:r w:rsidRPr="00D95EEC">
        <w:rPr>
          <w:rFonts w:asciiTheme="majorBidi" w:hAnsiTheme="majorBidi" w:cstheme="majorBidi"/>
          <w:i/>
          <w:iCs/>
          <w:sz w:val="24"/>
          <w:szCs w:val="24"/>
        </w:rPr>
        <w:t>H</w:t>
      </w:r>
      <w:r w:rsidR="006E65EF" w:rsidRPr="00D95EEC">
        <w:rPr>
          <w:rFonts w:asciiTheme="majorBidi" w:hAnsiTheme="majorBidi" w:cstheme="majorBidi"/>
          <w:i/>
          <w:iCs/>
          <w:sz w:val="24"/>
          <w:szCs w:val="24"/>
        </w:rPr>
        <w:t>elicobacter</w:t>
      </w:r>
      <w:r w:rsidR="006E65EF" w:rsidRPr="00E20FEF">
        <w:rPr>
          <w:rFonts w:asciiTheme="majorBidi" w:hAnsiTheme="majorBidi" w:cstheme="majorBidi"/>
          <w:i/>
          <w:iCs/>
          <w:sz w:val="24"/>
          <w:szCs w:val="24"/>
        </w:rPr>
        <w:t xml:space="preserve"> </w:t>
      </w:r>
      <w:r w:rsidR="00FF0F29" w:rsidRPr="00E20FEF">
        <w:rPr>
          <w:rFonts w:asciiTheme="majorBidi" w:hAnsiTheme="majorBidi" w:cstheme="majorBidi"/>
          <w:i/>
          <w:iCs/>
          <w:sz w:val="24"/>
          <w:szCs w:val="24"/>
        </w:rPr>
        <w:t>pylori</w:t>
      </w:r>
      <w:r w:rsidR="00FF0F29" w:rsidRPr="00C0688A">
        <w:rPr>
          <w:rFonts w:asciiTheme="majorBidi" w:hAnsiTheme="majorBidi" w:cstheme="majorBidi"/>
          <w:sz w:val="24"/>
          <w:szCs w:val="24"/>
        </w:rPr>
        <w:t xml:space="preserve"> </w:t>
      </w:r>
      <w:r w:rsidR="00D9288F">
        <w:rPr>
          <w:rFonts w:asciiTheme="majorBidi" w:hAnsiTheme="majorBidi" w:cstheme="majorBidi"/>
          <w:sz w:val="24"/>
          <w:szCs w:val="24"/>
        </w:rPr>
        <w:t xml:space="preserve">can be an etiology of </w:t>
      </w:r>
      <w:r w:rsidRPr="00C0688A">
        <w:rPr>
          <w:rFonts w:asciiTheme="majorBidi" w:hAnsiTheme="majorBidi" w:cstheme="majorBidi"/>
          <w:sz w:val="24"/>
          <w:szCs w:val="24"/>
        </w:rPr>
        <w:t>chronic</w:t>
      </w:r>
      <w:r w:rsidR="00CE5C9E">
        <w:rPr>
          <w:rFonts w:asciiTheme="majorBidi" w:hAnsiTheme="majorBidi" w:cstheme="majorBidi"/>
          <w:sz w:val="24"/>
          <w:szCs w:val="24"/>
        </w:rPr>
        <w:t xml:space="preserve"> gastritis, peptic ulcer</w:t>
      </w:r>
      <w:r w:rsidR="00CA7D45">
        <w:rPr>
          <w:rFonts w:asciiTheme="majorBidi" w:hAnsiTheme="majorBidi" w:cstheme="majorBidi"/>
          <w:sz w:val="24"/>
          <w:szCs w:val="24"/>
        </w:rPr>
        <w:t>,</w:t>
      </w:r>
      <w:r w:rsidR="00CE5C9E">
        <w:rPr>
          <w:rFonts w:asciiTheme="majorBidi" w:hAnsiTheme="majorBidi" w:cstheme="majorBidi"/>
          <w:sz w:val="24"/>
          <w:szCs w:val="24"/>
        </w:rPr>
        <w:t xml:space="preserve"> </w:t>
      </w:r>
      <w:r w:rsidRPr="00C0688A">
        <w:rPr>
          <w:rFonts w:asciiTheme="majorBidi" w:hAnsiTheme="majorBidi" w:cstheme="majorBidi"/>
          <w:sz w:val="24"/>
          <w:szCs w:val="24"/>
        </w:rPr>
        <w:t xml:space="preserve">and stomach cancer. </w:t>
      </w:r>
      <w:r w:rsidR="003449F7" w:rsidRPr="007B7280">
        <w:rPr>
          <w:rFonts w:asciiTheme="majorBidi" w:hAnsiTheme="majorBidi" w:cstheme="majorBidi"/>
          <w:sz w:val="24"/>
          <w:szCs w:val="24"/>
        </w:rPr>
        <w:t>The aim was to evaluate the relationship</w:t>
      </w:r>
      <w:r w:rsidRPr="00C0688A">
        <w:rPr>
          <w:rFonts w:asciiTheme="majorBidi" w:hAnsiTheme="majorBidi" w:cstheme="majorBidi"/>
          <w:sz w:val="24"/>
          <w:szCs w:val="24"/>
        </w:rPr>
        <w:t xml:space="preserve"> between </w:t>
      </w:r>
      <w:r w:rsidRPr="000E66F9">
        <w:rPr>
          <w:rFonts w:asciiTheme="majorBidi" w:hAnsiTheme="majorBidi" w:cstheme="majorBidi"/>
          <w:i/>
          <w:iCs/>
          <w:sz w:val="24"/>
          <w:szCs w:val="24"/>
        </w:rPr>
        <w:t>H. pylori</w:t>
      </w:r>
      <w:r w:rsidRPr="00C0688A">
        <w:rPr>
          <w:rFonts w:asciiTheme="majorBidi" w:hAnsiTheme="majorBidi" w:cstheme="majorBidi"/>
          <w:sz w:val="24"/>
          <w:szCs w:val="24"/>
        </w:rPr>
        <w:t xml:space="preserve"> infection and alterations in </w:t>
      </w:r>
      <w:r w:rsidR="00035F2B">
        <w:rPr>
          <w:rFonts w:asciiTheme="majorBidi" w:hAnsiTheme="majorBidi" w:cstheme="majorBidi"/>
          <w:sz w:val="24"/>
          <w:szCs w:val="24"/>
        </w:rPr>
        <w:t>some</w:t>
      </w:r>
      <w:r w:rsidRPr="00C0688A">
        <w:rPr>
          <w:rFonts w:asciiTheme="majorBidi" w:hAnsiTheme="majorBidi" w:cstheme="majorBidi"/>
          <w:sz w:val="24"/>
          <w:szCs w:val="24"/>
        </w:rPr>
        <w:t xml:space="preserve"> hematological and biochemical parameters among the Egyptian</w:t>
      </w:r>
      <w:r w:rsidR="00D9288F">
        <w:rPr>
          <w:rFonts w:asciiTheme="majorBidi" w:hAnsiTheme="majorBidi" w:cstheme="majorBidi"/>
          <w:sz w:val="24"/>
          <w:szCs w:val="24"/>
        </w:rPr>
        <w:t xml:space="preserve"> people</w:t>
      </w:r>
      <w:r w:rsidR="00112E22">
        <w:rPr>
          <w:rFonts w:asciiTheme="majorBidi" w:hAnsiTheme="majorBidi" w:cstheme="majorBidi"/>
          <w:sz w:val="24"/>
          <w:szCs w:val="24"/>
        </w:rPr>
        <w:t xml:space="preserve">. </w:t>
      </w:r>
      <w:r w:rsidRPr="00C0688A">
        <w:rPr>
          <w:rFonts w:asciiTheme="majorBidi" w:hAnsiTheme="majorBidi" w:cstheme="majorBidi"/>
          <w:b/>
          <w:sz w:val="24"/>
          <w:szCs w:val="24"/>
        </w:rPr>
        <w:t>Method:</w:t>
      </w:r>
      <w:r w:rsidR="008373B8">
        <w:rPr>
          <w:rFonts w:asciiTheme="majorBidi" w:hAnsiTheme="majorBidi" w:cstheme="majorBidi"/>
          <w:sz w:val="24"/>
          <w:szCs w:val="24"/>
        </w:rPr>
        <w:t xml:space="preserve"> </w:t>
      </w:r>
      <w:r w:rsidR="00D95EEC" w:rsidRPr="00D95EEC">
        <w:rPr>
          <w:rFonts w:asciiTheme="majorBidi" w:hAnsiTheme="majorBidi" w:cstheme="majorBidi"/>
          <w:sz w:val="24"/>
          <w:szCs w:val="24"/>
        </w:rPr>
        <w:t>Ninety</w:t>
      </w:r>
      <w:r w:rsidRPr="00C0688A">
        <w:rPr>
          <w:rFonts w:asciiTheme="majorBidi" w:hAnsiTheme="majorBidi" w:cstheme="majorBidi"/>
          <w:sz w:val="24"/>
          <w:szCs w:val="24"/>
        </w:rPr>
        <w:t xml:space="preserve"> individuals with confirmed </w:t>
      </w:r>
      <w:r w:rsidRPr="003B0802">
        <w:rPr>
          <w:rFonts w:asciiTheme="majorBidi" w:hAnsiTheme="majorBidi" w:cstheme="majorBidi"/>
          <w:i/>
          <w:iCs/>
          <w:sz w:val="24"/>
          <w:szCs w:val="24"/>
        </w:rPr>
        <w:t>H. pylori</w:t>
      </w:r>
      <w:r w:rsidRPr="00C0688A">
        <w:rPr>
          <w:rFonts w:asciiTheme="majorBidi" w:hAnsiTheme="majorBidi" w:cstheme="majorBidi"/>
          <w:sz w:val="24"/>
          <w:szCs w:val="24"/>
        </w:rPr>
        <w:t xml:space="preserve"> </w:t>
      </w:r>
      <w:r w:rsidR="00D752F2">
        <w:rPr>
          <w:rFonts w:asciiTheme="majorBidi" w:hAnsiTheme="majorBidi" w:cstheme="majorBidi"/>
          <w:sz w:val="24"/>
          <w:szCs w:val="24"/>
        </w:rPr>
        <w:t xml:space="preserve">infection </w:t>
      </w:r>
      <w:r w:rsidR="008373B8">
        <w:rPr>
          <w:rFonts w:asciiTheme="majorBidi" w:hAnsiTheme="majorBidi" w:cstheme="majorBidi"/>
          <w:sz w:val="24"/>
          <w:szCs w:val="24"/>
        </w:rPr>
        <w:t>by the fecal antigen</w:t>
      </w:r>
      <w:r w:rsidR="008373B8">
        <w:rPr>
          <w:rFonts w:asciiTheme="majorBidi" w:hAnsiTheme="majorBidi" w:cstheme="majorBidi" w:hint="cs"/>
          <w:sz w:val="24"/>
          <w:szCs w:val="24"/>
          <w:rtl/>
        </w:rPr>
        <w:t xml:space="preserve"> </w:t>
      </w:r>
      <w:r w:rsidR="00FF0F29">
        <w:rPr>
          <w:rFonts w:asciiTheme="majorBidi" w:hAnsiTheme="majorBidi" w:cstheme="majorBidi"/>
          <w:sz w:val="24"/>
          <w:szCs w:val="24"/>
        </w:rPr>
        <w:t>were selected</w:t>
      </w:r>
      <w:r w:rsidR="00067DC1">
        <w:rPr>
          <w:rFonts w:asciiTheme="majorBidi" w:hAnsiTheme="majorBidi" w:cstheme="majorBidi"/>
          <w:sz w:val="24"/>
          <w:szCs w:val="24"/>
        </w:rPr>
        <w:t xml:space="preserve"> </w:t>
      </w:r>
      <w:r w:rsidR="00CA7D45">
        <w:rPr>
          <w:rFonts w:asciiTheme="majorBidi" w:hAnsiTheme="majorBidi" w:cstheme="majorBidi"/>
          <w:sz w:val="24"/>
          <w:szCs w:val="24"/>
        </w:rPr>
        <w:t xml:space="preserve">and </w:t>
      </w:r>
      <w:r w:rsidR="001871F5">
        <w:rPr>
          <w:rFonts w:asciiTheme="majorBidi" w:hAnsiTheme="majorBidi" w:cstheme="majorBidi"/>
          <w:sz w:val="24"/>
          <w:szCs w:val="24"/>
        </w:rPr>
        <w:t>then</w:t>
      </w:r>
      <w:r w:rsidR="00067DC1">
        <w:rPr>
          <w:rFonts w:asciiTheme="majorBidi" w:hAnsiTheme="majorBidi" w:cstheme="majorBidi"/>
          <w:sz w:val="24"/>
          <w:szCs w:val="24"/>
        </w:rPr>
        <w:t xml:space="preserve"> followed a</w:t>
      </w:r>
      <w:r w:rsidRPr="00C0688A">
        <w:rPr>
          <w:rFonts w:asciiTheme="majorBidi" w:hAnsiTheme="majorBidi" w:cstheme="majorBidi"/>
          <w:sz w:val="24"/>
          <w:szCs w:val="24"/>
        </w:rPr>
        <w:t xml:space="preserve">fter a month of treatment with Levofloxacin, amoxicillin, and a proton pump </w:t>
      </w:r>
      <w:r w:rsidR="001871F5" w:rsidRPr="00C0688A">
        <w:rPr>
          <w:rFonts w:asciiTheme="majorBidi" w:hAnsiTheme="majorBidi" w:cstheme="majorBidi"/>
          <w:sz w:val="24"/>
          <w:szCs w:val="24"/>
        </w:rPr>
        <w:t>inhibitor;</w:t>
      </w:r>
      <w:r w:rsidRPr="00C0688A">
        <w:rPr>
          <w:rFonts w:asciiTheme="majorBidi" w:hAnsiTheme="majorBidi" w:cstheme="majorBidi"/>
          <w:sz w:val="24"/>
          <w:szCs w:val="24"/>
        </w:rPr>
        <w:t xml:space="preserve"> </w:t>
      </w:r>
      <w:r w:rsidR="00067DC1">
        <w:rPr>
          <w:rFonts w:asciiTheme="majorBidi" w:hAnsiTheme="majorBidi" w:cstheme="majorBidi"/>
          <w:sz w:val="24"/>
          <w:szCs w:val="24"/>
        </w:rPr>
        <w:t>they</w:t>
      </w:r>
      <w:r w:rsidRPr="00C0688A">
        <w:rPr>
          <w:rFonts w:asciiTheme="majorBidi" w:hAnsiTheme="majorBidi" w:cstheme="majorBidi"/>
          <w:sz w:val="24"/>
          <w:szCs w:val="24"/>
        </w:rPr>
        <w:t xml:space="preserve"> underwent testing again for hematological and biochemical </w:t>
      </w:r>
      <w:r w:rsidRPr="00C0688A">
        <w:rPr>
          <w:rFonts w:asciiTheme="majorBidi" w:hAnsiTheme="majorBidi" w:cstheme="majorBidi"/>
          <w:sz w:val="24"/>
          <w:szCs w:val="24"/>
        </w:rPr>
        <w:lastRenderedPageBreak/>
        <w:t>parameters</w:t>
      </w:r>
      <w:r w:rsidR="00D752F2">
        <w:rPr>
          <w:rFonts w:asciiTheme="majorBidi" w:hAnsiTheme="majorBidi" w:cstheme="majorBidi"/>
          <w:sz w:val="24"/>
          <w:szCs w:val="24"/>
        </w:rPr>
        <w:t xml:space="preserve"> after treatment of </w:t>
      </w:r>
      <w:proofErr w:type="spellStart"/>
      <w:proofErr w:type="gramStart"/>
      <w:r w:rsidR="00D752F2" w:rsidRPr="00CA7D45">
        <w:rPr>
          <w:rFonts w:asciiTheme="majorBidi" w:hAnsiTheme="majorBidi" w:cstheme="majorBidi"/>
          <w:i/>
          <w:iCs/>
          <w:sz w:val="24"/>
          <w:szCs w:val="24"/>
        </w:rPr>
        <w:t>H.pylori</w:t>
      </w:r>
      <w:proofErr w:type="spellEnd"/>
      <w:proofErr w:type="gramEnd"/>
      <w:r w:rsidRPr="00C0688A">
        <w:rPr>
          <w:rFonts w:asciiTheme="majorBidi" w:hAnsiTheme="majorBidi" w:cstheme="majorBidi"/>
          <w:sz w:val="24"/>
          <w:szCs w:val="24"/>
        </w:rPr>
        <w:t>.</w:t>
      </w:r>
      <w:r w:rsidR="006D4FBA">
        <w:rPr>
          <w:rFonts w:asciiTheme="majorBidi" w:hAnsiTheme="majorBidi" w:cstheme="majorBidi"/>
          <w:sz w:val="24"/>
          <w:szCs w:val="24"/>
        </w:rPr>
        <w:t xml:space="preserve"> </w:t>
      </w:r>
      <w:r w:rsidR="006D4FBA">
        <w:rPr>
          <w:rFonts w:asciiTheme="majorBidi" w:hAnsiTheme="majorBidi" w:cstheme="majorBidi"/>
          <w:b/>
          <w:sz w:val="24"/>
          <w:szCs w:val="24"/>
        </w:rPr>
        <w:t>Results:</w:t>
      </w:r>
      <w:r w:rsidR="006D4FBA" w:rsidRPr="00C0688A">
        <w:rPr>
          <w:rFonts w:asciiTheme="majorBidi" w:hAnsiTheme="majorBidi" w:cstheme="majorBidi"/>
          <w:sz w:val="24"/>
          <w:szCs w:val="24"/>
        </w:rPr>
        <w:t xml:space="preserve"> </w:t>
      </w:r>
      <w:r w:rsidRPr="00C0688A">
        <w:rPr>
          <w:rFonts w:asciiTheme="majorBidi" w:hAnsiTheme="majorBidi" w:cstheme="majorBidi"/>
          <w:sz w:val="24"/>
          <w:szCs w:val="24"/>
        </w:rPr>
        <w:t xml:space="preserve">both </w:t>
      </w:r>
      <w:r w:rsidR="006E65EF">
        <w:rPr>
          <w:rFonts w:asciiTheme="majorBidi" w:hAnsiTheme="majorBidi" w:cstheme="majorBidi"/>
          <w:sz w:val="24"/>
          <w:szCs w:val="24"/>
        </w:rPr>
        <w:t>groups</w:t>
      </w:r>
      <w:r w:rsidR="00CA7D45">
        <w:rPr>
          <w:rFonts w:asciiTheme="majorBidi" w:hAnsiTheme="majorBidi" w:cstheme="majorBidi"/>
          <w:sz w:val="24"/>
          <w:szCs w:val="24"/>
        </w:rPr>
        <w:t xml:space="preserve">, group A (Before treatment) and Group B (After 1 month of </w:t>
      </w:r>
      <w:r w:rsidR="003A7E8C">
        <w:rPr>
          <w:rFonts w:asciiTheme="majorBidi" w:hAnsiTheme="majorBidi" w:cstheme="majorBidi"/>
          <w:sz w:val="24"/>
          <w:szCs w:val="24"/>
        </w:rPr>
        <w:t>therapy</w:t>
      </w:r>
      <w:r w:rsidR="00CA7D45">
        <w:rPr>
          <w:rFonts w:asciiTheme="majorBidi" w:hAnsiTheme="majorBidi" w:cstheme="majorBidi"/>
          <w:sz w:val="24"/>
          <w:szCs w:val="24"/>
        </w:rPr>
        <w:t xml:space="preserve">), </w:t>
      </w:r>
      <w:r w:rsidR="003A7E8C">
        <w:rPr>
          <w:rFonts w:asciiTheme="majorBidi" w:hAnsiTheme="majorBidi" w:cstheme="majorBidi"/>
          <w:sz w:val="24"/>
          <w:szCs w:val="24"/>
        </w:rPr>
        <w:t>showed</w:t>
      </w:r>
      <w:r w:rsidR="00CA7D45">
        <w:rPr>
          <w:rFonts w:asciiTheme="majorBidi" w:hAnsiTheme="majorBidi" w:cstheme="majorBidi"/>
          <w:sz w:val="24"/>
          <w:szCs w:val="24"/>
        </w:rPr>
        <w:t xml:space="preserve"> a statistically significant relation between the presence of </w:t>
      </w:r>
      <w:r w:rsidR="00CA7D45" w:rsidRPr="00CA7D45">
        <w:rPr>
          <w:rFonts w:asciiTheme="majorBidi" w:hAnsiTheme="majorBidi" w:cstheme="majorBidi"/>
          <w:i/>
          <w:iCs/>
          <w:sz w:val="24"/>
          <w:szCs w:val="24"/>
        </w:rPr>
        <w:t>H. pylori</w:t>
      </w:r>
      <w:r w:rsidR="00CA7D45">
        <w:rPr>
          <w:rFonts w:asciiTheme="majorBidi" w:hAnsiTheme="majorBidi" w:cstheme="majorBidi"/>
          <w:sz w:val="24"/>
          <w:szCs w:val="24"/>
        </w:rPr>
        <w:t xml:space="preserve"> and the CBC values; patients</w:t>
      </w:r>
      <w:r w:rsidRPr="00C0688A">
        <w:rPr>
          <w:rFonts w:asciiTheme="majorBidi" w:hAnsiTheme="majorBidi" w:cstheme="majorBidi"/>
          <w:sz w:val="24"/>
          <w:szCs w:val="24"/>
        </w:rPr>
        <w:t xml:space="preserve"> with pre-existing dyslipidemia </w:t>
      </w:r>
      <w:r w:rsidRPr="00D95EEC">
        <w:rPr>
          <w:rFonts w:asciiTheme="majorBidi" w:hAnsiTheme="majorBidi" w:cstheme="majorBidi"/>
          <w:sz w:val="24"/>
          <w:szCs w:val="24"/>
        </w:rPr>
        <w:t>exhibit</w:t>
      </w:r>
      <w:r w:rsidR="00114478" w:rsidRPr="00D95EEC">
        <w:rPr>
          <w:rFonts w:asciiTheme="majorBidi" w:hAnsiTheme="majorBidi" w:cstheme="majorBidi"/>
          <w:sz w:val="24"/>
          <w:szCs w:val="24"/>
        </w:rPr>
        <w:t>ed</w:t>
      </w:r>
      <w:r w:rsidRPr="00114478">
        <w:rPr>
          <w:rFonts w:asciiTheme="majorBidi" w:hAnsiTheme="majorBidi" w:cstheme="majorBidi"/>
          <w:sz w:val="24"/>
          <w:szCs w:val="24"/>
        </w:rPr>
        <w:t xml:space="preserve"> </w:t>
      </w:r>
      <w:r w:rsidRPr="00C0688A">
        <w:rPr>
          <w:rFonts w:asciiTheme="majorBidi" w:hAnsiTheme="majorBidi" w:cstheme="majorBidi"/>
          <w:sz w:val="24"/>
          <w:szCs w:val="24"/>
        </w:rPr>
        <w:t xml:space="preserve">a link between </w:t>
      </w:r>
      <w:r w:rsidRPr="003B0802">
        <w:rPr>
          <w:rFonts w:asciiTheme="majorBidi" w:hAnsiTheme="majorBidi" w:cstheme="majorBidi"/>
          <w:i/>
          <w:iCs/>
          <w:sz w:val="24"/>
          <w:szCs w:val="24"/>
        </w:rPr>
        <w:t>H. pylori</w:t>
      </w:r>
      <w:r w:rsidRPr="00C0688A">
        <w:rPr>
          <w:rFonts w:asciiTheme="majorBidi" w:hAnsiTheme="majorBidi" w:cstheme="majorBidi"/>
          <w:sz w:val="24"/>
          <w:szCs w:val="24"/>
        </w:rPr>
        <w:t xml:space="preserve"> infection and reduced levels of </w:t>
      </w:r>
      <w:r w:rsidR="00D44035">
        <w:rPr>
          <w:rFonts w:asciiTheme="majorBidi" w:hAnsiTheme="majorBidi" w:cstheme="majorBidi"/>
          <w:sz w:val="24"/>
          <w:szCs w:val="24"/>
        </w:rPr>
        <w:t>HDL-C</w:t>
      </w:r>
      <w:r w:rsidRPr="00C0688A">
        <w:rPr>
          <w:rFonts w:asciiTheme="majorBidi" w:hAnsiTheme="majorBidi" w:cstheme="majorBidi"/>
          <w:sz w:val="24"/>
          <w:szCs w:val="24"/>
        </w:rPr>
        <w:t xml:space="preserve"> as well as elevated </w:t>
      </w:r>
      <w:r w:rsidR="005A1D48">
        <w:rPr>
          <w:rFonts w:asciiTheme="majorBidi" w:hAnsiTheme="majorBidi" w:cstheme="majorBidi"/>
          <w:sz w:val="24"/>
          <w:szCs w:val="24"/>
        </w:rPr>
        <w:t>LDL-C</w:t>
      </w:r>
      <w:r w:rsidRPr="00C0688A">
        <w:rPr>
          <w:rFonts w:asciiTheme="majorBidi" w:hAnsiTheme="majorBidi" w:cstheme="majorBidi"/>
          <w:sz w:val="24"/>
          <w:szCs w:val="24"/>
        </w:rPr>
        <w:t xml:space="preserve"> and triglycerides. </w:t>
      </w:r>
      <w:r w:rsidRPr="00C0688A">
        <w:rPr>
          <w:rFonts w:asciiTheme="majorBidi" w:hAnsiTheme="majorBidi" w:cstheme="majorBidi"/>
          <w:b/>
          <w:sz w:val="24"/>
          <w:szCs w:val="24"/>
        </w:rPr>
        <w:t>Conclusion</w:t>
      </w:r>
      <w:r w:rsidR="00865F07">
        <w:rPr>
          <w:rFonts w:asciiTheme="majorBidi" w:hAnsiTheme="majorBidi" w:cstheme="majorBidi"/>
          <w:sz w:val="24"/>
          <w:szCs w:val="24"/>
        </w:rPr>
        <w:t>:</w:t>
      </w:r>
      <w:r w:rsidRPr="00C0688A">
        <w:rPr>
          <w:rFonts w:asciiTheme="majorBidi" w:hAnsiTheme="majorBidi" w:cstheme="majorBidi"/>
          <w:sz w:val="24"/>
          <w:szCs w:val="24"/>
        </w:rPr>
        <w:t xml:space="preserve"> </w:t>
      </w:r>
      <w:r w:rsidRPr="008660CF">
        <w:rPr>
          <w:rFonts w:asciiTheme="majorBidi" w:hAnsiTheme="majorBidi" w:cstheme="majorBidi"/>
          <w:i/>
          <w:iCs/>
          <w:sz w:val="24"/>
          <w:szCs w:val="24"/>
        </w:rPr>
        <w:t>H. pylori</w:t>
      </w:r>
      <w:r w:rsidRPr="00C0688A">
        <w:rPr>
          <w:rFonts w:asciiTheme="majorBidi" w:hAnsiTheme="majorBidi" w:cstheme="majorBidi"/>
          <w:sz w:val="24"/>
          <w:szCs w:val="24"/>
        </w:rPr>
        <w:t xml:space="preserve"> is associated with changes in some hematological and biochemical parameters. </w:t>
      </w:r>
    </w:p>
    <w:p w14:paraId="1D2D3444" w14:textId="6A3ADEA8" w:rsidR="003A7E8C" w:rsidRPr="00E20C73" w:rsidRDefault="003A7E8C" w:rsidP="003A7E8C">
      <w:pPr>
        <w:spacing w:before="120" w:after="0" w:line="480" w:lineRule="auto"/>
        <w:jc w:val="both"/>
        <w:rPr>
          <w:rFonts w:asciiTheme="majorBidi" w:hAnsiTheme="majorBidi" w:cstheme="majorBidi"/>
          <w:b/>
          <w:bCs/>
          <w:i/>
          <w:iCs/>
          <w:sz w:val="24"/>
          <w:szCs w:val="24"/>
        </w:rPr>
      </w:pPr>
      <w:r w:rsidRPr="00E20C73">
        <w:rPr>
          <w:rFonts w:asciiTheme="majorBidi" w:hAnsiTheme="majorBidi" w:cstheme="majorBidi"/>
          <w:b/>
          <w:bCs/>
          <w:i/>
          <w:iCs/>
          <w:sz w:val="24"/>
          <w:szCs w:val="24"/>
        </w:rPr>
        <w:t>Keywords:</w:t>
      </w:r>
      <w:r w:rsidRPr="00E20C73">
        <w:rPr>
          <w:rFonts w:asciiTheme="majorBidi" w:hAnsiTheme="majorBidi" w:cstheme="majorBidi"/>
          <w:i/>
          <w:iCs/>
          <w:sz w:val="24"/>
          <w:szCs w:val="24"/>
        </w:rPr>
        <w:t xml:space="preserve"> Helicobacter pylori, Hematological, dyslipidemia, Biochemical, parameters, levofloxacin, guidelines, platelets, thrombocytopenia, regimen</w:t>
      </w:r>
      <w:r w:rsidRPr="00E20C73">
        <w:rPr>
          <w:rFonts w:asciiTheme="majorBidi" w:hAnsiTheme="majorBidi" w:cstheme="majorBidi"/>
          <w:b/>
          <w:bCs/>
          <w:i/>
          <w:iCs/>
          <w:sz w:val="24"/>
          <w:szCs w:val="24"/>
        </w:rPr>
        <w:br/>
      </w:r>
    </w:p>
    <w:p w14:paraId="7B9B31F4" w14:textId="77777777" w:rsidR="009A7CA4" w:rsidRPr="00C0688A" w:rsidRDefault="00A16AA6" w:rsidP="001E1AC1">
      <w:pPr>
        <w:spacing w:before="120" w:after="0" w:line="480" w:lineRule="auto"/>
        <w:ind w:firstLine="567"/>
        <w:jc w:val="both"/>
        <w:rPr>
          <w:rFonts w:asciiTheme="majorBidi" w:hAnsiTheme="majorBidi" w:cstheme="majorBidi"/>
          <w:b/>
          <w:bCs/>
          <w:sz w:val="24"/>
          <w:szCs w:val="24"/>
        </w:rPr>
      </w:pPr>
      <w:r w:rsidRPr="00C0688A">
        <w:rPr>
          <w:rFonts w:asciiTheme="majorBidi" w:hAnsiTheme="majorBidi" w:cstheme="majorBidi"/>
          <w:b/>
          <w:bCs/>
          <w:sz w:val="24"/>
          <w:szCs w:val="24"/>
        </w:rPr>
        <w:br w:type="page"/>
      </w:r>
    </w:p>
    <w:p w14:paraId="0BD862B7" w14:textId="77777777" w:rsidR="009A7CA4" w:rsidRPr="000923BB" w:rsidRDefault="00A16AA6" w:rsidP="001E1AC1">
      <w:pPr>
        <w:spacing w:before="120" w:after="0" w:line="480" w:lineRule="auto"/>
        <w:jc w:val="both"/>
        <w:rPr>
          <w:rFonts w:asciiTheme="majorBidi" w:hAnsiTheme="majorBidi" w:cstheme="majorBidi"/>
          <w:b/>
          <w:bCs/>
          <w:sz w:val="28"/>
          <w:szCs w:val="28"/>
        </w:rPr>
      </w:pPr>
      <w:r w:rsidRPr="000923BB">
        <w:rPr>
          <w:rFonts w:asciiTheme="majorBidi" w:hAnsiTheme="majorBidi" w:cstheme="majorBidi"/>
          <w:b/>
          <w:bCs/>
          <w:sz w:val="28"/>
          <w:szCs w:val="28"/>
        </w:rPr>
        <w:t>Introduction</w:t>
      </w:r>
    </w:p>
    <w:p w14:paraId="074FD0BD" w14:textId="49391B85" w:rsidR="009A7CA4" w:rsidRPr="00C0688A" w:rsidRDefault="00A16AA6" w:rsidP="00F75142">
      <w:pPr>
        <w:spacing w:before="120" w:after="0" w:line="480" w:lineRule="auto"/>
        <w:ind w:firstLine="567"/>
        <w:jc w:val="both"/>
        <w:rPr>
          <w:rFonts w:asciiTheme="majorBidi" w:hAnsiTheme="majorBidi" w:cstheme="majorBidi"/>
          <w:sz w:val="24"/>
          <w:szCs w:val="24"/>
        </w:rPr>
      </w:pPr>
      <w:r w:rsidRPr="008660CF">
        <w:rPr>
          <w:rFonts w:asciiTheme="majorBidi" w:hAnsiTheme="majorBidi" w:cstheme="majorBidi"/>
          <w:i/>
          <w:iCs/>
          <w:sz w:val="24"/>
          <w:szCs w:val="24"/>
        </w:rPr>
        <w:t>H. pylori</w:t>
      </w:r>
      <w:r w:rsidRPr="00C0688A">
        <w:rPr>
          <w:rFonts w:asciiTheme="majorBidi" w:hAnsiTheme="majorBidi" w:cstheme="majorBidi"/>
          <w:sz w:val="24"/>
          <w:szCs w:val="24"/>
        </w:rPr>
        <w:t xml:space="preserve"> </w:t>
      </w:r>
      <w:proofErr w:type="gramStart"/>
      <w:r w:rsidR="00CA7D45">
        <w:rPr>
          <w:rFonts w:asciiTheme="majorBidi" w:hAnsiTheme="majorBidi" w:cstheme="majorBidi"/>
          <w:sz w:val="24"/>
          <w:szCs w:val="24"/>
        </w:rPr>
        <w:t>affects</w:t>
      </w:r>
      <w:proofErr w:type="gramEnd"/>
      <w:r w:rsidRPr="00C0688A">
        <w:rPr>
          <w:rFonts w:asciiTheme="majorBidi" w:hAnsiTheme="majorBidi" w:cstheme="majorBidi"/>
          <w:sz w:val="24"/>
          <w:szCs w:val="24"/>
        </w:rPr>
        <w:t xml:space="preserve"> millions of people</w:t>
      </w:r>
      <w:r w:rsidR="00035F2B">
        <w:rPr>
          <w:rFonts w:asciiTheme="majorBidi" w:hAnsiTheme="majorBidi" w:cstheme="majorBidi"/>
          <w:sz w:val="24"/>
          <w:szCs w:val="24"/>
        </w:rPr>
        <w:t xml:space="preserve"> </w:t>
      </w:r>
      <w:r w:rsidR="003B1DE3">
        <w:rPr>
          <w:rFonts w:asciiTheme="majorBidi" w:hAnsiTheme="majorBidi" w:cstheme="majorBidi"/>
          <w:sz w:val="24"/>
          <w:szCs w:val="24"/>
        </w:rPr>
        <w:t>[1</w:t>
      </w:r>
      <w:r w:rsidR="003B1DE3" w:rsidRPr="003B1DE3">
        <w:rPr>
          <w:rFonts w:asciiTheme="majorBidi" w:hAnsiTheme="majorBidi" w:cstheme="majorBidi"/>
          <w:sz w:val="24"/>
          <w:szCs w:val="24"/>
        </w:rPr>
        <w:t>]</w:t>
      </w:r>
      <w:r w:rsidR="00D95EEC">
        <w:rPr>
          <w:rFonts w:asciiTheme="majorBidi" w:hAnsiTheme="majorBidi" w:cstheme="majorBidi"/>
          <w:sz w:val="24"/>
          <w:szCs w:val="24"/>
        </w:rPr>
        <w:t xml:space="preserve"> and may cause gastric cancer [2]. It</w:t>
      </w:r>
      <w:r w:rsidR="00CA7D45">
        <w:rPr>
          <w:rFonts w:asciiTheme="majorBidi" w:hAnsiTheme="majorBidi" w:cstheme="majorBidi"/>
          <w:sz w:val="24"/>
          <w:szCs w:val="24"/>
        </w:rPr>
        <w:t xml:space="preserve"> is known to affect half of the world's population. </w:t>
      </w:r>
      <w:r w:rsidR="00D95EEC">
        <w:rPr>
          <w:rFonts w:asciiTheme="majorBidi" w:hAnsiTheme="majorBidi" w:cstheme="majorBidi"/>
          <w:sz w:val="24"/>
          <w:szCs w:val="24"/>
        </w:rPr>
        <w:t>A gram-negative bacillus</w:t>
      </w:r>
      <w:r w:rsidR="00CA7D45">
        <w:rPr>
          <w:rFonts w:asciiTheme="majorBidi" w:hAnsiTheme="majorBidi" w:cstheme="majorBidi"/>
          <w:sz w:val="24"/>
          <w:szCs w:val="24"/>
        </w:rPr>
        <w:t xml:space="preserve"> causes chronic gastritis and peptic ulcer disease [3]. </w:t>
      </w:r>
      <w:r w:rsidR="00CA7D45" w:rsidRPr="00D95EEC">
        <w:rPr>
          <w:rFonts w:asciiTheme="majorBidi" w:hAnsiTheme="majorBidi" w:cstheme="majorBidi"/>
          <w:i/>
          <w:iCs/>
          <w:sz w:val="24"/>
          <w:szCs w:val="24"/>
        </w:rPr>
        <w:t>Helicobacter pylori</w:t>
      </w:r>
      <w:r w:rsidR="00CA7D45">
        <w:rPr>
          <w:rFonts w:asciiTheme="majorBidi" w:hAnsiTheme="majorBidi" w:cstheme="majorBidi"/>
          <w:sz w:val="24"/>
          <w:szCs w:val="24"/>
        </w:rPr>
        <w:t xml:space="preserve"> </w:t>
      </w:r>
      <w:proofErr w:type="gramStart"/>
      <w:r w:rsidR="00D95EEC">
        <w:rPr>
          <w:rFonts w:asciiTheme="majorBidi" w:hAnsiTheme="majorBidi" w:cstheme="majorBidi"/>
          <w:sz w:val="24"/>
          <w:szCs w:val="24"/>
        </w:rPr>
        <w:t>causes</w:t>
      </w:r>
      <w:proofErr w:type="gramEnd"/>
      <w:r w:rsidR="00CA7D45">
        <w:rPr>
          <w:rFonts w:asciiTheme="majorBidi" w:hAnsiTheme="majorBidi" w:cstheme="majorBidi"/>
          <w:sz w:val="24"/>
          <w:szCs w:val="24"/>
        </w:rPr>
        <w:t xml:space="preserve"> 89% of duodenal ulcers in Egypt. Few studies</w:t>
      </w:r>
      <w:r w:rsidRPr="00D95EEC">
        <w:rPr>
          <w:rFonts w:asciiTheme="majorBidi" w:hAnsiTheme="majorBidi" w:cstheme="majorBidi"/>
          <w:sz w:val="24"/>
          <w:szCs w:val="24"/>
        </w:rPr>
        <w:t xml:space="preserve"> show the effects of </w:t>
      </w:r>
      <w:r w:rsidRPr="00D95EEC">
        <w:rPr>
          <w:rFonts w:asciiTheme="majorBidi" w:hAnsiTheme="majorBidi" w:cstheme="majorBidi"/>
          <w:i/>
          <w:iCs/>
          <w:sz w:val="24"/>
          <w:szCs w:val="24"/>
        </w:rPr>
        <w:t>H. pylori</w:t>
      </w:r>
      <w:r w:rsidRPr="00D95EEC">
        <w:rPr>
          <w:rFonts w:asciiTheme="majorBidi" w:hAnsiTheme="majorBidi" w:cstheme="majorBidi"/>
          <w:sz w:val="24"/>
          <w:szCs w:val="24"/>
        </w:rPr>
        <w:t xml:space="preserve"> eradication on </w:t>
      </w:r>
      <w:r w:rsidR="007256D7" w:rsidRPr="00D95EEC">
        <w:rPr>
          <w:rFonts w:asciiTheme="majorBidi" w:hAnsiTheme="majorBidi" w:cstheme="majorBidi"/>
          <w:sz w:val="24"/>
          <w:szCs w:val="24"/>
        </w:rPr>
        <w:t xml:space="preserve">some </w:t>
      </w:r>
      <w:r w:rsidRPr="00D95EEC">
        <w:rPr>
          <w:rFonts w:asciiTheme="majorBidi" w:hAnsiTheme="majorBidi" w:cstheme="majorBidi"/>
          <w:sz w:val="24"/>
          <w:szCs w:val="24"/>
        </w:rPr>
        <w:t xml:space="preserve">hematological and other biochemical parameters in the Egyptian population </w:t>
      </w:r>
      <w:r w:rsidR="005B5E94" w:rsidRPr="005B5E94">
        <w:rPr>
          <w:rFonts w:asciiTheme="majorBidi" w:hAnsiTheme="majorBidi" w:cstheme="majorBidi"/>
          <w:sz w:val="24"/>
          <w:szCs w:val="24"/>
        </w:rPr>
        <w:t>[</w:t>
      </w:r>
      <w:r w:rsidR="005B5E94">
        <w:rPr>
          <w:rFonts w:asciiTheme="majorBidi" w:hAnsiTheme="majorBidi" w:cstheme="majorBidi"/>
          <w:sz w:val="24"/>
          <w:szCs w:val="24"/>
        </w:rPr>
        <w:t>4</w:t>
      </w:r>
      <w:r w:rsidR="005B5E94" w:rsidRPr="005B5E94">
        <w:rPr>
          <w:rFonts w:asciiTheme="majorBidi" w:hAnsiTheme="majorBidi" w:cstheme="majorBidi"/>
          <w:sz w:val="24"/>
          <w:szCs w:val="24"/>
        </w:rPr>
        <w:t>]</w:t>
      </w:r>
      <w:r w:rsidR="005B5E94">
        <w:rPr>
          <w:rFonts w:asciiTheme="majorBidi" w:hAnsiTheme="majorBidi" w:cstheme="majorBidi"/>
          <w:sz w:val="24"/>
          <w:szCs w:val="24"/>
        </w:rPr>
        <w:t>.</w:t>
      </w:r>
    </w:p>
    <w:p w14:paraId="6A202DFF" w14:textId="62DED50C" w:rsidR="00C0688A" w:rsidRDefault="00A16AA6" w:rsidP="00723E83">
      <w:pPr>
        <w:spacing w:before="120" w:after="0" w:line="480" w:lineRule="auto"/>
        <w:ind w:firstLine="567"/>
        <w:jc w:val="both"/>
        <w:rPr>
          <w:rFonts w:asciiTheme="majorBidi" w:hAnsiTheme="majorBidi" w:cstheme="majorBidi"/>
          <w:sz w:val="24"/>
          <w:szCs w:val="24"/>
        </w:rPr>
      </w:pPr>
      <w:r w:rsidRPr="00C0688A">
        <w:rPr>
          <w:rFonts w:asciiTheme="majorBidi" w:hAnsiTheme="majorBidi" w:cstheme="majorBidi"/>
          <w:sz w:val="24"/>
          <w:szCs w:val="24"/>
        </w:rPr>
        <w:t>Some hematological parameters</w:t>
      </w:r>
      <w:r w:rsidR="00CA7D45">
        <w:rPr>
          <w:rFonts w:asciiTheme="majorBidi" w:hAnsiTheme="majorBidi" w:cstheme="majorBidi"/>
          <w:sz w:val="24"/>
          <w:szCs w:val="24"/>
        </w:rPr>
        <w:t xml:space="preserve">, such as CBC, have prognostic values </w:t>
      </w:r>
      <w:r w:rsidR="00D95EEC">
        <w:rPr>
          <w:rFonts w:asciiTheme="majorBidi" w:hAnsiTheme="majorBidi" w:cstheme="majorBidi"/>
          <w:sz w:val="24"/>
          <w:szCs w:val="24"/>
        </w:rPr>
        <w:t>regarding</w:t>
      </w:r>
      <w:r w:rsidR="00CA7D45">
        <w:rPr>
          <w:rFonts w:asciiTheme="majorBidi" w:hAnsiTheme="majorBidi" w:cstheme="majorBidi"/>
          <w:sz w:val="24"/>
          <w:szCs w:val="24"/>
        </w:rPr>
        <w:t xml:space="preserve"> Helicobacter pylori infection</w:t>
      </w:r>
      <w:r w:rsidR="00786B99">
        <w:t xml:space="preserve"> </w:t>
      </w:r>
      <w:r w:rsidR="0022347D" w:rsidRPr="0022347D">
        <w:rPr>
          <w:rFonts w:asciiTheme="majorBidi" w:hAnsiTheme="majorBidi" w:cstheme="majorBidi"/>
          <w:sz w:val="24"/>
          <w:szCs w:val="24"/>
        </w:rPr>
        <w:t>[</w:t>
      </w:r>
      <w:r w:rsidR="0022347D">
        <w:rPr>
          <w:rFonts w:asciiTheme="majorBidi" w:hAnsiTheme="majorBidi" w:cstheme="majorBidi"/>
          <w:sz w:val="24"/>
          <w:szCs w:val="24"/>
        </w:rPr>
        <w:t>5</w:t>
      </w:r>
      <w:r w:rsidR="0022347D" w:rsidRPr="0022347D">
        <w:rPr>
          <w:rFonts w:asciiTheme="majorBidi" w:hAnsiTheme="majorBidi" w:cstheme="majorBidi"/>
          <w:sz w:val="24"/>
          <w:szCs w:val="24"/>
        </w:rPr>
        <w:t>]</w:t>
      </w:r>
      <w:r w:rsidR="00CA7D45">
        <w:rPr>
          <w:rFonts w:asciiTheme="majorBidi" w:hAnsiTheme="majorBidi" w:cstheme="majorBidi"/>
          <w:sz w:val="24"/>
          <w:szCs w:val="24"/>
        </w:rPr>
        <w:t>. Furthermore, some biochemical parameters can be affected:</w:t>
      </w:r>
      <w:r w:rsidR="00723E83">
        <w:rPr>
          <w:rFonts w:asciiTheme="majorBidi" w:hAnsiTheme="majorBidi" w:cstheme="majorBidi"/>
          <w:sz w:val="24"/>
          <w:szCs w:val="24"/>
        </w:rPr>
        <w:t xml:space="preserve"> aspartate transaminase, alanine aminotransferase, alkaline phosphatase</w:t>
      </w:r>
      <w:r w:rsidRPr="00C0688A">
        <w:rPr>
          <w:rFonts w:asciiTheme="majorBidi" w:hAnsiTheme="majorBidi" w:cstheme="majorBidi"/>
          <w:sz w:val="24"/>
          <w:szCs w:val="24"/>
        </w:rPr>
        <w:t xml:space="preserve">, </w:t>
      </w:r>
      <w:r w:rsidR="006004C6" w:rsidRPr="00C0688A">
        <w:rPr>
          <w:rFonts w:asciiTheme="majorBidi" w:hAnsiTheme="majorBidi" w:cstheme="majorBidi"/>
          <w:sz w:val="24"/>
          <w:szCs w:val="24"/>
        </w:rPr>
        <w:t>total</w:t>
      </w:r>
      <w:r w:rsidRPr="00C0688A">
        <w:rPr>
          <w:rFonts w:asciiTheme="majorBidi" w:hAnsiTheme="majorBidi" w:cstheme="majorBidi"/>
          <w:sz w:val="24"/>
          <w:szCs w:val="24"/>
        </w:rPr>
        <w:t>, direct bilirubin</w:t>
      </w:r>
      <w:r w:rsidR="00CA7D45">
        <w:rPr>
          <w:rFonts w:asciiTheme="majorBidi" w:hAnsiTheme="majorBidi" w:cstheme="majorBidi"/>
          <w:sz w:val="24"/>
          <w:szCs w:val="24"/>
        </w:rPr>
        <w:t>,</w:t>
      </w:r>
      <w:r w:rsidRPr="00C0688A">
        <w:rPr>
          <w:rFonts w:asciiTheme="majorBidi" w:hAnsiTheme="majorBidi" w:cstheme="majorBidi"/>
          <w:sz w:val="24"/>
          <w:szCs w:val="24"/>
        </w:rPr>
        <w:t xml:space="preserve"> and serum albumin.</w:t>
      </w:r>
      <w:r w:rsidR="00F10E57">
        <w:rPr>
          <w:rFonts w:asciiTheme="majorBidi" w:hAnsiTheme="majorBidi" w:cstheme="majorBidi"/>
          <w:sz w:val="24"/>
          <w:szCs w:val="24"/>
        </w:rPr>
        <w:t xml:space="preserve"> </w:t>
      </w:r>
      <w:r w:rsidRPr="00C0688A">
        <w:rPr>
          <w:rFonts w:asciiTheme="majorBidi" w:hAnsiTheme="majorBidi" w:cstheme="majorBidi"/>
          <w:sz w:val="24"/>
          <w:szCs w:val="24"/>
        </w:rPr>
        <w:t>Some stu</w:t>
      </w:r>
      <w:r w:rsidR="006004C6" w:rsidRPr="00C0688A">
        <w:rPr>
          <w:rFonts w:asciiTheme="majorBidi" w:hAnsiTheme="majorBidi" w:cstheme="majorBidi"/>
          <w:sz w:val="24"/>
          <w:szCs w:val="24"/>
        </w:rPr>
        <w:t>dies proved hemoglobin</w:t>
      </w:r>
      <w:r w:rsidR="00AC71AE">
        <w:rPr>
          <w:rFonts w:asciiTheme="majorBidi" w:hAnsiTheme="majorBidi" w:cstheme="majorBidi"/>
          <w:sz w:val="24"/>
          <w:szCs w:val="24"/>
        </w:rPr>
        <w:t xml:space="preserve"> and hematocrit </w:t>
      </w:r>
      <w:r w:rsidRPr="00C0688A">
        <w:rPr>
          <w:rFonts w:asciiTheme="majorBidi" w:hAnsiTheme="majorBidi" w:cstheme="majorBidi"/>
          <w:sz w:val="24"/>
          <w:szCs w:val="24"/>
        </w:rPr>
        <w:t>levels usually decrease due to gastrointestinal blood loss</w:t>
      </w:r>
      <w:r w:rsidR="006102F9">
        <w:rPr>
          <w:rFonts w:asciiTheme="majorBidi" w:hAnsiTheme="majorBidi" w:cstheme="majorBidi"/>
          <w:sz w:val="24"/>
          <w:szCs w:val="24"/>
        </w:rPr>
        <w:t xml:space="preserve"> </w:t>
      </w:r>
      <w:r w:rsidR="0022347D" w:rsidRPr="0022347D">
        <w:rPr>
          <w:rFonts w:asciiTheme="majorBidi" w:hAnsiTheme="majorBidi" w:cstheme="majorBidi"/>
          <w:sz w:val="24"/>
          <w:szCs w:val="24"/>
        </w:rPr>
        <w:t>[</w:t>
      </w:r>
      <w:r w:rsidR="0022347D">
        <w:rPr>
          <w:rFonts w:asciiTheme="majorBidi" w:hAnsiTheme="majorBidi" w:cstheme="majorBidi"/>
          <w:sz w:val="24"/>
          <w:szCs w:val="24"/>
        </w:rPr>
        <w:t>6,7</w:t>
      </w:r>
      <w:r w:rsidR="0022347D" w:rsidRPr="0022347D">
        <w:rPr>
          <w:rFonts w:asciiTheme="majorBidi" w:hAnsiTheme="majorBidi" w:cstheme="majorBidi"/>
          <w:sz w:val="24"/>
          <w:szCs w:val="24"/>
        </w:rPr>
        <w:t>]</w:t>
      </w:r>
      <w:r w:rsidR="0022347D">
        <w:rPr>
          <w:rFonts w:asciiTheme="majorBidi" w:hAnsiTheme="majorBidi" w:cstheme="majorBidi"/>
          <w:sz w:val="24"/>
          <w:szCs w:val="24"/>
        </w:rPr>
        <w:t>.</w:t>
      </w:r>
      <w:r w:rsidR="00CA7D45">
        <w:rPr>
          <w:rFonts w:asciiTheme="majorBidi" w:hAnsiTheme="majorBidi" w:cstheme="majorBidi"/>
          <w:sz w:val="24"/>
          <w:szCs w:val="24"/>
        </w:rPr>
        <w:t xml:space="preserve"> </w:t>
      </w:r>
      <w:r w:rsidRPr="00C0688A">
        <w:rPr>
          <w:rFonts w:asciiTheme="majorBidi" w:hAnsiTheme="majorBidi" w:cstheme="majorBidi"/>
          <w:sz w:val="24"/>
          <w:szCs w:val="24"/>
        </w:rPr>
        <w:t xml:space="preserve">Epidemiological and clinical </w:t>
      </w:r>
      <w:r w:rsidR="00CA7D45">
        <w:rPr>
          <w:rFonts w:asciiTheme="majorBidi" w:hAnsiTheme="majorBidi" w:cstheme="majorBidi"/>
          <w:sz w:val="24"/>
          <w:szCs w:val="24"/>
        </w:rPr>
        <w:t xml:space="preserve">research estimated that 75% of Egyptians </w:t>
      </w:r>
      <w:r w:rsidR="00D95EEC">
        <w:rPr>
          <w:rFonts w:asciiTheme="majorBidi" w:hAnsiTheme="majorBidi" w:cstheme="majorBidi"/>
          <w:sz w:val="24"/>
          <w:szCs w:val="24"/>
        </w:rPr>
        <w:t>have</w:t>
      </w:r>
      <w:r w:rsidR="00CA7D45">
        <w:rPr>
          <w:rFonts w:asciiTheme="majorBidi" w:hAnsiTheme="majorBidi" w:cstheme="majorBidi"/>
          <w:sz w:val="24"/>
          <w:szCs w:val="24"/>
        </w:rPr>
        <w:t xml:space="preserve"> a </w:t>
      </w:r>
      <w:r w:rsidRPr="00C0688A">
        <w:rPr>
          <w:rFonts w:asciiTheme="majorBidi" w:hAnsiTheme="majorBidi" w:cstheme="majorBidi"/>
          <w:sz w:val="24"/>
          <w:szCs w:val="24"/>
        </w:rPr>
        <w:t xml:space="preserve">high prevalence of </w:t>
      </w:r>
      <w:r w:rsidRPr="008660CF">
        <w:rPr>
          <w:rFonts w:asciiTheme="majorBidi" w:hAnsiTheme="majorBidi" w:cstheme="majorBidi"/>
          <w:i/>
          <w:iCs/>
          <w:sz w:val="24"/>
          <w:szCs w:val="24"/>
        </w:rPr>
        <w:t>Helicobacter pylori</w:t>
      </w:r>
      <w:r w:rsidRPr="00C0688A">
        <w:rPr>
          <w:rFonts w:asciiTheme="majorBidi" w:hAnsiTheme="majorBidi" w:cstheme="majorBidi"/>
          <w:sz w:val="24"/>
          <w:szCs w:val="24"/>
        </w:rPr>
        <w:t xml:space="preserve"> </w:t>
      </w:r>
      <w:r w:rsidR="003A2EA1" w:rsidRPr="003A2EA1">
        <w:rPr>
          <w:rFonts w:asciiTheme="majorBidi" w:hAnsiTheme="majorBidi" w:cstheme="majorBidi"/>
          <w:sz w:val="24"/>
          <w:szCs w:val="24"/>
        </w:rPr>
        <w:t>[</w:t>
      </w:r>
      <w:r w:rsidR="003A2EA1">
        <w:rPr>
          <w:rFonts w:asciiTheme="majorBidi" w:hAnsiTheme="majorBidi" w:cstheme="majorBidi"/>
          <w:sz w:val="24"/>
          <w:szCs w:val="24"/>
        </w:rPr>
        <w:t>8</w:t>
      </w:r>
      <w:r w:rsidR="003A2EA1" w:rsidRPr="003A2EA1">
        <w:rPr>
          <w:rFonts w:asciiTheme="majorBidi" w:hAnsiTheme="majorBidi" w:cstheme="majorBidi"/>
          <w:sz w:val="24"/>
          <w:szCs w:val="24"/>
        </w:rPr>
        <w:t>]</w:t>
      </w:r>
      <w:r w:rsidR="003A2EA1">
        <w:rPr>
          <w:rFonts w:asciiTheme="majorBidi" w:hAnsiTheme="majorBidi" w:cstheme="majorBidi"/>
          <w:sz w:val="24"/>
          <w:szCs w:val="24"/>
        </w:rPr>
        <w:t>.</w:t>
      </w:r>
      <w:r w:rsidR="00F64BCC">
        <w:rPr>
          <w:rFonts w:asciiTheme="majorBidi" w:hAnsiTheme="majorBidi" w:cstheme="majorBidi"/>
          <w:sz w:val="24"/>
          <w:szCs w:val="24"/>
        </w:rPr>
        <w:t xml:space="preserve"> </w:t>
      </w:r>
      <w:r w:rsidRPr="00C0688A">
        <w:rPr>
          <w:rFonts w:asciiTheme="majorBidi" w:hAnsiTheme="majorBidi" w:cstheme="majorBidi"/>
          <w:sz w:val="24"/>
          <w:szCs w:val="24"/>
        </w:rPr>
        <w:t xml:space="preserve">In our </w:t>
      </w:r>
      <w:r w:rsidR="00AC71AE" w:rsidRPr="00C0688A">
        <w:rPr>
          <w:rFonts w:asciiTheme="majorBidi" w:hAnsiTheme="majorBidi" w:cstheme="majorBidi"/>
          <w:sz w:val="24"/>
          <w:szCs w:val="24"/>
        </w:rPr>
        <w:t>study</w:t>
      </w:r>
      <w:r w:rsidR="00CA7D45">
        <w:rPr>
          <w:rFonts w:asciiTheme="majorBidi" w:hAnsiTheme="majorBidi" w:cstheme="majorBidi"/>
          <w:sz w:val="24"/>
          <w:szCs w:val="24"/>
        </w:rPr>
        <w:t>,</w:t>
      </w:r>
      <w:r w:rsidRPr="00C0688A">
        <w:rPr>
          <w:rFonts w:asciiTheme="majorBidi" w:hAnsiTheme="majorBidi" w:cstheme="majorBidi"/>
          <w:sz w:val="24"/>
          <w:szCs w:val="24"/>
        </w:rPr>
        <w:t xml:space="preserve"> </w:t>
      </w:r>
      <w:r w:rsidRPr="00F22A86">
        <w:rPr>
          <w:rFonts w:asciiTheme="majorBidi" w:hAnsiTheme="majorBidi" w:cstheme="majorBidi"/>
          <w:i/>
          <w:iCs/>
          <w:sz w:val="24"/>
          <w:szCs w:val="24"/>
        </w:rPr>
        <w:t>H. pylori</w:t>
      </w:r>
      <w:r w:rsidRPr="00C0688A">
        <w:rPr>
          <w:rFonts w:asciiTheme="majorBidi" w:hAnsiTheme="majorBidi" w:cstheme="majorBidi"/>
          <w:sz w:val="24"/>
          <w:szCs w:val="24"/>
        </w:rPr>
        <w:t xml:space="preserve"> infection was considered a risk factor </w:t>
      </w:r>
      <w:r w:rsidR="008928C3">
        <w:rPr>
          <w:rFonts w:asciiTheme="majorBidi" w:hAnsiTheme="majorBidi" w:cstheme="majorBidi"/>
          <w:sz w:val="24"/>
          <w:szCs w:val="24"/>
        </w:rPr>
        <w:t xml:space="preserve">for </w:t>
      </w:r>
      <w:r w:rsidRPr="00C0688A">
        <w:rPr>
          <w:rFonts w:asciiTheme="majorBidi" w:hAnsiTheme="majorBidi" w:cstheme="majorBidi"/>
          <w:sz w:val="24"/>
          <w:szCs w:val="24"/>
        </w:rPr>
        <w:t>changes in some biochemica</w:t>
      </w:r>
      <w:r w:rsidR="00EE30A3">
        <w:rPr>
          <w:rFonts w:asciiTheme="majorBidi" w:hAnsiTheme="majorBidi" w:cstheme="majorBidi"/>
          <w:sz w:val="24"/>
          <w:szCs w:val="24"/>
        </w:rPr>
        <w:t xml:space="preserve">l and </w:t>
      </w:r>
      <w:r w:rsidR="00EE30A3" w:rsidRPr="00D95EEC">
        <w:rPr>
          <w:rFonts w:asciiTheme="majorBidi" w:hAnsiTheme="majorBidi" w:cstheme="majorBidi"/>
          <w:sz w:val="24"/>
          <w:szCs w:val="24"/>
        </w:rPr>
        <w:t>hematological</w:t>
      </w:r>
      <w:r w:rsidR="00EE30A3">
        <w:rPr>
          <w:rFonts w:asciiTheme="majorBidi" w:hAnsiTheme="majorBidi" w:cstheme="majorBidi"/>
          <w:sz w:val="24"/>
          <w:szCs w:val="24"/>
        </w:rPr>
        <w:t xml:space="preserve"> parameters </w:t>
      </w:r>
      <w:r w:rsidR="00847576" w:rsidRPr="00847576">
        <w:rPr>
          <w:rFonts w:asciiTheme="majorBidi" w:hAnsiTheme="majorBidi" w:cstheme="majorBidi"/>
          <w:sz w:val="24"/>
          <w:szCs w:val="24"/>
        </w:rPr>
        <w:t>[</w:t>
      </w:r>
      <w:r w:rsidR="00847576">
        <w:rPr>
          <w:rFonts w:asciiTheme="majorBidi" w:hAnsiTheme="majorBidi" w:cstheme="majorBidi"/>
          <w:sz w:val="24"/>
          <w:szCs w:val="24"/>
        </w:rPr>
        <w:t>4</w:t>
      </w:r>
      <w:r w:rsidR="00847576" w:rsidRPr="00847576">
        <w:rPr>
          <w:rFonts w:asciiTheme="majorBidi" w:hAnsiTheme="majorBidi" w:cstheme="majorBidi"/>
          <w:sz w:val="24"/>
          <w:szCs w:val="24"/>
        </w:rPr>
        <w:t>]</w:t>
      </w:r>
      <w:r w:rsidR="00847576">
        <w:rPr>
          <w:rFonts w:asciiTheme="majorBidi" w:hAnsiTheme="majorBidi" w:cstheme="majorBidi"/>
          <w:sz w:val="24"/>
          <w:szCs w:val="24"/>
        </w:rPr>
        <w:t>.</w:t>
      </w:r>
    </w:p>
    <w:p w14:paraId="6F918306" w14:textId="0934F006" w:rsidR="009A7CA4" w:rsidRPr="00C0688A" w:rsidRDefault="00CA7D45" w:rsidP="00845F92">
      <w:pPr>
        <w:spacing w:before="120" w:after="0" w:line="480" w:lineRule="auto"/>
        <w:ind w:firstLine="567"/>
        <w:rPr>
          <w:rFonts w:asciiTheme="majorBidi" w:hAnsiTheme="majorBidi" w:cstheme="majorBidi"/>
          <w:sz w:val="24"/>
          <w:szCs w:val="24"/>
        </w:rPr>
      </w:pPr>
      <w:r>
        <w:rPr>
          <w:rFonts w:asciiTheme="majorBidi" w:hAnsiTheme="majorBidi" w:cstheme="majorBidi"/>
          <w:sz w:val="24"/>
          <w:szCs w:val="24"/>
        </w:rPr>
        <w:t>The present work aimed</w:t>
      </w:r>
      <w:r w:rsidR="00A16AA6" w:rsidRPr="00C0688A">
        <w:rPr>
          <w:rFonts w:asciiTheme="majorBidi" w:hAnsiTheme="majorBidi" w:cstheme="majorBidi"/>
          <w:sz w:val="24"/>
          <w:szCs w:val="24"/>
        </w:rPr>
        <w:t xml:space="preserve"> </w:t>
      </w:r>
      <w:r w:rsidR="00A16AA6" w:rsidRPr="00D95EEC">
        <w:rPr>
          <w:rFonts w:asciiTheme="majorBidi" w:hAnsiTheme="majorBidi" w:cstheme="majorBidi"/>
          <w:sz w:val="24"/>
          <w:szCs w:val="24"/>
        </w:rPr>
        <w:t xml:space="preserve">to </w:t>
      </w:r>
      <w:r w:rsidR="00F00FBE" w:rsidRPr="00D95EEC">
        <w:rPr>
          <w:rFonts w:asciiTheme="majorBidi" w:hAnsiTheme="majorBidi" w:cstheme="majorBidi"/>
          <w:sz w:val="24"/>
          <w:szCs w:val="24"/>
        </w:rPr>
        <w:t>assess</w:t>
      </w:r>
      <w:r w:rsidR="00A16AA6" w:rsidRPr="00D95EEC">
        <w:rPr>
          <w:rFonts w:asciiTheme="majorBidi" w:hAnsiTheme="majorBidi" w:cstheme="majorBidi"/>
          <w:sz w:val="24"/>
          <w:szCs w:val="24"/>
        </w:rPr>
        <w:t xml:space="preserve"> </w:t>
      </w:r>
      <w:r w:rsidR="006004C6" w:rsidRPr="00D95EEC">
        <w:rPr>
          <w:rFonts w:asciiTheme="majorBidi" w:hAnsiTheme="majorBidi" w:cstheme="majorBidi"/>
          <w:sz w:val="24"/>
          <w:szCs w:val="24"/>
        </w:rPr>
        <w:t>some</w:t>
      </w:r>
      <w:r w:rsidR="006004C6" w:rsidRPr="00C0688A">
        <w:rPr>
          <w:rFonts w:asciiTheme="majorBidi" w:hAnsiTheme="majorBidi" w:cstheme="majorBidi"/>
          <w:sz w:val="24"/>
          <w:szCs w:val="24"/>
        </w:rPr>
        <w:t xml:space="preserve"> </w:t>
      </w:r>
      <w:r w:rsidR="00A16AA6" w:rsidRPr="00C0688A">
        <w:rPr>
          <w:rFonts w:asciiTheme="majorBidi" w:hAnsiTheme="majorBidi" w:cstheme="majorBidi"/>
          <w:sz w:val="24"/>
          <w:szCs w:val="24"/>
        </w:rPr>
        <w:t xml:space="preserve">biochemical and hematological </w:t>
      </w:r>
      <w:r w:rsidR="006004C6" w:rsidRPr="00C0688A">
        <w:rPr>
          <w:rFonts w:asciiTheme="majorBidi" w:hAnsiTheme="majorBidi" w:cstheme="majorBidi"/>
          <w:sz w:val="24"/>
          <w:szCs w:val="24"/>
        </w:rPr>
        <w:t xml:space="preserve">changes associated with </w:t>
      </w:r>
      <w:proofErr w:type="spellStart"/>
      <w:proofErr w:type="gramStart"/>
      <w:r w:rsidR="006004C6" w:rsidRPr="00F22A86">
        <w:rPr>
          <w:rFonts w:asciiTheme="majorBidi" w:hAnsiTheme="majorBidi" w:cstheme="majorBidi"/>
          <w:i/>
          <w:iCs/>
          <w:sz w:val="24"/>
          <w:szCs w:val="24"/>
        </w:rPr>
        <w:t>H.pylori</w:t>
      </w:r>
      <w:proofErr w:type="spellEnd"/>
      <w:proofErr w:type="gramEnd"/>
      <w:r w:rsidR="006004C6" w:rsidRPr="00C0688A">
        <w:rPr>
          <w:rFonts w:asciiTheme="majorBidi" w:hAnsiTheme="majorBidi" w:cstheme="majorBidi"/>
          <w:sz w:val="24"/>
          <w:szCs w:val="24"/>
        </w:rPr>
        <w:t xml:space="preserve"> infection</w:t>
      </w:r>
      <w:r w:rsidR="00A16AA6" w:rsidRPr="00C0688A">
        <w:rPr>
          <w:rFonts w:asciiTheme="majorBidi" w:hAnsiTheme="majorBidi" w:cstheme="majorBidi"/>
          <w:sz w:val="24"/>
          <w:szCs w:val="24"/>
        </w:rPr>
        <w:t>.</w:t>
      </w:r>
    </w:p>
    <w:p w14:paraId="41B07C74" w14:textId="77777777" w:rsidR="009A7CA4" w:rsidRPr="000923BB" w:rsidRDefault="00A16AA6" w:rsidP="001E1AC1">
      <w:pPr>
        <w:spacing w:before="120" w:after="0" w:line="480" w:lineRule="auto"/>
        <w:jc w:val="both"/>
        <w:rPr>
          <w:rFonts w:asciiTheme="majorBidi" w:hAnsiTheme="majorBidi" w:cstheme="majorBidi"/>
          <w:b/>
          <w:bCs/>
          <w:sz w:val="28"/>
          <w:szCs w:val="28"/>
        </w:rPr>
      </w:pPr>
      <w:r w:rsidRPr="000923BB">
        <w:rPr>
          <w:rFonts w:asciiTheme="majorBidi" w:hAnsiTheme="majorBidi" w:cstheme="majorBidi"/>
          <w:b/>
          <w:bCs/>
          <w:sz w:val="28"/>
          <w:szCs w:val="28"/>
        </w:rPr>
        <w:t>Methods</w:t>
      </w:r>
    </w:p>
    <w:p w14:paraId="2AA35000" w14:textId="19B8DF69" w:rsidR="009A7CA4" w:rsidRPr="00C0688A" w:rsidRDefault="00A16AA6" w:rsidP="00714C6F">
      <w:pPr>
        <w:spacing w:before="120" w:after="0" w:line="480" w:lineRule="auto"/>
        <w:ind w:firstLine="567"/>
        <w:jc w:val="both"/>
        <w:rPr>
          <w:rFonts w:asciiTheme="majorBidi" w:hAnsiTheme="majorBidi" w:cstheme="majorBidi"/>
          <w:sz w:val="24"/>
          <w:szCs w:val="24"/>
        </w:rPr>
      </w:pPr>
      <w:r w:rsidRPr="00C0688A">
        <w:rPr>
          <w:rFonts w:asciiTheme="majorBidi" w:hAnsiTheme="majorBidi" w:cstheme="majorBidi"/>
          <w:sz w:val="24"/>
          <w:szCs w:val="24"/>
        </w:rPr>
        <w:t xml:space="preserve">The study </w:t>
      </w:r>
      <w:r w:rsidR="00204907" w:rsidRPr="00C92B3A">
        <w:rPr>
          <w:rFonts w:asciiTheme="majorBidi" w:hAnsiTheme="majorBidi" w:cstheme="majorBidi"/>
          <w:sz w:val="24"/>
          <w:szCs w:val="24"/>
        </w:rPr>
        <w:t xml:space="preserve">was </w:t>
      </w:r>
      <w:r w:rsidR="00CA7D45" w:rsidRPr="00D95EEC">
        <w:rPr>
          <w:rFonts w:asciiTheme="majorBidi" w:hAnsiTheme="majorBidi" w:cstheme="majorBidi"/>
          <w:sz w:val="24"/>
          <w:szCs w:val="24"/>
        </w:rPr>
        <w:t xml:space="preserve">a prospective cohort study that included 90 Egyptian symptomatic individuals positive for </w:t>
      </w:r>
      <w:r w:rsidR="00CA7D45" w:rsidRPr="00E20C73">
        <w:rPr>
          <w:rFonts w:asciiTheme="majorBidi" w:hAnsiTheme="majorBidi" w:cstheme="majorBidi"/>
          <w:i/>
          <w:iCs/>
          <w:sz w:val="24"/>
          <w:szCs w:val="24"/>
        </w:rPr>
        <w:t>H. pylori</w:t>
      </w:r>
      <w:r w:rsidR="00CA7D45" w:rsidRPr="00D95EEC">
        <w:rPr>
          <w:rFonts w:asciiTheme="majorBidi" w:hAnsiTheme="majorBidi" w:cstheme="majorBidi"/>
          <w:sz w:val="24"/>
          <w:szCs w:val="24"/>
        </w:rPr>
        <w:t xml:space="preserve"> who suffered from dyspepsia, anorexia, nausea,</w:t>
      </w:r>
      <w:r w:rsidR="00830CE9" w:rsidRPr="00D95EEC">
        <w:rPr>
          <w:rFonts w:asciiTheme="majorBidi" w:hAnsiTheme="majorBidi" w:cstheme="majorBidi"/>
          <w:sz w:val="24"/>
          <w:szCs w:val="24"/>
        </w:rPr>
        <w:t xml:space="preserve"> or vomiting</w:t>
      </w:r>
      <w:r w:rsidRPr="00C0688A">
        <w:rPr>
          <w:rFonts w:asciiTheme="majorBidi" w:hAnsiTheme="majorBidi" w:cstheme="majorBidi"/>
          <w:sz w:val="24"/>
          <w:szCs w:val="24"/>
        </w:rPr>
        <w:t xml:space="preserve">. Patients </w:t>
      </w:r>
      <w:r w:rsidR="00830CE9" w:rsidRPr="00D95EEC">
        <w:rPr>
          <w:rFonts w:asciiTheme="majorBidi" w:hAnsiTheme="majorBidi" w:cstheme="majorBidi"/>
          <w:sz w:val="24"/>
          <w:szCs w:val="24"/>
        </w:rPr>
        <w:t>gave</w:t>
      </w:r>
      <w:r w:rsidRPr="00C0688A">
        <w:rPr>
          <w:rFonts w:asciiTheme="majorBidi" w:hAnsiTheme="majorBidi" w:cstheme="majorBidi"/>
          <w:sz w:val="24"/>
          <w:szCs w:val="24"/>
        </w:rPr>
        <w:t xml:space="preserve"> </w:t>
      </w:r>
      <w:r w:rsidR="00CA7D45">
        <w:rPr>
          <w:rFonts w:asciiTheme="majorBidi" w:hAnsiTheme="majorBidi" w:cstheme="majorBidi"/>
          <w:sz w:val="24"/>
          <w:szCs w:val="24"/>
        </w:rPr>
        <w:t>informed consent and were divided into groups: Group A (Before treatment) and Group B (the same patients as Group</w:t>
      </w:r>
      <w:r w:rsidR="009B6B67" w:rsidRPr="00D95EEC">
        <w:rPr>
          <w:rFonts w:asciiTheme="majorBidi" w:hAnsiTheme="majorBidi" w:cstheme="majorBidi"/>
          <w:sz w:val="24"/>
          <w:szCs w:val="24"/>
        </w:rPr>
        <w:t xml:space="preserve"> A but a</w:t>
      </w:r>
      <w:r w:rsidRPr="00D95EEC">
        <w:rPr>
          <w:rFonts w:asciiTheme="majorBidi" w:hAnsiTheme="majorBidi" w:cstheme="majorBidi"/>
          <w:sz w:val="24"/>
          <w:szCs w:val="24"/>
        </w:rPr>
        <w:t xml:space="preserve">fter </w:t>
      </w:r>
      <w:r w:rsidR="00965998" w:rsidRPr="00D95EEC">
        <w:rPr>
          <w:rFonts w:asciiTheme="majorBidi" w:hAnsiTheme="majorBidi" w:cstheme="majorBidi"/>
          <w:sz w:val="24"/>
          <w:szCs w:val="24"/>
        </w:rPr>
        <w:t>1</w:t>
      </w:r>
      <w:r w:rsidR="000923BB" w:rsidRPr="00D95EEC">
        <w:rPr>
          <w:rFonts w:asciiTheme="majorBidi" w:hAnsiTheme="majorBidi" w:cstheme="majorBidi"/>
          <w:sz w:val="24"/>
          <w:szCs w:val="24"/>
        </w:rPr>
        <w:t xml:space="preserve"> month of </w:t>
      </w:r>
      <w:r w:rsidR="003A7E8C" w:rsidRPr="00D95EEC">
        <w:rPr>
          <w:rFonts w:asciiTheme="majorBidi" w:hAnsiTheme="majorBidi" w:cstheme="majorBidi"/>
          <w:sz w:val="24"/>
          <w:szCs w:val="24"/>
        </w:rPr>
        <w:t>therapy</w:t>
      </w:r>
      <w:r w:rsidRPr="00D95EEC">
        <w:rPr>
          <w:rFonts w:asciiTheme="majorBidi" w:hAnsiTheme="majorBidi" w:cstheme="majorBidi"/>
          <w:sz w:val="24"/>
          <w:szCs w:val="24"/>
        </w:rPr>
        <w:t>)</w:t>
      </w:r>
      <w:r w:rsidRPr="00C0688A">
        <w:rPr>
          <w:rFonts w:asciiTheme="majorBidi" w:hAnsiTheme="majorBidi" w:cstheme="majorBidi"/>
          <w:sz w:val="24"/>
          <w:szCs w:val="24"/>
        </w:rPr>
        <w:t xml:space="preserve">. All patients were subjected to </w:t>
      </w:r>
      <w:r w:rsidR="00CA7D45">
        <w:rPr>
          <w:rFonts w:asciiTheme="majorBidi" w:hAnsiTheme="majorBidi" w:cstheme="majorBidi"/>
          <w:sz w:val="24"/>
          <w:szCs w:val="24"/>
        </w:rPr>
        <w:t xml:space="preserve">a </w:t>
      </w:r>
      <w:r w:rsidR="002D6F79">
        <w:rPr>
          <w:rFonts w:asciiTheme="majorBidi" w:hAnsiTheme="majorBidi" w:cstheme="majorBidi"/>
          <w:sz w:val="24"/>
          <w:szCs w:val="24"/>
        </w:rPr>
        <w:t>levofloxacin-based treatment regimen.</w:t>
      </w:r>
    </w:p>
    <w:p w14:paraId="2A6B2A69" w14:textId="5962F56A" w:rsidR="00772EEC" w:rsidRPr="00D95EEC" w:rsidRDefault="00A16AA6" w:rsidP="00992B15">
      <w:pPr>
        <w:spacing w:before="120" w:after="0" w:line="480" w:lineRule="auto"/>
        <w:ind w:firstLine="567"/>
        <w:jc w:val="both"/>
        <w:rPr>
          <w:rFonts w:asciiTheme="majorBidi" w:eastAsia="Times New Roman" w:hAnsiTheme="majorBidi" w:cstheme="majorBidi"/>
          <w:sz w:val="24"/>
          <w:szCs w:val="24"/>
        </w:rPr>
      </w:pPr>
      <w:r w:rsidRPr="00C0688A">
        <w:rPr>
          <w:rFonts w:asciiTheme="majorBidi" w:hAnsiTheme="majorBidi" w:cstheme="majorBidi"/>
          <w:sz w:val="24"/>
          <w:szCs w:val="24"/>
        </w:rPr>
        <w:t>The study included laboratory investigations</w:t>
      </w:r>
      <w:r w:rsidR="00CA7D45">
        <w:rPr>
          <w:rFonts w:asciiTheme="majorBidi" w:hAnsiTheme="majorBidi" w:cstheme="majorBidi"/>
          <w:sz w:val="24"/>
          <w:szCs w:val="24"/>
        </w:rPr>
        <w:t xml:space="preserve">: CBC, iron profile, liver enzymes, lipid profile, </w:t>
      </w:r>
      <w:r w:rsidR="00CA7D45" w:rsidRPr="00E20C73">
        <w:rPr>
          <w:rFonts w:asciiTheme="majorBidi" w:hAnsiTheme="majorBidi" w:cstheme="majorBidi"/>
          <w:i/>
          <w:iCs/>
          <w:sz w:val="24"/>
          <w:szCs w:val="24"/>
        </w:rPr>
        <w:t>H. pylori</w:t>
      </w:r>
      <w:r w:rsidR="00CA7D45">
        <w:rPr>
          <w:rFonts w:asciiTheme="majorBidi" w:hAnsiTheme="majorBidi" w:cstheme="majorBidi"/>
          <w:sz w:val="24"/>
          <w:szCs w:val="24"/>
        </w:rPr>
        <w:t xml:space="preserve"> fecal antigen, and ultrasound of the </w:t>
      </w:r>
      <w:r w:rsidRPr="00C0688A">
        <w:rPr>
          <w:rFonts w:asciiTheme="majorBidi" w:hAnsiTheme="majorBidi" w:cstheme="majorBidi"/>
          <w:sz w:val="24"/>
          <w:szCs w:val="24"/>
        </w:rPr>
        <w:t xml:space="preserve">abdomen and pelvis. </w:t>
      </w:r>
      <w:r w:rsidR="00772EEC">
        <w:rPr>
          <w:rFonts w:asciiTheme="majorBidi" w:hAnsiTheme="majorBidi" w:cstheme="majorBidi"/>
          <w:sz w:val="24"/>
          <w:szCs w:val="24"/>
        </w:rPr>
        <w:br/>
      </w:r>
      <w:r w:rsidR="00772EEC" w:rsidRPr="00E20C73">
        <w:rPr>
          <w:rFonts w:asciiTheme="majorBidi" w:eastAsia="Times New Roman" w:hAnsiTheme="majorBidi" w:cstheme="majorBidi"/>
          <w:b/>
          <w:bCs/>
          <w:sz w:val="24"/>
          <w:szCs w:val="24"/>
        </w:rPr>
        <w:t>Exclusion criteria:</w:t>
      </w:r>
      <w:r w:rsidR="00992B15" w:rsidRPr="00D95EEC">
        <w:rPr>
          <w:rFonts w:asciiTheme="majorBidi" w:eastAsia="Times New Roman" w:hAnsiTheme="majorBidi" w:cstheme="majorBidi"/>
          <w:sz w:val="24"/>
          <w:szCs w:val="24"/>
        </w:rPr>
        <w:t xml:space="preserve"> </w:t>
      </w:r>
      <w:r w:rsidR="00E20C73" w:rsidRPr="00D95EEC">
        <w:rPr>
          <w:rFonts w:asciiTheme="majorBidi" w:eastAsia="Times New Roman" w:hAnsiTheme="majorBidi" w:cstheme="majorBidi"/>
          <w:sz w:val="24"/>
          <w:szCs w:val="24"/>
        </w:rPr>
        <w:t>We excluded all other causes of disturbed hematological parameters, elevated liver enzymes, dyslipidemia, and hyperbilirubinemia</w:t>
      </w:r>
      <w:r w:rsidR="00E20C73">
        <w:rPr>
          <w:rFonts w:asciiTheme="majorBidi" w:eastAsia="Times New Roman" w:hAnsiTheme="majorBidi" w:cstheme="majorBidi"/>
          <w:sz w:val="24"/>
          <w:szCs w:val="24"/>
        </w:rPr>
        <w:t>.</w:t>
      </w:r>
    </w:p>
    <w:p w14:paraId="29B9E35E" w14:textId="662A6744" w:rsidR="009A7CA4" w:rsidRPr="006B0D00" w:rsidRDefault="00A16AA6" w:rsidP="00A103F0">
      <w:pPr>
        <w:spacing w:before="120" w:after="0" w:line="480" w:lineRule="auto"/>
        <w:ind w:firstLine="567"/>
        <w:jc w:val="both"/>
        <w:rPr>
          <w:rFonts w:asciiTheme="majorBidi" w:eastAsia="Times New Roman" w:hAnsiTheme="majorBidi" w:cstheme="majorBidi"/>
          <w:sz w:val="24"/>
          <w:szCs w:val="24"/>
        </w:rPr>
      </w:pPr>
      <w:r w:rsidRPr="00C0688A">
        <w:rPr>
          <w:rFonts w:asciiTheme="majorBidi" w:eastAsia="Times New Roman" w:hAnsiTheme="majorBidi" w:cstheme="majorBidi"/>
          <w:sz w:val="24"/>
          <w:szCs w:val="24"/>
        </w:rPr>
        <w:t xml:space="preserve">Complete blood </w:t>
      </w:r>
      <w:r w:rsidR="00F64BCC">
        <w:rPr>
          <w:rFonts w:asciiTheme="majorBidi" w:eastAsia="Times New Roman" w:hAnsiTheme="majorBidi" w:cstheme="majorBidi"/>
          <w:sz w:val="24"/>
          <w:szCs w:val="24"/>
        </w:rPr>
        <w:t>count was analyzed using</w:t>
      </w:r>
      <w:r w:rsidRPr="00C0688A">
        <w:rPr>
          <w:rFonts w:asciiTheme="majorBidi" w:eastAsia="Times New Roman" w:hAnsiTheme="majorBidi" w:cstheme="majorBidi"/>
          <w:sz w:val="24"/>
          <w:szCs w:val="24"/>
        </w:rPr>
        <w:t xml:space="preserve"> Sysmex’s XN-Series hematology analyzers</w:t>
      </w:r>
      <w:r w:rsidR="00E71F41">
        <w:rPr>
          <w:rFonts w:asciiTheme="majorBidi" w:eastAsia="Times New Roman" w:hAnsiTheme="majorBidi" w:cstheme="majorBidi"/>
          <w:sz w:val="24"/>
          <w:szCs w:val="24"/>
        </w:rPr>
        <w:t xml:space="preserve"> </w:t>
      </w:r>
      <w:r w:rsidR="00E71F41" w:rsidRPr="00D95EEC">
        <w:rPr>
          <w:rFonts w:asciiTheme="majorBidi" w:eastAsia="Times New Roman" w:hAnsiTheme="majorBidi" w:cstheme="majorBidi"/>
          <w:sz w:val="24"/>
          <w:szCs w:val="24"/>
        </w:rPr>
        <w:t xml:space="preserve">(dimension </w:t>
      </w:r>
      <w:proofErr w:type="spellStart"/>
      <w:r w:rsidR="001B282C">
        <w:rPr>
          <w:rFonts w:asciiTheme="majorBidi" w:eastAsia="Times New Roman" w:hAnsiTheme="majorBidi" w:cstheme="majorBidi"/>
          <w:sz w:val="24"/>
          <w:szCs w:val="24"/>
        </w:rPr>
        <w:t>E</w:t>
      </w:r>
      <w:r w:rsidR="00E71F41" w:rsidRPr="00D95EEC">
        <w:rPr>
          <w:rFonts w:asciiTheme="majorBidi" w:eastAsia="Times New Roman" w:hAnsiTheme="majorBidi" w:cstheme="majorBidi"/>
          <w:sz w:val="24"/>
          <w:szCs w:val="24"/>
        </w:rPr>
        <w:t>xl</w:t>
      </w:r>
      <w:proofErr w:type="spellEnd"/>
      <w:r w:rsidR="00E71F41" w:rsidRPr="00D95EEC">
        <w:rPr>
          <w:rFonts w:asciiTheme="majorBidi" w:eastAsia="Times New Roman" w:hAnsiTheme="majorBidi" w:cstheme="majorBidi"/>
          <w:sz w:val="24"/>
          <w:szCs w:val="24"/>
        </w:rPr>
        <w:t xml:space="preserve"> 200 Siemens)</w:t>
      </w:r>
      <w:r w:rsidR="00CA7D45" w:rsidRPr="00D95EEC">
        <w:rPr>
          <w:rFonts w:asciiTheme="majorBidi" w:eastAsia="Times New Roman" w:hAnsiTheme="majorBidi" w:cstheme="majorBidi"/>
          <w:sz w:val="24"/>
          <w:szCs w:val="24"/>
        </w:rPr>
        <w:t>. Serum</w:t>
      </w:r>
      <w:r w:rsidRPr="00D95EEC">
        <w:rPr>
          <w:rFonts w:asciiTheme="majorBidi" w:eastAsia="Times New Roman" w:hAnsiTheme="majorBidi" w:cstheme="majorBidi"/>
          <w:sz w:val="24"/>
          <w:szCs w:val="24"/>
        </w:rPr>
        <w:t xml:space="preserve"> iron was measured using </w:t>
      </w:r>
      <w:r w:rsidR="003A7E8C" w:rsidRPr="00D95EEC">
        <w:rPr>
          <w:rFonts w:asciiTheme="majorBidi" w:eastAsia="Times New Roman" w:hAnsiTheme="majorBidi" w:cstheme="majorBidi"/>
          <w:sz w:val="24"/>
          <w:szCs w:val="24"/>
        </w:rPr>
        <w:t>1 (R1) and 2 (R2) reagents</w:t>
      </w:r>
      <w:r w:rsidR="006B0D00" w:rsidRPr="00D95EEC">
        <w:rPr>
          <w:rFonts w:asciiTheme="majorBidi" w:eastAsia="Times New Roman" w:hAnsiTheme="majorBidi" w:cstheme="majorBidi"/>
          <w:sz w:val="24"/>
          <w:szCs w:val="24"/>
        </w:rPr>
        <w:t>.</w:t>
      </w:r>
      <w:r w:rsidR="00A103F0" w:rsidRPr="00D95EEC">
        <w:rPr>
          <w:rFonts w:asciiTheme="majorBidi" w:eastAsia="Times New Roman" w:hAnsiTheme="majorBidi" w:cstheme="majorBidi"/>
          <w:sz w:val="24"/>
          <w:szCs w:val="24"/>
        </w:rPr>
        <w:t xml:space="preserve"> ALT</w:t>
      </w:r>
      <w:r w:rsidR="00B4557D" w:rsidRPr="00D95EEC">
        <w:rPr>
          <w:rFonts w:asciiTheme="majorBidi" w:eastAsia="Times New Roman" w:hAnsiTheme="majorBidi" w:cstheme="majorBidi"/>
          <w:sz w:val="24"/>
          <w:szCs w:val="24"/>
        </w:rPr>
        <w:t xml:space="preserve"> and </w:t>
      </w:r>
      <w:r w:rsidR="00A103F0" w:rsidRPr="00D95EEC">
        <w:rPr>
          <w:rFonts w:asciiTheme="majorBidi" w:eastAsia="Times New Roman" w:hAnsiTheme="majorBidi" w:cstheme="majorBidi"/>
          <w:sz w:val="24"/>
          <w:szCs w:val="24"/>
        </w:rPr>
        <w:t xml:space="preserve">AST </w:t>
      </w:r>
      <w:r w:rsidR="00B4557D" w:rsidRPr="00D95EEC">
        <w:rPr>
          <w:rFonts w:asciiTheme="majorBidi" w:eastAsia="Times New Roman" w:hAnsiTheme="majorBidi" w:cstheme="majorBidi"/>
          <w:sz w:val="24"/>
          <w:szCs w:val="24"/>
        </w:rPr>
        <w:t xml:space="preserve">are </w:t>
      </w:r>
      <w:r w:rsidRPr="00D95EEC">
        <w:rPr>
          <w:rFonts w:asciiTheme="majorBidi" w:eastAsia="Times New Roman" w:hAnsiTheme="majorBidi" w:cstheme="majorBidi"/>
          <w:sz w:val="24"/>
          <w:szCs w:val="24"/>
        </w:rPr>
        <w:t xml:space="preserve">kinetic </w:t>
      </w:r>
      <w:r w:rsidR="00CA7D45" w:rsidRPr="00D95EEC">
        <w:rPr>
          <w:rFonts w:asciiTheme="majorBidi" w:eastAsia="Times New Roman" w:hAnsiTheme="majorBidi" w:cstheme="majorBidi"/>
          <w:sz w:val="24"/>
          <w:szCs w:val="24"/>
        </w:rPr>
        <w:t xml:space="preserve">assays that </w:t>
      </w:r>
      <w:r w:rsidR="00A103F0" w:rsidRPr="00D95EEC">
        <w:rPr>
          <w:rFonts w:asciiTheme="majorBidi" w:eastAsia="Times New Roman" w:hAnsiTheme="majorBidi" w:cstheme="majorBidi"/>
          <w:sz w:val="24"/>
          <w:szCs w:val="24"/>
        </w:rPr>
        <w:t>were</w:t>
      </w:r>
      <w:r w:rsidRPr="00D95EEC">
        <w:rPr>
          <w:rFonts w:asciiTheme="majorBidi" w:eastAsia="Times New Roman" w:hAnsiTheme="majorBidi" w:cstheme="majorBidi"/>
          <w:sz w:val="24"/>
          <w:szCs w:val="24"/>
        </w:rPr>
        <w:t xml:space="preserve"> measured by quantifying the rate at which the absorbance at 340 nm decreases due to NADH oxidation.</w:t>
      </w:r>
      <w:r w:rsidR="00A103F0" w:rsidRPr="00D95EEC">
        <w:rPr>
          <w:rFonts w:asciiTheme="majorBidi" w:eastAsia="Times New Roman" w:hAnsiTheme="majorBidi" w:cstheme="majorBidi"/>
          <w:sz w:val="24"/>
          <w:szCs w:val="24"/>
        </w:rPr>
        <w:t xml:space="preserve"> </w:t>
      </w:r>
      <w:r w:rsidR="00CA7D45" w:rsidRPr="00D95EEC">
        <w:rPr>
          <w:rFonts w:asciiTheme="majorBidi" w:eastAsia="Times New Roman" w:hAnsiTheme="majorBidi" w:cstheme="majorBidi"/>
          <w:sz w:val="24"/>
          <w:szCs w:val="24"/>
        </w:rPr>
        <w:t>The lipid</w:t>
      </w:r>
      <w:r w:rsidRPr="00D95EEC">
        <w:rPr>
          <w:rFonts w:asciiTheme="majorBidi" w:eastAsia="Times New Roman" w:hAnsiTheme="majorBidi" w:cstheme="majorBidi"/>
          <w:sz w:val="24"/>
          <w:szCs w:val="24"/>
        </w:rPr>
        <w:t xml:space="preserve"> profile</w:t>
      </w:r>
      <w:r w:rsidR="00D13C65" w:rsidRPr="00D95EEC">
        <w:rPr>
          <w:rFonts w:asciiTheme="majorBidi" w:eastAsia="Times New Roman" w:hAnsiTheme="majorBidi" w:cstheme="majorBidi"/>
          <w:sz w:val="24"/>
          <w:szCs w:val="24"/>
        </w:rPr>
        <w:t xml:space="preserve"> </w:t>
      </w:r>
      <w:r w:rsidR="00A103F0" w:rsidRPr="00D95EEC">
        <w:rPr>
          <w:rFonts w:asciiTheme="majorBidi" w:eastAsia="Times New Roman" w:hAnsiTheme="majorBidi" w:cstheme="majorBidi"/>
          <w:sz w:val="24"/>
          <w:szCs w:val="24"/>
        </w:rPr>
        <w:t>was</w:t>
      </w:r>
      <w:r w:rsidRPr="00D95EEC">
        <w:rPr>
          <w:rFonts w:asciiTheme="majorBidi" w:eastAsia="Times New Roman" w:hAnsiTheme="majorBidi" w:cstheme="majorBidi"/>
          <w:sz w:val="24"/>
          <w:szCs w:val="24"/>
        </w:rPr>
        <w:t xml:space="preserve"> </w:t>
      </w:r>
      <w:r w:rsidR="003A7E8C" w:rsidRPr="00D95EEC">
        <w:rPr>
          <w:rFonts w:asciiTheme="majorBidi" w:eastAsia="Times New Roman" w:hAnsiTheme="majorBidi" w:cstheme="majorBidi"/>
          <w:sz w:val="24"/>
          <w:szCs w:val="24"/>
        </w:rPr>
        <w:t>calculated</w:t>
      </w:r>
      <w:r w:rsidRPr="00D95EEC">
        <w:rPr>
          <w:rFonts w:asciiTheme="majorBidi" w:eastAsia="Times New Roman" w:hAnsiTheme="majorBidi" w:cstheme="majorBidi"/>
          <w:sz w:val="24"/>
          <w:szCs w:val="24"/>
        </w:rPr>
        <w:t xml:space="preserve"> using this assay. </w:t>
      </w:r>
      <w:r w:rsidR="001C1287" w:rsidRPr="00D95EEC">
        <w:rPr>
          <w:rFonts w:asciiTheme="majorBidi" w:eastAsia="Times New Roman" w:hAnsiTheme="majorBidi" w:cstheme="majorBidi"/>
          <w:sz w:val="24"/>
          <w:szCs w:val="24"/>
        </w:rPr>
        <w:t xml:space="preserve">The patients were fasting </w:t>
      </w:r>
      <w:r w:rsidR="003A7E8C" w:rsidRPr="00D95EEC">
        <w:rPr>
          <w:rFonts w:asciiTheme="majorBidi" w:eastAsia="Times New Roman" w:hAnsiTheme="majorBidi" w:cstheme="majorBidi"/>
          <w:sz w:val="24"/>
          <w:szCs w:val="24"/>
        </w:rPr>
        <w:t xml:space="preserve">for </w:t>
      </w:r>
      <w:r w:rsidR="001C1287" w:rsidRPr="00D95EEC">
        <w:rPr>
          <w:rFonts w:asciiTheme="majorBidi" w:eastAsia="Times New Roman" w:hAnsiTheme="majorBidi" w:cstheme="majorBidi"/>
          <w:sz w:val="24"/>
          <w:szCs w:val="24"/>
        </w:rPr>
        <w:t>12 hours</w:t>
      </w:r>
      <w:r w:rsidR="00CA7D45" w:rsidRPr="00D95EEC">
        <w:rPr>
          <w:rFonts w:asciiTheme="majorBidi" w:eastAsia="Times New Roman" w:hAnsiTheme="majorBidi" w:cstheme="majorBidi"/>
          <w:sz w:val="24"/>
          <w:szCs w:val="24"/>
        </w:rPr>
        <w:t>; Cholesterol</w:t>
      </w:r>
      <w:r w:rsidRPr="00D95EEC">
        <w:rPr>
          <w:rFonts w:asciiTheme="majorBidi" w:eastAsia="Times New Roman" w:hAnsiTheme="majorBidi" w:cstheme="majorBidi"/>
          <w:sz w:val="24"/>
          <w:szCs w:val="24"/>
        </w:rPr>
        <w:t xml:space="preserve"> esters </w:t>
      </w:r>
      <w:r w:rsidR="00CA7D45" w:rsidRPr="00D95EEC">
        <w:rPr>
          <w:rFonts w:asciiTheme="majorBidi" w:eastAsia="Times New Roman" w:hAnsiTheme="majorBidi" w:cstheme="majorBidi"/>
          <w:sz w:val="24"/>
          <w:szCs w:val="24"/>
        </w:rPr>
        <w:t>were</w:t>
      </w:r>
      <w:r w:rsidRPr="00D95EEC">
        <w:rPr>
          <w:rFonts w:asciiTheme="majorBidi" w:eastAsia="Times New Roman" w:hAnsiTheme="majorBidi" w:cstheme="majorBidi"/>
          <w:sz w:val="24"/>
          <w:szCs w:val="24"/>
        </w:rPr>
        <w:t xml:space="preserve"> hydrolyzed to form cholesterol and free fatty acids, followed by the oxidation reaction</w:t>
      </w:r>
      <w:r w:rsidR="00CA7D45" w:rsidRPr="00D95EEC">
        <w:rPr>
          <w:rFonts w:asciiTheme="majorBidi" w:eastAsia="Times New Roman" w:hAnsiTheme="majorBidi" w:cstheme="majorBidi"/>
          <w:sz w:val="24"/>
          <w:szCs w:val="24"/>
        </w:rPr>
        <w:t>; those</w:t>
      </w:r>
      <w:r w:rsidR="009C1E09" w:rsidRPr="00D95EEC">
        <w:rPr>
          <w:rFonts w:asciiTheme="majorBidi" w:eastAsia="Times New Roman" w:hAnsiTheme="majorBidi" w:cstheme="majorBidi"/>
          <w:sz w:val="24"/>
          <w:szCs w:val="24"/>
        </w:rPr>
        <w:t xml:space="preserve"> biochemical reactions were done using dimension </w:t>
      </w:r>
      <w:proofErr w:type="spellStart"/>
      <w:r w:rsidR="001B282C">
        <w:rPr>
          <w:rFonts w:asciiTheme="majorBidi" w:eastAsia="Times New Roman" w:hAnsiTheme="majorBidi" w:cstheme="majorBidi"/>
          <w:sz w:val="24"/>
          <w:szCs w:val="24"/>
        </w:rPr>
        <w:t>E</w:t>
      </w:r>
      <w:r w:rsidR="009C1E09" w:rsidRPr="00D95EEC">
        <w:rPr>
          <w:rFonts w:asciiTheme="majorBidi" w:eastAsia="Times New Roman" w:hAnsiTheme="majorBidi" w:cstheme="majorBidi"/>
          <w:sz w:val="24"/>
          <w:szCs w:val="24"/>
        </w:rPr>
        <w:t>xl</w:t>
      </w:r>
      <w:proofErr w:type="spellEnd"/>
      <w:r w:rsidR="009C1E09" w:rsidRPr="00D95EEC">
        <w:rPr>
          <w:rFonts w:asciiTheme="majorBidi" w:eastAsia="Times New Roman" w:hAnsiTheme="majorBidi" w:cstheme="majorBidi"/>
          <w:sz w:val="24"/>
          <w:szCs w:val="24"/>
        </w:rPr>
        <w:t xml:space="preserve"> 200 Siemens</w:t>
      </w:r>
      <w:r w:rsidR="003A7E8C" w:rsidRPr="00D95EEC">
        <w:rPr>
          <w:rFonts w:asciiTheme="majorBidi" w:eastAsia="Times New Roman" w:hAnsiTheme="majorBidi" w:cstheme="majorBidi"/>
          <w:sz w:val="24"/>
          <w:szCs w:val="24"/>
        </w:rPr>
        <w:t>.</w:t>
      </w:r>
    </w:p>
    <w:p w14:paraId="5B54505C" w14:textId="37DEF304" w:rsidR="009A7CA4" w:rsidRPr="001B282C" w:rsidRDefault="00CA7D45" w:rsidP="00992B15">
      <w:pPr>
        <w:spacing w:before="120" w:after="0" w:line="480" w:lineRule="auto"/>
        <w:ind w:firstLine="567"/>
        <w:rPr>
          <w:rFonts w:asciiTheme="majorBidi" w:hAnsiTheme="majorBidi" w:cstheme="majorBidi"/>
          <w:b/>
          <w:bCs/>
          <w:sz w:val="28"/>
          <w:szCs w:val="28"/>
        </w:rPr>
      </w:pPr>
      <w:r>
        <w:rPr>
          <w:rFonts w:asciiTheme="majorBidi" w:hAnsiTheme="majorBidi" w:cstheme="majorBidi"/>
          <w:sz w:val="24"/>
          <w:szCs w:val="24"/>
        </w:rPr>
        <w:t xml:space="preserve">Elisa processed </w:t>
      </w:r>
      <w:r w:rsidR="00E20C73" w:rsidRPr="00E20C73">
        <w:rPr>
          <w:rFonts w:asciiTheme="majorBidi" w:hAnsiTheme="majorBidi" w:cstheme="majorBidi"/>
          <w:i/>
          <w:iCs/>
          <w:sz w:val="24"/>
          <w:szCs w:val="24"/>
        </w:rPr>
        <w:t>H.</w:t>
      </w:r>
      <w:r w:rsidRPr="00E20C73">
        <w:rPr>
          <w:rFonts w:asciiTheme="majorBidi" w:hAnsiTheme="majorBidi" w:cstheme="majorBidi"/>
          <w:i/>
          <w:iCs/>
          <w:sz w:val="24"/>
          <w:szCs w:val="24"/>
        </w:rPr>
        <w:t xml:space="preserve"> pylori</w:t>
      </w:r>
      <w:r>
        <w:rPr>
          <w:rFonts w:asciiTheme="majorBidi" w:hAnsiTheme="majorBidi" w:cstheme="majorBidi"/>
          <w:sz w:val="24"/>
          <w:szCs w:val="24"/>
        </w:rPr>
        <w:t xml:space="preserve"> fecal antigen tests and purified H pylori antigens in stool. The</w:t>
      </w:r>
      <w:r w:rsidR="00A16AA6" w:rsidRPr="00C0688A">
        <w:rPr>
          <w:rFonts w:asciiTheme="majorBidi" w:hAnsiTheme="majorBidi" w:cstheme="majorBidi"/>
          <w:sz w:val="24"/>
          <w:szCs w:val="24"/>
        </w:rPr>
        <w:t xml:space="preserve"> </w:t>
      </w:r>
      <w:r w:rsidR="00A16AA6" w:rsidRPr="00E20C73">
        <w:rPr>
          <w:rFonts w:asciiTheme="majorBidi" w:hAnsiTheme="majorBidi" w:cstheme="majorBidi"/>
          <w:i/>
          <w:iCs/>
          <w:sz w:val="24"/>
          <w:szCs w:val="24"/>
        </w:rPr>
        <w:t>H. pylori</w:t>
      </w:r>
      <w:r w:rsidR="00A16AA6" w:rsidRPr="00C0688A">
        <w:rPr>
          <w:rFonts w:asciiTheme="majorBidi" w:hAnsiTheme="majorBidi" w:cstheme="majorBidi"/>
          <w:sz w:val="24"/>
          <w:szCs w:val="24"/>
        </w:rPr>
        <w:t xml:space="preserve"> antibody is coated on the surface of microwells. </w:t>
      </w:r>
      <w:r>
        <w:rPr>
          <w:rFonts w:asciiTheme="majorBidi" w:hAnsiTheme="majorBidi" w:cstheme="majorBidi"/>
          <w:sz w:val="24"/>
          <w:szCs w:val="24"/>
        </w:rPr>
        <w:t>If present, a stool sample is added to wells</w:t>
      </w:r>
      <w:r w:rsidR="00E20C73">
        <w:rPr>
          <w:rFonts w:asciiTheme="majorBidi" w:hAnsiTheme="majorBidi" w:cstheme="majorBidi"/>
          <w:sz w:val="24"/>
          <w:szCs w:val="24"/>
        </w:rPr>
        <w:t>,</w:t>
      </w:r>
      <w:r>
        <w:rPr>
          <w:rFonts w:asciiTheme="majorBidi" w:hAnsiTheme="majorBidi" w:cstheme="majorBidi"/>
          <w:sz w:val="24"/>
          <w:szCs w:val="24"/>
        </w:rPr>
        <w:t xml:space="preserve"> and the </w:t>
      </w:r>
      <w:r w:rsidRPr="00E20C73">
        <w:rPr>
          <w:rFonts w:asciiTheme="majorBidi" w:hAnsiTheme="majorBidi" w:cstheme="majorBidi"/>
          <w:i/>
          <w:iCs/>
          <w:sz w:val="24"/>
          <w:szCs w:val="24"/>
        </w:rPr>
        <w:t>H. pylori</w:t>
      </w:r>
      <w:r>
        <w:rPr>
          <w:rFonts w:asciiTheme="majorBidi" w:hAnsiTheme="majorBidi" w:cstheme="majorBidi"/>
          <w:sz w:val="24"/>
          <w:szCs w:val="24"/>
        </w:rPr>
        <w:t xml:space="preserve"> </w:t>
      </w:r>
      <w:r w:rsidRPr="00D95EEC">
        <w:rPr>
          <w:rFonts w:asciiTheme="majorBidi" w:eastAsia="Times New Roman" w:hAnsiTheme="majorBidi" w:cstheme="majorBidi"/>
          <w:sz w:val="24"/>
          <w:szCs w:val="24"/>
        </w:rPr>
        <w:t>antigens</w:t>
      </w:r>
      <w:r w:rsidR="00A16AA6" w:rsidRPr="00D95EEC">
        <w:rPr>
          <w:rFonts w:asciiTheme="majorBidi" w:eastAsia="Times New Roman" w:hAnsiTheme="majorBidi" w:cstheme="majorBidi"/>
          <w:sz w:val="24"/>
          <w:szCs w:val="24"/>
        </w:rPr>
        <w:t xml:space="preserve"> bind </w:t>
      </w:r>
      <w:r w:rsidR="00C0688A" w:rsidRPr="00D95EEC">
        <w:rPr>
          <w:rFonts w:asciiTheme="majorBidi" w:eastAsia="Times New Roman" w:hAnsiTheme="majorBidi" w:cstheme="majorBidi"/>
          <w:sz w:val="24"/>
          <w:szCs w:val="24"/>
        </w:rPr>
        <w:t xml:space="preserve">to the antibody. </w:t>
      </w:r>
      <w:r w:rsidR="00E71F41" w:rsidRPr="00D95EEC">
        <w:rPr>
          <w:rFonts w:asciiTheme="majorBidi" w:eastAsia="Times New Roman" w:hAnsiTheme="majorBidi" w:cstheme="majorBidi"/>
          <w:sz w:val="24"/>
          <w:szCs w:val="24"/>
        </w:rPr>
        <w:t xml:space="preserve">Using </w:t>
      </w:r>
      <w:proofErr w:type="spellStart"/>
      <w:r w:rsidR="00E71F41" w:rsidRPr="00D95EEC">
        <w:rPr>
          <w:rFonts w:asciiTheme="majorBidi" w:eastAsia="Times New Roman" w:hAnsiTheme="majorBidi" w:cstheme="majorBidi"/>
          <w:sz w:val="24"/>
          <w:szCs w:val="24"/>
        </w:rPr>
        <w:t>HpSa</w:t>
      </w:r>
      <w:proofErr w:type="spellEnd"/>
      <w:r w:rsidR="00E71F41" w:rsidRPr="00D95EEC">
        <w:rPr>
          <w:rFonts w:asciiTheme="majorBidi" w:eastAsia="Times New Roman" w:hAnsiTheme="majorBidi" w:cstheme="majorBidi"/>
          <w:sz w:val="24"/>
          <w:szCs w:val="24"/>
        </w:rPr>
        <w:t xml:space="preserve"> enzyme immunoassay test kit (</w:t>
      </w:r>
      <w:r w:rsidR="00E71F41" w:rsidRPr="00E20C73">
        <w:rPr>
          <w:rFonts w:asciiTheme="majorBidi" w:eastAsia="Times New Roman" w:hAnsiTheme="majorBidi" w:cstheme="majorBidi"/>
          <w:b/>
          <w:bCs/>
          <w:sz w:val="24"/>
          <w:szCs w:val="24"/>
        </w:rPr>
        <w:t>REF 10224 LOT 23-D5-276</w:t>
      </w:r>
      <w:r w:rsidR="00E71F41" w:rsidRPr="00D95EEC">
        <w:rPr>
          <w:rFonts w:asciiTheme="majorBidi" w:eastAsia="Times New Roman" w:hAnsiTheme="majorBidi" w:cstheme="majorBidi"/>
          <w:sz w:val="24"/>
          <w:szCs w:val="24"/>
        </w:rPr>
        <w:t>)</w:t>
      </w:r>
      <w:r w:rsidR="006B4B6D" w:rsidRPr="00D95EEC">
        <w:rPr>
          <w:rFonts w:asciiTheme="majorBidi" w:eastAsia="Times New Roman" w:hAnsiTheme="majorBidi" w:cstheme="majorBidi"/>
          <w:sz w:val="24"/>
          <w:szCs w:val="24"/>
        </w:rPr>
        <w:br/>
      </w:r>
      <w:r w:rsidR="00A16AA6" w:rsidRPr="001B282C">
        <w:rPr>
          <w:rFonts w:asciiTheme="majorBidi" w:hAnsiTheme="majorBidi" w:cstheme="majorBidi"/>
          <w:b/>
          <w:bCs/>
          <w:sz w:val="28"/>
          <w:szCs w:val="28"/>
        </w:rPr>
        <w:t>Results</w:t>
      </w:r>
    </w:p>
    <w:p w14:paraId="4C9BB0A3" w14:textId="25A81D84" w:rsidR="009A7CA4" w:rsidRDefault="00D61224" w:rsidP="00B17CA4">
      <w:pPr>
        <w:spacing w:before="120" w:after="0" w:line="480" w:lineRule="auto"/>
        <w:rPr>
          <w:rFonts w:asciiTheme="majorBidi" w:eastAsia="Times New Roman" w:hAnsiTheme="majorBidi" w:cstheme="majorBidi"/>
          <w:sz w:val="24"/>
          <w:szCs w:val="24"/>
        </w:rPr>
      </w:pPr>
      <w:r w:rsidRPr="00D61224">
        <w:rPr>
          <w:rFonts w:asciiTheme="majorBidi" w:eastAsia="Times New Roman" w:hAnsiTheme="majorBidi" w:cstheme="majorBidi"/>
          <w:b/>
          <w:bCs/>
          <w:sz w:val="24"/>
          <w:szCs w:val="24"/>
        </w:rPr>
        <w:t>1.</w:t>
      </w:r>
      <w:r w:rsidRPr="00D61224">
        <w:rPr>
          <w:rFonts w:asciiTheme="majorBidi" w:hAnsiTheme="majorBidi" w:cstheme="majorBidi"/>
          <w:b/>
          <w:bCs/>
        </w:rPr>
        <w:t xml:space="preserve"> </w:t>
      </w:r>
      <w:r w:rsidR="003A2EA1" w:rsidRPr="00D61224">
        <w:rPr>
          <w:rFonts w:asciiTheme="majorBidi" w:eastAsia="Times New Roman" w:hAnsiTheme="majorBidi" w:cstheme="majorBidi"/>
          <w:b/>
          <w:bCs/>
          <w:sz w:val="24"/>
          <w:szCs w:val="24"/>
        </w:rPr>
        <w:t>Demographic</w:t>
      </w:r>
      <w:r w:rsidRPr="00D61224">
        <w:rPr>
          <w:rFonts w:asciiTheme="majorBidi" w:eastAsia="Times New Roman" w:hAnsiTheme="majorBidi" w:cstheme="majorBidi"/>
          <w:b/>
          <w:bCs/>
          <w:sz w:val="24"/>
          <w:szCs w:val="24"/>
        </w:rPr>
        <w:t xml:space="preserve"> data of the studied groups:</w:t>
      </w:r>
      <w:r>
        <w:rPr>
          <w:rFonts w:asciiTheme="majorBidi" w:eastAsia="Times New Roman" w:hAnsiTheme="majorBidi" w:cstheme="majorBidi"/>
          <w:i/>
          <w:iCs/>
          <w:sz w:val="24"/>
          <w:szCs w:val="24"/>
        </w:rPr>
        <w:br/>
      </w:r>
      <w:r w:rsidR="00EE6F11">
        <w:rPr>
          <w:rFonts w:asciiTheme="majorBidi" w:eastAsia="Times New Roman" w:hAnsiTheme="majorBidi" w:cstheme="majorBidi"/>
          <w:sz w:val="24"/>
          <w:szCs w:val="24"/>
        </w:rPr>
        <w:t xml:space="preserve"> </w:t>
      </w:r>
      <w:r w:rsidR="00EE6F11">
        <w:rPr>
          <w:rFonts w:asciiTheme="majorBidi" w:eastAsia="Times New Roman" w:hAnsiTheme="majorBidi" w:cstheme="majorBidi"/>
          <w:sz w:val="24"/>
          <w:szCs w:val="24"/>
        </w:rPr>
        <w:tab/>
      </w:r>
      <w:r w:rsidR="00A16AA6" w:rsidRPr="00692C9B">
        <w:rPr>
          <w:rFonts w:asciiTheme="majorBidi" w:eastAsia="Times New Roman" w:hAnsiTheme="majorBidi" w:cstheme="majorBidi"/>
          <w:sz w:val="24"/>
          <w:szCs w:val="24"/>
        </w:rPr>
        <w:t xml:space="preserve">The study included patients aged 20-65, with a mean of 37 </w:t>
      </w:r>
      <w:r w:rsidR="00CA7D45" w:rsidRPr="00692C9B">
        <w:rPr>
          <w:rFonts w:asciiTheme="majorBidi" w:eastAsia="Times New Roman" w:hAnsiTheme="majorBidi" w:cstheme="majorBidi"/>
          <w:sz w:val="24"/>
          <w:szCs w:val="24"/>
        </w:rPr>
        <w:t>years</w:t>
      </w:r>
      <w:r w:rsidR="00CA7D45">
        <w:rPr>
          <w:rFonts w:asciiTheme="majorBidi" w:eastAsia="Times New Roman" w:hAnsiTheme="majorBidi" w:cstheme="majorBidi"/>
          <w:sz w:val="24"/>
          <w:szCs w:val="24"/>
        </w:rPr>
        <w:t xml:space="preserve">, </w:t>
      </w:r>
      <w:r w:rsidR="00CA7D45" w:rsidRPr="00692C9B">
        <w:rPr>
          <w:rFonts w:asciiTheme="majorBidi" w:eastAsia="Times New Roman" w:hAnsiTheme="majorBidi" w:cstheme="majorBidi"/>
          <w:sz w:val="24"/>
          <w:szCs w:val="24"/>
        </w:rPr>
        <w:t>39</w:t>
      </w:r>
      <w:r w:rsidR="00A16AA6" w:rsidRPr="00692C9B">
        <w:rPr>
          <w:rFonts w:asciiTheme="majorBidi" w:eastAsia="Times New Roman" w:hAnsiTheme="majorBidi" w:cstheme="majorBidi"/>
          <w:sz w:val="24"/>
          <w:szCs w:val="24"/>
        </w:rPr>
        <w:t xml:space="preserve"> males (43.3%) an</w:t>
      </w:r>
      <w:r w:rsidR="002E3C26" w:rsidRPr="00692C9B">
        <w:rPr>
          <w:rFonts w:asciiTheme="majorBidi" w:eastAsia="Times New Roman" w:hAnsiTheme="majorBidi" w:cstheme="majorBidi"/>
          <w:sz w:val="24"/>
          <w:szCs w:val="24"/>
        </w:rPr>
        <w:t>d 51 females (56.7%). (Table 1)</w:t>
      </w:r>
    </w:p>
    <w:p w14:paraId="2031614B" w14:textId="15F788AC" w:rsidR="00EA3806" w:rsidRDefault="00EA3806" w:rsidP="00EA3806">
      <w:pPr>
        <w:pStyle w:val="Caption"/>
        <w:keepNext/>
      </w:pPr>
      <w:r>
        <w:t xml:space="preserve">Tab </w:t>
      </w:r>
      <w:fldSimple w:instr=" SEQ Table \* ARABIC ">
        <w:r w:rsidR="00B97D4E">
          <w:rPr>
            <w:noProof/>
          </w:rPr>
          <w:t>1</w:t>
        </w:r>
      </w:fldSimple>
      <w:r>
        <w:t xml:space="preserve">. </w:t>
      </w:r>
      <w:r w:rsidRPr="00EA3806">
        <w:t>Demographic data of the studied patients</w:t>
      </w:r>
    </w:p>
    <w:tbl>
      <w:tblPr>
        <w:tblW w:w="5000" w:type="pct"/>
        <w:jc w:val="center"/>
        <w:tblBorders>
          <w:top w:val="single" w:sz="4" w:space="0" w:color="auto"/>
          <w:bottom w:val="single" w:sz="4" w:space="0" w:color="auto"/>
        </w:tblBorders>
        <w:tblLook w:val="0400" w:firstRow="0" w:lastRow="0" w:firstColumn="0" w:lastColumn="0" w:noHBand="0" w:noVBand="1"/>
        <w:tblCaption w:val="Tab 1. Demographic data of the studied patients"/>
      </w:tblPr>
      <w:tblGrid>
        <w:gridCol w:w="3295"/>
        <w:gridCol w:w="2554"/>
        <w:gridCol w:w="3222"/>
      </w:tblGrid>
      <w:tr w:rsidR="00112E22" w:rsidRPr="000412D8" w14:paraId="15B4F84F" w14:textId="77777777" w:rsidTr="00F64BCC">
        <w:trPr>
          <w:trHeight w:val="20"/>
          <w:jc w:val="center"/>
        </w:trPr>
        <w:tc>
          <w:tcPr>
            <w:tcW w:w="1816" w:type="pct"/>
            <w:vMerge w:val="restart"/>
            <w:tcBorders>
              <w:top w:val="single" w:sz="4" w:space="0" w:color="auto"/>
              <w:bottom w:val="single" w:sz="4" w:space="0" w:color="auto"/>
            </w:tcBorders>
            <w:shd w:val="clear" w:color="auto" w:fill="auto"/>
            <w:vAlign w:val="center"/>
          </w:tcPr>
          <w:p w14:paraId="69C9494E" w14:textId="77777777" w:rsidR="00112E22" w:rsidRPr="000412D8" w:rsidRDefault="00112E22" w:rsidP="001E1AC1">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Demographic data</w:t>
            </w:r>
          </w:p>
        </w:tc>
        <w:tc>
          <w:tcPr>
            <w:tcW w:w="3184" w:type="pct"/>
            <w:gridSpan w:val="2"/>
            <w:tcBorders>
              <w:top w:val="single" w:sz="4" w:space="0" w:color="auto"/>
              <w:bottom w:val="single" w:sz="4" w:space="0" w:color="auto"/>
            </w:tcBorders>
            <w:shd w:val="clear" w:color="auto" w:fill="auto"/>
            <w:vAlign w:val="center"/>
          </w:tcPr>
          <w:p w14:paraId="6A0E1CCF" w14:textId="7C7C394A" w:rsidR="00112E22" w:rsidRPr="000412D8" w:rsidRDefault="00112E22" w:rsidP="001E1AC1">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Patients</w:t>
            </w:r>
          </w:p>
          <w:p w14:paraId="3A742B7C" w14:textId="77777777" w:rsidR="00112E22" w:rsidRPr="000412D8" w:rsidRDefault="00112E22" w:rsidP="001E1AC1">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(n=90)</w:t>
            </w:r>
          </w:p>
        </w:tc>
      </w:tr>
      <w:tr w:rsidR="00112E22" w:rsidRPr="000412D8" w14:paraId="32A8AFC1" w14:textId="77777777" w:rsidTr="00F64BCC">
        <w:trPr>
          <w:trHeight w:val="20"/>
          <w:jc w:val="center"/>
        </w:trPr>
        <w:tc>
          <w:tcPr>
            <w:tcW w:w="1816" w:type="pct"/>
            <w:vMerge/>
            <w:tcBorders>
              <w:top w:val="single" w:sz="4" w:space="0" w:color="auto"/>
              <w:bottom w:val="single" w:sz="4" w:space="0" w:color="auto"/>
            </w:tcBorders>
            <w:shd w:val="clear" w:color="auto" w:fill="auto"/>
            <w:vAlign w:val="center"/>
          </w:tcPr>
          <w:p w14:paraId="5AA6B462" w14:textId="77777777" w:rsidR="00112E22" w:rsidRPr="000412D8" w:rsidRDefault="00112E22" w:rsidP="001E1AC1">
            <w:pPr>
              <w:widowControl w:val="0"/>
              <w:pBdr>
                <w:top w:val="nil"/>
                <w:left w:val="nil"/>
                <w:bottom w:val="nil"/>
                <w:right w:val="nil"/>
                <w:between w:val="nil"/>
              </w:pBdr>
              <w:spacing w:after="0"/>
              <w:jc w:val="both"/>
              <w:rPr>
                <w:rFonts w:ascii="Times New Roman" w:eastAsia="Times New Roman" w:hAnsi="Times New Roman" w:cs="Times New Roman"/>
                <w:b/>
                <w:sz w:val="24"/>
                <w:szCs w:val="24"/>
              </w:rPr>
            </w:pPr>
          </w:p>
        </w:tc>
        <w:tc>
          <w:tcPr>
            <w:tcW w:w="1408" w:type="pct"/>
            <w:tcBorders>
              <w:top w:val="single" w:sz="4" w:space="0" w:color="auto"/>
              <w:bottom w:val="single" w:sz="4" w:space="0" w:color="auto"/>
            </w:tcBorders>
            <w:shd w:val="clear" w:color="auto" w:fill="auto"/>
            <w:vAlign w:val="center"/>
          </w:tcPr>
          <w:p w14:paraId="4862EA98" w14:textId="77777777" w:rsidR="00112E22" w:rsidRPr="000412D8" w:rsidRDefault="00112E22" w:rsidP="001E1AC1">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No.</w:t>
            </w:r>
          </w:p>
        </w:tc>
        <w:tc>
          <w:tcPr>
            <w:tcW w:w="1776" w:type="pct"/>
            <w:tcBorders>
              <w:top w:val="single" w:sz="4" w:space="0" w:color="auto"/>
              <w:bottom w:val="single" w:sz="4" w:space="0" w:color="auto"/>
            </w:tcBorders>
            <w:shd w:val="clear" w:color="auto" w:fill="auto"/>
            <w:vAlign w:val="center"/>
          </w:tcPr>
          <w:p w14:paraId="15CE9EA4" w14:textId="77777777" w:rsidR="00112E22" w:rsidRPr="000412D8" w:rsidRDefault="00112E22" w:rsidP="001E1AC1">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w:t>
            </w:r>
          </w:p>
        </w:tc>
      </w:tr>
      <w:tr w:rsidR="00112E22" w:rsidRPr="000412D8" w14:paraId="41088269" w14:textId="77777777" w:rsidTr="00F64BCC">
        <w:trPr>
          <w:trHeight w:val="20"/>
          <w:jc w:val="center"/>
        </w:trPr>
        <w:tc>
          <w:tcPr>
            <w:tcW w:w="1816" w:type="pct"/>
            <w:tcBorders>
              <w:top w:val="single" w:sz="4" w:space="0" w:color="auto"/>
            </w:tcBorders>
            <w:shd w:val="clear" w:color="auto" w:fill="auto"/>
            <w:vAlign w:val="center"/>
          </w:tcPr>
          <w:p w14:paraId="0C6B3F1B" w14:textId="77777777" w:rsidR="00112E22" w:rsidRPr="000412D8" w:rsidRDefault="00112E22" w:rsidP="001E1AC1">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Gender</w:t>
            </w:r>
          </w:p>
        </w:tc>
        <w:tc>
          <w:tcPr>
            <w:tcW w:w="1408" w:type="pct"/>
            <w:tcBorders>
              <w:top w:val="single" w:sz="4" w:space="0" w:color="auto"/>
            </w:tcBorders>
            <w:shd w:val="clear" w:color="auto" w:fill="auto"/>
            <w:vAlign w:val="center"/>
          </w:tcPr>
          <w:p w14:paraId="0960A6EF" w14:textId="77777777" w:rsidR="00112E22" w:rsidRPr="000412D8" w:rsidRDefault="00112E22" w:rsidP="001E1AC1">
            <w:pPr>
              <w:spacing w:after="0"/>
              <w:jc w:val="both"/>
              <w:rPr>
                <w:rFonts w:ascii="Times New Roman" w:eastAsia="Times New Roman" w:hAnsi="Times New Roman" w:cs="Times New Roman"/>
                <w:b/>
                <w:sz w:val="24"/>
                <w:szCs w:val="24"/>
              </w:rPr>
            </w:pPr>
          </w:p>
        </w:tc>
        <w:tc>
          <w:tcPr>
            <w:tcW w:w="1776" w:type="pct"/>
            <w:tcBorders>
              <w:top w:val="single" w:sz="4" w:space="0" w:color="auto"/>
            </w:tcBorders>
            <w:shd w:val="clear" w:color="auto" w:fill="auto"/>
            <w:vAlign w:val="center"/>
          </w:tcPr>
          <w:p w14:paraId="5BF0D42C" w14:textId="77777777" w:rsidR="00112E22" w:rsidRPr="000412D8" w:rsidRDefault="00112E22" w:rsidP="001E1AC1">
            <w:pPr>
              <w:spacing w:after="0"/>
              <w:jc w:val="both"/>
              <w:rPr>
                <w:rFonts w:ascii="Times New Roman" w:eastAsia="Times New Roman" w:hAnsi="Times New Roman" w:cs="Times New Roman"/>
                <w:b/>
                <w:sz w:val="24"/>
                <w:szCs w:val="24"/>
              </w:rPr>
            </w:pPr>
          </w:p>
        </w:tc>
      </w:tr>
      <w:tr w:rsidR="00112E22" w:rsidRPr="000412D8" w14:paraId="65149AD2" w14:textId="77777777" w:rsidTr="00F64BCC">
        <w:trPr>
          <w:trHeight w:val="20"/>
          <w:jc w:val="center"/>
        </w:trPr>
        <w:tc>
          <w:tcPr>
            <w:tcW w:w="1816" w:type="pct"/>
            <w:shd w:val="clear" w:color="auto" w:fill="auto"/>
            <w:vAlign w:val="center"/>
          </w:tcPr>
          <w:p w14:paraId="7E7FDB98" w14:textId="77777777" w:rsidR="00112E22" w:rsidRPr="000412D8" w:rsidRDefault="00112E22" w:rsidP="001E1AC1">
            <w:pPr>
              <w:spacing w:after="0"/>
              <w:ind w:left="17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Males</w:t>
            </w:r>
          </w:p>
        </w:tc>
        <w:tc>
          <w:tcPr>
            <w:tcW w:w="1408" w:type="pct"/>
            <w:shd w:val="clear" w:color="auto" w:fill="auto"/>
            <w:vAlign w:val="center"/>
          </w:tcPr>
          <w:p w14:paraId="0A18542D" w14:textId="77777777" w:rsidR="00112E22" w:rsidRPr="000412D8" w:rsidRDefault="00112E22" w:rsidP="001E1AC1">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39</w:t>
            </w:r>
          </w:p>
        </w:tc>
        <w:tc>
          <w:tcPr>
            <w:tcW w:w="1776" w:type="pct"/>
            <w:shd w:val="clear" w:color="auto" w:fill="auto"/>
            <w:vAlign w:val="center"/>
          </w:tcPr>
          <w:p w14:paraId="626202DC" w14:textId="77777777" w:rsidR="00112E22" w:rsidRPr="000412D8" w:rsidRDefault="00112E22" w:rsidP="001E1AC1">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43.3%</w:t>
            </w:r>
          </w:p>
        </w:tc>
      </w:tr>
      <w:tr w:rsidR="00112E22" w:rsidRPr="000412D8" w14:paraId="407EF711" w14:textId="77777777" w:rsidTr="00F64BCC">
        <w:trPr>
          <w:trHeight w:val="20"/>
          <w:jc w:val="center"/>
        </w:trPr>
        <w:tc>
          <w:tcPr>
            <w:tcW w:w="1816" w:type="pct"/>
            <w:shd w:val="clear" w:color="auto" w:fill="auto"/>
            <w:vAlign w:val="center"/>
          </w:tcPr>
          <w:p w14:paraId="62844F84" w14:textId="77777777" w:rsidR="00112E22" w:rsidRPr="000412D8" w:rsidRDefault="00112E22" w:rsidP="001E1AC1">
            <w:pPr>
              <w:spacing w:after="0"/>
              <w:ind w:left="17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Females</w:t>
            </w:r>
          </w:p>
        </w:tc>
        <w:tc>
          <w:tcPr>
            <w:tcW w:w="1408" w:type="pct"/>
            <w:shd w:val="clear" w:color="auto" w:fill="auto"/>
            <w:vAlign w:val="center"/>
          </w:tcPr>
          <w:p w14:paraId="08EB6402" w14:textId="77777777" w:rsidR="00112E22" w:rsidRPr="000412D8" w:rsidRDefault="00112E22" w:rsidP="001E1AC1">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51</w:t>
            </w:r>
          </w:p>
        </w:tc>
        <w:tc>
          <w:tcPr>
            <w:tcW w:w="1776" w:type="pct"/>
            <w:shd w:val="clear" w:color="auto" w:fill="auto"/>
            <w:vAlign w:val="center"/>
          </w:tcPr>
          <w:p w14:paraId="4968472A" w14:textId="77777777" w:rsidR="00112E22" w:rsidRPr="000412D8" w:rsidRDefault="00112E22" w:rsidP="001E1AC1">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56.7%</w:t>
            </w:r>
          </w:p>
        </w:tc>
      </w:tr>
      <w:tr w:rsidR="00112E22" w:rsidRPr="000412D8" w14:paraId="078F96F3" w14:textId="77777777" w:rsidTr="00F64BCC">
        <w:trPr>
          <w:trHeight w:val="20"/>
          <w:jc w:val="center"/>
        </w:trPr>
        <w:tc>
          <w:tcPr>
            <w:tcW w:w="1816" w:type="pct"/>
            <w:shd w:val="clear" w:color="auto" w:fill="auto"/>
            <w:vAlign w:val="center"/>
          </w:tcPr>
          <w:p w14:paraId="61D914BA" w14:textId="77777777" w:rsidR="00112E22" w:rsidRPr="000412D8" w:rsidRDefault="00112E22" w:rsidP="001E1AC1">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Age (years)</w:t>
            </w:r>
          </w:p>
        </w:tc>
        <w:tc>
          <w:tcPr>
            <w:tcW w:w="3184" w:type="pct"/>
            <w:gridSpan w:val="2"/>
            <w:shd w:val="clear" w:color="auto" w:fill="auto"/>
            <w:vAlign w:val="center"/>
          </w:tcPr>
          <w:p w14:paraId="5FFCFD55" w14:textId="77777777" w:rsidR="00112E22" w:rsidRPr="000412D8" w:rsidRDefault="00112E22" w:rsidP="001E1AC1">
            <w:pPr>
              <w:spacing w:after="0"/>
              <w:jc w:val="both"/>
              <w:rPr>
                <w:rFonts w:ascii="Times New Roman" w:eastAsia="Times New Roman" w:hAnsi="Times New Roman" w:cs="Times New Roman"/>
                <w:b/>
                <w:sz w:val="24"/>
                <w:szCs w:val="24"/>
              </w:rPr>
            </w:pPr>
          </w:p>
        </w:tc>
      </w:tr>
      <w:tr w:rsidR="00112E22" w:rsidRPr="000412D8" w14:paraId="7AD3990C" w14:textId="77777777" w:rsidTr="00F64BCC">
        <w:trPr>
          <w:trHeight w:val="20"/>
          <w:jc w:val="center"/>
        </w:trPr>
        <w:tc>
          <w:tcPr>
            <w:tcW w:w="1816" w:type="pct"/>
            <w:shd w:val="clear" w:color="auto" w:fill="auto"/>
            <w:vAlign w:val="center"/>
          </w:tcPr>
          <w:p w14:paraId="2A9E9F6D" w14:textId="77777777" w:rsidR="00112E22" w:rsidRPr="000412D8" w:rsidRDefault="00112E22" w:rsidP="001E1AC1">
            <w:pPr>
              <w:spacing w:after="0"/>
              <w:ind w:left="17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Min – Max</w:t>
            </w:r>
          </w:p>
        </w:tc>
        <w:tc>
          <w:tcPr>
            <w:tcW w:w="3184" w:type="pct"/>
            <w:gridSpan w:val="2"/>
            <w:shd w:val="clear" w:color="auto" w:fill="auto"/>
            <w:vAlign w:val="center"/>
          </w:tcPr>
          <w:p w14:paraId="2256E673" w14:textId="77777777" w:rsidR="00112E22" w:rsidRPr="000412D8" w:rsidRDefault="00112E22" w:rsidP="001E1AC1">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20 – 65</w:t>
            </w:r>
          </w:p>
        </w:tc>
      </w:tr>
      <w:tr w:rsidR="00112E22" w:rsidRPr="000412D8" w14:paraId="065790F8" w14:textId="77777777" w:rsidTr="00F64BCC">
        <w:trPr>
          <w:trHeight w:val="20"/>
          <w:jc w:val="center"/>
        </w:trPr>
        <w:tc>
          <w:tcPr>
            <w:tcW w:w="1816" w:type="pct"/>
            <w:shd w:val="clear" w:color="auto" w:fill="auto"/>
            <w:vAlign w:val="center"/>
          </w:tcPr>
          <w:p w14:paraId="22A3684F" w14:textId="77777777" w:rsidR="00112E22" w:rsidRPr="000412D8" w:rsidRDefault="00112E22" w:rsidP="001E1AC1">
            <w:pPr>
              <w:spacing w:after="0"/>
              <w:ind w:left="17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Median (IQR)</w:t>
            </w:r>
          </w:p>
        </w:tc>
        <w:tc>
          <w:tcPr>
            <w:tcW w:w="3184" w:type="pct"/>
            <w:gridSpan w:val="2"/>
            <w:shd w:val="clear" w:color="auto" w:fill="auto"/>
            <w:vAlign w:val="center"/>
          </w:tcPr>
          <w:p w14:paraId="71E5576B" w14:textId="77777777" w:rsidR="00112E22" w:rsidRPr="000412D8" w:rsidRDefault="00112E22" w:rsidP="001E1AC1">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37 (30 – 44)</w:t>
            </w:r>
          </w:p>
        </w:tc>
      </w:tr>
    </w:tbl>
    <w:p w14:paraId="4AA045B0" w14:textId="7B535E59" w:rsidR="00757865" w:rsidRDefault="00D61224" w:rsidP="00EE1B4B">
      <w:pPr>
        <w:spacing w:before="120" w:after="0" w:line="480" w:lineRule="auto"/>
        <w:rPr>
          <w:rFonts w:asciiTheme="majorBidi" w:hAnsiTheme="majorBidi" w:cstheme="majorBidi"/>
          <w:color w:val="000000"/>
          <w:sz w:val="24"/>
          <w:szCs w:val="24"/>
          <w:rtl/>
        </w:rPr>
      </w:pPr>
      <w:r>
        <w:rPr>
          <w:rFonts w:asciiTheme="majorBidi" w:hAnsiTheme="majorBidi" w:cstheme="majorBidi"/>
          <w:sz w:val="24"/>
          <w:szCs w:val="24"/>
        </w:rPr>
        <w:t>2</w:t>
      </w:r>
      <w:r>
        <w:rPr>
          <w:rFonts w:ascii="Times New Roman" w:eastAsia="Times New Roman" w:hAnsi="Times New Roman" w:cs="Times New Roman"/>
          <w:b/>
          <w:bCs/>
          <w:sz w:val="24"/>
          <w:szCs w:val="24"/>
        </w:rPr>
        <w:t xml:space="preserve">. </w:t>
      </w:r>
      <w:r w:rsidRPr="000412D8">
        <w:rPr>
          <w:rFonts w:ascii="Times New Roman" w:eastAsia="Times New Roman" w:hAnsi="Times New Roman" w:cs="Times New Roman"/>
          <w:b/>
          <w:bCs/>
          <w:sz w:val="24"/>
          <w:szCs w:val="24"/>
        </w:rPr>
        <w:t xml:space="preserve">Comparison of </w:t>
      </w:r>
      <w:r w:rsidR="00EE1B4B">
        <w:rPr>
          <w:rFonts w:ascii="Times New Roman" w:eastAsia="Times New Roman" w:hAnsi="Times New Roman" w:cs="Times New Roman"/>
          <w:b/>
          <w:bCs/>
          <w:sz w:val="24"/>
          <w:szCs w:val="24"/>
        </w:rPr>
        <w:t>both</w:t>
      </w:r>
      <w:r>
        <w:rPr>
          <w:rFonts w:ascii="Times New Roman" w:eastAsia="Times New Roman" w:hAnsi="Times New Roman" w:cs="Times New Roman"/>
          <w:b/>
          <w:bCs/>
          <w:sz w:val="24"/>
          <w:szCs w:val="24"/>
        </w:rPr>
        <w:t xml:space="preserve"> Groups as </w:t>
      </w:r>
      <w:r w:rsidR="00CA7D45">
        <w:rPr>
          <w:rFonts w:ascii="Times New Roman" w:eastAsia="Times New Roman" w:hAnsi="Times New Roman" w:cs="Times New Roman"/>
          <w:b/>
          <w:bCs/>
          <w:sz w:val="24"/>
          <w:szCs w:val="24"/>
        </w:rPr>
        <w:t>regards</w:t>
      </w:r>
      <w:r>
        <w:rPr>
          <w:rFonts w:ascii="Times New Roman" w:eastAsia="Times New Roman" w:hAnsi="Times New Roman" w:cs="Times New Roman"/>
          <w:b/>
          <w:bCs/>
          <w:sz w:val="24"/>
          <w:szCs w:val="24"/>
        </w:rPr>
        <w:t xml:space="preserve"> symptoms:</w:t>
      </w:r>
      <w:r>
        <w:rPr>
          <w:rFonts w:asciiTheme="majorBidi" w:hAnsiTheme="majorBidi" w:cstheme="majorBidi"/>
          <w:sz w:val="24"/>
          <w:szCs w:val="24"/>
        </w:rPr>
        <w:br/>
      </w:r>
      <w:r w:rsidR="00692C9B">
        <w:rPr>
          <w:rFonts w:asciiTheme="majorBidi" w:hAnsiTheme="majorBidi" w:cstheme="majorBidi"/>
          <w:sz w:val="24"/>
          <w:szCs w:val="24"/>
        </w:rPr>
        <w:t xml:space="preserve"> </w:t>
      </w:r>
      <w:r w:rsidR="00692C9B">
        <w:rPr>
          <w:rFonts w:asciiTheme="majorBidi" w:hAnsiTheme="majorBidi" w:cstheme="majorBidi"/>
          <w:sz w:val="24"/>
          <w:szCs w:val="24"/>
        </w:rPr>
        <w:tab/>
      </w:r>
      <w:r w:rsidR="00A16AA6" w:rsidRPr="00C0688A">
        <w:rPr>
          <w:rFonts w:asciiTheme="majorBidi" w:hAnsiTheme="majorBidi" w:cstheme="majorBidi"/>
          <w:sz w:val="24"/>
          <w:szCs w:val="24"/>
        </w:rPr>
        <w:t xml:space="preserve">There was </w:t>
      </w:r>
      <w:r w:rsidR="00CA7D45">
        <w:rPr>
          <w:rFonts w:asciiTheme="majorBidi" w:hAnsiTheme="majorBidi" w:cstheme="majorBidi"/>
          <w:sz w:val="24"/>
          <w:szCs w:val="24"/>
        </w:rPr>
        <w:t>a statistically</w:t>
      </w:r>
      <w:r w:rsidR="00A16AA6" w:rsidRPr="00C0688A">
        <w:rPr>
          <w:rFonts w:asciiTheme="majorBidi" w:hAnsiTheme="majorBidi" w:cstheme="majorBidi"/>
          <w:sz w:val="24"/>
          <w:szCs w:val="24"/>
        </w:rPr>
        <w:t xml:space="preserve"> significant difference in symptoms between group A and group B, with group A experiencing higher levels of dyspepsia, anorexia, nausea, and vomiting </w:t>
      </w:r>
      <w:r w:rsidR="00A16AA6" w:rsidRPr="00C0688A">
        <w:rPr>
          <w:rFonts w:asciiTheme="majorBidi" w:hAnsiTheme="majorBidi" w:cstheme="majorBidi"/>
          <w:b/>
          <w:bCs/>
          <w:color w:val="000000"/>
          <w:sz w:val="24"/>
          <w:szCs w:val="24"/>
        </w:rPr>
        <w:t>(</w:t>
      </w:r>
      <w:r w:rsidR="00B82E39">
        <w:rPr>
          <w:rFonts w:asciiTheme="majorBidi" w:hAnsiTheme="majorBidi" w:cstheme="majorBidi"/>
          <w:color w:val="000000"/>
          <w:sz w:val="24"/>
          <w:szCs w:val="24"/>
        </w:rPr>
        <w:t>Tab</w:t>
      </w:r>
      <w:r w:rsidR="008A19B9">
        <w:rPr>
          <w:rFonts w:asciiTheme="majorBidi" w:hAnsiTheme="majorBidi" w:cstheme="majorBidi"/>
          <w:color w:val="000000"/>
          <w:sz w:val="24"/>
          <w:szCs w:val="24"/>
        </w:rPr>
        <w:t xml:space="preserve"> 2</w:t>
      </w:r>
      <w:r w:rsidR="00A16AA6" w:rsidRPr="00C0688A">
        <w:rPr>
          <w:rFonts w:asciiTheme="majorBidi" w:hAnsiTheme="majorBidi" w:cstheme="majorBidi"/>
          <w:color w:val="000000"/>
          <w:sz w:val="24"/>
          <w:szCs w:val="24"/>
        </w:rPr>
        <w:t>)</w:t>
      </w:r>
      <w:r w:rsidR="00EA3806">
        <w:rPr>
          <w:rFonts w:asciiTheme="majorBidi" w:hAnsiTheme="majorBidi" w:cstheme="majorBidi"/>
          <w:color w:val="000000"/>
          <w:sz w:val="24"/>
          <w:szCs w:val="24"/>
        </w:rPr>
        <w:t>.</w:t>
      </w:r>
    </w:p>
    <w:p w14:paraId="74D76A13" w14:textId="4E160950" w:rsidR="00EA3806" w:rsidRPr="00EA3806" w:rsidRDefault="00EA3806" w:rsidP="00EA3806">
      <w:pPr>
        <w:pStyle w:val="Caption"/>
        <w:keepNext/>
      </w:pPr>
      <w:r>
        <w:t xml:space="preserve">Tab </w:t>
      </w:r>
      <w:fldSimple w:instr=" SEQ Table \* ARABIC ">
        <w:r w:rsidR="00B97D4E">
          <w:rPr>
            <w:noProof/>
          </w:rPr>
          <w:t>2</w:t>
        </w:r>
      </w:fldSimple>
      <w:r>
        <w:t xml:space="preserve">. </w:t>
      </w:r>
      <w:r w:rsidRPr="00EA3806">
        <w:t>Comparison of symptoms in both groups.</w:t>
      </w:r>
    </w:p>
    <w:tbl>
      <w:tblPr>
        <w:tblW w:w="5000" w:type="pct"/>
        <w:jc w:val="center"/>
        <w:tblBorders>
          <w:top w:val="single" w:sz="4" w:space="0" w:color="auto"/>
          <w:bottom w:val="single" w:sz="4" w:space="0" w:color="auto"/>
        </w:tblBorders>
        <w:tblLook w:val="0400" w:firstRow="0" w:lastRow="0" w:firstColumn="0" w:lastColumn="0" w:noHBand="0" w:noVBand="1"/>
        <w:tblCaption w:val="Tab 2. Comparison of symptoms in both groups."/>
      </w:tblPr>
      <w:tblGrid>
        <w:gridCol w:w="1687"/>
        <w:gridCol w:w="1145"/>
        <w:gridCol w:w="1638"/>
        <w:gridCol w:w="1330"/>
        <w:gridCol w:w="1332"/>
        <w:gridCol w:w="1939"/>
      </w:tblGrid>
      <w:tr w:rsidR="003E3BBF" w:rsidRPr="000412D8" w14:paraId="77FFBDCD" w14:textId="77777777" w:rsidTr="00EA3806">
        <w:trPr>
          <w:trHeight w:val="20"/>
          <w:jc w:val="center"/>
        </w:trPr>
        <w:tc>
          <w:tcPr>
            <w:tcW w:w="930" w:type="pct"/>
            <w:vMerge w:val="restart"/>
            <w:tcBorders>
              <w:top w:val="single" w:sz="4" w:space="0" w:color="auto"/>
              <w:bottom w:val="single" w:sz="4" w:space="0" w:color="auto"/>
            </w:tcBorders>
            <w:shd w:val="clear" w:color="auto" w:fill="auto"/>
            <w:vAlign w:val="center"/>
          </w:tcPr>
          <w:p w14:paraId="50197D61" w14:textId="77777777" w:rsidR="003E3BBF" w:rsidRPr="000412D8" w:rsidRDefault="003E3BBF" w:rsidP="006870FF">
            <w:pPr>
              <w:spacing w:after="0"/>
              <w:jc w:val="both"/>
              <w:rPr>
                <w:rFonts w:ascii="Times New Roman" w:eastAsia="Times New Roman" w:hAnsi="Times New Roman" w:cs="Times New Roman"/>
                <w:b/>
                <w:sz w:val="24"/>
                <w:szCs w:val="24"/>
              </w:rPr>
            </w:pPr>
          </w:p>
        </w:tc>
        <w:tc>
          <w:tcPr>
            <w:tcW w:w="1534" w:type="pct"/>
            <w:gridSpan w:val="2"/>
            <w:tcBorders>
              <w:top w:val="single" w:sz="4" w:space="0" w:color="auto"/>
              <w:bottom w:val="single" w:sz="4" w:space="0" w:color="auto"/>
            </w:tcBorders>
            <w:shd w:val="clear" w:color="auto" w:fill="auto"/>
            <w:vAlign w:val="center"/>
          </w:tcPr>
          <w:p w14:paraId="7CEBC807"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Group A</w:t>
            </w:r>
          </w:p>
          <w:p w14:paraId="7C65B3EB"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(n=90)</w:t>
            </w:r>
          </w:p>
        </w:tc>
        <w:tc>
          <w:tcPr>
            <w:tcW w:w="1467" w:type="pct"/>
            <w:gridSpan w:val="2"/>
            <w:tcBorders>
              <w:top w:val="single" w:sz="4" w:space="0" w:color="auto"/>
              <w:bottom w:val="single" w:sz="4" w:space="0" w:color="auto"/>
            </w:tcBorders>
            <w:shd w:val="clear" w:color="auto" w:fill="auto"/>
            <w:vAlign w:val="center"/>
          </w:tcPr>
          <w:p w14:paraId="64B4367B"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Group B</w:t>
            </w:r>
          </w:p>
          <w:p w14:paraId="709AED1D"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(n=90)</w:t>
            </w:r>
          </w:p>
        </w:tc>
        <w:tc>
          <w:tcPr>
            <w:tcW w:w="1069" w:type="pct"/>
            <w:vMerge w:val="restart"/>
            <w:tcBorders>
              <w:top w:val="single" w:sz="4" w:space="0" w:color="auto"/>
              <w:bottom w:val="single" w:sz="4" w:space="0" w:color="auto"/>
            </w:tcBorders>
            <w:shd w:val="clear" w:color="auto" w:fill="auto"/>
            <w:vAlign w:val="center"/>
          </w:tcPr>
          <w:p w14:paraId="1FD2E09E"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P-value</w:t>
            </w:r>
          </w:p>
        </w:tc>
      </w:tr>
      <w:tr w:rsidR="003E3BBF" w:rsidRPr="000412D8" w14:paraId="74A7C9E9" w14:textId="77777777" w:rsidTr="00EA3806">
        <w:trPr>
          <w:trHeight w:val="20"/>
          <w:jc w:val="center"/>
        </w:trPr>
        <w:tc>
          <w:tcPr>
            <w:tcW w:w="930" w:type="pct"/>
            <w:vMerge/>
            <w:tcBorders>
              <w:top w:val="single" w:sz="4" w:space="0" w:color="auto"/>
              <w:bottom w:val="single" w:sz="4" w:space="0" w:color="auto"/>
            </w:tcBorders>
            <w:shd w:val="clear" w:color="auto" w:fill="auto"/>
            <w:vAlign w:val="center"/>
          </w:tcPr>
          <w:p w14:paraId="29215F5B" w14:textId="77777777" w:rsidR="003E3BBF" w:rsidRPr="000412D8" w:rsidRDefault="003E3BBF" w:rsidP="006870FF">
            <w:pPr>
              <w:widowControl w:val="0"/>
              <w:pBdr>
                <w:top w:val="nil"/>
                <w:left w:val="nil"/>
                <w:bottom w:val="nil"/>
                <w:right w:val="nil"/>
                <w:between w:val="nil"/>
              </w:pBdr>
              <w:spacing w:after="0"/>
              <w:jc w:val="both"/>
              <w:rPr>
                <w:rFonts w:ascii="Times New Roman" w:eastAsia="Times New Roman" w:hAnsi="Times New Roman" w:cs="Times New Roman"/>
                <w:b/>
                <w:sz w:val="24"/>
                <w:szCs w:val="24"/>
              </w:rPr>
            </w:pPr>
          </w:p>
        </w:tc>
        <w:tc>
          <w:tcPr>
            <w:tcW w:w="631" w:type="pct"/>
            <w:tcBorders>
              <w:top w:val="single" w:sz="4" w:space="0" w:color="auto"/>
              <w:bottom w:val="single" w:sz="4" w:space="0" w:color="auto"/>
            </w:tcBorders>
            <w:shd w:val="clear" w:color="auto" w:fill="auto"/>
            <w:vAlign w:val="center"/>
          </w:tcPr>
          <w:p w14:paraId="0053DF88"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No.</w:t>
            </w:r>
          </w:p>
        </w:tc>
        <w:tc>
          <w:tcPr>
            <w:tcW w:w="903" w:type="pct"/>
            <w:tcBorders>
              <w:top w:val="single" w:sz="4" w:space="0" w:color="auto"/>
              <w:bottom w:val="single" w:sz="4" w:space="0" w:color="auto"/>
            </w:tcBorders>
            <w:shd w:val="clear" w:color="auto" w:fill="auto"/>
            <w:vAlign w:val="center"/>
          </w:tcPr>
          <w:p w14:paraId="2CB32419"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w:t>
            </w:r>
          </w:p>
        </w:tc>
        <w:tc>
          <w:tcPr>
            <w:tcW w:w="733" w:type="pct"/>
            <w:tcBorders>
              <w:top w:val="single" w:sz="4" w:space="0" w:color="auto"/>
              <w:bottom w:val="single" w:sz="4" w:space="0" w:color="auto"/>
            </w:tcBorders>
            <w:shd w:val="clear" w:color="auto" w:fill="auto"/>
            <w:vAlign w:val="center"/>
          </w:tcPr>
          <w:p w14:paraId="6F7C95B1"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No.</w:t>
            </w:r>
          </w:p>
        </w:tc>
        <w:tc>
          <w:tcPr>
            <w:tcW w:w="734" w:type="pct"/>
            <w:tcBorders>
              <w:top w:val="single" w:sz="4" w:space="0" w:color="auto"/>
              <w:bottom w:val="single" w:sz="4" w:space="0" w:color="auto"/>
            </w:tcBorders>
            <w:shd w:val="clear" w:color="auto" w:fill="auto"/>
            <w:vAlign w:val="center"/>
          </w:tcPr>
          <w:p w14:paraId="1987A1E3"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w:t>
            </w:r>
          </w:p>
        </w:tc>
        <w:tc>
          <w:tcPr>
            <w:tcW w:w="1069" w:type="pct"/>
            <w:vMerge/>
            <w:tcBorders>
              <w:top w:val="single" w:sz="4" w:space="0" w:color="auto"/>
              <w:bottom w:val="single" w:sz="4" w:space="0" w:color="auto"/>
            </w:tcBorders>
            <w:shd w:val="clear" w:color="auto" w:fill="auto"/>
            <w:vAlign w:val="center"/>
          </w:tcPr>
          <w:p w14:paraId="379F485C" w14:textId="77777777" w:rsidR="003E3BBF" w:rsidRPr="000412D8" w:rsidRDefault="003E3BBF" w:rsidP="006870FF">
            <w:pPr>
              <w:widowControl w:val="0"/>
              <w:pBdr>
                <w:top w:val="nil"/>
                <w:left w:val="nil"/>
                <w:bottom w:val="nil"/>
                <w:right w:val="nil"/>
                <w:between w:val="nil"/>
              </w:pBdr>
              <w:spacing w:after="0"/>
              <w:jc w:val="both"/>
              <w:rPr>
                <w:rFonts w:ascii="Times New Roman" w:eastAsia="Times New Roman" w:hAnsi="Times New Roman" w:cs="Times New Roman"/>
                <w:b/>
                <w:sz w:val="24"/>
                <w:szCs w:val="24"/>
              </w:rPr>
            </w:pPr>
          </w:p>
        </w:tc>
      </w:tr>
      <w:tr w:rsidR="003E3BBF" w:rsidRPr="000412D8" w14:paraId="6FD4F933" w14:textId="77777777" w:rsidTr="00EA3806">
        <w:trPr>
          <w:trHeight w:val="20"/>
          <w:jc w:val="center"/>
        </w:trPr>
        <w:tc>
          <w:tcPr>
            <w:tcW w:w="930" w:type="pct"/>
            <w:tcBorders>
              <w:top w:val="single" w:sz="4" w:space="0" w:color="auto"/>
            </w:tcBorders>
            <w:shd w:val="clear" w:color="auto" w:fill="auto"/>
            <w:vAlign w:val="center"/>
          </w:tcPr>
          <w:p w14:paraId="63F9DD56"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Dyspepsia</w:t>
            </w:r>
          </w:p>
        </w:tc>
        <w:tc>
          <w:tcPr>
            <w:tcW w:w="631" w:type="pct"/>
            <w:tcBorders>
              <w:top w:val="single" w:sz="4" w:space="0" w:color="auto"/>
            </w:tcBorders>
            <w:shd w:val="clear" w:color="auto" w:fill="auto"/>
            <w:vAlign w:val="center"/>
          </w:tcPr>
          <w:p w14:paraId="03AD2974"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54</w:t>
            </w:r>
          </w:p>
        </w:tc>
        <w:tc>
          <w:tcPr>
            <w:tcW w:w="903" w:type="pct"/>
            <w:tcBorders>
              <w:top w:val="single" w:sz="4" w:space="0" w:color="auto"/>
            </w:tcBorders>
            <w:shd w:val="clear" w:color="auto" w:fill="auto"/>
            <w:vAlign w:val="center"/>
          </w:tcPr>
          <w:p w14:paraId="251BE843"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60%</w:t>
            </w:r>
          </w:p>
        </w:tc>
        <w:tc>
          <w:tcPr>
            <w:tcW w:w="733" w:type="pct"/>
            <w:tcBorders>
              <w:top w:val="single" w:sz="4" w:space="0" w:color="auto"/>
            </w:tcBorders>
            <w:shd w:val="clear" w:color="auto" w:fill="auto"/>
            <w:vAlign w:val="center"/>
          </w:tcPr>
          <w:p w14:paraId="3AAA10C1"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14</w:t>
            </w:r>
          </w:p>
        </w:tc>
        <w:tc>
          <w:tcPr>
            <w:tcW w:w="734" w:type="pct"/>
            <w:tcBorders>
              <w:top w:val="single" w:sz="4" w:space="0" w:color="auto"/>
            </w:tcBorders>
            <w:shd w:val="clear" w:color="auto" w:fill="auto"/>
            <w:vAlign w:val="center"/>
          </w:tcPr>
          <w:p w14:paraId="2951A1B8"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15.6%</w:t>
            </w:r>
          </w:p>
        </w:tc>
        <w:tc>
          <w:tcPr>
            <w:tcW w:w="1069" w:type="pct"/>
            <w:tcBorders>
              <w:top w:val="single" w:sz="4" w:space="0" w:color="auto"/>
            </w:tcBorders>
            <w:shd w:val="clear" w:color="auto" w:fill="auto"/>
            <w:vAlign w:val="center"/>
          </w:tcPr>
          <w:p w14:paraId="48D35E49"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&lt;0.001*</w:t>
            </w:r>
          </w:p>
        </w:tc>
      </w:tr>
      <w:tr w:rsidR="003E3BBF" w:rsidRPr="000412D8" w14:paraId="5E4946A4" w14:textId="77777777" w:rsidTr="00EA3806">
        <w:trPr>
          <w:trHeight w:val="20"/>
          <w:jc w:val="center"/>
        </w:trPr>
        <w:tc>
          <w:tcPr>
            <w:tcW w:w="930" w:type="pct"/>
            <w:shd w:val="clear" w:color="auto" w:fill="auto"/>
            <w:vAlign w:val="center"/>
          </w:tcPr>
          <w:p w14:paraId="5868FBD5"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Anorexia</w:t>
            </w:r>
          </w:p>
        </w:tc>
        <w:tc>
          <w:tcPr>
            <w:tcW w:w="631" w:type="pct"/>
            <w:shd w:val="clear" w:color="auto" w:fill="auto"/>
            <w:vAlign w:val="center"/>
          </w:tcPr>
          <w:p w14:paraId="4E920035"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16</w:t>
            </w:r>
          </w:p>
        </w:tc>
        <w:tc>
          <w:tcPr>
            <w:tcW w:w="903" w:type="pct"/>
            <w:shd w:val="clear" w:color="auto" w:fill="auto"/>
            <w:vAlign w:val="center"/>
          </w:tcPr>
          <w:p w14:paraId="521EC553"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17.8%</w:t>
            </w:r>
          </w:p>
        </w:tc>
        <w:tc>
          <w:tcPr>
            <w:tcW w:w="733" w:type="pct"/>
            <w:shd w:val="clear" w:color="auto" w:fill="auto"/>
            <w:vAlign w:val="center"/>
          </w:tcPr>
          <w:p w14:paraId="0184D35A"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4</w:t>
            </w:r>
          </w:p>
        </w:tc>
        <w:tc>
          <w:tcPr>
            <w:tcW w:w="734" w:type="pct"/>
            <w:shd w:val="clear" w:color="auto" w:fill="auto"/>
            <w:vAlign w:val="center"/>
          </w:tcPr>
          <w:p w14:paraId="5FACE123"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4.4%</w:t>
            </w:r>
          </w:p>
        </w:tc>
        <w:tc>
          <w:tcPr>
            <w:tcW w:w="1069" w:type="pct"/>
            <w:shd w:val="clear" w:color="auto" w:fill="auto"/>
            <w:vAlign w:val="center"/>
          </w:tcPr>
          <w:p w14:paraId="3FCE0958"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0.004*</w:t>
            </w:r>
          </w:p>
        </w:tc>
      </w:tr>
      <w:tr w:rsidR="003E3BBF" w:rsidRPr="000412D8" w14:paraId="1A538E8A" w14:textId="77777777" w:rsidTr="00EA3806">
        <w:trPr>
          <w:trHeight w:val="20"/>
          <w:jc w:val="center"/>
        </w:trPr>
        <w:tc>
          <w:tcPr>
            <w:tcW w:w="930" w:type="pct"/>
            <w:shd w:val="clear" w:color="auto" w:fill="auto"/>
            <w:vAlign w:val="center"/>
          </w:tcPr>
          <w:p w14:paraId="3C27DAF8"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Nausea</w:t>
            </w:r>
          </w:p>
        </w:tc>
        <w:tc>
          <w:tcPr>
            <w:tcW w:w="631" w:type="pct"/>
            <w:shd w:val="clear" w:color="auto" w:fill="auto"/>
            <w:vAlign w:val="center"/>
          </w:tcPr>
          <w:p w14:paraId="60082A51"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11</w:t>
            </w:r>
          </w:p>
        </w:tc>
        <w:tc>
          <w:tcPr>
            <w:tcW w:w="903" w:type="pct"/>
            <w:shd w:val="clear" w:color="auto" w:fill="auto"/>
            <w:vAlign w:val="center"/>
          </w:tcPr>
          <w:p w14:paraId="344C578B"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12.2%</w:t>
            </w:r>
          </w:p>
        </w:tc>
        <w:tc>
          <w:tcPr>
            <w:tcW w:w="733" w:type="pct"/>
            <w:shd w:val="clear" w:color="auto" w:fill="auto"/>
            <w:vAlign w:val="center"/>
          </w:tcPr>
          <w:p w14:paraId="6FC73B79"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0</w:t>
            </w:r>
          </w:p>
        </w:tc>
        <w:tc>
          <w:tcPr>
            <w:tcW w:w="734" w:type="pct"/>
            <w:shd w:val="clear" w:color="auto" w:fill="auto"/>
            <w:vAlign w:val="center"/>
          </w:tcPr>
          <w:p w14:paraId="494171D7"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0%</w:t>
            </w:r>
          </w:p>
        </w:tc>
        <w:tc>
          <w:tcPr>
            <w:tcW w:w="1069" w:type="pct"/>
            <w:shd w:val="clear" w:color="auto" w:fill="auto"/>
            <w:vAlign w:val="center"/>
          </w:tcPr>
          <w:p w14:paraId="4E1BC4A3"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&lt; 0.001*</w:t>
            </w:r>
          </w:p>
        </w:tc>
      </w:tr>
      <w:tr w:rsidR="003E3BBF" w:rsidRPr="000412D8" w14:paraId="27E2ABDE" w14:textId="77777777" w:rsidTr="00EA3806">
        <w:trPr>
          <w:trHeight w:val="20"/>
          <w:jc w:val="center"/>
        </w:trPr>
        <w:tc>
          <w:tcPr>
            <w:tcW w:w="930" w:type="pct"/>
            <w:shd w:val="clear" w:color="auto" w:fill="auto"/>
            <w:vAlign w:val="center"/>
          </w:tcPr>
          <w:p w14:paraId="128FF823" w14:textId="77777777" w:rsidR="003E3BBF" w:rsidRPr="000412D8" w:rsidRDefault="003E3BBF" w:rsidP="006870FF">
            <w:pPr>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Vomiting</w:t>
            </w:r>
          </w:p>
        </w:tc>
        <w:tc>
          <w:tcPr>
            <w:tcW w:w="631" w:type="pct"/>
            <w:shd w:val="clear" w:color="auto" w:fill="auto"/>
            <w:vAlign w:val="center"/>
          </w:tcPr>
          <w:p w14:paraId="382F0C70"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21</w:t>
            </w:r>
          </w:p>
        </w:tc>
        <w:tc>
          <w:tcPr>
            <w:tcW w:w="903" w:type="pct"/>
            <w:shd w:val="clear" w:color="auto" w:fill="auto"/>
            <w:vAlign w:val="center"/>
          </w:tcPr>
          <w:p w14:paraId="7FFD0797"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23.3%</w:t>
            </w:r>
          </w:p>
        </w:tc>
        <w:tc>
          <w:tcPr>
            <w:tcW w:w="733" w:type="pct"/>
            <w:shd w:val="clear" w:color="auto" w:fill="auto"/>
            <w:vAlign w:val="center"/>
          </w:tcPr>
          <w:p w14:paraId="29192311"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4</w:t>
            </w:r>
          </w:p>
        </w:tc>
        <w:tc>
          <w:tcPr>
            <w:tcW w:w="734" w:type="pct"/>
            <w:shd w:val="clear" w:color="auto" w:fill="auto"/>
            <w:vAlign w:val="center"/>
          </w:tcPr>
          <w:p w14:paraId="44631CB7" w14:textId="77777777" w:rsidR="003E3BBF" w:rsidRPr="000412D8" w:rsidRDefault="003E3BBF" w:rsidP="006870FF">
            <w:pPr>
              <w:spacing w:after="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4.4%</w:t>
            </w:r>
          </w:p>
        </w:tc>
        <w:tc>
          <w:tcPr>
            <w:tcW w:w="1069" w:type="pct"/>
            <w:shd w:val="clear" w:color="auto" w:fill="auto"/>
            <w:vAlign w:val="center"/>
          </w:tcPr>
          <w:p w14:paraId="34F4A174" w14:textId="77777777" w:rsidR="003E3BBF" w:rsidRPr="000412D8" w:rsidRDefault="003E3BBF" w:rsidP="00EA3806">
            <w:pPr>
              <w:keepNext/>
              <w:spacing w:after="0"/>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&lt; 0.001*</w:t>
            </w:r>
          </w:p>
        </w:tc>
      </w:tr>
    </w:tbl>
    <w:p w14:paraId="3DE1DC36" w14:textId="77777777" w:rsidR="00EA3806" w:rsidRPr="00EA3806" w:rsidRDefault="00EA3806" w:rsidP="00EA3806">
      <w:pPr>
        <w:spacing w:before="120" w:after="0" w:line="360" w:lineRule="auto"/>
        <w:rPr>
          <w:bCs/>
          <w:i/>
          <w:iCs/>
          <w:color w:val="44546A"/>
          <w:sz w:val="18"/>
          <w:szCs w:val="18"/>
          <w:rtl/>
        </w:rPr>
      </w:pPr>
      <w:bookmarkStart w:id="5" w:name="_30j0zll" w:colFirst="0" w:colLast="0"/>
      <w:bookmarkEnd w:id="5"/>
      <w:r w:rsidRPr="00EA3806">
        <w:rPr>
          <w:bCs/>
          <w:i/>
          <w:iCs/>
          <w:color w:val="44546A"/>
          <w:sz w:val="18"/>
          <w:szCs w:val="18"/>
        </w:rPr>
        <w:t>X</w:t>
      </w:r>
      <w:r w:rsidRPr="00EA3806">
        <w:rPr>
          <w:bCs/>
          <w:i/>
          <w:iCs/>
          <w:color w:val="44546A"/>
          <w:sz w:val="18"/>
          <w:szCs w:val="18"/>
          <w:vertAlign w:val="superscript"/>
        </w:rPr>
        <w:t>2</w:t>
      </w:r>
      <w:r w:rsidRPr="00EA3806">
        <w:rPr>
          <w:bCs/>
          <w:i/>
          <w:iCs/>
          <w:color w:val="44546A"/>
          <w:sz w:val="18"/>
          <w:szCs w:val="18"/>
        </w:rPr>
        <w:t xml:space="preserve">: Chi-square test. *: Statistically significant at p &lt; 0.05. Group A: before treatment. Group B: the same patients </w:t>
      </w:r>
      <w:proofErr w:type="gramStart"/>
      <w:r w:rsidRPr="00EA3806">
        <w:rPr>
          <w:bCs/>
          <w:i/>
          <w:iCs/>
          <w:color w:val="44546A"/>
          <w:sz w:val="18"/>
          <w:szCs w:val="18"/>
        </w:rPr>
        <w:t>of</w:t>
      </w:r>
      <w:proofErr w:type="gramEnd"/>
      <w:r w:rsidRPr="00EA3806">
        <w:rPr>
          <w:bCs/>
          <w:i/>
          <w:iCs/>
          <w:color w:val="44546A"/>
          <w:sz w:val="18"/>
          <w:szCs w:val="18"/>
        </w:rPr>
        <w:t xml:space="preserve"> group A but after 1 month of treatment.</w:t>
      </w:r>
    </w:p>
    <w:p w14:paraId="54AD5960" w14:textId="57C24769" w:rsidR="00292BBD" w:rsidRDefault="007F13E9" w:rsidP="008A5AF0">
      <w:pPr>
        <w:spacing w:before="120" w:after="0" w:line="360" w:lineRule="auto"/>
        <w:rPr>
          <w:rFonts w:asciiTheme="majorBidi" w:eastAsia="Times New Roman" w:hAnsiTheme="majorBidi" w:cstheme="majorBidi"/>
          <w:sz w:val="24"/>
          <w:szCs w:val="24"/>
        </w:rPr>
      </w:pPr>
      <w:r w:rsidRPr="005E06CF">
        <w:rPr>
          <w:rFonts w:ascii="Times New Roman" w:eastAsia="Times New Roman" w:hAnsi="Times New Roman" w:cs="Times New Roman"/>
          <w:b/>
          <w:bCs/>
          <w:sz w:val="24"/>
          <w:szCs w:val="24"/>
        </w:rPr>
        <w:t xml:space="preserve">3. Comparison of </w:t>
      </w:r>
      <w:r w:rsidR="008A5AF0">
        <w:rPr>
          <w:rFonts w:ascii="Times New Roman" w:eastAsia="Times New Roman" w:hAnsi="Times New Roman" w:cs="Times New Roman"/>
          <w:b/>
          <w:bCs/>
          <w:sz w:val="24"/>
          <w:szCs w:val="24"/>
        </w:rPr>
        <w:t>both</w:t>
      </w:r>
      <w:r w:rsidRPr="005E06CF">
        <w:rPr>
          <w:rFonts w:ascii="Times New Roman" w:eastAsia="Times New Roman" w:hAnsi="Times New Roman" w:cs="Times New Roman"/>
          <w:b/>
          <w:bCs/>
          <w:sz w:val="24"/>
          <w:szCs w:val="24"/>
        </w:rPr>
        <w:t xml:space="preserve"> groups regard</w:t>
      </w:r>
      <w:r w:rsidR="008A5AF0">
        <w:rPr>
          <w:rFonts w:ascii="Times New Roman" w:eastAsia="Times New Roman" w:hAnsi="Times New Roman" w:cs="Times New Roman"/>
          <w:b/>
          <w:bCs/>
          <w:sz w:val="24"/>
          <w:szCs w:val="24"/>
        </w:rPr>
        <w:t>ing CBC, iron</w:t>
      </w:r>
      <w:r w:rsidRPr="005E06CF">
        <w:rPr>
          <w:rFonts w:ascii="Times New Roman" w:eastAsia="Times New Roman" w:hAnsi="Times New Roman" w:cs="Times New Roman"/>
          <w:b/>
          <w:bCs/>
          <w:sz w:val="24"/>
          <w:szCs w:val="24"/>
        </w:rPr>
        <w:t xml:space="preserve">, lipid profile, liver </w:t>
      </w:r>
      <w:r w:rsidR="007A52FE">
        <w:rPr>
          <w:rFonts w:ascii="Times New Roman" w:eastAsia="Times New Roman" w:hAnsi="Times New Roman" w:cs="Times New Roman"/>
          <w:b/>
          <w:bCs/>
          <w:sz w:val="24"/>
          <w:szCs w:val="24"/>
        </w:rPr>
        <w:t>enzyme</w:t>
      </w:r>
      <w:r w:rsidR="008A5AF0">
        <w:rPr>
          <w:rFonts w:ascii="Times New Roman" w:eastAsia="Times New Roman" w:hAnsi="Times New Roman" w:cs="Times New Roman"/>
          <w:b/>
          <w:bCs/>
          <w:sz w:val="24"/>
          <w:szCs w:val="24"/>
        </w:rPr>
        <w:t>s</w:t>
      </w:r>
      <w:r w:rsidR="00FA16A9">
        <w:rPr>
          <w:rFonts w:ascii="Times New Roman" w:eastAsia="Times New Roman" w:hAnsi="Times New Roman" w:cs="Times New Roman"/>
          <w:b/>
          <w:bCs/>
          <w:sz w:val="24"/>
          <w:szCs w:val="24"/>
        </w:rPr>
        <w:t xml:space="preserve">, </w:t>
      </w:r>
      <w:r w:rsidR="00CA7D45">
        <w:rPr>
          <w:rFonts w:ascii="Times New Roman" w:eastAsia="Times New Roman" w:hAnsi="Times New Roman" w:cs="Times New Roman"/>
          <w:b/>
          <w:bCs/>
          <w:sz w:val="24"/>
          <w:szCs w:val="24"/>
        </w:rPr>
        <w:t xml:space="preserve">and </w:t>
      </w:r>
      <w:r w:rsidR="00FA16A9">
        <w:rPr>
          <w:rFonts w:ascii="Times New Roman" w:eastAsia="Times New Roman" w:hAnsi="Times New Roman" w:cs="Times New Roman"/>
          <w:b/>
          <w:bCs/>
          <w:sz w:val="24"/>
          <w:szCs w:val="24"/>
        </w:rPr>
        <w:t>bilirubin</w:t>
      </w:r>
      <w:r w:rsidR="008A5AF0">
        <w:rPr>
          <w:rFonts w:ascii="Times New Roman" w:eastAsia="Times New Roman" w:hAnsi="Times New Roman" w:cs="Times New Roman"/>
          <w:b/>
          <w:bCs/>
          <w:sz w:val="24"/>
          <w:szCs w:val="24"/>
        </w:rPr>
        <w:t>:</w:t>
      </w:r>
    </w:p>
    <w:p w14:paraId="27BE644B" w14:textId="79D48568" w:rsidR="00292BBD" w:rsidRPr="00292BBD" w:rsidRDefault="00285A79" w:rsidP="00DF25F7">
      <w:pPr>
        <w:spacing w:before="120" w:after="0" w:line="480" w:lineRule="auto"/>
        <w:ind w:firstLine="567"/>
        <w:jc w:val="both"/>
        <w:rPr>
          <w:rFonts w:asciiTheme="majorBidi" w:eastAsia="Times New Roman" w:hAnsiTheme="majorBidi" w:cstheme="majorBidi"/>
          <w:spacing w:val="-4"/>
          <w:sz w:val="24"/>
          <w:szCs w:val="24"/>
        </w:rPr>
      </w:pPr>
      <w:r>
        <w:rPr>
          <w:rFonts w:asciiTheme="majorBidi" w:eastAsia="Times New Roman" w:hAnsiTheme="majorBidi" w:cstheme="majorBidi"/>
          <w:sz w:val="24"/>
          <w:szCs w:val="24"/>
        </w:rPr>
        <w:t xml:space="preserve">There was </w:t>
      </w:r>
      <w:r w:rsidR="00B64CB8">
        <w:rPr>
          <w:rFonts w:asciiTheme="majorBidi" w:eastAsia="Times New Roman" w:hAnsiTheme="majorBidi" w:cstheme="majorBidi"/>
          <w:sz w:val="24"/>
          <w:szCs w:val="24"/>
        </w:rPr>
        <w:t>n</w:t>
      </w:r>
      <w:r w:rsidR="00292BBD" w:rsidRPr="00C0688A">
        <w:rPr>
          <w:rFonts w:asciiTheme="majorBidi" w:eastAsia="Times New Roman" w:hAnsiTheme="majorBidi" w:cstheme="majorBidi"/>
          <w:sz w:val="24"/>
          <w:szCs w:val="24"/>
        </w:rPr>
        <w:t>o statistically significant di</w:t>
      </w:r>
      <w:r w:rsidR="001A71F3">
        <w:rPr>
          <w:rFonts w:asciiTheme="majorBidi" w:eastAsia="Times New Roman" w:hAnsiTheme="majorBidi" w:cstheme="majorBidi"/>
          <w:sz w:val="24"/>
          <w:szCs w:val="24"/>
        </w:rPr>
        <w:t>fference in RBCs</w:t>
      </w:r>
      <w:r>
        <w:rPr>
          <w:rFonts w:asciiTheme="majorBidi" w:eastAsia="Times New Roman" w:hAnsiTheme="majorBidi" w:cstheme="majorBidi"/>
          <w:sz w:val="24"/>
          <w:szCs w:val="24"/>
        </w:rPr>
        <w:t xml:space="preserve"> and WBCs</w:t>
      </w:r>
      <w:r w:rsidR="00060872">
        <w:rPr>
          <w:rFonts w:asciiTheme="majorBidi" w:eastAsia="Times New Roman" w:hAnsiTheme="majorBidi" w:cstheme="majorBidi"/>
          <w:sz w:val="24"/>
          <w:szCs w:val="24"/>
        </w:rPr>
        <w:t xml:space="preserve"> was found (P&gt;0.05)</w:t>
      </w:r>
      <w:r w:rsidR="00CA7D45">
        <w:rPr>
          <w:rFonts w:asciiTheme="majorBidi" w:eastAsia="Times New Roman" w:hAnsiTheme="majorBidi" w:cstheme="majorBidi"/>
          <w:sz w:val="24"/>
          <w:szCs w:val="24"/>
        </w:rPr>
        <w:t>,</w:t>
      </w:r>
      <w:r w:rsidR="00060872">
        <w:rPr>
          <w:rFonts w:asciiTheme="majorBidi" w:eastAsia="Times New Roman" w:hAnsiTheme="majorBidi" w:cstheme="majorBidi"/>
          <w:sz w:val="24"/>
          <w:szCs w:val="24"/>
        </w:rPr>
        <w:t xml:space="preserve"> while there was </w:t>
      </w:r>
      <w:r w:rsidR="00CA7D45">
        <w:rPr>
          <w:rFonts w:asciiTheme="majorBidi" w:eastAsia="Times New Roman" w:hAnsiTheme="majorBidi" w:cstheme="majorBidi"/>
          <w:sz w:val="24"/>
          <w:szCs w:val="24"/>
        </w:rPr>
        <w:t xml:space="preserve">a </w:t>
      </w:r>
      <w:r w:rsidR="00060872" w:rsidRPr="00C0688A">
        <w:rPr>
          <w:rFonts w:asciiTheme="majorBidi" w:eastAsia="Times New Roman" w:hAnsiTheme="majorBidi" w:cstheme="majorBidi"/>
          <w:sz w:val="24"/>
          <w:szCs w:val="24"/>
        </w:rPr>
        <w:t>significant di</w:t>
      </w:r>
      <w:r w:rsidR="00060872">
        <w:rPr>
          <w:rFonts w:asciiTheme="majorBidi" w:eastAsia="Times New Roman" w:hAnsiTheme="majorBidi" w:cstheme="majorBidi"/>
          <w:sz w:val="24"/>
          <w:szCs w:val="24"/>
        </w:rPr>
        <w:t>fference in platelet count between both groups (P 0.001)</w:t>
      </w:r>
      <w:r w:rsidR="00060872">
        <w:rPr>
          <w:rFonts w:asciiTheme="majorBidi" w:eastAsia="Times New Roman" w:hAnsiTheme="majorBidi" w:cstheme="majorBidi"/>
          <w:sz w:val="24"/>
          <w:szCs w:val="24"/>
        </w:rPr>
        <w:br/>
      </w:r>
      <w:r w:rsidR="00292BBD" w:rsidRPr="00C0688A">
        <w:rPr>
          <w:rFonts w:asciiTheme="majorBidi" w:eastAsia="Times New Roman" w:hAnsiTheme="majorBidi" w:cstheme="majorBidi"/>
          <w:sz w:val="24"/>
          <w:szCs w:val="24"/>
        </w:rPr>
        <w:t xml:space="preserve"> </w:t>
      </w:r>
      <w:r w:rsidR="00820B00">
        <w:rPr>
          <w:rFonts w:asciiTheme="majorBidi" w:eastAsia="Times New Roman" w:hAnsiTheme="majorBidi" w:cstheme="majorBidi"/>
          <w:sz w:val="24"/>
          <w:szCs w:val="24"/>
        </w:rPr>
        <w:t>(Tab 3</w:t>
      </w:r>
      <w:r w:rsidR="00292BBD" w:rsidRPr="00757865">
        <w:rPr>
          <w:rFonts w:asciiTheme="majorBidi" w:eastAsia="Times New Roman" w:hAnsiTheme="majorBidi" w:cstheme="majorBidi"/>
          <w:sz w:val="24"/>
          <w:szCs w:val="24"/>
        </w:rPr>
        <w:t>)</w:t>
      </w:r>
      <w:r w:rsidR="00EA3806">
        <w:rPr>
          <w:rFonts w:asciiTheme="majorBidi" w:eastAsia="Times New Roman" w:hAnsiTheme="majorBidi" w:cstheme="majorBidi"/>
          <w:sz w:val="24"/>
          <w:szCs w:val="24"/>
        </w:rPr>
        <w:t>.</w:t>
      </w:r>
      <w:r w:rsidR="007F13E9">
        <w:rPr>
          <w:rFonts w:asciiTheme="majorBidi" w:eastAsia="Times New Roman" w:hAnsiTheme="majorBidi" w:cstheme="majorBidi"/>
          <w:sz w:val="24"/>
          <w:szCs w:val="24"/>
        </w:rPr>
        <w:tab/>
      </w:r>
    </w:p>
    <w:p w14:paraId="65EC9E92" w14:textId="4B8AE604" w:rsidR="00292BBD" w:rsidRPr="00C0688A" w:rsidRDefault="00E20C73" w:rsidP="00C53BF9">
      <w:pPr>
        <w:spacing w:before="120" w:after="0" w:line="480" w:lineRule="auto"/>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There was a</w:t>
      </w:r>
      <w:r w:rsidR="00292BBD" w:rsidRPr="00C0688A">
        <w:rPr>
          <w:rFonts w:asciiTheme="majorBidi" w:eastAsia="Times New Roman" w:hAnsiTheme="majorBidi" w:cstheme="majorBidi"/>
          <w:sz w:val="24"/>
          <w:szCs w:val="24"/>
        </w:rPr>
        <w:t xml:space="preserve"> statistically significant increase in serum iron levels in group B compared to group A (P= 0.01). However, </w:t>
      </w:r>
      <w:r w:rsidR="00CA7D45">
        <w:rPr>
          <w:rFonts w:asciiTheme="majorBidi" w:eastAsia="Times New Roman" w:hAnsiTheme="majorBidi" w:cstheme="majorBidi"/>
          <w:sz w:val="24"/>
          <w:szCs w:val="24"/>
        </w:rPr>
        <w:t xml:space="preserve">the two groups had no significant difference in serum ferritin levels </w:t>
      </w:r>
      <w:r w:rsidR="00292BBD" w:rsidRPr="00C0688A">
        <w:rPr>
          <w:rFonts w:asciiTheme="majorBidi" w:eastAsia="Times New Roman" w:hAnsiTheme="majorBidi" w:cstheme="majorBidi"/>
          <w:sz w:val="24"/>
          <w:szCs w:val="24"/>
        </w:rPr>
        <w:t xml:space="preserve">(P&gt;0.05). </w:t>
      </w:r>
      <w:r w:rsidR="00EA3806">
        <w:rPr>
          <w:rFonts w:asciiTheme="majorBidi" w:eastAsia="Times New Roman" w:hAnsiTheme="majorBidi" w:cstheme="majorBidi"/>
          <w:sz w:val="24"/>
          <w:szCs w:val="24"/>
        </w:rPr>
        <w:t>Both groups</w:t>
      </w:r>
      <w:proofErr w:type="gramStart"/>
      <w:r w:rsidR="00EA3806">
        <w:rPr>
          <w:rFonts w:asciiTheme="majorBidi" w:eastAsia="Times New Roman" w:hAnsiTheme="majorBidi" w:cstheme="majorBidi"/>
          <w:sz w:val="24"/>
          <w:szCs w:val="24"/>
        </w:rPr>
        <w:t>' mean</w:t>
      </w:r>
      <w:proofErr w:type="gramEnd"/>
      <w:r w:rsidR="00EA3806">
        <w:rPr>
          <w:rFonts w:asciiTheme="majorBidi" w:eastAsia="Times New Roman" w:hAnsiTheme="majorBidi" w:cstheme="majorBidi"/>
          <w:sz w:val="24"/>
          <w:szCs w:val="24"/>
        </w:rPr>
        <w:t xml:space="preserve"> serum iron levels </w:t>
      </w:r>
      <w:r w:rsidR="00292BBD" w:rsidRPr="00C0688A">
        <w:rPr>
          <w:rFonts w:asciiTheme="majorBidi" w:eastAsia="Times New Roman" w:hAnsiTheme="majorBidi" w:cstheme="majorBidi"/>
          <w:sz w:val="24"/>
          <w:szCs w:val="24"/>
        </w:rPr>
        <w:t xml:space="preserve">ranged from 0.19 - 1.42 </w:t>
      </w:r>
      <w:r w:rsidR="009570A5" w:rsidRPr="009570A5">
        <w:rPr>
          <w:rFonts w:asciiTheme="majorBidi" w:eastAsia="Times New Roman" w:hAnsiTheme="majorBidi" w:cstheme="majorBidi"/>
          <w:sz w:val="24"/>
          <w:szCs w:val="24"/>
        </w:rPr>
        <w:t>mcg/dL</w:t>
      </w:r>
      <w:r w:rsidR="009570A5">
        <w:rPr>
          <w:rFonts w:asciiTheme="majorBidi" w:eastAsia="Times New Roman" w:hAnsiTheme="majorBidi" w:cstheme="majorBidi"/>
          <w:sz w:val="24"/>
          <w:szCs w:val="24"/>
        </w:rPr>
        <w:t xml:space="preserve"> </w:t>
      </w:r>
      <w:r w:rsidR="00292BBD" w:rsidRPr="00C0688A">
        <w:rPr>
          <w:rFonts w:asciiTheme="majorBidi" w:eastAsia="Times New Roman" w:hAnsiTheme="majorBidi" w:cstheme="majorBidi"/>
          <w:sz w:val="24"/>
          <w:szCs w:val="24"/>
        </w:rPr>
        <w:t>and 0.16 - 1.72</w:t>
      </w:r>
      <w:r w:rsidR="009570A5" w:rsidRPr="009570A5">
        <w:t xml:space="preserve"> </w:t>
      </w:r>
      <w:r w:rsidR="009570A5" w:rsidRPr="009570A5">
        <w:rPr>
          <w:rFonts w:asciiTheme="majorBidi" w:eastAsia="Times New Roman" w:hAnsiTheme="majorBidi" w:cstheme="majorBidi"/>
          <w:sz w:val="24"/>
          <w:szCs w:val="24"/>
        </w:rPr>
        <w:t>mcg/dL</w:t>
      </w:r>
      <w:r w:rsidR="00C53BF9">
        <w:rPr>
          <w:rFonts w:asciiTheme="majorBidi" w:eastAsia="Times New Roman" w:hAnsiTheme="majorBidi" w:cstheme="majorBidi"/>
          <w:sz w:val="24"/>
          <w:szCs w:val="24"/>
        </w:rPr>
        <w:t>, respectively</w:t>
      </w:r>
      <w:r w:rsidR="001B59FA" w:rsidRPr="001B59FA">
        <w:rPr>
          <w:rFonts w:asciiTheme="majorBidi" w:hAnsiTheme="majorBidi" w:cstheme="majorBidi"/>
          <w:sz w:val="24"/>
          <w:szCs w:val="24"/>
        </w:rPr>
        <w:t xml:space="preserve"> </w:t>
      </w:r>
      <w:r w:rsidR="001B59FA" w:rsidRPr="00C0688A">
        <w:rPr>
          <w:rFonts w:asciiTheme="majorBidi" w:hAnsiTheme="majorBidi" w:cstheme="majorBidi"/>
          <w:sz w:val="24"/>
          <w:szCs w:val="24"/>
        </w:rPr>
        <w:t>(</w:t>
      </w:r>
      <w:r w:rsidR="001B59FA" w:rsidRPr="00C0688A">
        <w:rPr>
          <w:rFonts w:asciiTheme="majorBidi" w:eastAsia="Times New Roman" w:hAnsiTheme="majorBidi" w:cstheme="majorBidi"/>
          <w:sz w:val="24"/>
          <w:szCs w:val="24"/>
        </w:rPr>
        <w:t xml:space="preserve">Tab </w:t>
      </w:r>
      <w:r w:rsidR="001B59FA">
        <w:rPr>
          <w:rFonts w:asciiTheme="majorBidi" w:eastAsia="Times New Roman" w:hAnsiTheme="majorBidi" w:cstheme="majorBidi"/>
          <w:sz w:val="24"/>
          <w:szCs w:val="24"/>
        </w:rPr>
        <w:t>3</w:t>
      </w:r>
      <w:r w:rsidR="001B59FA" w:rsidRPr="00C0688A">
        <w:rPr>
          <w:rFonts w:asciiTheme="majorBidi" w:eastAsia="Times New Roman" w:hAnsiTheme="majorBidi" w:cstheme="majorBidi"/>
          <w:sz w:val="24"/>
          <w:szCs w:val="24"/>
        </w:rPr>
        <w:t>)</w:t>
      </w:r>
      <w:r w:rsidR="00EA3806">
        <w:rPr>
          <w:rFonts w:asciiTheme="majorBidi" w:eastAsia="Times New Roman" w:hAnsiTheme="majorBidi" w:cstheme="majorBidi"/>
          <w:sz w:val="24"/>
          <w:szCs w:val="24"/>
        </w:rPr>
        <w:t>.</w:t>
      </w:r>
    </w:p>
    <w:p w14:paraId="418C2BE5" w14:textId="4B8E458B" w:rsidR="00292BBD" w:rsidRPr="00C0688A" w:rsidRDefault="00CA7D45" w:rsidP="00A162C0">
      <w:pPr>
        <w:spacing w:before="120" w:after="0" w:line="48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The total cholesterol in both groups is </w:t>
      </w:r>
      <w:r w:rsidR="00744747" w:rsidRPr="00744747">
        <w:rPr>
          <w:rFonts w:asciiTheme="majorBidi" w:hAnsiTheme="majorBidi" w:cstheme="majorBidi"/>
          <w:sz w:val="24"/>
          <w:szCs w:val="24"/>
        </w:rPr>
        <w:t xml:space="preserve">group A (116-316 mmol/L) and group B (116-259 mmol/L). </w:t>
      </w:r>
      <w:r>
        <w:rPr>
          <w:rFonts w:asciiTheme="majorBidi" w:hAnsiTheme="majorBidi" w:cstheme="majorBidi"/>
          <w:sz w:val="24"/>
          <w:szCs w:val="24"/>
        </w:rPr>
        <w:t xml:space="preserve">Neither group had a statistically significant difference in total cholesterol </w:t>
      </w:r>
      <w:r w:rsidR="00744747" w:rsidRPr="00744747">
        <w:rPr>
          <w:rFonts w:asciiTheme="majorBidi" w:hAnsiTheme="majorBidi" w:cstheme="majorBidi"/>
          <w:sz w:val="24"/>
          <w:szCs w:val="24"/>
        </w:rPr>
        <w:t>(P&gt;0.05). The HDL values were comparable between the groups, ranging from 24 to 82 mmol/L and 23 to 81 mmol/L, with a mean of 44 mmol/L. The LDL values were comparable amongst the groups, ranging from 49 to 207 mmol/L and 52 to 173 m</w:t>
      </w:r>
      <w:r w:rsidR="00744747">
        <w:rPr>
          <w:rFonts w:asciiTheme="majorBidi" w:hAnsiTheme="majorBidi" w:cstheme="majorBidi"/>
          <w:sz w:val="24"/>
          <w:szCs w:val="24"/>
        </w:rPr>
        <w:t>mol/L</w:t>
      </w:r>
      <w:r w:rsidR="003A7E8C">
        <w:rPr>
          <w:rFonts w:asciiTheme="majorBidi" w:hAnsiTheme="majorBidi" w:cstheme="majorBidi"/>
          <w:sz w:val="24"/>
          <w:szCs w:val="24"/>
        </w:rPr>
        <w:t>,</w:t>
      </w:r>
      <w:r w:rsidR="002D7A60">
        <w:rPr>
          <w:rFonts w:asciiTheme="majorBidi" w:hAnsiTheme="majorBidi" w:cstheme="majorBidi"/>
          <w:sz w:val="24"/>
          <w:szCs w:val="24"/>
        </w:rPr>
        <w:t xml:space="preserve"> </w:t>
      </w:r>
      <w:r w:rsidR="00744747">
        <w:rPr>
          <w:rFonts w:asciiTheme="majorBidi" w:hAnsiTheme="majorBidi" w:cstheme="majorBidi"/>
          <w:sz w:val="24"/>
          <w:szCs w:val="24"/>
        </w:rPr>
        <w:t>with a mean of 112 mmol/L</w:t>
      </w:r>
      <w:r w:rsidR="00292BBD" w:rsidRPr="00C0688A">
        <w:rPr>
          <w:rFonts w:asciiTheme="majorBidi" w:hAnsiTheme="majorBidi" w:cstheme="majorBidi"/>
          <w:sz w:val="24"/>
          <w:szCs w:val="24"/>
        </w:rPr>
        <w:t xml:space="preserve">. There was no statistically significant disparity in LDL levels </w:t>
      </w:r>
      <w:r w:rsidR="00A162C0">
        <w:rPr>
          <w:rFonts w:asciiTheme="majorBidi" w:hAnsiTheme="majorBidi" w:cstheme="majorBidi"/>
          <w:sz w:val="24"/>
          <w:szCs w:val="24"/>
        </w:rPr>
        <w:t>in</w:t>
      </w:r>
      <w:r w:rsidR="00292BBD" w:rsidRPr="00C0688A">
        <w:rPr>
          <w:rFonts w:asciiTheme="majorBidi" w:hAnsiTheme="majorBidi" w:cstheme="majorBidi"/>
          <w:sz w:val="24"/>
          <w:szCs w:val="24"/>
        </w:rPr>
        <w:t xml:space="preserve"> </w:t>
      </w:r>
      <w:r w:rsidR="00A162C0">
        <w:rPr>
          <w:rFonts w:asciiTheme="majorBidi" w:hAnsiTheme="majorBidi" w:cstheme="majorBidi"/>
          <w:sz w:val="24"/>
          <w:szCs w:val="24"/>
        </w:rPr>
        <w:t>both</w:t>
      </w:r>
      <w:r w:rsidR="00292BBD" w:rsidRPr="00C0688A">
        <w:rPr>
          <w:rFonts w:asciiTheme="majorBidi" w:hAnsiTheme="majorBidi" w:cstheme="majorBidi"/>
          <w:sz w:val="24"/>
          <w:szCs w:val="24"/>
        </w:rPr>
        <w:t xml:space="preserve"> groups (P&gt;0.05). Group B </w:t>
      </w:r>
      <w:r>
        <w:rPr>
          <w:rFonts w:asciiTheme="majorBidi" w:hAnsiTheme="majorBidi" w:cstheme="majorBidi"/>
          <w:sz w:val="24"/>
          <w:szCs w:val="24"/>
        </w:rPr>
        <w:t>reduced</w:t>
      </w:r>
      <w:r w:rsidR="00292BBD" w:rsidRPr="00C0688A">
        <w:rPr>
          <w:rFonts w:asciiTheme="majorBidi" w:hAnsiTheme="majorBidi" w:cstheme="majorBidi"/>
          <w:sz w:val="24"/>
          <w:szCs w:val="24"/>
        </w:rPr>
        <w:t xml:space="preserve"> triglycerides </w:t>
      </w:r>
      <w:r>
        <w:rPr>
          <w:rFonts w:asciiTheme="majorBidi" w:hAnsiTheme="majorBidi" w:cstheme="majorBidi"/>
          <w:sz w:val="24"/>
          <w:szCs w:val="24"/>
        </w:rPr>
        <w:t>compared</w:t>
      </w:r>
      <w:r w:rsidR="00292BBD" w:rsidRPr="00C0688A">
        <w:rPr>
          <w:rFonts w:asciiTheme="majorBidi" w:hAnsiTheme="majorBidi" w:cstheme="majorBidi"/>
          <w:sz w:val="24"/>
          <w:szCs w:val="24"/>
        </w:rPr>
        <w:t xml:space="preserve"> to group</w:t>
      </w:r>
      <w:r w:rsidR="001F188B">
        <w:rPr>
          <w:rFonts w:asciiTheme="majorBidi" w:hAnsiTheme="majorBidi" w:cstheme="majorBidi"/>
          <w:sz w:val="24"/>
          <w:szCs w:val="24"/>
        </w:rPr>
        <w:t xml:space="preserve"> A (P&lt;0.001)</w:t>
      </w:r>
      <w:r w:rsidR="00292BBD" w:rsidRPr="00C0688A">
        <w:rPr>
          <w:rFonts w:asciiTheme="majorBidi" w:hAnsiTheme="majorBidi" w:cstheme="majorBidi"/>
          <w:sz w:val="24"/>
          <w:szCs w:val="24"/>
        </w:rPr>
        <w:t xml:space="preserve"> </w:t>
      </w:r>
      <w:r w:rsidR="001B59FA" w:rsidRPr="00C0688A">
        <w:rPr>
          <w:rFonts w:asciiTheme="majorBidi" w:hAnsiTheme="majorBidi" w:cstheme="majorBidi"/>
          <w:sz w:val="24"/>
          <w:szCs w:val="24"/>
        </w:rPr>
        <w:t>(</w:t>
      </w:r>
      <w:r w:rsidR="001B59FA" w:rsidRPr="00C0688A">
        <w:rPr>
          <w:rFonts w:asciiTheme="majorBidi" w:eastAsia="Times New Roman" w:hAnsiTheme="majorBidi" w:cstheme="majorBidi"/>
          <w:sz w:val="24"/>
          <w:szCs w:val="24"/>
        </w:rPr>
        <w:t xml:space="preserve">Tab </w:t>
      </w:r>
      <w:r w:rsidR="001B59FA">
        <w:rPr>
          <w:rFonts w:asciiTheme="majorBidi" w:eastAsia="Times New Roman" w:hAnsiTheme="majorBidi" w:cstheme="majorBidi"/>
          <w:sz w:val="24"/>
          <w:szCs w:val="24"/>
        </w:rPr>
        <w:t>3</w:t>
      </w:r>
      <w:r w:rsidR="001B59FA" w:rsidRPr="00C0688A">
        <w:rPr>
          <w:rFonts w:asciiTheme="majorBidi" w:eastAsia="Times New Roman" w:hAnsiTheme="majorBidi" w:cstheme="majorBidi"/>
          <w:sz w:val="24"/>
          <w:szCs w:val="24"/>
        </w:rPr>
        <w:t>)</w:t>
      </w:r>
      <w:r w:rsidR="00EA3806">
        <w:rPr>
          <w:rFonts w:asciiTheme="majorBidi" w:eastAsia="Times New Roman" w:hAnsiTheme="majorBidi" w:cstheme="majorBidi"/>
          <w:sz w:val="24"/>
          <w:szCs w:val="24"/>
        </w:rPr>
        <w:t>.</w:t>
      </w:r>
    </w:p>
    <w:p w14:paraId="397CB666" w14:textId="18E70B16" w:rsidR="00292BBD" w:rsidRDefault="00985644" w:rsidP="00F40C30">
      <w:pPr>
        <w:spacing w:before="120" w:after="0" w:line="480" w:lineRule="auto"/>
        <w:ind w:firstLine="567"/>
        <w:jc w:val="both"/>
        <w:rPr>
          <w:rFonts w:asciiTheme="majorBidi" w:eastAsia="Times New Roman" w:hAnsiTheme="majorBidi" w:cstheme="majorBidi"/>
          <w:spacing w:val="-4"/>
          <w:sz w:val="24"/>
          <w:szCs w:val="24"/>
        </w:rPr>
      </w:pPr>
      <w:r w:rsidRPr="00985644">
        <w:rPr>
          <w:rFonts w:asciiTheme="majorBidi" w:eastAsia="Times New Roman" w:hAnsiTheme="majorBidi" w:cstheme="majorBidi"/>
          <w:spacing w:val="-4"/>
          <w:sz w:val="24"/>
          <w:szCs w:val="24"/>
        </w:rPr>
        <w:t>There was no statistically significant disparity in the levels of AST, ALT, Total or direct bilirubin between groups A and B. ALT ranged from 8-96 U/L with mean of 21 U/L, while in group B 10-82 U/L with mean of  21 U/L, while the AST ranged from 10-44 U/L in group A and  11-41 U/L in group B with mean o</w:t>
      </w:r>
      <w:r>
        <w:rPr>
          <w:rFonts w:asciiTheme="majorBidi" w:eastAsia="Times New Roman" w:hAnsiTheme="majorBidi" w:cstheme="majorBidi"/>
          <w:spacing w:val="-4"/>
          <w:sz w:val="24"/>
          <w:szCs w:val="24"/>
        </w:rPr>
        <w:t>f 19, 20 U/L mg/dL respectively</w:t>
      </w:r>
      <w:r w:rsidR="00292BBD" w:rsidRPr="00C0688A">
        <w:rPr>
          <w:rFonts w:asciiTheme="majorBidi" w:eastAsia="Times New Roman" w:hAnsiTheme="majorBidi" w:cstheme="majorBidi"/>
          <w:spacing w:val="-4"/>
          <w:sz w:val="24"/>
          <w:szCs w:val="24"/>
        </w:rPr>
        <w:t xml:space="preserve">. </w:t>
      </w:r>
      <w:r w:rsidR="00D50D34">
        <w:rPr>
          <w:rFonts w:asciiTheme="majorBidi" w:eastAsia="Times New Roman" w:hAnsiTheme="majorBidi" w:cstheme="majorBidi"/>
          <w:spacing w:val="-4"/>
          <w:sz w:val="24"/>
          <w:szCs w:val="24"/>
        </w:rPr>
        <w:t>T</w:t>
      </w:r>
      <w:r w:rsidR="00292BBD" w:rsidRPr="00C0688A">
        <w:rPr>
          <w:rFonts w:asciiTheme="majorBidi" w:eastAsia="Times New Roman" w:hAnsiTheme="majorBidi" w:cstheme="majorBidi"/>
          <w:spacing w:val="-4"/>
          <w:sz w:val="24"/>
          <w:szCs w:val="24"/>
        </w:rPr>
        <w:t xml:space="preserve">otal bilirubin </w:t>
      </w:r>
      <w:r w:rsidR="00D50D34">
        <w:rPr>
          <w:rFonts w:asciiTheme="majorBidi" w:eastAsia="Times New Roman" w:hAnsiTheme="majorBidi" w:cstheme="majorBidi"/>
          <w:spacing w:val="-4"/>
          <w:sz w:val="24"/>
          <w:szCs w:val="24"/>
        </w:rPr>
        <w:t>ranged</w:t>
      </w:r>
      <w:r w:rsidR="006677E2">
        <w:rPr>
          <w:rFonts w:asciiTheme="majorBidi" w:eastAsia="Times New Roman" w:hAnsiTheme="majorBidi" w:cstheme="majorBidi"/>
          <w:spacing w:val="-4"/>
          <w:sz w:val="24"/>
          <w:szCs w:val="24"/>
        </w:rPr>
        <w:t xml:space="preserve"> from 0.25-2.7 </w:t>
      </w:r>
      <w:r>
        <w:rPr>
          <w:rFonts w:asciiTheme="majorBidi" w:eastAsia="Times New Roman" w:hAnsiTheme="majorBidi" w:cstheme="majorBidi"/>
          <w:spacing w:val="-4"/>
          <w:sz w:val="24"/>
          <w:szCs w:val="24"/>
        </w:rPr>
        <w:t xml:space="preserve">mg/dl </w:t>
      </w:r>
      <w:r w:rsidR="006677E2">
        <w:rPr>
          <w:rFonts w:asciiTheme="majorBidi" w:eastAsia="Times New Roman" w:hAnsiTheme="majorBidi" w:cstheme="majorBidi"/>
          <w:spacing w:val="-4"/>
          <w:sz w:val="24"/>
          <w:szCs w:val="24"/>
        </w:rPr>
        <w:t>in group A</w:t>
      </w:r>
      <w:r w:rsidR="00040A8A">
        <w:rPr>
          <w:rFonts w:asciiTheme="majorBidi" w:eastAsia="Times New Roman" w:hAnsiTheme="majorBidi" w:cstheme="majorBidi"/>
          <w:spacing w:val="-4"/>
          <w:sz w:val="24"/>
          <w:szCs w:val="24"/>
        </w:rPr>
        <w:t xml:space="preserve"> </w:t>
      </w:r>
      <w:r w:rsidR="006677E2">
        <w:rPr>
          <w:rFonts w:asciiTheme="majorBidi" w:eastAsia="Times New Roman" w:hAnsiTheme="majorBidi" w:cstheme="majorBidi"/>
          <w:spacing w:val="-4"/>
          <w:sz w:val="24"/>
          <w:szCs w:val="24"/>
        </w:rPr>
        <w:t xml:space="preserve">to 0.46-2.1 </w:t>
      </w:r>
      <w:r w:rsidR="00A65827" w:rsidRPr="00A65827">
        <w:rPr>
          <w:rFonts w:asciiTheme="majorBidi" w:eastAsia="Times New Roman" w:hAnsiTheme="majorBidi" w:cstheme="majorBidi"/>
          <w:spacing w:val="-4"/>
          <w:sz w:val="24"/>
          <w:szCs w:val="24"/>
        </w:rPr>
        <w:t xml:space="preserve">mg/dl </w:t>
      </w:r>
      <w:r w:rsidR="006677E2">
        <w:rPr>
          <w:rFonts w:asciiTheme="majorBidi" w:eastAsia="Times New Roman" w:hAnsiTheme="majorBidi" w:cstheme="majorBidi"/>
          <w:spacing w:val="-4"/>
          <w:sz w:val="24"/>
          <w:szCs w:val="24"/>
        </w:rPr>
        <w:t>in group B</w:t>
      </w:r>
      <w:r w:rsidR="00CA7D45">
        <w:rPr>
          <w:rFonts w:asciiTheme="majorBidi" w:eastAsia="Times New Roman" w:hAnsiTheme="majorBidi" w:cstheme="majorBidi"/>
          <w:spacing w:val="-4"/>
          <w:sz w:val="24"/>
          <w:szCs w:val="24"/>
        </w:rPr>
        <w:t>,</w:t>
      </w:r>
      <w:r w:rsidR="00292BBD" w:rsidRPr="00C0688A">
        <w:rPr>
          <w:rFonts w:asciiTheme="majorBidi" w:eastAsia="Times New Roman" w:hAnsiTheme="majorBidi" w:cstheme="majorBidi"/>
          <w:spacing w:val="-4"/>
          <w:sz w:val="24"/>
          <w:szCs w:val="24"/>
        </w:rPr>
        <w:t xml:space="preserve"> whereas the range of direct bilirubin leve</w:t>
      </w:r>
      <w:r w:rsidR="006677E2">
        <w:rPr>
          <w:rFonts w:asciiTheme="majorBidi" w:eastAsia="Times New Roman" w:hAnsiTheme="majorBidi" w:cstheme="majorBidi"/>
          <w:spacing w:val="-4"/>
          <w:sz w:val="24"/>
          <w:szCs w:val="24"/>
        </w:rPr>
        <w:t>ls varied from 0.09</w:t>
      </w:r>
      <w:r w:rsidR="00292BBD" w:rsidRPr="00C0688A">
        <w:rPr>
          <w:rFonts w:asciiTheme="majorBidi" w:eastAsia="Times New Roman" w:hAnsiTheme="majorBidi" w:cstheme="majorBidi"/>
          <w:spacing w:val="-4"/>
          <w:sz w:val="24"/>
          <w:szCs w:val="24"/>
        </w:rPr>
        <w:t xml:space="preserve">-0.7 </w:t>
      </w:r>
      <w:r w:rsidR="00A65827" w:rsidRPr="00A65827">
        <w:rPr>
          <w:rFonts w:asciiTheme="majorBidi" w:eastAsia="Times New Roman" w:hAnsiTheme="majorBidi" w:cstheme="majorBidi"/>
          <w:spacing w:val="-4"/>
          <w:sz w:val="24"/>
          <w:szCs w:val="24"/>
        </w:rPr>
        <w:t xml:space="preserve">mg/dl </w:t>
      </w:r>
      <w:r w:rsidR="00544B4C">
        <w:rPr>
          <w:rFonts w:asciiTheme="majorBidi" w:eastAsia="Times New Roman" w:hAnsiTheme="majorBidi" w:cstheme="majorBidi"/>
          <w:spacing w:val="-4"/>
          <w:sz w:val="24"/>
          <w:szCs w:val="24"/>
        </w:rPr>
        <w:t xml:space="preserve">in group A </w:t>
      </w:r>
      <w:r w:rsidR="00292BBD" w:rsidRPr="00C0688A">
        <w:rPr>
          <w:rFonts w:asciiTheme="majorBidi" w:eastAsia="Times New Roman" w:hAnsiTheme="majorBidi" w:cstheme="majorBidi"/>
          <w:spacing w:val="-4"/>
          <w:sz w:val="24"/>
          <w:szCs w:val="24"/>
        </w:rPr>
        <w:t xml:space="preserve">to </w:t>
      </w:r>
      <w:r w:rsidR="00544B4C">
        <w:rPr>
          <w:rFonts w:asciiTheme="majorBidi" w:eastAsia="Times New Roman" w:hAnsiTheme="majorBidi" w:cstheme="majorBidi"/>
          <w:spacing w:val="-4"/>
          <w:sz w:val="24"/>
          <w:szCs w:val="24"/>
        </w:rPr>
        <w:t>0.11-</w:t>
      </w:r>
      <w:r w:rsidR="00292BBD" w:rsidRPr="00C0688A">
        <w:rPr>
          <w:rFonts w:asciiTheme="majorBidi" w:eastAsia="Times New Roman" w:hAnsiTheme="majorBidi" w:cstheme="majorBidi"/>
          <w:spacing w:val="-4"/>
          <w:sz w:val="24"/>
          <w:szCs w:val="24"/>
        </w:rPr>
        <w:t>0.19</w:t>
      </w:r>
      <w:r w:rsidR="00544B4C">
        <w:rPr>
          <w:rFonts w:asciiTheme="majorBidi" w:eastAsia="Times New Roman" w:hAnsiTheme="majorBidi" w:cstheme="majorBidi"/>
          <w:spacing w:val="-4"/>
          <w:sz w:val="24"/>
          <w:szCs w:val="24"/>
        </w:rPr>
        <w:t xml:space="preserve"> </w:t>
      </w:r>
      <w:r w:rsidR="00A65827" w:rsidRPr="00A65827">
        <w:rPr>
          <w:rFonts w:asciiTheme="majorBidi" w:eastAsia="Times New Roman" w:hAnsiTheme="majorBidi" w:cstheme="majorBidi"/>
          <w:spacing w:val="-4"/>
          <w:sz w:val="24"/>
          <w:szCs w:val="24"/>
        </w:rPr>
        <w:t xml:space="preserve">mg/dl </w:t>
      </w:r>
      <w:r w:rsidR="00544B4C">
        <w:rPr>
          <w:rFonts w:asciiTheme="majorBidi" w:eastAsia="Times New Roman" w:hAnsiTheme="majorBidi" w:cstheme="majorBidi"/>
          <w:spacing w:val="-4"/>
          <w:sz w:val="24"/>
          <w:szCs w:val="24"/>
        </w:rPr>
        <w:t>in group B</w:t>
      </w:r>
      <w:r w:rsidR="00040A8A">
        <w:rPr>
          <w:rFonts w:asciiTheme="majorBidi" w:eastAsia="Times New Roman" w:hAnsiTheme="majorBidi" w:cstheme="majorBidi"/>
          <w:spacing w:val="-4"/>
          <w:sz w:val="24"/>
          <w:szCs w:val="24"/>
        </w:rPr>
        <w:t>,</w:t>
      </w:r>
      <w:r w:rsidR="00292BBD" w:rsidRPr="00C0688A">
        <w:rPr>
          <w:rFonts w:asciiTheme="majorBidi" w:eastAsia="Times New Roman" w:hAnsiTheme="majorBidi" w:cstheme="majorBidi"/>
          <w:spacing w:val="-4"/>
          <w:sz w:val="24"/>
          <w:szCs w:val="24"/>
        </w:rPr>
        <w:t xml:space="preserve"> </w:t>
      </w:r>
      <w:r w:rsidR="00CA7D45" w:rsidRPr="00C0688A">
        <w:rPr>
          <w:rFonts w:asciiTheme="majorBidi" w:eastAsia="Times New Roman" w:hAnsiTheme="majorBidi" w:cstheme="majorBidi"/>
          <w:spacing w:val="-4"/>
          <w:sz w:val="24"/>
          <w:szCs w:val="24"/>
        </w:rPr>
        <w:t>there</w:t>
      </w:r>
      <w:r w:rsidR="00292BBD" w:rsidRPr="00C0688A">
        <w:rPr>
          <w:rFonts w:asciiTheme="majorBidi" w:eastAsia="Times New Roman" w:hAnsiTheme="majorBidi" w:cstheme="majorBidi"/>
          <w:spacing w:val="-4"/>
          <w:sz w:val="24"/>
          <w:szCs w:val="24"/>
        </w:rPr>
        <w:t xml:space="preserve"> was no notable </w:t>
      </w:r>
      <w:r w:rsidR="00F64BCC" w:rsidRPr="00C0688A">
        <w:rPr>
          <w:rFonts w:asciiTheme="majorBidi" w:eastAsia="Times New Roman" w:hAnsiTheme="majorBidi" w:cstheme="majorBidi"/>
          <w:spacing w:val="-4"/>
          <w:sz w:val="24"/>
          <w:szCs w:val="24"/>
        </w:rPr>
        <w:t>difference between</w:t>
      </w:r>
      <w:r w:rsidR="00292BBD" w:rsidRPr="00C0688A">
        <w:rPr>
          <w:rFonts w:asciiTheme="majorBidi" w:eastAsia="Times New Roman" w:hAnsiTheme="majorBidi" w:cstheme="majorBidi"/>
          <w:spacing w:val="-4"/>
          <w:sz w:val="24"/>
          <w:szCs w:val="24"/>
        </w:rPr>
        <w:t xml:space="preserve"> </w:t>
      </w:r>
      <w:r w:rsidR="00040A8A">
        <w:rPr>
          <w:rFonts w:asciiTheme="majorBidi" w:eastAsia="Times New Roman" w:hAnsiTheme="majorBidi" w:cstheme="majorBidi"/>
          <w:spacing w:val="-4"/>
          <w:sz w:val="24"/>
          <w:szCs w:val="24"/>
        </w:rPr>
        <w:t>both</w:t>
      </w:r>
      <w:r w:rsidR="00292BBD" w:rsidRPr="00C0688A">
        <w:rPr>
          <w:rFonts w:asciiTheme="majorBidi" w:eastAsia="Times New Roman" w:hAnsiTheme="majorBidi" w:cstheme="majorBidi"/>
          <w:spacing w:val="-4"/>
          <w:sz w:val="24"/>
          <w:szCs w:val="24"/>
        </w:rPr>
        <w:t xml:space="preserve"> groups</w:t>
      </w:r>
      <w:r w:rsidR="000D6CEB">
        <w:rPr>
          <w:rFonts w:asciiTheme="majorBidi" w:eastAsia="Times New Roman" w:hAnsiTheme="majorBidi" w:cstheme="majorBidi"/>
          <w:spacing w:val="-4"/>
          <w:sz w:val="24"/>
          <w:szCs w:val="24"/>
        </w:rPr>
        <w:t xml:space="preserve"> </w:t>
      </w:r>
      <w:r w:rsidR="00040A8A">
        <w:rPr>
          <w:rFonts w:asciiTheme="majorBidi" w:eastAsia="Times New Roman" w:hAnsiTheme="majorBidi" w:cstheme="majorBidi"/>
          <w:spacing w:val="-4"/>
          <w:sz w:val="24"/>
          <w:szCs w:val="24"/>
        </w:rPr>
        <w:t>regard</w:t>
      </w:r>
      <w:r w:rsidR="000D6CEB">
        <w:rPr>
          <w:rFonts w:asciiTheme="majorBidi" w:eastAsia="Times New Roman" w:hAnsiTheme="majorBidi" w:cstheme="majorBidi"/>
          <w:spacing w:val="-4"/>
          <w:sz w:val="24"/>
          <w:szCs w:val="24"/>
        </w:rPr>
        <w:t>ing</w:t>
      </w:r>
      <w:r w:rsidR="00040A8A">
        <w:rPr>
          <w:rFonts w:asciiTheme="majorBidi" w:eastAsia="Times New Roman" w:hAnsiTheme="majorBidi" w:cstheme="majorBidi"/>
          <w:spacing w:val="-4"/>
          <w:sz w:val="24"/>
          <w:szCs w:val="24"/>
        </w:rPr>
        <w:t xml:space="preserve"> total and direct bilirubin</w:t>
      </w:r>
      <w:r w:rsidR="00292BBD" w:rsidRPr="00C0688A">
        <w:rPr>
          <w:rFonts w:asciiTheme="majorBidi" w:eastAsia="Times New Roman" w:hAnsiTheme="majorBidi" w:cstheme="majorBidi"/>
          <w:spacing w:val="-4"/>
          <w:sz w:val="24"/>
          <w:szCs w:val="24"/>
        </w:rPr>
        <w:t xml:space="preserve"> </w:t>
      </w:r>
      <w:r w:rsidR="001B59FA" w:rsidRPr="00C0688A">
        <w:rPr>
          <w:rFonts w:asciiTheme="majorBidi" w:hAnsiTheme="majorBidi" w:cstheme="majorBidi"/>
          <w:sz w:val="24"/>
          <w:szCs w:val="24"/>
        </w:rPr>
        <w:t>(</w:t>
      </w:r>
      <w:r w:rsidR="001B59FA" w:rsidRPr="00C0688A">
        <w:rPr>
          <w:rFonts w:asciiTheme="majorBidi" w:eastAsia="Times New Roman" w:hAnsiTheme="majorBidi" w:cstheme="majorBidi"/>
          <w:sz w:val="24"/>
          <w:szCs w:val="24"/>
        </w:rPr>
        <w:t xml:space="preserve">Tab </w:t>
      </w:r>
      <w:r w:rsidR="001B59FA">
        <w:rPr>
          <w:rFonts w:asciiTheme="majorBidi" w:eastAsia="Times New Roman" w:hAnsiTheme="majorBidi" w:cstheme="majorBidi"/>
          <w:sz w:val="24"/>
          <w:szCs w:val="24"/>
        </w:rPr>
        <w:t>3</w:t>
      </w:r>
      <w:r w:rsidR="001B59FA" w:rsidRPr="00C0688A">
        <w:rPr>
          <w:rFonts w:asciiTheme="majorBidi" w:eastAsia="Times New Roman" w:hAnsiTheme="majorBidi" w:cstheme="majorBidi"/>
          <w:sz w:val="24"/>
          <w:szCs w:val="24"/>
        </w:rPr>
        <w:t>)</w:t>
      </w:r>
      <w:r w:rsidR="00EA3806">
        <w:rPr>
          <w:rFonts w:asciiTheme="majorBidi" w:eastAsia="Times New Roman" w:hAnsiTheme="majorBidi" w:cstheme="majorBidi"/>
          <w:sz w:val="24"/>
          <w:szCs w:val="24"/>
        </w:rPr>
        <w:t>.</w:t>
      </w:r>
    </w:p>
    <w:p w14:paraId="2645522B" w14:textId="57D48CF9" w:rsidR="00962231" w:rsidRDefault="00962231" w:rsidP="00962231">
      <w:pPr>
        <w:pStyle w:val="Caption"/>
        <w:keepNext/>
      </w:pPr>
      <w:r>
        <w:t xml:space="preserve">Tab </w:t>
      </w:r>
      <w:fldSimple w:instr=" SEQ Table \* ARABIC ">
        <w:r w:rsidR="00B97D4E">
          <w:rPr>
            <w:noProof/>
          </w:rPr>
          <w:t>3</w:t>
        </w:r>
      </w:fldSimple>
      <w:r>
        <w:t xml:space="preserve">. </w:t>
      </w:r>
      <w:r w:rsidRPr="00962231">
        <w:t>Comparison of CBC, iron profile, lipid profile, liver enzymes, and bilirubin</w:t>
      </w:r>
      <w:r>
        <w:t>.</w:t>
      </w:r>
    </w:p>
    <w:tbl>
      <w:tblPr>
        <w:tblW w:w="5000" w:type="pct"/>
        <w:jc w:val="center"/>
        <w:tblBorders>
          <w:top w:val="single" w:sz="4" w:space="0" w:color="auto"/>
          <w:bottom w:val="single" w:sz="4" w:space="0" w:color="auto"/>
        </w:tblBorders>
        <w:tblCellMar>
          <w:left w:w="28" w:type="dxa"/>
          <w:right w:w="28" w:type="dxa"/>
        </w:tblCellMar>
        <w:tblLook w:val="0400" w:firstRow="0" w:lastRow="0" w:firstColumn="0" w:lastColumn="0" w:noHBand="0" w:noVBand="1"/>
        <w:tblCaption w:val="Tab 3. Comparison of CBC, iron profile, lipid profile, liver enzymes, and bilirubin."/>
        <w:tblDescription w:val="*: Statistically significant at p &lt; 0.05. Group A: before treatment. Group B: after treatment."/>
      </w:tblPr>
      <w:tblGrid>
        <w:gridCol w:w="2097"/>
        <w:gridCol w:w="2810"/>
        <w:gridCol w:w="2714"/>
        <w:gridCol w:w="1450"/>
      </w:tblGrid>
      <w:tr w:rsidR="00C67A74" w:rsidRPr="000412D8" w14:paraId="77FC75CE" w14:textId="77777777" w:rsidTr="00AB6F25">
        <w:trPr>
          <w:trHeight w:val="22"/>
          <w:jc w:val="center"/>
        </w:trPr>
        <w:tc>
          <w:tcPr>
            <w:tcW w:w="1156" w:type="pct"/>
            <w:tcBorders>
              <w:top w:val="single" w:sz="4" w:space="0" w:color="auto"/>
              <w:bottom w:val="single" w:sz="4" w:space="0" w:color="auto"/>
            </w:tcBorders>
            <w:shd w:val="clear" w:color="auto" w:fill="auto"/>
            <w:vAlign w:val="center"/>
          </w:tcPr>
          <w:p w14:paraId="7A14DFA9"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 xml:space="preserve">Variable </w:t>
            </w:r>
          </w:p>
        </w:tc>
        <w:tc>
          <w:tcPr>
            <w:tcW w:w="1549" w:type="pct"/>
            <w:tcBorders>
              <w:top w:val="single" w:sz="4" w:space="0" w:color="auto"/>
              <w:bottom w:val="single" w:sz="4" w:space="0" w:color="auto"/>
            </w:tcBorders>
            <w:shd w:val="clear" w:color="auto" w:fill="auto"/>
            <w:vAlign w:val="center"/>
          </w:tcPr>
          <w:p w14:paraId="0DD54870"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Group A</w:t>
            </w:r>
          </w:p>
          <w:p w14:paraId="4A48B5D9"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(n=90)</w:t>
            </w:r>
          </w:p>
        </w:tc>
        <w:tc>
          <w:tcPr>
            <w:tcW w:w="1496" w:type="pct"/>
            <w:tcBorders>
              <w:top w:val="single" w:sz="4" w:space="0" w:color="auto"/>
              <w:bottom w:val="single" w:sz="4" w:space="0" w:color="auto"/>
            </w:tcBorders>
            <w:shd w:val="clear" w:color="auto" w:fill="auto"/>
            <w:vAlign w:val="center"/>
          </w:tcPr>
          <w:p w14:paraId="62751268"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Group B</w:t>
            </w:r>
          </w:p>
          <w:p w14:paraId="4050120C"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(n=90)</w:t>
            </w:r>
          </w:p>
        </w:tc>
        <w:tc>
          <w:tcPr>
            <w:tcW w:w="799" w:type="pct"/>
            <w:tcBorders>
              <w:top w:val="single" w:sz="4" w:space="0" w:color="auto"/>
              <w:bottom w:val="single" w:sz="4" w:space="0" w:color="auto"/>
            </w:tcBorders>
            <w:shd w:val="clear" w:color="auto" w:fill="auto"/>
            <w:vAlign w:val="center"/>
          </w:tcPr>
          <w:p w14:paraId="2635C612"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P-value</w:t>
            </w:r>
          </w:p>
        </w:tc>
      </w:tr>
      <w:tr w:rsidR="00C67A74" w:rsidRPr="000412D8" w14:paraId="62C371C9" w14:textId="77777777" w:rsidTr="00AB6F25">
        <w:trPr>
          <w:trHeight w:val="22"/>
          <w:jc w:val="center"/>
        </w:trPr>
        <w:tc>
          <w:tcPr>
            <w:tcW w:w="1156" w:type="pct"/>
            <w:shd w:val="clear" w:color="auto" w:fill="auto"/>
            <w:vAlign w:val="center"/>
          </w:tcPr>
          <w:p w14:paraId="0E7E2B00"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RBCs</w:t>
            </w:r>
          </w:p>
        </w:tc>
        <w:tc>
          <w:tcPr>
            <w:tcW w:w="1549" w:type="pct"/>
            <w:shd w:val="clear" w:color="auto" w:fill="auto"/>
            <w:vAlign w:val="center"/>
          </w:tcPr>
          <w:p w14:paraId="19445746"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p>
        </w:tc>
        <w:tc>
          <w:tcPr>
            <w:tcW w:w="1496" w:type="pct"/>
            <w:shd w:val="clear" w:color="auto" w:fill="auto"/>
            <w:vAlign w:val="center"/>
          </w:tcPr>
          <w:p w14:paraId="6DD4DBB6"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p>
        </w:tc>
        <w:tc>
          <w:tcPr>
            <w:tcW w:w="799" w:type="pct"/>
            <w:vMerge w:val="restart"/>
            <w:shd w:val="clear" w:color="auto" w:fill="auto"/>
            <w:vAlign w:val="center"/>
          </w:tcPr>
          <w:p w14:paraId="3A943509"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0.78</w:t>
            </w:r>
          </w:p>
        </w:tc>
      </w:tr>
      <w:tr w:rsidR="00C67A74" w:rsidRPr="000412D8" w14:paraId="6308A9D1" w14:textId="77777777" w:rsidTr="00AB6F25">
        <w:trPr>
          <w:trHeight w:val="22"/>
          <w:jc w:val="center"/>
        </w:trPr>
        <w:tc>
          <w:tcPr>
            <w:tcW w:w="1156" w:type="pct"/>
            <w:shd w:val="clear" w:color="auto" w:fill="auto"/>
            <w:vAlign w:val="center"/>
          </w:tcPr>
          <w:p w14:paraId="7EF10BD9"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tc>
        <w:tc>
          <w:tcPr>
            <w:tcW w:w="1549" w:type="pct"/>
            <w:shd w:val="clear" w:color="auto" w:fill="auto"/>
            <w:vAlign w:val="center"/>
          </w:tcPr>
          <w:p w14:paraId="00609040"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3.2 – 6.04</w:t>
            </w:r>
          </w:p>
        </w:tc>
        <w:tc>
          <w:tcPr>
            <w:tcW w:w="1496" w:type="pct"/>
            <w:shd w:val="clear" w:color="auto" w:fill="auto"/>
            <w:vAlign w:val="center"/>
          </w:tcPr>
          <w:p w14:paraId="138AAA04"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3.5 – 6.61</w:t>
            </w:r>
          </w:p>
        </w:tc>
        <w:tc>
          <w:tcPr>
            <w:tcW w:w="799" w:type="pct"/>
            <w:vMerge/>
            <w:shd w:val="clear" w:color="auto" w:fill="auto"/>
            <w:vAlign w:val="center"/>
          </w:tcPr>
          <w:p w14:paraId="74C5CAF9"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p>
        </w:tc>
      </w:tr>
      <w:tr w:rsidR="00C67A74" w:rsidRPr="000412D8" w14:paraId="73787B81" w14:textId="77777777" w:rsidTr="00AB6F25">
        <w:trPr>
          <w:trHeight w:val="22"/>
          <w:jc w:val="center"/>
        </w:trPr>
        <w:tc>
          <w:tcPr>
            <w:tcW w:w="1156" w:type="pct"/>
            <w:shd w:val="clear" w:color="auto" w:fill="auto"/>
            <w:vAlign w:val="center"/>
          </w:tcPr>
          <w:p w14:paraId="5E679E66"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shd w:val="clear" w:color="auto" w:fill="auto"/>
            <w:vAlign w:val="center"/>
          </w:tcPr>
          <w:p w14:paraId="4834A956"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4.7 (4.3 – 5.2)</w:t>
            </w:r>
          </w:p>
        </w:tc>
        <w:tc>
          <w:tcPr>
            <w:tcW w:w="1496" w:type="pct"/>
            <w:shd w:val="clear" w:color="auto" w:fill="auto"/>
            <w:vAlign w:val="center"/>
          </w:tcPr>
          <w:p w14:paraId="275132DE"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4.7 (4.4 – 5.2)</w:t>
            </w:r>
          </w:p>
        </w:tc>
        <w:tc>
          <w:tcPr>
            <w:tcW w:w="799" w:type="pct"/>
            <w:vMerge/>
            <w:shd w:val="clear" w:color="auto" w:fill="auto"/>
            <w:vAlign w:val="center"/>
          </w:tcPr>
          <w:p w14:paraId="6EF977DE"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6E5A9D0E" w14:textId="77777777" w:rsidTr="00AB6F25">
        <w:trPr>
          <w:trHeight w:val="22"/>
          <w:jc w:val="center"/>
        </w:trPr>
        <w:tc>
          <w:tcPr>
            <w:tcW w:w="1156" w:type="pct"/>
            <w:shd w:val="clear" w:color="auto" w:fill="auto"/>
            <w:vAlign w:val="center"/>
          </w:tcPr>
          <w:p w14:paraId="7026E771"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Hb</w:t>
            </w:r>
          </w:p>
        </w:tc>
        <w:tc>
          <w:tcPr>
            <w:tcW w:w="1549" w:type="pct"/>
            <w:shd w:val="clear" w:color="auto" w:fill="auto"/>
            <w:vAlign w:val="center"/>
          </w:tcPr>
          <w:p w14:paraId="1F89C354"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1496" w:type="pct"/>
            <w:shd w:val="clear" w:color="auto" w:fill="auto"/>
            <w:vAlign w:val="center"/>
          </w:tcPr>
          <w:p w14:paraId="031728F0"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799" w:type="pct"/>
            <w:vMerge w:val="restart"/>
            <w:shd w:val="clear" w:color="auto" w:fill="auto"/>
            <w:vAlign w:val="center"/>
          </w:tcPr>
          <w:p w14:paraId="1302D2B8"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0.65</w:t>
            </w:r>
          </w:p>
        </w:tc>
      </w:tr>
      <w:tr w:rsidR="00C67A74" w:rsidRPr="000412D8" w14:paraId="164F5A84" w14:textId="77777777" w:rsidTr="00AB6F25">
        <w:trPr>
          <w:trHeight w:val="22"/>
          <w:jc w:val="center"/>
        </w:trPr>
        <w:tc>
          <w:tcPr>
            <w:tcW w:w="1156" w:type="pct"/>
            <w:shd w:val="clear" w:color="auto" w:fill="auto"/>
            <w:vAlign w:val="center"/>
          </w:tcPr>
          <w:p w14:paraId="2548157A"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tc>
        <w:tc>
          <w:tcPr>
            <w:tcW w:w="1549" w:type="pct"/>
            <w:shd w:val="clear" w:color="auto" w:fill="auto"/>
            <w:vAlign w:val="center"/>
          </w:tcPr>
          <w:p w14:paraId="596CB8AB"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 xml:space="preserve">8.5 – 17 </w:t>
            </w:r>
          </w:p>
        </w:tc>
        <w:tc>
          <w:tcPr>
            <w:tcW w:w="1496" w:type="pct"/>
            <w:shd w:val="clear" w:color="auto" w:fill="auto"/>
            <w:vAlign w:val="center"/>
          </w:tcPr>
          <w:p w14:paraId="3AF55FAC"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 xml:space="preserve">9.5 – 16.8 </w:t>
            </w:r>
          </w:p>
        </w:tc>
        <w:tc>
          <w:tcPr>
            <w:tcW w:w="799" w:type="pct"/>
            <w:vMerge/>
            <w:shd w:val="clear" w:color="auto" w:fill="auto"/>
            <w:vAlign w:val="center"/>
          </w:tcPr>
          <w:p w14:paraId="06D43704"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0A0EE513" w14:textId="77777777" w:rsidTr="00AB6F25">
        <w:trPr>
          <w:trHeight w:val="22"/>
          <w:jc w:val="center"/>
        </w:trPr>
        <w:tc>
          <w:tcPr>
            <w:tcW w:w="1156" w:type="pct"/>
            <w:shd w:val="clear" w:color="auto" w:fill="auto"/>
            <w:vAlign w:val="center"/>
          </w:tcPr>
          <w:p w14:paraId="7D50270E"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shd w:val="clear" w:color="auto" w:fill="auto"/>
            <w:vAlign w:val="center"/>
          </w:tcPr>
          <w:p w14:paraId="06F751A1"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12.9 (11.4 – 14.3)</w:t>
            </w:r>
          </w:p>
        </w:tc>
        <w:tc>
          <w:tcPr>
            <w:tcW w:w="1496" w:type="pct"/>
            <w:shd w:val="clear" w:color="auto" w:fill="auto"/>
            <w:vAlign w:val="center"/>
          </w:tcPr>
          <w:p w14:paraId="5903459C"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12.9 (11.3 – 14.4)</w:t>
            </w:r>
          </w:p>
        </w:tc>
        <w:tc>
          <w:tcPr>
            <w:tcW w:w="799" w:type="pct"/>
            <w:vMerge/>
            <w:shd w:val="clear" w:color="auto" w:fill="auto"/>
            <w:vAlign w:val="center"/>
          </w:tcPr>
          <w:p w14:paraId="20AF8F08"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3207B501" w14:textId="77777777" w:rsidTr="00AB6F25">
        <w:trPr>
          <w:trHeight w:val="22"/>
          <w:jc w:val="center"/>
        </w:trPr>
        <w:tc>
          <w:tcPr>
            <w:tcW w:w="1156" w:type="pct"/>
            <w:shd w:val="clear" w:color="auto" w:fill="auto"/>
            <w:vAlign w:val="center"/>
          </w:tcPr>
          <w:p w14:paraId="7876C218"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MCV</w:t>
            </w:r>
          </w:p>
        </w:tc>
        <w:tc>
          <w:tcPr>
            <w:tcW w:w="1549" w:type="pct"/>
            <w:shd w:val="clear" w:color="auto" w:fill="auto"/>
            <w:vAlign w:val="center"/>
          </w:tcPr>
          <w:p w14:paraId="7F011BC2"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1496" w:type="pct"/>
            <w:shd w:val="clear" w:color="auto" w:fill="auto"/>
            <w:vAlign w:val="center"/>
          </w:tcPr>
          <w:p w14:paraId="6892EA38"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799" w:type="pct"/>
            <w:vMerge w:val="restart"/>
            <w:shd w:val="clear" w:color="auto" w:fill="auto"/>
            <w:vAlign w:val="center"/>
          </w:tcPr>
          <w:p w14:paraId="43F53BE6"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0.05</w:t>
            </w:r>
          </w:p>
        </w:tc>
      </w:tr>
      <w:tr w:rsidR="00C67A74" w:rsidRPr="000412D8" w14:paraId="3A5A1AD6" w14:textId="77777777" w:rsidTr="00AB6F25">
        <w:trPr>
          <w:trHeight w:val="22"/>
          <w:jc w:val="center"/>
        </w:trPr>
        <w:tc>
          <w:tcPr>
            <w:tcW w:w="1156" w:type="pct"/>
            <w:shd w:val="clear" w:color="auto" w:fill="auto"/>
            <w:vAlign w:val="center"/>
          </w:tcPr>
          <w:p w14:paraId="6CB7C805"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tc>
        <w:tc>
          <w:tcPr>
            <w:tcW w:w="1549" w:type="pct"/>
            <w:shd w:val="clear" w:color="auto" w:fill="auto"/>
            <w:vAlign w:val="center"/>
          </w:tcPr>
          <w:p w14:paraId="61814DCB"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59.1 – 103.8</w:t>
            </w:r>
          </w:p>
        </w:tc>
        <w:tc>
          <w:tcPr>
            <w:tcW w:w="1496" w:type="pct"/>
            <w:shd w:val="clear" w:color="auto" w:fill="auto"/>
            <w:vAlign w:val="center"/>
          </w:tcPr>
          <w:p w14:paraId="389246D4"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57.9 – 99.5</w:t>
            </w:r>
          </w:p>
        </w:tc>
        <w:tc>
          <w:tcPr>
            <w:tcW w:w="799" w:type="pct"/>
            <w:vMerge/>
            <w:shd w:val="clear" w:color="auto" w:fill="auto"/>
            <w:vAlign w:val="center"/>
          </w:tcPr>
          <w:p w14:paraId="3B07EE9F"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12198FF5" w14:textId="77777777" w:rsidTr="00AB6F25">
        <w:trPr>
          <w:trHeight w:val="22"/>
          <w:jc w:val="center"/>
        </w:trPr>
        <w:tc>
          <w:tcPr>
            <w:tcW w:w="1156" w:type="pct"/>
            <w:shd w:val="clear" w:color="auto" w:fill="auto"/>
            <w:vAlign w:val="center"/>
          </w:tcPr>
          <w:p w14:paraId="2DC44BC0"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shd w:val="clear" w:color="auto" w:fill="auto"/>
            <w:vAlign w:val="center"/>
          </w:tcPr>
          <w:p w14:paraId="5E9ACD94"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84 (80 – 88)</w:t>
            </w:r>
          </w:p>
        </w:tc>
        <w:tc>
          <w:tcPr>
            <w:tcW w:w="1496" w:type="pct"/>
            <w:shd w:val="clear" w:color="auto" w:fill="auto"/>
            <w:vAlign w:val="center"/>
          </w:tcPr>
          <w:p w14:paraId="73CD95E2"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85 (79 – 89)</w:t>
            </w:r>
          </w:p>
        </w:tc>
        <w:tc>
          <w:tcPr>
            <w:tcW w:w="799" w:type="pct"/>
            <w:vMerge/>
            <w:shd w:val="clear" w:color="auto" w:fill="auto"/>
            <w:vAlign w:val="center"/>
          </w:tcPr>
          <w:p w14:paraId="4AE36EAC"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19B1593A" w14:textId="77777777" w:rsidTr="00AB6F25">
        <w:trPr>
          <w:trHeight w:val="22"/>
          <w:jc w:val="center"/>
        </w:trPr>
        <w:tc>
          <w:tcPr>
            <w:tcW w:w="1156" w:type="pct"/>
            <w:shd w:val="clear" w:color="auto" w:fill="auto"/>
            <w:vAlign w:val="center"/>
          </w:tcPr>
          <w:p w14:paraId="79B46AD0"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MCH</w:t>
            </w:r>
          </w:p>
        </w:tc>
        <w:tc>
          <w:tcPr>
            <w:tcW w:w="1549" w:type="pct"/>
            <w:shd w:val="clear" w:color="auto" w:fill="auto"/>
            <w:vAlign w:val="center"/>
          </w:tcPr>
          <w:p w14:paraId="1972B257"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1496" w:type="pct"/>
            <w:shd w:val="clear" w:color="auto" w:fill="auto"/>
            <w:vAlign w:val="center"/>
          </w:tcPr>
          <w:p w14:paraId="603061FC"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799" w:type="pct"/>
            <w:vMerge w:val="restart"/>
            <w:shd w:val="clear" w:color="auto" w:fill="auto"/>
            <w:vAlign w:val="center"/>
          </w:tcPr>
          <w:p w14:paraId="1EE6DCCD"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0.053</w:t>
            </w:r>
          </w:p>
        </w:tc>
      </w:tr>
      <w:tr w:rsidR="00C67A74" w:rsidRPr="000412D8" w14:paraId="4739D19A" w14:textId="77777777" w:rsidTr="00AB6F25">
        <w:trPr>
          <w:trHeight w:val="22"/>
          <w:jc w:val="center"/>
        </w:trPr>
        <w:tc>
          <w:tcPr>
            <w:tcW w:w="1156" w:type="pct"/>
            <w:shd w:val="clear" w:color="auto" w:fill="auto"/>
            <w:vAlign w:val="center"/>
          </w:tcPr>
          <w:p w14:paraId="43B8B4C0"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tc>
        <w:tc>
          <w:tcPr>
            <w:tcW w:w="1549" w:type="pct"/>
            <w:shd w:val="clear" w:color="auto" w:fill="auto"/>
            <w:vAlign w:val="center"/>
          </w:tcPr>
          <w:p w14:paraId="1FFB09CF"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15.9 – 34.6</w:t>
            </w:r>
          </w:p>
        </w:tc>
        <w:tc>
          <w:tcPr>
            <w:tcW w:w="1496" w:type="pct"/>
            <w:shd w:val="clear" w:color="auto" w:fill="auto"/>
            <w:vAlign w:val="center"/>
          </w:tcPr>
          <w:p w14:paraId="7CB41ECA"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16.3 – 32.3</w:t>
            </w:r>
          </w:p>
        </w:tc>
        <w:tc>
          <w:tcPr>
            <w:tcW w:w="799" w:type="pct"/>
            <w:vMerge/>
            <w:shd w:val="clear" w:color="auto" w:fill="auto"/>
            <w:vAlign w:val="center"/>
          </w:tcPr>
          <w:p w14:paraId="2C154661"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074DF449" w14:textId="77777777" w:rsidTr="00AB6F25">
        <w:trPr>
          <w:trHeight w:val="22"/>
          <w:jc w:val="center"/>
        </w:trPr>
        <w:tc>
          <w:tcPr>
            <w:tcW w:w="1156" w:type="pct"/>
            <w:shd w:val="clear" w:color="auto" w:fill="auto"/>
            <w:vAlign w:val="center"/>
          </w:tcPr>
          <w:p w14:paraId="102ADD09"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shd w:val="clear" w:color="auto" w:fill="auto"/>
            <w:vAlign w:val="center"/>
          </w:tcPr>
          <w:p w14:paraId="576E5ECF"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27.7 (25.7 – 29.4)</w:t>
            </w:r>
          </w:p>
        </w:tc>
        <w:tc>
          <w:tcPr>
            <w:tcW w:w="1496" w:type="pct"/>
            <w:shd w:val="clear" w:color="auto" w:fill="auto"/>
            <w:vAlign w:val="center"/>
          </w:tcPr>
          <w:p w14:paraId="40382269"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27.8 (25.9 – 29.6)</w:t>
            </w:r>
          </w:p>
        </w:tc>
        <w:tc>
          <w:tcPr>
            <w:tcW w:w="799" w:type="pct"/>
            <w:vMerge/>
            <w:shd w:val="clear" w:color="auto" w:fill="auto"/>
            <w:vAlign w:val="center"/>
          </w:tcPr>
          <w:p w14:paraId="6DD108DD"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6DF5D4FE" w14:textId="77777777" w:rsidTr="00AB6F25">
        <w:trPr>
          <w:trHeight w:val="22"/>
          <w:jc w:val="center"/>
        </w:trPr>
        <w:tc>
          <w:tcPr>
            <w:tcW w:w="1156" w:type="pct"/>
            <w:shd w:val="clear" w:color="auto" w:fill="auto"/>
            <w:vAlign w:val="center"/>
          </w:tcPr>
          <w:p w14:paraId="54A13A82"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Platelets</w:t>
            </w:r>
          </w:p>
        </w:tc>
        <w:tc>
          <w:tcPr>
            <w:tcW w:w="1549" w:type="pct"/>
            <w:shd w:val="clear" w:color="auto" w:fill="auto"/>
            <w:vAlign w:val="center"/>
          </w:tcPr>
          <w:p w14:paraId="484E6A96"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1496" w:type="pct"/>
            <w:shd w:val="clear" w:color="auto" w:fill="auto"/>
            <w:vAlign w:val="center"/>
          </w:tcPr>
          <w:p w14:paraId="035BE2C6"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799" w:type="pct"/>
            <w:vMerge w:val="restart"/>
            <w:shd w:val="clear" w:color="auto" w:fill="auto"/>
            <w:vAlign w:val="center"/>
          </w:tcPr>
          <w:p w14:paraId="5A404076"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0.001*</w:t>
            </w:r>
          </w:p>
        </w:tc>
      </w:tr>
      <w:tr w:rsidR="00C67A74" w:rsidRPr="000412D8" w14:paraId="047C79FF" w14:textId="77777777" w:rsidTr="00AB6F25">
        <w:trPr>
          <w:trHeight w:val="22"/>
          <w:jc w:val="center"/>
        </w:trPr>
        <w:tc>
          <w:tcPr>
            <w:tcW w:w="1156" w:type="pct"/>
            <w:shd w:val="clear" w:color="auto" w:fill="auto"/>
            <w:vAlign w:val="center"/>
          </w:tcPr>
          <w:p w14:paraId="0AF90438"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tc>
        <w:tc>
          <w:tcPr>
            <w:tcW w:w="1549" w:type="pct"/>
            <w:shd w:val="clear" w:color="auto" w:fill="auto"/>
            <w:vAlign w:val="center"/>
          </w:tcPr>
          <w:p w14:paraId="0E239A36"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90 – 526</w:t>
            </w:r>
          </w:p>
        </w:tc>
        <w:tc>
          <w:tcPr>
            <w:tcW w:w="1496" w:type="pct"/>
            <w:shd w:val="clear" w:color="auto" w:fill="auto"/>
            <w:vAlign w:val="center"/>
          </w:tcPr>
          <w:p w14:paraId="06DFB022"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150 - 480</w:t>
            </w:r>
          </w:p>
        </w:tc>
        <w:tc>
          <w:tcPr>
            <w:tcW w:w="799" w:type="pct"/>
            <w:vMerge/>
            <w:shd w:val="clear" w:color="auto" w:fill="auto"/>
            <w:vAlign w:val="center"/>
          </w:tcPr>
          <w:p w14:paraId="716D2DA1"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3888FE0E" w14:textId="77777777" w:rsidTr="00AB6F25">
        <w:trPr>
          <w:trHeight w:val="22"/>
          <w:jc w:val="center"/>
        </w:trPr>
        <w:tc>
          <w:tcPr>
            <w:tcW w:w="1156" w:type="pct"/>
            <w:shd w:val="clear" w:color="auto" w:fill="auto"/>
            <w:vAlign w:val="center"/>
          </w:tcPr>
          <w:p w14:paraId="3660CC88"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shd w:val="clear" w:color="auto" w:fill="auto"/>
            <w:vAlign w:val="center"/>
          </w:tcPr>
          <w:p w14:paraId="3A934D48"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268 (225 – 317)</w:t>
            </w:r>
          </w:p>
        </w:tc>
        <w:tc>
          <w:tcPr>
            <w:tcW w:w="1496" w:type="pct"/>
            <w:shd w:val="clear" w:color="auto" w:fill="auto"/>
            <w:vAlign w:val="center"/>
          </w:tcPr>
          <w:p w14:paraId="40088EC2"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254 (224 – 299)</w:t>
            </w:r>
          </w:p>
        </w:tc>
        <w:tc>
          <w:tcPr>
            <w:tcW w:w="799" w:type="pct"/>
            <w:vMerge/>
            <w:shd w:val="clear" w:color="auto" w:fill="auto"/>
            <w:vAlign w:val="center"/>
          </w:tcPr>
          <w:p w14:paraId="3D7E7CDD"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379DA2DC" w14:textId="77777777" w:rsidTr="00AB6F25">
        <w:trPr>
          <w:trHeight w:val="22"/>
          <w:jc w:val="center"/>
        </w:trPr>
        <w:tc>
          <w:tcPr>
            <w:tcW w:w="1156" w:type="pct"/>
            <w:shd w:val="clear" w:color="auto" w:fill="auto"/>
            <w:vAlign w:val="center"/>
          </w:tcPr>
          <w:p w14:paraId="7A873BC5"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WBCs</w:t>
            </w:r>
          </w:p>
        </w:tc>
        <w:tc>
          <w:tcPr>
            <w:tcW w:w="1549" w:type="pct"/>
            <w:shd w:val="clear" w:color="auto" w:fill="auto"/>
            <w:vAlign w:val="center"/>
          </w:tcPr>
          <w:p w14:paraId="310CE8DB"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1496" w:type="pct"/>
            <w:shd w:val="clear" w:color="auto" w:fill="auto"/>
            <w:vAlign w:val="center"/>
          </w:tcPr>
          <w:p w14:paraId="574DEFCD"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799" w:type="pct"/>
            <w:vMerge w:val="restart"/>
            <w:shd w:val="clear" w:color="auto" w:fill="auto"/>
            <w:vAlign w:val="center"/>
          </w:tcPr>
          <w:p w14:paraId="58A11B35"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0.05</w:t>
            </w:r>
          </w:p>
        </w:tc>
      </w:tr>
      <w:tr w:rsidR="00C67A74" w:rsidRPr="000412D8" w14:paraId="165E66AA" w14:textId="77777777" w:rsidTr="00AB6F25">
        <w:trPr>
          <w:trHeight w:val="22"/>
          <w:jc w:val="center"/>
        </w:trPr>
        <w:tc>
          <w:tcPr>
            <w:tcW w:w="1156" w:type="pct"/>
            <w:shd w:val="clear" w:color="auto" w:fill="auto"/>
            <w:vAlign w:val="center"/>
          </w:tcPr>
          <w:p w14:paraId="357DAD43"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tc>
        <w:tc>
          <w:tcPr>
            <w:tcW w:w="1549" w:type="pct"/>
            <w:shd w:val="clear" w:color="auto" w:fill="auto"/>
            <w:vAlign w:val="center"/>
          </w:tcPr>
          <w:p w14:paraId="316CA6ED"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3.5 – 13.97</w:t>
            </w:r>
          </w:p>
        </w:tc>
        <w:tc>
          <w:tcPr>
            <w:tcW w:w="1496" w:type="pct"/>
            <w:shd w:val="clear" w:color="auto" w:fill="auto"/>
            <w:vAlign w:val="center"/>
          </w:tcPr>
          <w:p w14:paraId="304CA5CB"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3.64 – 11.58</w:t>
            </w:r>
          </w:p>
        </w:tc>
        <w:tc>
          <w:tcPr>
            <w:tcW w:w="799" w:type="pct"/>
            <w:vMerge/>
            <w:shd w:val="clear" w:color="auto" w:fill="auto"/>
            <w:vAlign w:val="center"/>
          </w:tcPr>
          <w:p w14:paraId="0279D148"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63FC63F1" w14:textId="77777777" w:rsidTr="00AB6F25">
        <w:trPr>
          <w:trHeight w:val="22"/>
          <w:jc w:val="center"/>
        </w:trPr>
        <w:tc>
          <w:tcPr>
            <w:tcW w:w="1156" w:type="pct"/>
            <w:shd w:val="clear" w:color="auto" w:fill="auto"/>
            <w:vAlign w:val="center"/>
          </w:tcPr>
          <w:p w14:paraId="3E954161"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shd w:val="clear" w:color="auto" w:fill="auto"/>
            <w:vAlign w:val="center"/>
          </w:tcPr>
          <w:p w14:paraId="7EFA0ADD"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sz w:val="18"/>
                <w:szCs w:val="18"/>
              </w:rPr>
              <w:t>6.9 (5.6 – 8.5)</w:t>
            </w:r>
          </w:p>
        </w:tc>
        <w:tc>
          <w:tcPr>
            <w:tcW w:w="1496" w:type="pct"/>
            <w:shd w:val="clear" w:color="auto" w:fill="auto"/>
            <w:vAlign w:val="center"/>
          </w:tcPr>
          <w:p w14:paraId="597FBE50"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sz w:val="18"/>
                <w:szCs w:val="18"/>
              </w:rPr>
              <w:t>7.1 (5.5 – 7.9)</w:t>
            </w:r>
          </w:p>
        </w:tc>
        <w:tc>
          <w:tcPr>
            <w:tcW w:w="799" w:type="pct"/>
            <w:vMerge/>
            <w:shd w:val="clear" w:color="auto" w:fill="auto"/>
            <w:vAlign w:val="center"/>
          </w:tcPr>
          <w:p w14:paraId="7C8DB8ED"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p>
        </w:tc>
      </w:tr>
      <w:tr w:rsidR="00C67A74" w:rsidRPr="000412D8" w14:paraId="379D4F00" w14:textId="77777777" w:rsidTr="00AB6F25">
        <w:trPr>
          <w:trHeight w:val="22"/>
          <w:jc w:val="center"/>
        </w:trPr>
        <w:tc>
          <w:tcPr>
            <w:tcW w:w="1156" w:type="pct"/>
            <w:shd w:val="clear" w:color="auto" w:fill="auto"/>
            <w:vAlign w:val="center"/>
          </w:tcPr>
          <w:p w14:paraId="605C8FAD" w14:textId="77777777" w:rsidR="00C67A74" w:rsidRPr="000412D8" w:rsidRDefault="00C67A74" w:rsidP="006870FF">
            <w:pPr>
              <w:spacing w:after="0" w:line="240" w:lineRule="auto"/>
              <w:jc w:val="both"/>
              <w:rPr>
                <w:rFonts w:ascii="Times New Roman" w:eastAsia="Times New Roman" w:hAnsi="Times New Roman" w:cs="Times New Roman"/>
                <w:b/>
                <w:bCs/>
                <w:sz w:val="18"/>
                <w:szCs w:val="18"/>
              </w:rPr>
            </w:pPr>
            <w:r w:rsidRPr="000412D8">
              <w:rPr>
                <w:rFonts w:ascii="Times New Roman" w:eastAsia="Times New Roman" w:hAnsi="Times New Roman" w:cs="Times New Roman"/>
                <w:b/>
                <w:bCs/>
                <w:sz w:val="18"/>
                <w:szCs w:val="18"/>
              </w:rPr>
              <w:t>Iron</w:t>
            </w:r>
          </w:p>
          <w:p w14:paraId="5A00C47A"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p w14:paraId="6A7E53FC"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shd w:val="clear" w:color="auto" w:fill="auto"/>
            <w:vAlign w:val="bottom"/>
          </w:tcPr>
          <w:p w14:paraId="0B68D852"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0.19 – 1.42</w:t>
            </w:r>
          </w:p>
          <w:p w14:paraId="503F793C"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0.57 (0.35 – 0.83)</w:t>
            </w:r>
          </w:p>
        </w:tc>
        <w:tc>
          <w:tcPr>
            <w:tcW w:w="1496" w:type="pct"/>
            <w:shd w:val="clear" w:color="auto" w:fill="auto"/>
            <w:vAlign w:val="bottom"/>
          </w:tcPr>
          <w:p w14:paraId="2E1ADC86"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0.16 – 1.72</w:t>
            </w:r>
          </w:p>
          <w:p w14:paraId="578ABF78"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0.67 (0.46 – 0.9)</w:t>
            </w:r>
          </w:p>
        </w:tc>
        <w:tc>
          <w:tcPr>
            <w:tcW w:w="799" w:type="pct"/>
            <w:shd w:val="clear" w:color="auto" w:fill="auto"/>
            <w:vAlign w:val="center"/>
          </w:tcPr>
          <w:p w14:paraId="361DFDC5"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0.01*</w:t>
            </w:r>
          </w:p>
        </w:tc>
      </w:tr>
      <w:tr w:rsidR="00C67A74" w:rsidRPr="000412D8" w14:paraId="23EAECAA" w14:textId="77777777" w:rsidTr="00AB6F25">
        <w:trPr>
          <w:trHeight w:val="22"/>
          <w:jc w:val="center"/>
        </w:trPr>
        <w:tc>
          <w:tcPr>
            <w:tcW w:w="1156" w:type="pct"/>
            <w:shd w:val="clear" w:color="auto" w:fill="auto"/>
            <w:vAlign w:val="center"/>
          </w:tcPr>
          <w:p w14:paraId="28EC8F8A" w14:textId="77777777" w:rsidR="00C67A74" w:rsidRPr="000412D8" w:rsidRDefault="00C67A74" w:rsidP="006870FF">
            <w:pPr>
              <w:spacing w:after="0" w:line="240" w:lineRule="auto"/>
              <w:jc w:val="both"/>
              <w:rPr>
                <w:rFonts w:ascii="Times New Roman" w:eastAsia="Times New Roman" w:hAnsi="Times New Roman" w:cs="Times New Roman"/>
                <w:b/>
                <w:bCs/>
                <w:sz w:val="18"/>
                <w:szCs w:val="18"/>
              </w:rPr>
            </w:pPr>
            <w:r w:rsidRPr="000412D8">
              <w:rPr>
                <w:rFonts w:ascii="Times New Roman" w:eastAsia="Times New Roman" w:hAnsi="Times New Roman" w:cs="Times New Roman"/>
                <w:b/>
                <w:bCs/>
                <w:sz w:val="18"/>
                <w:szCs w:val="18"/>
              </w:rPr>
              <w:t>Ferritin</w:t>
            </w:r>
          </w:p>
          <w:p w14:paraId="164B6120"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p w14:paraId="64D9C0BF"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shd w:val="clear" w:color="auto" w:fill="auto"/>
            <w:vAlign w:val="bottom"/>
          </w:tcPr>
          <w:p w14:paraId="10C43B1A"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4.8 - 354</w:t>
            </w:r>
          </w:p>
          <w:p w14:paraId="531C1482"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83 (23 – 143)</w:t>
            </w:r>
          </w:p>
        </w:tc>
        <w:tc>
          <w:tcPr>
            <w:tcW w:w="1496" w:type="pct"/>
            <w:shd w:val="clear" w:color="auto" w:fill="auto"/>
            <w:vAlign w:val="bottom"/>
          </w:tcPr>
          <w:p w14:paraId="774BA4AD"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5 - 474</w:t>
            </w:r>
          </w:p>
          <w:p w14:paraId="2BF97ECE"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69 (35 – 145)</w:t>
            </w:r>
          </w:p>
        </w:tc>
        <w:tc>
          <w:tcPr>
            <w:tcW w:w="799" w:type="pct"/>
            <w:shd w:val="clear" w:color="auto" w:fill="auto"/>
            <w:vAlign w:val="center"/>
          </w:tcPr>
          <w:p w14:paraId="2E76F03C"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0.13</w:t>
            </w:r>
          </w:p>
        </w:tc>
      </w:tr>
      <w:tr w:rsidR="00C67A74" w:rsidRPr="000412D8" w14:paraId="73C3F0C9" w14:textId="77777777" w:rsidTr="00AB6F25">
        <w:trPr>
          <w:gridAfter w:val="3"/>
          <w:wAfter w:w="3844" w:type="pct"/>
          <w:trHeight w:val="22"/>
          <w:jc w:val="center"/>
        </w:trPr>
        <w:tc>
          <w:tcPr>
            <w:tcW w:w="1156" w:type="pct"/>
            <w:shd w:val="clear" w:color="auto" w:fill="auto"/>
            <w:vAlign w:val="center"/>
          </w:tcPr>
          <w:p w14:paraId="0685F873"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Lipid profile</w:t>
            </w:r>
          </w:p>
        </w:tc>
      </w:tr>
      <w:tr w:rsidR="00C67A74" w:rsidRPr="000412D8" w14:paraId="13C0F745" w14:textId="77777777" w:rsidTr="00AB6F25">
        <w:trPr>
          <w:trHeight w:val="22"/>
          <w:jc w:val="center"/>
        </w:trPr>
        <w:tc>
          <w:tcPr>
            <w:tcW w:w="1156" w:type="pct"/>
            <w:shd w:val="clear" w:color="auto" w:fill="auto"/>
            <w:vAlign w:val="center"/>
          </w:tcPr>
          <w:p w14:paraId="3EF942EF"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Total cholesterol</w:t>
            </w:r>
          </w:p>
        </w:tc>
        <w:tc>
          <w:tcPr>
            <w:tcW w:w="1549" w:type="pct"/>
            <w:shd w:val="clear" w:color="auto" w:fill="auto"/>
            <w:vAlign w:val="center"/>
          </w:tcPr>
          <w:p w14:paraId="7B89A4A9"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p>
        </w:tc>
        <w:tc>
          <w:tcPr>
            <w:tcW w:w="1496" w:type="pct"/>
            <w:shd w:val="clear" w:color="auto" w:fill="auto"/>
            <w:vAlign w:val="center"/>
          </w:tcPr>
          <w:p w14:paraId="6A7EDF6D"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p>
        </w:tc>
        <w:tc>
          <w:tcPr>
            <w:tcW w:w="799" w:type="pct"/>
            <w:vMerge w:val="restart"/>
            <w:shd w:val="clear" w:color="auto" w:fill="auto"/>
            <w:vAlign w:val="center"/>
          </w:tcPr>
          <w:p w14:paraId="78A602A9"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0.56</w:t>
            </w:r>
          </w:p>
        </w:tc>
      </w:tr>
      <w:tr w:rsidR="00C67A74" w:rsidRPr="000412D8" w14:paraId="73754110" w14:textId="77777777" w:rsidTr="00AB6F25">
        <w:trPr>
          <w:trHeight w:val="22"/>
          <w:jc w:val="center"/>
        </w:trPr>
        <w:tc>
          <w:tcPr>
            <w:tcW w:w="1156" w:type="pct"/>
            <w:shd w:val="clear" w:color="auto" w:fill="auto"/>
            <w:vAlign w:val="center"/>
          </w:tcPr>
          <w:p w14:paraId="6CDADEDE"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tc>
        <w:tc>
          <w:tcPr>
            <w:tcW w:w="1549" w:type="pct"/>
            <w:shd w:val="clear" w:color="auto" w:fill="auto"/>
            <w:vAlign w:val="center"/>
          </w:tcPr>
          <w:p w14:paraId="23A4CB75"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116 – 316</w:t>
            </w:r>
          </w:p>
        </w:tc>
        <w:tc>
          <w:tcPr>
            <w:tcW w:w="1496" w:type="pct"/>
            <w:shd w:val="clear" w:color="auto" w:fill="auto"/>
            <w:vAlign w:val="center"/>
          </w:tcPr>
          <w:p w14:paraId="041E150F"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116 – 259</w:t>
            </w:r>
          </w:p>
        </w:tc>
        <w:tc>
          <w:tcPr>
            <w:tcW w:w="799" w:type="pct"/>
            <w:vMerge/>
            <w:shd w:val="clear" w:color="auto" w:fill="auto"/>
            <w:vAlign w:val="center"/>
          </w:tcPr>
          <w:p w14:paraId="43A6DCE6"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1CCD7024" w14:textId="77777777" w:rsidTr="00AB6F25">
        <w:trPr>
          <w:trHeight w:val="22"/>
          <w:jc w:val="center"/>
        </w:trPr>
        <w:tc>
          <w:tcPr>
            <w:tcW w:w="1156" w:type="pct"/>
            <w:shd w:val="clear" w:color="auto" w:fill="auto"/>
            <w:vAlign w:val="center"/>
          </w:tcPr>
          <w:p w14:paraId="744DF706"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shd w:val="clear" w:color="auto" w:fill="auto"/>
            <w:vAlign w:val="center"/>
          </w:tcPr>
          <w:p w14:paraId="6E0A96E4"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180 (156 – 208)</w:t>
            </w:r>
          </w:p>
        </w:tc>
        <w:tc>
          <w:tcPr>
            <w:tcW w:w="1496" w:type="pct"/>
            <w:shd w:val="clear" w:color="auto" w:fill="auto"/>
            <w:vAlign w:val="center"/>
          </w:tcPr>
          <w:p w14:paraId="274B9075"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176 (159 – 198)</w:t>
            </w:r>
          </w:p>
        </w:tc>
        <w:tc>
          <w:tcPr>
            <w:tcW w:w="799" w:type="pct"/>
            <w:vMerge/>
            <w:shd w:val="clear" w:color="auto" w:fill="auto"/>
            <w:vAlign w:val="center"/>
          </w:tcPr>
          <w:p w14:paraId="06CA5FE4"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1F105B3B" w14:textId="77777777" w:rsidTr="00AB6F25">
        <w:trPr>
          <w:trHeight w:val="22"/>
          <w:jc w:val="center"/>
        </w:trPr>
        <w:tc>
          <w:tcPr>
            <w:tcW w:w="1156" w:type="pct"/>
            <w:shd w:val="clear" w:color="auto" w:fill="auto"/>
            <w:vAlign w:val="center"/>
          </w:tcPr>
          <w:p w14:paraId="1053E568"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HDL</w:t>
            </w:r>
          </w:p>
        </w:tc>
        <w:tc>
          <w:tcPr>
            <w:tcW w:w="1549" w:type="pct"/>
            <w:shd w:val="clear" w:color="auto" w:fill="auto"/>
            <w:vAlign w:val="center"/>
          </w:tcPr>
          <w:p w14:paraId="7D946F77"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1496" w:type="pct"/>
            <w:shd w:val="clear" w:color="auto" w:fill="auto"/>
            <w:vAlign w:val="center"/>
          </w:tcPr>
          <w:p w14:paraId="42851A46"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799" w:type="pct"/>
            <w:vMerge w:val="restart"/>
            <w:shd w:val="clear" w:color="auto" w:fill="auto"/>
            <w:vAlign w:val="center"/>
          </w:tcPr>
          <w:p w14:paraId="4B15D16F"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 xml:space="preserve">0.06 </w:t>
            </w:r>
          </w:p>
        </w:tc>
      </w:tr>
      <w:tr w:rsidR="00C67A74" w:rsidRPr="000412D8" w14:paraId="3956DECC" w14:textId="77777777" w:rsidTr="00AB6F25">
        <w:trPr>
          <w:trHeight w:val="22"/>
          <w:jc w:val="center"/>
        </w:trPr>
        <w:tc>
          <w:tcPr>
            <w:tcW w:w="1156" w:type="pct"/>
            <w:shd w:val="clear" w:color="auto" w:fill="auto"/>
            <w:vAlign w:val="center"/>
          </w:tcPr>
          <w:p w14:paraId="518899FC"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tc>
        <w:tc>
          <w:tcPr>
            <w:tcW w:w="1549" w:type="pct"/>
            <w:shd w:val="clear" w:color="auto" w:fill="auto"/>
            <w:vAlign w:val="center"/>
          </w:tcPr>
          <w:p w14:paraId="00883131"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24 – 82</w:t>
            </w:r>
          </w:p>
        </w:tc>
        <w:tc>
          <w:tcPr>
            <w:tcW w:w="1496" w:type="pct"/>
            <w:shd w:val="clear" w:color="auto" w:fill="auto"/>
            <w:vAlign w:val="center"/>
          </w:tcPr>
          <w:p w14:paraId="03D3D3B6"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23 – 81</w:t>
            </w:r>
          </w:p>
        </w:tc>
        <w:tc>
          <w:tcPr>
            <w:tcW w:w="799" w:type="pct"/>
            <w:vMerge/>
            <w:shd w:val="clear" w:color="auto" w:fill="auto"/>
            <w:vAlign w:val="center"/>
          </w:tcPr>
          <w:p w14:paraId="370797CA"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64920F47" w14:textId="77777777" w:rsidTr="00AB6F25">
        <w:trPr>
          <w:trHeight w:val="22"/>
          <w:jc w:val="center"/>
        </w:trPr>
        <w:tc>
          <w:tcPr>
            <w:tcW w:w="1156" w:type="pct"/>
            <w:shd w:val="clear" w:color="auto" w:fill="auto"/>
            <w:vAlign w:val="center"/>
          </w:tcPr>
          <w:p w14:paraId="54AE1DB6"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shd w:val="clear" w:color="auto" w:fill="auto"/>
            <w:vAlign w:val="center"/>
          </w:tcPr>
          <w:p w14:paraId="36B6B4A5"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42 (35 – 49)</w:t>
            </w:r>
          </w:p>
        </w:tc>
        <w:tc>
          <w:tcPr>
            <w:tcW w:w="1496" w:type="pct"/>
            <w:shd w:val="clear" w:color="auto" w:fill="auto"/>
            <w:vAlign w:val="center"/>
          </w:tcPr>
          <w:p w14:paraId="1A3CFC81"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44 (37 – 52)</w:t>
            </w:r>
          </w:p>
        </w:tc>
        <w:tc>
          <w:tcPr>
            <w:tcW w:w="799" w:type="pct"/>
            <w:vMerge/>
            <w:shd w:val="clear" w:color="auto" w:fill="auto"/>
            <w:vAlign w:val="center"/>
          </w:tcPr>
          <w:p w14:paraId="5C2DD004"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07B16349" w14:textId="77777777" w:rsidTr="00AB6F25">
        <w:trPr>
          <w:trHeight w:val="22"/>
          <w:jc w:val="center"/>
        </w:trPr>
        <w:tc>
          <w:tcPr>
            <w:tcW w:w="1156" w:type="pct"/>
            <w:shd w:val="clear" w:color="auto" w:fill="auto"/>
            <w:vAlign w:val="center"/>
          </w:tcPr>
          <w:p w14:paraId="5261113A"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LDL</w:t>
            </w:r>
          </w:p>
        </w:tc>
        <w:tc>
          <w:tcPr>
            <w:tcW w:w="1549" w:type="pct"/>
            <w:shd w:val="clear" w:color="auto" w:fill="auto"/>
            <w:vAlign w:val="center"/>
          </w:tcPr>
          <w:p w14:paraId="70DEB044"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1496" w:type="pct"/>
            <w:shd w:val="clear" w:color="auto" w:fill="auto"/>
            <w:vAlign w:val="center"/>
          </w:tcPr>
          <w:p w14:paraId="2A1D0482"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799" w:type="pct"/>
            <w:vMerge w:val="restart"/>
            <w:shd w:val="clear" w:color="auto" w:fill="auto"/>
            <w:vAlign w:val="center"/>
          </w:tcPr>
          <w:p w14:paraId="3AD7E678"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 xml:space="preserve">0.45 </w:t>
            </w:r>
          </w:p>
        </w:tc>
      </w:tr>
      <w:tr w:rsidR="00C67A74" w:rsidRPr="000412D8" w14:paraId="33716DC7" w14:textId="77777777" w:rsidTr="00AB6F25">
        <w:trPr>
          <w:trHeight w:val="22"/>
          <w:jc w:val="center"/>
        </w:trPr>
        <w:tc>
          <w:tcPr>
            <w:tcW w:w="1156" w:type="pct"/>
            <w:shd w:val="clear" w:color="auto" w:fill="auto"/>
            <w:vAlign w:val="center"/>
          </w:tcPr>
          <w:p w14:paraId="3B3AAB41"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tc>
        <w:tc>
          <w:tcPr>
            <w:tcW w:w="1549" w:type="pct"/>
            <w:shd w:val="clear" w:color="auto" w:fill="auto"/>
            <w:vAlign w:val="center"/>
          </w:tcPr>
          <w:p w14:paraId="54C8BE3E"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49 – 207</w:t>
            </w:r>
          </w:p>
        </w:tc>
        <w:tc>
          <w:tcPr>
            <w:tcW w:w="1496" w:type="pct"/>
            <w:shd w:val="clear" w:color="auto" w:fill="auto"/>
            <w:vAlign w:val="center"/>
          </w:tcPr>
          <w:p w14:paraId="3437445D"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52 – 173</w:t>
            </w:r>
          </w:p>
        </w:tc>
        <w:tc>
          <w:tcPr>
            <w:tcW w:w="799" w:type="pct"/>
            <w:vMerge/>
            <w:shd w:val="clear" w:color="auto" w:fill="auto"/>
            <w:vAlign w:val="center"/>
          </w:tcPr>
          <w:p w14:paraId="754000F3"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1E48A80A" w14:textId="77777777" w:rsidTr="00AB6F25">
        <w:trPr>
          <w:trHeight w:val="22"/>
          <w:jc w:val="center"/>
        </w:trPr>
        <w:tc>
          <w:tcPr>
            <w:tcW w:w="1156" w:type="pct"/>
            <w:shd w:val="clear" w:color="auto" w:fill="auto"/>
            <w:vAlign w:val="center"/>
          </w:tcPr>
          <w:p w14:paraId="218D3CBE"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shd w:val="clear" w:color="auto" w:fill="auto"/>
            <w:vAlign w:val="center"/>
          </w:tcPr>
          <w:p w14:paraId="42600982"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113 (86 – 132)</w:t>
            </w:r>
          </w:p>
        </w:tc>
        <w:tc>
          <w:tcPr>
            <w:tcW w:w="1496" w:type="pct"/>
            <w:shd w:val="clear" w:color="auto" w:fill="auto"/>
            <w:vAlign w:val="center"/>
          </w:tcPr>
          <w:p w14:paraId="79599AD0"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112 (95 – 133)</w:t>
            </w:r>
          </w:p>
        </w:tc>
        <w:tc>
          <w:tcPr>
            <w:tcW w:w="799" w:type="pct"/>
            <w:vMerge/>
            <w:shd w:val="clear" w:color="auto" w:fill="auto"/>
            <w:vAlign w:val="center"/>
          </w:tcPr>
          <w:p w14:paraId="5A5C3420"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787E63E2" w14:textId="77777777" w:rsidTr="00AB6F25">
        <w:trPr>
          <w:trHeight w:val="22"/>
          <w:jc w:val="center"/>
        </w:trPr>
        <w:tc>
          <w:tcPr>
            <w:tcW w:w="1156" w:type="pct"/>
            <w:shd w:val="clear" w:color="auto" w:fill="auto"/>
            <w:vAlign w:val="center"/>
          </w:tcPr>
          <w:p w14:paraId="64633723"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TGs</w:t>
            </w:r>
          </w:p>
        </w:tc>
        <w:tc>
          <w:tcPr>
            <w:tcW w:w="1549" w:type="pct"/>
            <w:shd w:val="clear" w:color="auto" w:fill="auto"/>
            <w:vAlign w:val="center"/>
          </w:tcPr>
          <w:p w14:paraId="4D4719B3"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1496" w:type="pct"/>
            <w:shd w:val="clear" w:color="auto" w:fill="auto"/>
            <w:vAlign w:val="center"/>
          </w:tcPr>
          <w:p w14:paraId="3BB1B5A7"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799" w:type="pct"/>
            <w:vMerge w:val="restart"/>
            <w:shd w:val="clear" w:color="auto" w:fill="auto"/>
            <w:vAlign w:val="center"/>
          </w:tcPr>
          <w:p w14:paraId="34533E00"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&lt;0.001*</w:t>
            </w:r>
          </w:p>
        </w:tc>
      </w:tr>
      <w:tr w:rsidR="00C67A74" w:rsidRPr="000412D8" w14:paraId="331C9C95" w14:textId="77777777" w:rsidTr="00AB6F25">
        <w:trPr>
          <w:trHeight w:val="22"/>
          <w:jc w:val="center"/>
        </w:trPr>
        <w:tc>
          <w:tcPr>
            <w:tcW w:w="1156" w:type="pct"/>
            <w:shd w:val="clear" w:color="auto" w:fill="auto"/>
            <w:vAlign w:val="center"/>
          </w:tcPr>
          <w:p w14:paraId="23CAC5CC"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tc>
        <w:tc>
          <w:tcPr>
            <w:tcW w:w="1549" w:type="pct"/>
            <w:shd w:val="clear" w:color="auto" w:fill="auto"/>
            <w:vAlign w:val="center"/>
          </w:tcPr>
          <w:p w14:paraId="3512DDC7"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46 - 485</w:t>
            </w:r>
          </w:p>
        </w:tc>
        <w:tc>
          <w:tcPr>
            <w:tcW w:w="1496" w:type="pct"/>
            <w:shd w:val="clear" w:color="auto" w:fill="auto"/>
            <w:vAlign w:val="center"/>
          </w:tcPr>
          <w:p w14:paraId="2FD2FDC0"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46 - 423</w:t>
            </w:r>
          </w:p>
        </w:tc>
        <w:tc>
          <w:tcPr>
            <w:tcW w:w="799" w:type="pct"/>
            <w:vMerge/>
            <w:shd w:val="clear" w:color="auto" w:fill="auto"/>
            <w:vAlign w:val="center"/>
          </w:tcPr>
          <w:p w14:paraId="3970AFFF"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5CAB6127" w14:textId="77777777" w:rsidTr="00AB6F25">
        <w:trPr>
          <w:trHeight w:val="22"/>
          <w:jc w:val="center"/>
        </w:trPr>
        <w:tc>
          <w:tcPr>
            <w:tcW w:w="1156" w:type="pct"/>
            <w:shd w:val="clear" w:color="auto" w:fill="auto"/>
            <w:vAlign w:val="center"/>
          </w:tcPr>
          <w:p w14:paraId="6BAFDCE3"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shd w:val="clear" w:color="auto" w:fill="auto"/>
            <w:vAlign w:val="center"/>
          </w:tcPr>
          <w:p w14:paraId="54B9EBB9"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135 (96 – 172)</w:t>
            </w:r>
          </w:p>
        </w:tc>
        <w:tc>
          <w:tcPr>
            <w:tcW w:w="1496" w:type="pct"/>
            <w:shd w:val="clear" w:color="auto" w:fill="auto"/>
            <w:vAlign w:val="center"/>
          </w:tcPr>
          <w:p w14:paraId="7B94EA66"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120 (85 – 145)</w:t>
            </w:r>
          </w:p>
        </w:tc>
        <w:tc>
          <w:tcPr>
            <w:tcW w:w="799" w:type="pct"/>
            <w:vMerge/>
            <w:shd w:val="clear" w:color="auto" w:fill="auto"/>
            <w:vAlign w:val="center"/>
          </w:tcPr>
          <w:p w14:paraId="375F4373"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1D2E769E" w14:textId="77777777" w:rsidTr="00AB6F25">
        <w:trPr>
          <w:trHeight w:val="22"/>
          <w:jc w:val="center"/>
        </w:trPr>
        <w:tc>
          <w:tcPr>
            <w:tcW w:w="1156" w:type="pct"/>
            <w:shd w:val="clear" w:color="auto" w:fill="auto"/>
            <w:vAlign w:val="center"/>
          </w:tcPr>
          <w:p w14:paraId="07FFDBAB" w14:textId="4B8A42AE" w:rsidR="00C67A74" w:rsidRPr="000412D8" w:rsidRDefault="00C67A74" w:rsidP="006870FF">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ALT</w:t>
            </w:r>
          </w:p>
        </w:tc>
        <w:tc>
          <w:tcPr>
            <w:tcW w:w="1549" w:type="pct"/>
            <w:shd w:val="clear" w:color="auto" w:fill="auto"/>
            <w:vAlign w:val="bottom"/>
          </w:tcPr>
          <w:p w14:paraId="7D9AD63B"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1496" w:type="pct"/>
            <w:shd w:val="clear" w:color="auto" w:fill="auto"/>
            <w:vAlign w:val="center"/>
          </w:tcPr>
          <w:p w14:paraId="38198E98"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799" w:type="pct"/>
            <w:vMerge w:val="restart"/>
            <w:shd w:val="clear" w:color="auto" w:fill="auto"/>
            <w:vAlign w:val="center"/>
          </w:tcPr>
          <w:p w14:paraId="1B295F01"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0.75</w:t>
            </w:r>
          </w:p>
        </w:tc>
      </w:tr>
      <w:tr w:rsidR="00C67A74" w:rsidRPr="000412D8" w14:paraId="245DFE60" w14:textId="77777777" w:rsidTr="00AB6F25">
        <w:trPr>
          <w:trHeight w:val="22"/>
          <w:jc w:val="center"/>
        </w:trPr>
        <w:tc>
          <w:tcPr>
            <w:tcW w:w="1156" w:type="pct"/>
            <w:shd w:val="clear" w:color="auto" w:fill="auto"/>
            <w:vAlign w:val="center"/>
          </w:tcPr>
          <w:p w14:paraId="1A89494B"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tc>
        <w:tc>
          <w:tcPr>
            <w:tcW w:w="1549" w:type="pct"/>
            <w:shd w:val="clear" w:color="auto" w:fill="auto"/>
            <w:vAlign w:val="bottom"/>
          </w:tcPr>
          <w:p w14:paraId="1FCD7713"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8 – 96</w:t>
            </w:r>
          </w:p>
        </w:tc>
        <w:tc>
          <w:tcPr>
            <w:tcW w:w="1496" w:type="pct"/>
            <w:shd w:val="clear" w:color="auto" w:fill="auto"/>
            <w:vAlign w:val="center"/>
          </w:tcPr>
          <w:p w14:paraId="285DC98E"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10 – 82</w:t>
            </w:r>
          </w:p>
        </w:tc>
        <w:tc>
          <w:tcPr>
            <w:tcW w:w="799" w:type="pct"/>
            <w:vMerge/>
            <w:shd w:val="clear" w:color="auto" w:fill="auto"/>
            <w:vAlign w:val="center"/>
          </w:tcPr>
          <w:p w14:paraId="6801B3DC"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31A8449C" w14:textId="77777777" w:rsidTr="00AB6F25">
        <w:trPr>
          <w:trHeight w:val="22"/>
          <w:jc w:val="center"/>
        </w:trPr>
        <w:tc>
          <w:tcPr>
            <w:tcW w:w="1156" w:type="pct"/>
            <w:shd w:val="clear" w:color="auto" w:fill="auto"/>
            <w:vAlign w:val="center"/>
          </w:tcPr>
          <w:p w14:paraId="44F48197"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shd w:val="clear" w:color="auto" w:fill="auto"/>
            <w:vAlign w:val="bottom"/>
          </w:tcPr>
          <w:p w14:paraId="731C5A17"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21 (16 – 27)</w:t>
            </w:r>
          </w:p>
        </w:tc>
        <w:tc>
          <w:tcPr>
            <w:tcW w:w="1496" w:type="pct"/>
            <w:shd w:val="clear" w:color="auto" w:fill="auto"/>
            <w:vAlign w:val="center"/>
          </w:tcPr>
          <w:p w14:paraId="21B91533"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21 (15 – 31)</w:t>
            </w:r>
          </w:p>
        </w:tc>
        <w:tc>
          <w:tcPr>
            <w:tcW w:w="799" w:type="pct"/>
            <w:vMerge/>
            <w:shd w:val="clear" w:color="auto" w:fill="auto"/>
            <w:vAlign w:val="center"/>
          </w:tcPr>
          <w:p w14:paraId="4383C84F"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r>
      <w:tr w:rsidR="00C67A74" w:rsidRPr="000412D8" w14:paraId="6114FCDC" w14:textId="77777777" w:rsidTr="00AB6F25">
        <w:trPr>
          <w:trHeight w:val="22"/>
          <w:jc w:val="center"/>
        </w:trPr>
        <w:tc>
          <w:tcPr>
            <w:tcW w:w="1156" w:type="pct"/>
            <w:shd w:val="clear" w:color="auto" w:fill="auto"/>
            <w:vAlign w:val="center"/>
          </w:tcPr>
          <w:p w14:paraId="1F5CDA35" w14:textId="619CD8E4" w:rsidR="00C67A74" w:rsidRPr="000412D8" w:rsidRDefault="00C67A74" w:rsidP="006870FF">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AS</w:t>
            </w:r>
            <w:r w:rsidRPr="000412D8">
              <w:rPr>
                <w:rFonts w:ascii="Times New Roman" w:eastAsia="Times New Roman" w:hAnsi="Times New Roman" w:cs="Times New Roman"/>
                <w:b/>
                <w:sz w:val="18"/>
                <w:szCs w:val="18"/>
              </w:rPr>
              <w:t>T</w:t>
            </w:r>
          </w:p>
        </w:tc>
        <w:tc>
          <w:tcPr>
            <w:tcW w:w="1549" w:type="pct"/>
            <w:vMerge w:val="restart"/>
            <w:shd w:val="clear" w:color="auto" w:fill="auto"/>
            <w:vAlign w:val="bottom"/>
          </w:tcPr>
          <w:p w14:paraId="482BEC4F"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10 – 44</w:t>
            </w:r>
          </w:p>
          <w:p w14:paraId="5815705C"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19 (16 – 25)</w:t>
            </w:r>
          </w:p>
        </w:tc>
        <w:tc>
          <w:tcPr>
            <w:tcW w:w="1496" w:type="pct"/>
            <w:vMerge w:val="restart"/>
            <w:shd w:val="clear" w:color="auto" w:fill="auto"/>
            <w:vAlign w:val="bottom"/>
          </w:tcPr>
          <w:p w14:paraId="49845535"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11 – 41</w:t>
            </w:r>
          </w:p>
          <w:p w14:paraId="74C5BFA5"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20 (17 – 26)</w:t>
            </w:r>
          </w:p>
        </w:tc>
        <w:tc>
          <w:tcPr>
            <w:tcW w:w="799" w:type="pct"/>
            <w:vMerge w:val="restart"/>
            <w:shd w:val="clear" w:color="auto" w:fill="auto"/>
            <w:vAlign w:val="center"/>
          </w:tcPr>
          <w:p w14:paraId="40C85942"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0.1</w:t>
            </w:r>
          </w:p>
        </w:tc>
      </w:tr>
      <w:tr w:rsidR="00C67A74" w:rsidRPr="000412D8" w14:paraId="3A00C167" w14:textId="77777777" w:rsidTr="00AB6F25">
        <w:trPr>
          <w:trHeight w:val="22"/>
          <w:jc w:val="center"/>
        </w:trPr>
        <w:tc>
          <w:tcPr>
            <w:tcW w:w="1156" w:type="pct"/>
            <w:shd w:val="clear" w:color="auto" w:fill="auto"/>
            <w:vAlign w:val="center"/>
          </w:tcPr>
          <w:p w14:paraId="7D35737D"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tc>
        <w:tc>
          <w:tcPr>
            <w:tcW w:w="1549" w:type="pct"/>
            <w:vMerge/>
            <w:shd w:val="clear" w:color="auto" w:fill="auto"/>
            <w:vAlign w:val="center"/>
          </w:tcPr>
          <w:p w14:paraId="069C6E03"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1496" w:type="pct"/>
            <w:vMerge/>
            <w:shd w:val="clear" w:color="auto" w:fill="auto"/>
            <w:vAlign w:val="center"/>
          </w:tcPr>
          <w:p w14:paraId="3A351646"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799" w:type="pct"/>
            <w:vMerge/>
            <w:shd w:val="clear" w:color="auto" w:fill="auto"/>
            <w:vAlign w:val="center"/>
          </w:tcPr>
          <w:p w14:paraId="35B348E8" w14:textId="77777777" w:rsidR="00C67A74" w:rsidRPr="000412D8" w:rsidRDefault="00C67A74" w:rsidP="006870FF">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C67A74" w:rsidRPr="000412D8" w14:paraId="4EDF5E8B" w14:textId="77777777" w:rsidTr="00AB6F25">
        <w:trPr>
          <w:trHeight w:val="22"/>
          <w:jc w:val="center"/>
        </w:trPr>
        <w:tc>
          <w:tcPr>
            <w:tcW w:w="1156" w:type="pct"/>
            <w:shd w:val="clear" w:color="auto" w:fill="auto"/>
            <w:vAlign w:val="center"/>
          </w:tcPr>
          <w:p w14:paraId="4A084D15"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vMerge/>
            <w:shd w:val="clear" w:color="auto" w:fill="auto"/>
            <w:vAlign w:val="center"/>
          </w:tcPr>
          <w:p w14:paraId="3B81EF1A"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1496" w:type="pct"/>
            <w:vMerge/>
            <w:shd w:val="clear" w:color="auto" w:fill="auto"/>
            <w:vAlign w:val="center"/>
          </w:tcPr>
          <w:p w14:paraId="02BE956F"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799" w:type="pct"/>
            <w:vMerge/>
            <w:shd w:val="clear" w:color="auto" w:fill="auto"/>
            <w:vAlign w:val="center"/>
          </w:tcPr>
          <w:p w14:paraId="5879AC99"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r>
      <w:tr w:rsidR="00C67A74" w:rsidRPr="000412D8" w14:paraId="4B11A08D" w14:textId="77777777" w:rsidTr="00AB6F25">
        <w:trPr>
          <w:trHeight w:val="22"/>
          <w:jc w:val="center"/>
        </w:trPr>
        <w:tc>
          <w:tcPr>
            <w:tcW w:w="1156" w:type="pct"/>
            <w:shd w:val="clear" w:color="auto" w:fill="auto"/>
            <w:vAlign w:val="center"/>
          </w:tcPr>
          <w:p w14:paraId="6A3AE917"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Total Bilirubin</w:t>
            </w:r>
          </w:p>
        </w:tc>
        <w:tc>
          <w:tcPr>
            <w:tcW w:w="1549" w:type="pct"/>
            <w:vMerge w:val="restart"/>
            <w:shd w:val="clear" w:color="auto" w:fill="auto"/>
            <w:vAlign w:val="bottom"/>
          </w:tcPr>
          <w:p w14:paraId="710CF517"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0.25 – 2.7</w:t>
            </w:r>
          </w:p>
          <w:p w14:paraId="1923561D"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0.46 (0.38 – 0.64)</w:t>
            </w:r>
          </w:p>
        </w:tc>
        <w:tc>
          <w:tcPr>
            <w:tcW w:w="1496" w:type="pct"/>
            <w:vMerge w:val="restart"/>
            <w:shd w:val="clear" w:color="auto" w:fill="auto"/>
            <w:vAlign w:val="bottom"/>
          </w:tcPr>
          <w:p w14:paraId="7BAB5998"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0.29 – 2.1</w:t>
            </w:r>
          </w:p>
          <w:p w14:paraId="77990BDC"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0.51 (0.43 – 0.69)</w:t>
            </w:r>
          </w:p>
        </w:tc>
        <w:tc>
          <w:tcPr>
            <w:tcW w:w="799" w:type="pct"/>
            <w:vMerge w:val="restart"/>
            <w:shd w:val="clear" w:color="auto" w:fill="auto"/>
            <w:vAlign w:val="center"/>
          </w:tcPr>
          <w:p w14:paraId="64D7EFA6"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0.16</w:t>
            </w:r>
          </w:p>
        </w:tc>
      </w:tr>
      <w:tr w:rsidR="00C67A74" w:rsidRPr="000412D8" w14:paraId="1975089B" w14:textId="77777777" w:rsidTr="00AB6F25">
        <w:trPr>
          <w:trHeight w:val="22"/>
          <w:jc w:val="center"/>
        </w:trPr>
        <w:tc>
          <w:tcPr>
            <w:tcW w:w="1156" w:type="pct"/>
            <w:shd w:val="clear" w:color="auto" w:fill="auto"/>
            <w:vAlign w:val="center"/>
          </w:tcPr>
          <w:p w14:paraId="7E49149D"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Min – Max</w:t>
            </w:r>
          </w:p>
        </w:tc>
        <w:tc>
          <w:tcPr>
            <w:tcW w:w="1549" w:type="pct"/>
            <w:vMerge/>
            <w:shd w:val="clear" w:color="auto" w:fill="auto"/>
            <w:vAlign w:val="center"/>
          </w:tcPr>
          <w:p w14:paraId="54A8D19B"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1496" w:type="pct"/>
            <w:vMerge/>
            <w:shd w:val="clear" w:color="auto" w:fill="auto"/>
            <w:vAlign w:val="center"/>
          </w:tcPr>
          <w:p w14:paraId="6B7E09D6"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799" w:type="pct"/>
            <w:vMerge/>
            <w:shd w:val="clear" w:color="auto" w:fill="auto"/>
            <w:vAlign w:val="center"/>
          </w:tcPr>
          <w:p w14:paraId="53DE7D2D"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r>
      <w:tr w:rsidR="00C67A74" w:rsidRPr="000412D8" w14:paraId="302D753A" w14:textId="77777777" w:rsidTr="00AB6F25">
        <w:trPr>
          <w:trHeight w:val="22"/>
          <w:jc w:val="center"/>
        </w:trPr>
        <w:tc>
          <w:tcPr>
            <w:tcW w:w="1156" w:type="pct"/>
            <w:shd w:val="clear" w:color="auto" w:fill="auto"/>
            <w:vAlign w:val="center"/>
          </w:tcPr>
          <w:p w14:paraId="39D7F34F" w14:textId="77777777" w:rsidR="00C67A74" w:rsidRPr="000412D8" w:rsidRDefault="00C67A74" w:rsidP="006870FF">
            <w:pPr>
              <w:spacing w:after="0" w:line="240" w:lineRule="auto"/>
              <w:ind w:left="170"/>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Median (IQR)</w:t>
            </w:r>
          </w:p>
        </w:tc>
        <w:tc>
          <w:tcPr>
            <w:tcW w:w="1549" w:type="pct"/>
            <w:vMerge/>
            <w:shd w:val="clear" w:color="auto" w:fill="auto"/>
            <w:vAlign w:val="center"/>
          </w:tcPr>
          <w:p w14:paraId="2C9DDEBD"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1496" w:type="pct"/>
            <w:vMerge/>
            <w:shd w:val="clear" w:color="auto" w:fill="auto"/>
            <w:vAlign w:val="center"/>
          </w:tcPr>
          <w:p w14:paraId="3F76C59D"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c>
          <w:tcPr>
            <w:tcW w:w="799" w:type="pct"/>
            <w:vMerge/>
            <w:shd w:val="clear" w:color="auto" w:fill="auto"/>
            <w:vAlign w:val="center"/>
          </w:tcPr>
          <w:p w14:paraId="59B92E2E"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p>
        </w:tc>
      </w:tr>
      <w:tr w:rsidR="00C67A74" w:rsidRPr="000412D8" w14:paraId="247010BA" w14:textId="77777777" w:rsidTr="00AB6F25">
        <w:trPr>
          <w:trHeight w:val="22"/>
          <w:jc w:val="center"/>
        </w:trPr>
        <w:tc>
          <w:tcPr>
            <w:tcW w:w="1156" w:type="pct"/>
            <w:shd w:val="clear" w:color="auto" w:fill="auto"/>
            <w:vAlign w:val="center"/>
          </w:tcPr>
          <w:p w14:paraId="5AF6F5BB" w14:textId="77777777" w:rsidR="00C67A74" w:rsidRPr="000412D8" w:rsidRDefault="00C67A74" w:rsidP="006870FF">
            <w:pPr>
              <w:spacing w:after="0" w:line="240" w:lineRule="auto"/>
              <w:jc w:val="both"/>
              <w:rPr>
                <w:rFonts w:ascii="Times New Roman" w:eastAsia="Times New Roman" w:hAnsi="Times New Roman" w:cs="Times New Roman"/>
                <w:b/>
                <w:sz w:val="18"/>
                <w:szCs w:val="18"/>
              </w:rPr>
            </w:pPr>
            <w:r w:rsidRPr="000412D8">
              <w:rPr>
                <w:rFonts w:ascii="Times New Roman" w:eastAsia="Times New Roman" w:hAnsi="Times New Roman" w:cs="Times New Roman"/>
                <w:b/>
                <w:sz w:val="18"/>
                <w:szCs w:val="18"/>
              </w:rPr>
              <w:t>Direct Bilirubin</w:t>
            </w:r>
          </w:p>
          <w:p w14:paraId="4F3DE199" w14:textId="77777777" w:rsidR="00C67A74" w:rsidRPr="000412D8" w:rsidRDefault="00C67A74" w:rsidP="006870FF">
            <w:pPr>
              <w:spacing w:after="0" w:line="240" w:lineRule="auto"/>
              <w:ind w:left="170"/>
              <w:jc w:val="both"/>
              <w:rPr>
                <w:rFonts w:ascii="Times New Roman" w:eastAsia="Times New Roman" w:hAnsi="Times New Roman" w:cs="Times New Roman"/>
                <w:b/>
                <w:sz w:val="18"/>
                <w:szCs w:val="18"/>
              </w:rPr>
            </w:pPr>
            <w:r w:rsidRPr="000412D8">
              <w:rPr>
                <w:rFonts w:ascii="Times New Roman" w:eastAsia="Times New Roman" w:hAnsi="Times New Roman" w:cs="Times New Roman"/>
                <w:sz w:val="18"/>
                <w:szCs w:val="18"/>
              </w:rPr>
              <w:t>Min - Max</w:t>
            </w:r>
          </w:p>
          <w:p w14:paraId="14047C2F" w14:textId="77777777" w:rsidR="00C67A74" w:rsidRPr="000412D8" w:rsidRDefault="00C67A74" w:rsidP="006870FF">
            <w:pPr>
              <w:spacing w:after="0" w:line="240" w:lineRule="auto"/>
              <w:ind w:left="170"/>
              <w:jc w:val="both"/>
              <w:rPr>
                <w:rFonts w:ascii="Times New Roman" w:eastAsia="Times New Roman" w:hAnsi="Times New Roman" w:cs="Times New Roman"/>
                <w:b/>
                <w:sz w:val="18"/>
                <w:szCs w:val="18"/>
              </w:rPr>
            </w:pPr>
            <w:r w:rsidRPr="000412D8">
              <w:rPr>
                <w:rFonts w:ascii="Times New Roman" w:eastAsia="Times New Roman" w:hAnsi="Times New Roman" w:cs="Times New Roman"/>
                <w:sz w:val="18"/>
                <w:szCs w:val="18"/>
              </w:rPr>
              <w:t>Median (IQR)</w:t>
            </w:r>
          </w:p>
        </w:tc>
        <w:tc>
          <w:tcPr>
            <w:tcW w:w="1549" w:type="pct"/>
            <w:shd w:val="clear" w:color="auto" w:fill="auto"/>
            <w:vAlign w:val="bottom"/>
          </w:tcPr>
          <w:p w14:paraId="0B1CC323" w14:textId="27055401" w:rsidR="00C67A74" w:rsidRPr="000412D8" w:rsidRDefault="00C67A74" w:rsidP="006677E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0.09-0.7</w:t>
            </w:r>
          </w:p>
          <w:p w14:paraId="6976C1B2"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0.19(0.13-0.23)</w:t>
            </w:r>
          </w:p>
        </w:tc>
        <w:tc>
          <w:tcPr>
            <w:tcW w:w="1496" w:type="pct"/>
            <w:shd w:val="clear" w:color="auto" w:fill="auto"/>
            <w:vAlign w:val="bottom"/>
          </w:tcPr>
          <w:p w14:paraId="0BF1BB69" w14:textId="5CD01384" w:rsidR="00C67A74" w:rsidRPr="000412D8" w:rsidRDefault="00C67A74" w:rsidP="006677E2">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0.11 – 0.</w:t>
            </w:r>
            <w:r>
              <w:rPr>
                <w:rFonts w:ascii="Times New Roman" w:eastAsia="Times New Roman" w:hAnsi="Times New Roman" w:cs="Times New Roman"/>
                <w:sz w:val="18"/>
                <w:szCs w:val="18"/>
              </w:rPr>
              <w:t>19</w:t>
            </w:r>
          </w:p>
          <w:p w14:paraId="53AF5447" w14:textId="77777777" w:rsidR="00C67A74" w:rsidRPr="000412D8" w:rsidRDefault="00C67A74" w:rsidP="006870FF">
            <w:pPr>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0.2 (0.15 – 0.25)</w:t>
            </w:r>
          </w:p>
        </w:tc>
        <w:tc>
          <w:tcPr>
            <w:tcW w:w="799" w:type="pct"/>
            <w:shd w:val="clear" w:color="auto" w:fill="auto"/>
            <w:vAlign w:val="center"/>
          </w:tcPr>
          <w:p w14:paraId="450D25CD" w14:textId="77777777" w:rsidR="00C67A74" w:rsidRPr="000412D8" w:rsidRDefault="00C67A74" w:rsidP="00962231">
            <w:pPr>
              <w:keepNext/>
              <w:spacing w:after="0" w:line="240" w:lineRule="auto"/>
              <w:jc w:val="both"/>
              <w:rPr>
                <w:rFonts w:ascii="Times New Roman" w:eastAsia="Times New Roman" w:hAnsi="Times New Roman" w:cs="Times New Roman"/>
                <w:sz w:val="18"/>
                <w:szCs w:val="18"/>
              </w:rPr>
            </w:pPr>
            <w:r w:rsidRPr="000412D8">
              <w:rPr>
                <w:rFonts w:ascii="Times New Roman" w:eastAsia="Times New Roman" w:hAnsi="Times New Roman" w:cs="Times New Roman"/>
                <w:sz w:val="18"/>
                <w:szCs w:val="18"/>
              </w:rPr>
              <w:t>0.18</w:t>
            </w:r>
          </w:p>
        </w:tc>
      </w:tr>
    </w:tbl>
    <w:p w14:paraId="6B1E5FD3" w14:textId="4EA207F7" w:rsidR="00962231" w:rsidRDefault="00962231" w:rsidP="00962231">
      <w:pPr>
        <w:spacing w:after="0" w:line="240" w:lineRule="auto"/>
        <w:jc w:val="both"/>
        <w:rPr>
          <w:rFonts w:ascii="Times New Roman" w:eastAsia="Times New Roman" w:hAnsi="Times New Roman" w:cs="Times New Roman"/>
          <w:bCs/>
          <w:sz w:val="20"/>
          <w:szCs w:val="20"/>
        </w:rPr>
      </w:pPr>
      <w:r w:rsidRPr="00962231">
        <w:rPr>
          <w:bCs/>
          <w:i/>
          <w:iCs/>
          <w:color w:val="44546A"/>
          <w:sz w:val="18"/>
          <w:szCs w:val="18"/>
        </w:rPr>
        <w:t>*: Statistically significant at p &lt; 0.05</w:t>
      </w:r>
      <w:r>
        <w:rPr>
          <w:bCs/>
          <w:i/>
          <w:iCs/>
          <w:color w:val="44546A"/>
          <w:sz w:val="18"/>
          <w:szCs w:val="18"/>
        </w:rPr>
        <w:t xml:space="preserve">. </w:t>
      </w:r>
      <w:r w:rsidRPr="00962231">
        <w:rPr>
          <w:bCs/>
          <w:i/>
          <w:iCs/>
          <w:color w:val="44546A"/>
          <w:sz w:val="18"/>
          <w:szCs w:val="18"/>
        </w:rPr>
        <w:t>Group A: before treatment.</w:t>
      </w:r>
      <w:r>
        <w:rPr>
          <w:bCs/>
          <w:i/>
          <w:iCs/>
          <w:color w:val="44546A"/>
          <w:sz w:val="18"/>
          <w:szCs w:val="18"/>
        </w:rPr>
        <w:t xml:space="preserve"> </w:t>
      </w:r>
      <w:r w:rsidRPr="00962231">
        <w:rPr>
          <w:bCs/>
          <w:i/>
          <w:iCs/>
          <w:color w:val="44546A"/>
          <w:sz w:val="18"/>
          <w:szCs w:val="18"/>
        </w:rPr>
        <w:t>Group B: after treatment</w:t>
      </w:r>
      <w:r>
        <w:rPr>
          <w:rFonts w:ascii="Times New Roman" w:eastAsia="Times New Roman" w:hAnsi="Times New Roman" w:cs="Times New Roman"/>
          <w:bCs/>
          <w:sz w:val="20"/>
          <w:szCs w:val="20"/>
        </w:rPr>
        <w:t>.</w:t>
      </w:r>
    </w:p>
    <w:p w14:paraId="20DC2312" w14:textId="48A488BC" w:rsidR="00292BBD" w:rsidRPr="000412D8" w:rsidRDefault="00292BBD" w:rsidP="0096223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082F30">
        <w:rPr>
          <w:rFonts w:ascii="Times New Roman" w:eastAsia="Times New Roman" w:hAnsi="Times New Roman" w:cs="Times New Roman"/>
          <w:b/>
          <w:bCs/>
          <w:sz w:val="24"/>
          <w:szCs w:val="24"/>
        </w:rPr>
        <w:t xml:space="preserve"> </w:t>
      </w:r>
      <w:r w:rsidRPr="000412D8">
        <w:rPr>
          <w:rFonts w:ascii="Times New Roman" w:eastAsia="Times New Roman" w:hAnsi="Times New Roman" w:cs="Times New Roman"/>
          <w:b/>
          <w:bCs/>
          <w:sz w:val="24"/>
          <w:szCs w:val="24"/>
        </w:rPr>
        <w:t xml:space="preserve">Comparison of </w:t>
      </w:r>
      <w:r w:rsidR="00087D31">
        <w:rPr>
          <w:rFonts w:ascii="Times New Roman" w:eastAsia="Times New Roman" w:hAnsi="Times New Roman" w:cs="Times New Roman"/>
          <w:b/>
          <w:bCs/>
          <w:sz w:val="24"/>
          <w:szCs w:val="24"/>
        </w:rPr>
        <w:t>both</w:t>
      </w:r>
      <w:r w:rsidRPr="000412D8">
        <w:rPr>
          <w:rFonts w:ascii="Times New Roman" w:eastAsia="Times New Roman" w:hAnsi="Times New Roman" w:cs="Times New Roman"/>
          <w:b/>
          <w:bCs/>
          <w:sz w:val="24"/>
          <w:szCs w:val="24"/>
        </w:rPr>
        <w:t xml:space="preserve"> groups as</w:t>
      </w:r>
      <w:r w:rsidR="00087D31">
        <w:rPr>
          <w:rFonts w:ascii="Times New Roman" w:eastAsia="Times New Roman" w:hAnsi="Times New Roman" w:cs="Times New Roman"/>
          <w:b/>
          <w:bCs/>
          <w:sz w:val="24"/>
          <w:szCs w:val="24"/>
        </w:rPr>
        <w:t xml:space="preserve"> </w:t>
      </w:r>
      <w:r w:rsidR="00CA7D45">
        <w:rPr>
          <w:rFonts w:ascii="Times New Roman" w:eastAsia="Times New Roman" w:hAnsi="Times New Roman" w:cs="Times New Roman"/>
          <w:b/>
          <w:bCs/>
          <w:sz w:val="24"/>
          <w:szCs w:val="24"/>
        </w:rPr>
        <w:t>regards</w:t>
      </w:r>
      <w:r w:rsidR="00087D31">
        <w:rPr>
          <w:rFonts w:ascii="Times New Roman" w:eastAsia="Times New Roman" w:hAnsi="Times New Roman" w:cs="Times New Roman"/>
          <w:b/>
          <w:bCs/>
          <w:sz w:val="24"/>
          <w:szCs w:val="24"/>
        </w:rPr>
        <w:t xml:space="preserve"> </w:t>
      </w:r>
      <w:r w:rsidR="00087D31" w:rsidRPr="00211082">
        <w:rPr>
          <w:rFonts w:ascii="Times New Roman" w:eastAsia="Times New Roman" w:hAnsi="Times New Roman" w:cs="Times New Roman"/>
          <w:b/>
          <w:bCs/>
          <w:i/>
          <w:iCs/>
          <w:sz w:val="24"/>
          <w:szCs w:val="24"/>
        </w:rPr>
        <w:t>H. pylori</w:t>
      </w:r>
      <w:r w:rsidR="00087D31">
        <w:rPr>
          <w:rFonts w:ascii="Times New Roman" w:eastAsia="Times New Roman" w:hAnsi="Times New Roman" w:cs="Times New Roman"/>
          <w:b/>
          <w:bCs/>
          <w:sz w:val="24"/>
          <w:szCs w:val="24"/>
        </w:rPr>
        <w:t xml:space="preserve"> fecal Antigen:</w:t>
      </w:r>
    </w:p>
    <w:p w14:paraId="3220D2C0" w14:textId="743C4EEC" w:rsidR="009A7CA4" w:rsidRDefault="00A16AA6" w:rsidP="008E6B4D">
      <w:pPr>
        <w:spacing w:before="120" w:after="0" w:line="480" w:lineRule="auto"/>
        <w:ind w:firstLine="567"/>
        <w:rPr>
          <w:rFonts w:asciiTheme="majorBidi" w:eastAsia="Times New Roman" w:hAnsiTheme="majorBidi" w:cstheme="majorBidi"/>
          <w:sz w:val="24"/>
          <w:szCs w:val="24"/>
        </w:rPr>
      </w:pPr>
      <w:r w:rsidRPr="00C0688A">
        <w:rPr>
          <w:rFonts w:asciiTheme="majorBidi" w:eastAsia="Times New Roman" w:hAnsiTheme="majorBidi" w:cstheme="majorBidi"/>
          <w:sz w:val="24"/>
          <w:szCs w:val="24"/>
        </w:rPr>
        <w:t xml:space="preserve">Regarding the </w:t>
      </w:r>
      <w:r w:rsidRPr="00211082">
        <w:rPr>
          <w:rFonts w:asciiTheme="majorBidi" w:eastAsia="Times New Roman" w:hAnsiTheme="majorBidi" w:cstheme="majorBidi"/>
          <w:i/>
          <w:iCs/>
          <w:sz w:val="24"/>
          <w:szCs w:val="24"/>
        </w:rPr>
        <w:t>H. pylori</w:t>
      </w:r>
      <w:r w:rsidRPr="00C0688A">
        <w:rPr>
          <w:rFonts w:asciiTheme="majorBidi" w:eastAsia="Times New Roman" w:hAnsiTheme="majorBidi" w:cstheme="majorBidi"/>
          <w:sz w:val="24"/>
          <w:szCs w:val="24"/>
        </w:rPr>
        <w:t xml:space="preserve"> fecal antigen</w:t>
      </w:r>
      <w:r w:rsidR="00CA7D45">
        <w:rPr>
          <w:rFonts w:asciiTheme="majorBidi" w:eastAsia="Times New Roman" w:hAnsiTheme="majorBidi" w:cstheme="majorBidi"/>
          <w:sz w:val="24"/>
          <w:szCs w:val="24"/>
        </w:rPr>
        <w:t>, the values ranged from 21 to 155 in group A</w:t>
      </w:r>
      <w:r w:rsidRPr="00C0688A">
        <w:rPr>
          <w:rFonts w:asciiTheme="majorBidi" w:eastAsia="Times New Roman" w:hAnsiTheme="majorBidi" w:cstheme="majorBidi"/>
          <w:sz w:val="24"/>
          <w:szCs w:val="24"/>
        </w:rPr>
        <w:t xml:space="preserve">, with a median of 54. In group B, the values ranged from 4 to 86, with a median of 13. </w:t>
      </w:r>
      <w:r w:rsidR="00E731FD">
        <w:rPr>
          <w:rFonts w:asciiTheme="majorBidi" w:eastAsia="Times New Roman" w:hAnsiTheme="majorBidi" w:cstheme="majorBidi"/>
          <w:sz w:val="24"/>
          <w:szCs w:val="24"/>
        </w:rPr>
        <w:t>There was a</w:t>
      </w:r>
      <w:r w:rsidR="00962231" w:rsidRPr="00C0688A">
        <w:rPr>
          <w:rFonts w:asciiTheme="majorBidi" w:eastAsia="Times New Roman" w:hAnsiTheme="majorBidi" w:cstheme="majorBidi"/>
          <w:sz w:val="24"/>
          <w:szCs w:val="24"/>
        </w:rPr>
        <w:t xml:space="preserve"> statistically</w:t>
      </w:r>
      <w:r w:rsidRPr="00C0688A">
        <w:rPr>
          <w:rFonts w:asciiTheme="majorBidi" w:eastAsia="Times New Roman" w:hAnsiTheme="majorBidi" w:cstheme="majorBidi"/>
          <w:sz w:val="24"/>
          <w:szCs w:val="24"/>
        </w:rPr>
        <w:t xml:space="preserve"> </w:t>
      </w:r>
      <w:r w:rsidR="00BB45EE">
        <w:rPr>
          <w:rFonts w:asciiTheme="majorBidi" w:eastAsia="Times New Roman" w:hAnsiTheme="majorBidi" w:cstheme="majorBidi"/>
          <w:sz w:val="24"/>
          <w:szCs w:val="24"/>
        </w:rPr>
        <w:t>significant</w:t>
      </w:r>
      <w:r w:rsidRPr="00C0688A">
        <w:rPr>
          <w:rFonts w:asciiTheme="majorBidi" w:eastAsia="Times New Roman" w:hAnsiTheme="majorBidi" w:cstheme="majorBidi"/>
          <w:sz w:val="24"/>
          <w:szCs w:val="24"/>
        </w:rPr>
        <w:t xml:space="preserve"> decrease in </w:t>
      </w:r>
      <w:r w:rsidRPr="001A08FA">
        <w:rPr>
          <w:rFonts w:asciiTheme="majorBidi" w:eastAsia="Times New Roman" w:hAnsiTheme="majorBidi" w:cstheme="majorBidi"/>
          <w:i/>
          <w:iCs/>
          <w:sz w:val="24"/>
          <w:szCs w:val="24"/>
        </w:rPr>
        <w:t>H. pylori</w:t>
      </w:r>
      <w:r w:rsidRPr="00C0688A">
        <w:rPr>
          <w:rFonts w:asciiTheme="majorBidi" w:eastAsia="Times New Roman" w:hAnsiTheme="majorBidi" w:cstheme="majorBidi"/>
          <w:sz w:val="24"/>
          <w:szCs w:val="24"/>
        </w:rPr>
        <w:t xml:space="preserve"> fecal antigen in Group B compared to Group A, with a high level of statistical significance</w:t>
      </w:r>
      <w:r w:rsidR="00856958">
        <w:rPr>
          <w:rFonts w:asciiTheme="majorBidi" w:eastAsia="Times New Roman" w:hAnsiTheme="majorBidi" w:cstheme="majorBidi"/>
          <w:sz w:val="24"/>
          <w:szCs w:val="24"/>
        </w:rPr>
        <w:t>;</w:t>
      </w:r>
      <w:r w:rsidR="00856958" w:rsidRPr="00D95EEC">
        <w:rPr>
          <w:rFonts w:asciiTheme="majorBidi" w:eastAsia="Times New Roman" w:hAnsiTheme="majorBidi" w:cstheme="majorBidi"/>
          <w:sz w:val="24"/>
          <w:szCs w:val="24"/>
        </w:rPr>
        <w:t xml:space="preserve"> </w:t>
      </w:r>
      <w:r w:rsidR="00962231">
        <w:rPr>
          <w:rFonts w:asciiTheme="majorBidi" w:eastAsia="Times New Roman" w:hAnsiTheme="majorBidi" w:cstheme="majorBidi"/>
          <w:sz w:val="24"/>
          <w:szCs w:val="24"/>
        </w:rPr>
        <w:t xml:space="preserve">the </w:t>
      </w:r>
      <w:r w:rsidR="00A56131" w:rsidRPr="00D95EEC">
        <w:rPr>
          <w:rFonts w:asciiTheme="majorBidi" w:eastAsia="Times New Roman" w:hAnsiTheme="majorBidi" w:cstheme="majorBidi"/>
          <w:sz w:val="24"/>
          <w:szCs w:val="24"/>
        </w:rPr>
        <w:t>Eradication rate of H.</w:t>
      </w:r>
      <w:r w:rsidR="00962231">
        <w:rPr>
          <w:rFonts w:asciiTheme="majorBidi" w:eastAsia="Times New Roman" w:hAnsiTheme="majorBidi" w:cstheme="majorBidi"/>
          <w:sz w:val="24"/>
          <w:szCs w:val="24"/>
        </w:rPr>
        <w:t xml:space="preserve"> </w:t>
      </w:r>
      <w:r w:rsidR="00A56131" w:rsidRPr="00D95EEC">
        <w:rPr>
          <w:rFonts w:asciiTheme="majorBidi" w:eastAsia="Times New Roman" w:hAnsiTheme="majorBidi" w:cstheme="majorBidi"/>
          <w:sz w:val="24"/>
          <w:szCs w:val="24"/>
        </w:rPr>
        <w:t xml:space="preserve">pylori infection after treatment was 77.8 %, </w:t>
      </w:r>
      <w:r w:rsidR="00962231">
        <w:rPr>
          <w:rFonts w:asciiTheme="majorBidi" w:eastAsia="Times New Roman" w:hAnsiTheme="majorBidi" w:cstheme="majorBidi"/>
          <w:sz w:val="24"/>
          <w:szCs w:val="24"/>
        </w:rPr>
        <w:t xml:space="preserve">and </w:t>
      </w:r>
      <w:r w:rsidR="00A56131" w:rsidRPr="00D95EEC">
        <w:rPr>
          <w:rFonts w:asciiTheme="majorBidi" w:eastAsia="Times New Roman" w:hAnsiTheme="majorBidi" w:cstheme="majorBidi"/>
          <w:sz w:val="24"/>
          <w:szCs w:val="24"/>
        </w:rPr>
        <w:t xml:space="preserve">only 20 cases out of 90 were still positive for </w:t>
      </w:r>
      <w:r w:rsidR="00CA7D45" w:rsidRPr="00D95EEC">
        <w:rPr>
          <w:rFonts w:asciiTheme="majorBidi" w:eastAsia="Times New Roman" w:hAnsiTheme="majorBidi" w:cstheme="majorBidi"/>
          <w:sz w:val="24"/>
          <w:szCs w:val="24"/>
        </w:rPr>
        <w:t>H. Pylori</w:t>
      </w:r>
      <w:r w:rsidR="00A56131" w:rsidRPr="00D95EEC">
        <w:rPr>
          <w:rFonts w:asciiTheme="majorBidi" w:eastAsia="Times New Roman" w:hAnsiTheme="majorBidi" w:cstheme="majorBidi"/>
          <w:sz w:val="24"/>
          <w:szCs w:val="24"/>
        </w:rPr>
        <w:t xml:space="preserve"> fecal antigen </w:t>
      </w:r>
      <w:r w:rsidR="00856958" w:rsidRPr="00D95EEC">
        <w:rPr>
          <w:rFonts w:asciiTheme="majorBidi" w:eastAsia="Times New Roman" w:hAnsiTheme="majorBidi" w:cstheme="majorBidi"/>
          <w:sz w:val="24"/>
          <w:szCs w:val="24"/>
        </w:rPr>
        <w:t>(70 cases were cured after treatment)</w:t>
      </w:r>
      <w:r w:rsidRPr="00D95EEC">
        <w:rPr>
          <w:rFonts w:asciiTheme="majorBidi" w:eastAsia="Times New Roman" w:hAnsiTheme="majorBidi" w:cstheme="majorBidi"/>
          <w:sz w:val="24"/>
          <w:szCs w:val="24"/>
        </w:rPr>
        <w:t xml:space="preserve"> (P&lt;0.001).</w:t>
      </w:r>
      <w:r w:rsidRPr="00C0688A">
        <w:rPr>
          <w:rFonts w:asciiTheme="majorBidi" w:hAnsiTheme="majorBidi" w:cstheme="majorBidi"/>
          <w:sz w:val="24"/>
          <w:szCs w:val="24"/>
        </w:rPr>
        <w:t xml:space="preserve"> (</w:t>
      </w:r>
      <w:r w:rsidRPr="00C0688A">
        <w:rPr>
          <w:rFonts w:asciiTheme="majorBidi" w:eastAsia="Times New Roman" w:hAnsiTheme="majorBidi" w:cstheme="majorBidi"/>
          <w:sz w:val="24"/>
          <w:szCs w:val="24"/>
        </w:rPr>
        <w:t>Table 4)</w:t>
      </w:r>
    </w:p>
    <w:p w14:paraId="5CA37103" w14:textId="7B09867E" w:rsidR="00962231" w:rsidRDefault="00962231" w:rsidP="00962231">
      <w:pPr>
        <w:pStyle w:val="Caption"/>
        <w:keepNext/>
      </w:pPr>
      <w:r>
        <w:t xml:space="preserve">Tab </w:t>
      </w:r>
      <w:fldSimple w:instr=" SEQ Table \* ARABIC ">
        <w:r w:rsidR="00B97D4E">
          <w:rPr>
            <w:noProof/>
          </w:rPr>
          <w:t>4</w:t>
        </w:r>
      </w:fldSimple>
      <w:r>
        <w:t xml:space="preserve">. </w:t>
      </w:r>
      <w:r w:rsidRPr="00962231">
        <w:t>Comparison of both groups as regards H. pylori fecal Antigen</w:t>
      </w:r>
      <w:r w:rsidRPr="00962231">
        <w:rPr>
          <w:b/>
          <w:bCs/>
        </w:rPr>
        <w:t>.</w:t>
      </w:r>
    </w:p>
    <w:tbl>
      <w:tblPr>
        <w:tblW w:w="5000" w:type="pct"/>
        <w:jc w:val="center"/>
        <w:tblBorders>
          <w:top w:val="single" w:sz="4" w:space="0" w:color="auto"/>
          <w:bottom w:val="single" w:sz="4" w:space="0" w:color="auto"/>
        </w:tblBorders>
        <w:tblLook w:val="0400" w:firstRow="0" w:lastRow="0" w:firstColumn="0" w:lastColumn="0" w:noHBand="0" w:noVBand="1"/>
        <w:tblCaption w:val="Tab 4. Comparison of both groups as regards H. pylori fecal Antigen."/>
        <w:tblDescription w:val="*: Statistically significant at p &lt; 0.05. Group A: before treatment. Group B: after treatment.&#10;&#10;"/>
      </w:tblPr>
      <w:tblGrid>
        <w:gridCol w:w="2330"/>
        <w:gridCol w:w="1787"/>
        <w:gridCol w:w="2275"/>
        <w:gridCol w:w="1462"/>
        <w:gridCol w:w="1217"/>
      </w:tblGrid>
      <w:tr w:rsidR="00020D70" w:rsidRPr="000412D8" w14:paraId="3626C740" w14:textId="77777777" w:rsidTr="00962231">
        <w:trPr>
          <w:trHeight w:val="20"/>
          <w:jc w:val="center"/>
        </w:trPr>
        <w:tc>
          <w:tcPr>
            <w:tcW w:w="1284" w:type="pct"/>
            <w:tcBorders>
              <w:top w:val="single" w:sz="4" w:space="0" w:color="auto"/>
              <w:bottom w:val="single" w:sz="4" w:space="0" w:color="auto"/>
            </w:tcBorders>
            <w:shd w:val="clear" w:color="auto" w:fill="auto"/>
            <w:vAlign w:val="center"/>
          </w:tcPr>
          <w:p w14:paraId="6949B2F1" w14:textId="77777777" w:rsidR="00020D70" w:rsidRPr="000412D8" w:rsidRDefault="00020D70" w:rsidP="006870FF">
            <w:pPr>
              <w:spacing w:after="0" w:line="360" w:lineRule="auto"/>
              <w:jc w:val="both"/>
              <w:rPr>
                <w:rFonts w:ascii="Times New Roman" w:eastAsia="Times New Roman" w:hAnsi="Times New Roman" w:cs="Times New Roman"/>
                <w:b/>
                <w:sz w:val="24"/>
                <w:szCs w:val="24"/>
              </w:rPr>
            </w:pPr>
          </w:p>
        </w:tc>
        <w:tc>
          <w:tcPr>
            <w:tcW w:w="985" w:type="pct"/>
            <w:tcBorders>
              <w:top w:val="single" w:sz="4" w:space="0" w:color="auto"/>
              <w:bottom w:val="single" w:sz="4" w:space="0" w:color="auto"/>
            </w:tcBorders>
            <w:shd w:val="clear" w:color="auto" w:fill="auto"/>
            <w:vAlign w:val="center"/>
          </w:tcPr>
          <w:p w14:paraId="4B62BE9D" w14:textId="77777777" w:rsidR="00020D70" w:rsidRPr="000412D8" w:rsidRDefault="00020D70" w:rsidP="006870FF">
            <w:pPr>
              <w:spacing w:after="0" w:line="360" w:lineRule="auto"/>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Group A</w:t>
            </w:r>
          </w:p>
          <w:p w14:paraId="26375891" w14:textId="77777777" w:rsidR="00020D70" w:rsidRPr="000412D8" w:rsidRDefault="00020D70" w:rsidP="006870FF">
            <w:pPr>
              <w:spacing w:after="0" w:line="360" w:lineRule="auto"/>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(n=90)</w:t>
            </w:r>
          </w:p>
        </w:tc>
        <w:tc>
          <w:tcPr>
            <w:tcW w:w="1254" w:type="pct"/>
            <w:tcBorders>
              <w:top w:val="single" w:sz="4" w:space="0" w:color="auto"/>
              <w:bottom w:val="single" w:sz="4" w:space="0" w:color="auto"/>
            </w:tcBorders>
            <w:shd w:val="clear" w:color="auto" w:fill="auto"/>
            <w:vAlign w:val="center"/>
          </w:tcPr>
          <w:p w14:paraId="344D69C0" w14:textId="77777777" w:rsidR="00020D70" w:rsidRPr="000412D8" w:rsidRDefault="00020D70" w:rsidP="006870FF">
            <w:pPr>
              <w:spacing w:after="0" w:line="360" w:lineRule="auto"/>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Group B</w:t>
            </w:r>
          </w:p>
          <w:p w14:paraId="18DEB1A3" w14:textId="77777777" w:rsidR="00020D70" w:rsidRPr="000412D8" w:rsidRDefault="00020D70" w:rsidP="006870FF">
            <w:pPr>
              <w:spacing w:after="0" w:line="360" w:lineRule="auto"/>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(n=90)</w:t>
            </w:r>
          </w:p>
        </w:tc>
        <w:tc>
          <w:tcPr>
            <w:tcW w:w="806" w:type="pct"/>
            <w:tcBorders>
              <w:top w:val="single" w:sz="4" w:space="0" w:color="auto"/>
              <w:bottom w:val="single" w:sz="4" w:space="0" w:color="auto"/>
            </w:tcBorders>
            <w:shd w:val="clear" w:color="auto" w:fill="auto"/>
            <w:vAlign w:val="center"/>
          </w:tcPr>
          <w:p w14:paraId="3251673F" w14:textId="2517CA11" w:rsidR="00020D70" w:rsidRPr="000412D8" w:rsidRDefault="00020D70" w:rsidP="006870FF">
            <w:pPr>
              <w:spacing w:after="0" w:line="360" w:lineRule="auto"/>
              <w:jc w:val="both"/>
              <w:rPr>
                <w:rFonts w:ascii="Times New Roman" w:eastAsia="Times New Roman" w:hAnsi="Times New Roman" w:cs="Times New Roman"/>
                <w:b/>
                <w:sz w:val="24"/>
                <w:szCs w:val="24"/>
              </w:rPr>
            </w:pPr>
          </w:p>
        </w:tc>
        <w:tc>
          <w:tcPr>
            <w:tcW w:w="671" w:type="pct"/>
            <w:tcBorders>
              <w:top w:val="single" w:sz="4" w:space="0" w:color="auto"/>
              <w:bottom w:val="single" w:sz="4" w:space="0" w:color="auto"/>
            </w:tcBorders>
            <w:shd w:val="clear" w:color="auto" w:fill="auto"/>
            <w:vAlign w:val="center"/>
          </w:tcPr>
          <w:p w14:paraId="77F2BC17" w14:textId="77777777" w:rsidR="00020D70" w:rsidRPr="000412D8" w:rsidRDefault="00020D70" w:rsidP="006870FF">
            <w:pPr>
              <w:spacing w:after="0" w:line="360" w:lineRule="auto"/>
              <w:jc w:val="both"/>
              <w:rPr>
                <w:rFonts w:ascii="Times New Roman" w:eastAsia="Times New Roman" w:hAnsi="Times New Roman" w:cs="Times New Roman"/>
                <w:b/>
                <w:sz w:val="24"/>
                <w:szCs w:val="24"/>
              </w:rPr>
            </w:pPr>
            <w:r w:rsidRPr="000412D8">
              <w:rPr>
                <w:rFonts w:ascii="Times New Roman" w:eastAsia="Times New Roman" w:hAnsi="Times New Roman" w:cs="Times New Roman"/>
                <w:b/>
                <w:sz w:val="24"/>
                <w:szCs w:val="24"/>
              </w:rPr>
              <w:t>P-value</w:t>
            </w:r>
          </w:p>
        </w:tc>
      </w:tr>
      <w:tr w:rsidR="00020D70" w:rsidRPr="000412D8" w14:paraId="7288291B" w14:textId="77777777" w:rsidTr="00962231">
        <w:trPr>
          <w:trHeight w:val="20"/>
          <w:jc w:val="center"/>
        </w:trPr>
        <w:tc>
          <w:tcPr>
            <w:tcW w:w="1284" w:type="pct"/>
            <w:tcBorders>
              <w:top w:val="single" w:sz="4" w:space="0" w:color="auto"/>
            </w:tcBorders>
            <w:shd w:val="clear" w:color="auto" w:fill="auto"/>
            <w:vAlign w:val="center"/>
          </w:tcPr>
          <w:p w14:paraId="08B6B6B3" w14:textId="77777777" w:rsidR="00020D70" w:rsidRPr="000412D8" w:rsidRDefault="00020D70" w:rsidP="006870FF">
            <w:pPr>
              <w:spacing w:after="0" w:line="360" w:lineRule="auto"/>
              <w:jc w:val="both"/>
              <w:rPr>
                <w:rFonts w:ascii="Times New Roman" w:eastAsia="Times New Roman" w:hAnsi="Times New Roman" w:cs="Times New Roman"/>
                <w:b/>
                <w:sz w:val="24"/>
                <w:szCs w:val="24"/>
              </w:rPr>
            </w:pPr>
            <w:r w:rsidRPr="001A08FA">
              <w:rPr>
                <w:rFonts w:ascii="Times New Roman" w:eastAsia="Times New Roman" w:hAnsi="Times New Roman" w:cs="Times New Roman"/>
                <w:b/>
                <w:i/>
                <w:iCs/>
                <w:sz w:val="24"/>
                <w:szCs w:val="24"/>
              </w:rPr>
              <w:t>H. pylori</w:t>
            </w:r>
            <w:r w:rsidRPr="000412D8">
              <w:rPr>
                <w:rFonts w:ascii="Times New Roman" w:eastAsia="Times New Roman" w:hAnsi="Times New Roman" w:cs="Times New Roman"/>
                <w:b/>
                <w:sz w:val="24"/>
                <w:szCs w:val="24"/>
              </w:rPr>
              <w:t xml:space="preserve"> fecal Ag</w:t>
            </w:r>
          </w:p>
        </w:tc>
        <w:tc>
          <w:tcPr>
            <w:tcW w:w="985" w:type="pct"/>
            <w:tcBorders>
              <w:top w:val="single" w:sz="4" w:space="0" w:color="auto"/>
            </w:tcBorders>
            <w:shd w:val="clear" w:color="auto" w:fill="auto"/>
            <w:vAlign w:val="center"/>
          </w:tcPr>
          <w:p w14:paraId="648B9956" w14:textId="77777777" w:rsidR="00020D70" w:rsidRPr="000412D8" w:rsidRDefault="00020D70" w:rsidP="006870FF">
            <w:pPr>
              <w:spacing w:after="0" w:line="360" w:lineRule="auto"/>
              <w:jc w:val="both"/>
              <w:rPr>
                <w:rFonts w:ascii="Times New Roman" w:eastAsia="Times New Roman" w:hAnsi="Times New Roman" w:cs="Times New Roman"/>
                <w:sz w:val="24"/>
                <w:szCs w:val="24"/>
              </w:rPr>
            </w:pPr>
          </w:p>
        </w:tc>
        <w:tc>
          <w:tcPr>
            <w:tcW w:w="1254" w:type="pct"/>
            <w:tcBorders>
              <w:top w:val="single" w:sz="4" w:space="0" w:color="auto"/>
            </w:tcBorders>
            <w:shd w:val="clear" w:color="auto" w:fill="auto"/>
            <w:vAlign w:val="center"/>
          </w:tcPr>
          <w:p w14:paraId="5A866DCE" w14:textId="77777777" w:rsidR="00020D70" w:rsidRPr="000412D8" w:rsidRDefault="00020D70" w:rsidP="006870FF">
            <w:pPr>
              <w:spacing w:after="0" w:line="360" w:lineRule="auto"/>
              <w:jc w:val="both"/>
              <w:rPr>
                <w:rFonts w:ascii="Times New Roman" w:eastAsia="Times New Roman" w:hAnsi="Times New Roman" w:cs="Times New Roman"/>
                <w:sz w:val="24"/>
                <w:szCs w:val="24"/>
              </w:rPr>
            </w:pPr>
          </w:p>
        </w:tc>
        <w:tc>
          <w:tcPr>
            <w:tcW w:w="806" w:type="pct"/>
            <w:vMerge w:val="restart"/>
            <w:tcBorders>
              <w:top w:val="single" w:sz="4" w:space="0" w:color="auto"/>
            </w:tcBorders>
            <w:shd w:val="clear" w:color="auto" w:fill="auto"/>
            <w:vAlign w:val="center"/>
          </w:tcPr>
          <w:p w14:paraId="722F5173" w14:textId="11B4880D" w:rsidR="00020D70" w:rsidRPr="000412D8" w:rsidRDefault="00020D70" w:rsidP="006870FF">
            <w:pPr>
              <w:spacing w:after="0" w:line="360" w:lineRule="auto"/>
              <w:jc w:val="both"/>
              <w:rPr>
                <w:rFonts w:ascii="Times New Roman" w:eastAsia="Times New Roman" w:hAnsi="Times New Roman" w:cs="Times New Roman"/>
                <w:sz w:val="24"/>
                <w:szCs w:val="24"/>
              </w:rPr>
            </w:pPr>
          </w:p>
        </w:tc>
        <w:tc>
          <w:tcPr>
            <w:tcW w:w="671" w:type="pct"/>
            <w:vMerge w:val="restart"/>
            <w:tcBorders>
              <w:top w:val="single" w:sz="4" w:space="0" w:color="auto"/>
            </w:tcBorders>
            <w:shd w:val="clear" w:color="auto" w:fill="auto"/>
            <w:vAlign w:val="center"/>
          </w:tcPr>
          <w:p w14:paraId="1C548BE9" w14:textId="77777777" w:rsidR="00020D70" w:rsidRPr="000412D8" w:rsidRDefault="00020D70" w:rsidP="006870FF">
            <w:pPr>
              <w:spacing w:after="0" w:line="360" w:lineRule="auto"/>
              <w:jc w:val="both"/>
              <w:rPr>
                <w:rFonts w:ascii="Times New Roman" w:eastAsia="Times New Roman" w:hAnsi="Times New Roman" w:cs="Times New Roman"/>
                <w:sz w:val="24"/>
                <w:szCs w:val="24"/>
              </w:rPr>
            </w:pPr>
            <w:r w:rsidRPr="000412D8">
              <w:rPr>
                <w:rFonts w:ascii="Times New Roman" w:eastAsia="Times New Roman" w:hAnsi="Times New Roman" w:cs="Times New Roman"/>
                <w:b/>
                <w:sz w:val="24"/>
                <w:szCs w:val="24"/>
              </w:rPr>
              <w:t>&lt;0.001 *</w:t>
            </w:r>
          </w:p>
        </w:tc>
      </w:tr>
      <w:tr w:rsidR="00020D70" w:rsidRPr="000412D8" w14:paraId="4722D403" w14:textId="77777777" w:rsidTr="00962231">
        <w:trPr>
          <w:trHeight w:val="20"/>
          <w:jc w:val="center"/>
        </w:trPr>
        <w:tc>
          <w:tcPr>
            <w:tcW w:w="1284" w:type="pct"/>
            <w:shd w:val="clear" w:color="auto" w:fill="auto"/>
            <w:vAlign w:val="center"/>
          </w:tcPr>
          <w:p w14:paraId="6C9DEB3D" w14:textId="77777777" w:rsidR="00020D70" w:rsidRPr="000412D8" w:rsidRDefault="00020D70" w:rsidP="006870FF">
            <w:pPr>
              <w:spacing w:after="0" w:line="360" w:lineRule="auto"/>
              <w:ind w:left="17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Min – Max</w:t>
            </w:r>
          </w:p>
        </w:tc>
        <w:tc>
          <w:tcPr>
            <w:tcW w:w="985" w:type="pct"/>
            <w:shd w:val="clear" w:color="auto" w:fill="auto"/>
            <w:vAlign w:val="center"/>
          </w:tcPr>
          <w:p w14:paraId="01567BE0" w14:textId="77777777" w:rsidR="00020D70" w:rsidRPr="000412D8" w:rsidRDefault="00020D70" w:rsidP="006870FF">
            <w:pPr>
              <w:spacing w:after="0" w:line="360" w:lineRule="auto"/>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21 – 155</w:t>
            </w:r>
          </w:p>
        </w:tc>
        <w:tc>
          <w:tcPr>
            <w:tcW w:w="1254" w:type="pct"/>
            <w:shd w:val="clear" w:color="auto" w:fill="auto"/>
            <w:vAlign w:val="center"/>
          </w:tcPr>
          <w:p w14:paraId="6DDAE576" w14:textId="77777777" w:rsidR="00020D70" w:rsidRPr="000412D8" w:rsidRDefault="00020D70" w:rsidP="006870FF">
            <w:pPr>
              <w:spacing w:after="0" w:line="360" w:lineRule="auto"/>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4 - 86</w:t>
            </w:r>
          </w:p>
        </w:tc>
        <w:tc>
          <w:tcPr>
            <w:tcW w:w="806" w:type="pct"/>
            <w:vMerge/>
            <w:shd w:val="clear" w:color="auto" w:fill="auto"/>
            <w:vAlign w:val="center"/>
          </w:tcPr>
          <w:p w14:paraId="01A1DCB4" w14:textId="77777777" w:rsidR="00020D70" w:rsidRPr="000412D8" w:rsidRDefault="00020D70" w:rsidP="006870FF">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671" w:type="pct"/>
            <w:vMerge/>
            <w:shd w:val="clear" w:color="auto" w:fill="auto"/>
            <w:vAlign w:val="center"/>
          </w:tcPr>
          <w:p w14:paraId="399C9592" w14:textId="77777777" w:rsidR="00020D70" w:rsidRPr="000412D8" w:rsidRDefault="00020D70" w:rsidP="006870FF">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r>
      <w:tr w:rsidR="00020D70" w:rsidRPr="000412D8" w14:paraId="42617DD6" w14:textId="77777777" w:rsidTr="00962231">
        <w:trPr>
          <w:trHeight w:val="20"/>
          <w:jc w:val="center"/>
        </w:trPr>
        <w:tc>
          <w:tcPr>
            <w:tcW w:w="1284" w:type="pct"/>
            <w:shd w:val="clear" w:color="auto" w:fill="auto"/>
            <w:vAlign w:val="center"/>
          </w:tcPr>
          <w:p w14:paraId="1E2C5175" w14:textId="77777777" w:rsidR="00020D70" w:rsidRPr="000412D8" w:rsidRDefault="00020D70" w:rsidP="006870FF">
            <w:pPr>
              <w:spacing w:after="0" w:line="360" w:lineRule="auto"/>
              <w:ind w:left="170"/>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Median (IQR)</w:t>
            </w:r>
          </w:p>
        </w:tc>
        <w:tc>
          <w:tcPr>
            <w:tcW w:w="985" w:type="pct"/>
            <w:shd w:val="clear" w:color="auto" w:fill="auto"/>
          </w:tcPr>
          <w:p w14:paraId="253DAB3B" w14:textId="77777777" w:rsidR="00020D70" w:rsidRPr="000412D8" w:rsidRDefault="00020D70" w:rsidP="006870FF">
            <w:pPr>
              <w:spacing w:after="0" w:line="360" w:lineRule="auto"/>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54 (36 – 75)</w:t>
            </w:r>
          </w:p>
        </w:tc>
        <w:tc>
          <w:tcPr>
            <w:tcW w:w="1254" w:type="pct"/>
            <w:shd w:val="clear" w:color="auto" w:fill="auto"/>
          </w:tcPr>
          <w:p w14:paraId="49DEB2FA" w14:textId="77777777" w:rsidR="00020D70" w:rsidRPr="000412D8" w:rsidRDefault="00020D70" w:rsidP="006870FF">
            <w:pPr>
              <w:spacing w:after="0" w:line="360" w:lineRule="auto"/>
              <w:jc w:val="both"/>
              <w:rPr>
                <w:rFonts w:ascii="Times New Roman" w:eastAsia="Times New Roman" w:hAnsi="Times New Roman" w:cs="Times New Roman"/>
                <w:sz w:val="24"/>
                <w:szCs w:val="24"/>
              </w:rPr>
            </w:pPr>
            <w:r w:rsidRPr="000412D8">
              <w:rPr>
                <w:rFonts w:ascii="Times New Roman" w:eastAsia="Times New Roman" w:hAnsi="Times New Roman" w:cs="Times New Roman"/>
                <w:sz w:val="24"/>
                <w:szCs w:val="24"/>
              </w:rPr>
              <w:t>13 (11 – 14)</w:t>
            </w:r>
          </w:p>
        </w:tc>
        <w:tc>
          <w:tcPr>
            <w:tcW w:w="806" w:type="pct"/>
            <w:vMerge/>
            <w:shd w:val="clear" w:color="auto" w:fill="auto"/>
            <w:vAlign w:val="center"/>
          </w:tcPr>
          <w:p w14:paraId="7F84F1AA" w14:textId="77777777" w:rsidR="00020D70" w:rsidRPr="000412D8" w:rsidRDefault="00020D70" w:rsidP="006870FF">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671" w:type="pct"/>
            <w:vMerge/>
            <w:shd w:val="clear" w:color="auto" w:fill="auto"/>
            <w:vAlign w:val="center"/>
          </w:tcPr>
          <w:p w14:paraId="2A380696" w14:textId="77777777" w:rsidR="00020D70" w:rsidRPr="000412D8" w:rsidRDefault="00020D70" w:rsidP="00962231">
            <w:pPr>
              <w:keepNext/>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r>
    </w:tbl>
    <w:p w14:paraId="6A4C6507" w14:textId="77777777" w:rsidR="00962231" w:rsidRPr="00962231" w:rsidRDefault="00962231" w:rsidP="00962231">
      <w:pPr>
        <w:spacing w:before="120" w:after="0" w:line="480" w:lineRule="auto"/>
        <w:jc w:val="both"/>
        <w:rPr>
          <w:bCs/>
          <w:i/>
          <w:iCs/>
          <w:color w:val="44546A"/>
          <w:sz w:val="18"/>
          <w:szCs w:val="18"/>
        </w:rPr>
      </w:pPr>
      <w:r w:rsidRPr="00962231">
        <w:rPr>
          <w:bCs/>
          <w:i/>
          <w:iCs/>
          <w:color w:val="44546A"/>
          <w:sz w:val="18"/>
          <w:szCs w:val="18"/>
        </w:rPr>
        <w:t>*: Statistically significant at p &lt; 0.05. Group A: before treatment. Group B: after treatment.</w:t>
      </w:r>
      <w:r w:rsidRPr="00962231">
        <w:rPr>
          <w:bCs/>
          <w:i/>
          <w:iCs/>
          <w:color w:val="44546A"/>
          <w:sz w:val="18"/>
          <w:szCs w:val="18"/>
        </w:rPr>
        <w:br/>
      </w:r>
    </w:p>
    <w:p w14:paraId="317FAF7C" w14:textId="2C7662E8" w:rsidR="00082F30" w:rsidRPr="00C0688A" w:rsidRDefault="00EB0166" w:rsidP="0035639F">
      <w:pPr>
        <w:spacing w:after="0" w:line="480" w:lineRule="auto"/>
        <w:jc w:val="both"/>
        <w:rPr>
          <w:rFonts w:asciiTheme="majorBidi" w:eastAsia="Times New Roman" w:hAnsiTheme="majorBidi" w:cstheme="majorBidi"/>
          <w:sz w:val="24"/>
          <w:szCs w:val="24"/>
        </w:rPr>
      </w:pPr>
      <w:r>
        <w:rPr>
          <w:rFonts w:ascii="Times New Roman" w:hAnsi="Times New Roman" w:cs="Times New Roman"/>
          <w:b/>
          <w:bCs/>
          <w:sz w:val="24"/>
          <w:szCs w:val="24"/>
        </w:rPr>
        <w:t>5</w:t>
      </w:r>
      <w:r w:rsidR="00082F30">
        <w:rPr>
          <w:rFonts w:ascii="Times New Roman" w:hAnsi="Times New Roman" w:cs="Times New Roman"/>
          <w:b/>
          <w:bCs/>
          <w:sz w:val="24"/>
          <w:szCs w:val="24"/>
        </w:rPr>
        <w:t xml:space="preserve">. </w:t>
      </w:r>
      <w:r w:rsidR="00082F30" w:rsidRPr="000412D8">
        <w:rPr>
          <w:rFonts w:ascii="Times New Roman" w:eastAsia="Times New Roman" w:hAnsi="Times New Roman" w:cs="Times New Roman"/>
          <w:b/>
          <w:bCs/>
          <w:sz w:val="24"/>
          <w:szCs w:val="24"/>
        </w:rPr>
        <w:t xml:space="preserve">Comparison of </w:t>
      </w:r>
      <w:r w:rsidR="0035639F">
        <w:rPr>
          <w:rFonts w:ascii="Times New Roman" w:eastAsia="Times New Roman" w:hAnsi="Times New Roman" w:cs="Times New Roman"/>
          <w:b/>
          <w:bCs/>
          <w:sz w:val="24"/>
          <w:szCs w:val="24"/>
        </w:rPr>
        <w:t xml:space="preserve">(subgroups of </w:t>
      </w:r>
      <w:r w:rsidR="00082F30" w:rsidRPr="000412D8">
        <w:rPr>
          <w:rFonts w:ascii="Times New Roman" w:eastAsia="Times New Roman" w:hAnsi="Times New Roman" w:cs="Times New Roman"/>
          <w:b/>
          <w:bCs/>
          <w:sz w:val="24"/>
          <w:szCs w:val="24"/>
        </w:rPr>
        <w:t>patients</w:t>
      </w:r>
      <w:r w:rsidR="0035639F">
        <w:rPr>
          <w:rFonts w:ascii="Times New Roman" w:eastAsia="Times New Roman" w:hAnsi="Times New Roman" w:cs="Times New Roman"/>
          <w:b/>
          <w:bCs/>
          <w:sz w:val="24"/>
          <w:szCs w:val="24"/>
        </w:rPr>
        <w:t>)</w:t>
      </w:r>
      <w:r w:rsidR="00082F30" w:rsidRPr="000412D8">
        <w:rPr>
          <w:rFonts w:ascii="Times New Roman" w:eastAsia="Times New Roman" w:hAnsi="Times New Roman" w:cs="Times New Roman"/>
          <w:b/>
          <w:bCs/>
          <w:sz w:val="24"/>
          <w:szCs w:val="24"/>
        </w:rPr>
        <w:t xml:space="preserve"> with abnormalities</w:t>
      </w:r>
      <w:r w:rsidR="0035639F">
        <w:rPr>
          <w:rFonts w:ascii="Times New Roman" w:eastAsia="Times New Roman" w:hAnsi="Times New Roman" w:cs="Times New Roman"/>
          <w:b/>
          <w:bCs/>
          <w:sz w:val="24"/>
          <w:szCs w:val="24"/>
        </w:rPr>
        <w:t xml:space="preserve"> in CBC,</w:t>
      </w:r>
      <w:r w:rsidR="0035639F">
        <w:rPr>
          <w:rFonts w:ascii="Times New Roman" w:eastAsia="Times New Roman" w:hAnsi="Times New Roman" w:cs="Times New Roman"/>
          <w:b/>
          <w:bCs/>
          <w:sz w:val="24"/>
          <w:szCs w:val="24"/>
          <w:lang w:bidi="ar-DZ"/>
        </w:rPr>
        <w:t xml:space="preserve"> Iron profile</w:t>
      </w:r>
      <w:r w:rsidR="00082F30" w:rsidRPr="000412D8">
        <w:rPr>
          <w:rFonts w:ascii="Times New Roman" w:eastAsia="Times New Roman" w:hAnsi="Times New Roman" w:cs="Times New Roman"/>
          <w:b/>
          <w:bCs/>
          <w:sz w:val="24"/>
          <w:szCs w:val="24"/>
          <w:lang w:bidi="ar-DZ"/>
        </w:rPr>
        <w:t>, dyslipidemia</w:t>
      </w:r>
      <w:r w:rsidR="00082F30">
        <w:rPr>
          <w:rFonts w:ascii="Times New Roman" w:eastAsia="Times New Roman" w:hAnsi="Times New Roman" w:cs="Times New Roman"/>
          <w:b/>
          <w:bCs/>
          <w:sz w:val="24"/>
          <w:szCs w:val="24"/>
          <w:lang w:bidi="ar-DZ"/>
        </w:rPr>
        <w:t>,</w:t>
      </w:r>
      <w:r w:rsidR="00082F30" w:rsidRPr="000412D8">
        <w:rPr>
          <w:rFonts w:ascii="Times New Roman" w:eastAsia="Times New Roman" w:hAnsi="Times New Roman" w:cs="Times New Roman"/>
          <w:b/>
          <w:bCs/>
          <w:sz w:val="24"/>
          <w:szCs w:val="24"/>
          <w:lang w:bidi="ar-DZ"/>
        </w:rPr>
        <w:t xml:space="preserve"> </w:t>
      </w:r>
      <w:r w:rsidR="00CA7D45">
        <w:rPr>
          <w:rFonts w:ascii="Times New Roman" w:eastAsia="Times New Roman" w:hAnsi="Times New Roman" w:cs="Times New Roman"/>
          <w:b/>
          <w:bCs/>
          <w:sz w:val="24"/>
          <w:szCs w:val="24"/>
          <w:lang w:bidi="ar-DZ"/>
        </w:rPr>
        <w:t xml:space="preserve">and </w:t>
      </w:r>
      <w:r w:rsidR="00082F30" w:rsidRPr="000412D8">
        <w:rPr>
          <w:rFonts w:ascii="Times New Roman" w:eastAsia="Times New Roman" w:hAnsi="Times New Roman" w:cs="Times New Roman"/>
          <w:b/>
          <w:bCs/>
          <w:sz w:val="24"/>
          <w:szCs w:val="24"/>
          <w:lang w:bidi="ar-DZ"/>
        </w:rPr>
        <w:t>liver</w:t>
      </w:r>
      <w:r w:rsidR="0035639F">
        <w:rPr>
          <w:rFonts w:ascii="Times New Roman" w:eastAsia="Times New Roman" w:hAnsi="Times New Roman" w:cs="Times New Roman"/>
          <w:b/>
          <w:bCs/>
          <w:sz w:val="24"/>
          <w:szCs w:val="24"/>
          <w:lang w:bidi="ar-DZ"/>
        </w:rPr>
        <w:t xml:space="preserve"> enzymes</w:t>
      </w:r>
      <w:r w:rsidR="00082F30" w:rsidRPr="000412D8">
        <w:rPr>
          <w:rFonts w:ascii="Times New Roman" w:eastAsia="Times New Roman" w:hAnsi="Times New Roman" w:cs="Times New Roman"/>
          <w:b/>
          <w:bCs/>
          <w:sz w:val="24"/>
          <w:szCs w:val="24"/>
          <w:lang w:bidi="ar-DZ"/>
        </w:rPr>
        <w:t xml:space="preserve"> </w:t>
      </w:r>
      <w:r w:rsidR="00082F30" w:rsidRPr="000412D8">
        <w:rPr>
          <w:rFonts w:ascii="Times New Roman" w:eastAsia="Times New Roman" w:hAnsi="Times New Roman" w:cs="Times New Roman"/>
          <w:b/>
          <w:bCs/>
          <w:sz w:val="24"/>
          <w:szCs w:val="24"/>
        </w:rPr>
        <w:t xml:space="preserve">in </w:t>
      </w:r>
      <w:r w:rsidR="0035639F">
        <w:rPr>
          <w:rFonts w:ascii="Times New Roman" w:eastAsia="Times New Roman" w:hAnsi="Times New Roman" w:cs="Times New Roman"/>
          <w:b/>
          <w:bCs/>
          <w:sz w:val="24"/>
          <w:szCs w:val="24"/>
        </w:rPr>
        <w:t>both</w:t>
      </w:r>
      <w:r w:rsidR="00082F30" w:rsidRPr="000412D8">
        <w:rPr>
          <w:rFonts w:ascii="Times New Roman" w:eastAsia="Times New Roman" w:hAnsi="Times New Roman" w:cs="Times New Roman"/>
          <w:b/>
          <w:bCs/>
          <w:sz w:val="24"/>
          <w:szCs w:val="24"/>
        </w:rPr>
        <w:t xml:space="preserve"> groups</w:t>
      </w:r>
      <w:r w:rsidR="0035639F">
        <w:rPr>
          <w:rFonts w:ascii="Times New Roman" w:eastAsia="Times New Roman" w:hAnsi="Times New Roman" w:cs="Times New Roman"/>
          <w:b/>
          <w:bCs/>
          <w:sz w:val="24"/>
          <w:szCs w:val="24"/>
        </w:rPr>
        <w:t>:</w:t>
      </w:r>
    </w:p>
    <w:p w14:paraId="42DFEF0B" w14:textId="19B271FF" w:rsidR="006870FF" w:rsidRDefault="0038662E" w:rsidP="00CA5781">
      <w:pPr>
        <w:spacing w:before="120" w:after="0" w:line="480" w:lineRule="auto"/>
        <w:ind w:firstLine="567"/>
        <w:jc w:val="both"/>
        <w:rPr>
          <w:rFonts w:asciiTheme="majorBidi" w:eastAsia="Times New Roman" w:hAnsiTheme="majorBidi" w:cstheme="majorBidi"/>
          <w:bCs/>
          <w:color w:val="000000"/>
          <w:spacing w:val="-4"/>
          <w:sz w:val="24"/>
          <w:szCs w:val="24"/>
        </w:rPr>
      </w:pPr>
      <w:r>
        <w:rPr>
          <w:rFonts w:asciiTheme="majorBidi" w:eastAsia="Times New Roman" w:hAnsiTheme="majorBidi" w:cstheme="majorBidi"/>
          <w:bCs/>
          <w:color w:val="000000"/>
          <w:spacing w:val="-4"/>
          <w:sz w:val="24"/>
          <w:szCs w:val="24"/>
        </w:rPr>
        <w:t>There was</w:t>
      </w:r>
      <w:r w:rsidR="00A16AA6" w:rsidRPr="00C0688A">
        <w:rPr>
          <w:rFonts w:asciiTheme="majorBidi" w:eastAsia="Times New Roman" w:hAnsiTheme="majorBidi" w:cstheme="majorBidi"/>
          <w:bCs/>
          <w:color w:val="000000"/>
          <w:spacing w:val="-4"/>
          <w:sz w:val="24"/>
          <w:szCs w:val="24"/>
        </w:rPr>
        <w:t xml:space="preserve"> no significant difference in RBCs between </w:t>
      </w:r>
      <w:r>
        <w:rPr>
          <w:rFonts w:asciiTheme="majorBidi" w:eastAsia="Times New Roman" w:hAnsiTheme="majorBidi" w:cstheme="majorBidi"/>
          <w:bCs/>
          <w:color w:val="000000"/>
          <w:spacing w:val="-4"/>
          <w:sz w:val="24"/>
          <w:szCs w:val="24"/>
        </w:rPr>
        <w:t xml:space="preserve">both groups. However, </w:t>
      </w:r>
      <w:r w:rsidR="00CA7D45" w:rsidRPr="00C0688A">
        <w:rPr>
          <w:rFonts w:asciiTheme="majorBidi" w:eastAsia="Times New Roman" w:hAnsiTheme="majorBidi" w:cstheme="majorBidi"/>
          <w:bCs/>
          <w:color w:val="000000"/>
          <w:spacing w:val="-4"/>
          <w:sz w:val="24"/>
          <w:szCs w:val="24"/>
        </w:rPr>
        <w:t>in</w:t>
      </w:r>
      <w:r w:rsidR="00A16AA6" w:rsidRPr="00C0688A">
        <w:rPr>
          <w:rFonts w:asciiTheme="majorBidi" w:eastAsia="Times New Roman" w:hAnsiTheme="majorBidi" w:cstheme="majorBidi"/>
          <w:bCs/>
          <w:color w:val="000000"/>
          <w:spacing w:val="-4"/>
          <w:sz w:val="24"/>
          <w:szCs w:val="24"/>
        </w:rPr>
        <w:t xml:space="preserve"> terms of hemoglobin levels, group B had a significantly higher Hb level </w:t>
      </w:r>
      <w:r w:rsidR="00CA7D45">
        <w:rPr>
          <w:rFonts w:asciiTheme="majorBidi" w:eastAsia="Times New Roman" w:hAnsiTheme="majorBidi" w:cstheme="majorBidi"/>
          <w:bCs/>
          <w:color w:val="000000"/>
          <w:spacing w:val="-4"/>
          <w:sz w:val="24"/>
          <w:szCs w:val="24"/>
        </w:rPr>
        <w:t>than</w:t>
      </w:r>
      <w:r w:rsidR="00A16AA6" w:rsidRPr="00C0688A">
        <w:rPr>
          <w:rFonts w:asciiTheme="majorBidi" w:eastAsia="Times New Roman" w:hAnsiTheme="majorBidi" w:cstheme="majorBidi"/>
          <w:bCs/>
          <w:color w:val="000000"/>
          <w:spacing w:val="-4"/>
          <w:sz w:val="24"/>
          <w:szCs w:val="24"/>
        </w:rPr>
        <w:t xml:space="preserve"> group A in patients with anemia. In te</w:t>
      </w:r>
      <w:r w:rsidR="005C6C3A">
        <w:rPr>
          <w:rFonts w:asciiTheme="majorBidi" w:eastAsia="Times New Roman" w:hAnsiTheme="majorBidi" w:cstheme="majorBidi"/>
          <w:bCs/>
          <w:color w:val="000000"/>
          <w:spacing w:val="-4"/>
          <w:sz w:val="24"/>
          <w:szCs w:val="24"/>
        </w:rPr>
        <w:t>rms of MCV</w:t>
      </w:r>
      <w:r w:rsidR="00A16AA6" w:rsidRPr="00C0688A">
        <w:rPr>
          <w:rFonts w:asciiTheme="majorBidi" w:eastAsia="Times New Roman" w:hAnsiTheme="majorBidi" w:cstheme="majorBidi"/>
          <w:bCs/>
          <w:color w:val="000000"/>
          <w:spacing w:val="-4"/>
          <w:sz w:val="24"/>
          <w:szCs w:val="24"/>
        </w:rPr>
        <w:t xml:space="preserve">, group B had a </w:t>
      </w:r>
      <w:r w:rsidR="003A7E8C">
        <w:rPr>
          <w:rFonts w:asciiTheme="majorBidi" w:eastAsia="Times New Roman" w:hAnsiTheme="majorBidi" w:cstheme="majorBidi"/>
          <w:bCs/>
          <w:color w:val="000000"/>
          <w:spacing w:val="-4"/>
          <w:sz w:val="24"/>
          <w:szCs w:val="24"/>
        </w:rPr>
        <w:t>considerably</w:t>
      </w:r>
      <w:r w:rsidR="00A16AA6" w:rsidRPr="00C0688A">
        <w:rPr>
          <w:rFonts w:asciiTheme="majorBidi" w:eastAsia="Times New Roman" w:hAnsiTheme="majorBidi" w:cstheme="majorBidi"/>
          <w:bCs/>
          <w:color w:val="000000"/>
          <w:spacing w:val="-4"/>
          <w:sz w:val="24"/>
          <w:szCs w:val="24"/>
        </w:rPr>
        <w:t xml:space="preserve"> higher MCV </w:t>
      </w:r>
      <w:r w:rsidR="003A7E8C">
        <w:rPr>
          <w:rFonts w:asciiTheme="majorBidi" w:eastAsia="Times New Roman" w:hAnsiTheme="majorBidi" w:cstheme="majorBidi"/>
          <w:bCs/>
          <w:color w:val="000000"/>
          <w:spacing w:val="-4"/>
          <w:sz w:val="24"/>
          <w:szCs w:val="24"/>
        </w:rPr>
        <w:t>than</w:t>
      </w:r>
      <w:r w:rsidR="00A16AA6" w:rsidRPr="00C0688A">
        <w:rPr>
          <w:rFonts w:asciiTheme="majorBidi" w:eastAsia="Times New Roman" w:hAnsiTheme="majorBidi" w:cstheme="majorBidi"/>
          <w:bCs/>
          <w:color w:val="000000"/>
          <w:spacing w:val="-4"/>
          <w:sz w:val="24"/>
          <w:szCs w:val="24"/>
        </w:rPr>
        <w:t xml:space="preserve"> group A in patients with decreased MCV. </w:t>
      </w:r>
      <w:r w:rsidR="003A7E8C">
        <w:rPr>
          <w:rFonts w:asciiTheme="majorBidi" w:eastAsia="Times New Roman" w:hAnsiTheme="majorBidi" w:cstheme="majorBidi"/>
          <w:bCs/>
          <w:color w:val="000000"/>
          <w:spacing w:val="-4"/>
          <w:sz w:val="24"/>
          <w:szCs w:val="24"/>
        </w:rPr>
        <w:t>Regarding</w:t>
      </w:r>
      <w:r w:rsidR="00D42C82">
        <w:rPr>
          <w:rFonts w:asciiTheme="majorBidi" w:eastAsia="Times New Roman" w:hAnsiTheme="majorBidi" w:cstheme="majorBidi"/>
          <w:bCs/>
          <w:color w:val="000000"/>
          <w:spacing w:val="-4"/>
          <w:sz w:val="24"/>
          <w:szCs w:val="24"/>
        </w:rPr>
        <w:t xml:space="preserve"> (</w:t>
      </w:r>
      <w:r w:rsidR="00A16AA6" w:rsidRPr="00C0688A">
        <w:rPr>
          <w:rFonts w:asciiTheme="majorBidi" w:eastAsia="Times New Roman" w:hAnsiTheme="majorBidi" w:cstheme="majorBidi"/>
          <w:bCs/>
          <w:color w:val="000000"/>
          <w:spacing w:val="-4"/>
          <w:sz w:val="24"/>
          <w:szCs w:val="24"/>
        </w:rPr>
        <w:t xml:space="preserve">MCH), group B had a significantly higher MCH </w:t>
      </w:r>
      <w:r w:rsidR="003A7E8C">
        <w:rPr>
          <w:rFonts w:asciiTheme="majorBidi" w:eastAsia="Times New Roman" w:hAnsiTheme="majorBidi" w:cstheme="majorBidi"/>
          <w:bCs/>
          <w:color w:val="000000"/>
          <w:spacing w:val="-4"/>
          <w:sz w:val="24"/>
          <w:szCs w:val="24"/>
        </w:rPr>
        <w:t>than</w:t>
      </w:r>
      <w:r w:rsidR="00A16AA6" w:rsidRPr="00C0688A">
        <w:rPr>
          <w:rFonts w:asciiTheme="majorBidi" w:eastAsia="Times New Roman" w:hAnsiTheme="majorBidi" w:cstheme="majorBidi"/>
          <w:bCs/>
          <w:color w:val="000000"/>
          <w:spacing w:val="-4"/>
          <w:sz w:val="24"/>
          <w:szCs w:val="24"/>
        </w:rPr>
        <w:t xml:space="preserve"> group A in patients with decreased MCH.</w:t>
      </w:r>
      <w:r w:rsidR="005C6C3A">
        <w:rPr>
          <w:rFonts w:asciiTheme="majorBidi" w:eastAsia="Times New Roman" w:hAnsiTheme="majorBidi" w:cstheme="majorBidi"/>
          <w:bCs/>
          <w:color w:val="000000"/>
          <w:spacing w:val="-4"/>
          <w:sz w:val="24"/>
          <w:szCs w:val="24"/>
        </w:rPr>
        <w:t xml:space="preserve"> </w:t>
      </w:r>
      <w:r w:rsidR="003A7E8C">
        <w:rPr>
          <w:rFonts w:asciiTheme="majorBidi" w:eastAsia="Times New Roman" w:hAnsiTheme="majorBidi" w:cstheme="majorBidi"/>
          <w:bCs/>
          <w:color w:val="000000"/>
          <w:spacing w:val="-4"/>
          <w:sz w:val="24"/>
          <w:szCs w:val="24"/>
        </w:rPr>
        <w:t>Regarding</w:t>
      </w:r>
      <w:r w:rsidR="005C6C3A">
        <w:rPr>
          <w:rFonts w:asciiTheme="majorBidi" w:eastAsia="Times New Roman" w:hAnsiTheme="majorBidi" w:cstheme="majorBidi"/>
          <w:bCs/>
          <w:color w:val="000000"/>
          <w:spacing w:val="-4"/>
          <w:sz w:val="24"/>
          <w:szCs w:val="24"/>
        </w:rPr>
        <w:t xml:space="preserve"> WBCs</w:t>
      </w:r>
      <w:r w:rsidR="00A16AA6" w:rsidRPr="00C0688A">
        <w:rPr>
          <w:rFonts w:asciiTheme="majorBidi" w:eastAsia="Times New Roman" w:hAnsiTheme="majorBidi" w:cstheme="majorBidi"/>
          <w:bCs/>
          <w:color w:val="000000"/>
          <w:spacing w:val="-4"/>
          <w:sz w:val="24"/>
          <w:szCs w:val="24"/>
        </w:rPr>
        <w:t xml:space="preserve">, group B had a </w:t>
      </w:r>
      <w:r w:rsidR="00F64BCC">
        <w:rPr>
          <w:rFonts w:asciiTheme="majorBidi" w:eastAsia="Times New Roman" w:hAnsiTheme="majorBidi" w:cstheme="majorBidi"/>
          <w:bCs/>
          <w:color w:val="000000"/>
          <w:spacing w:val="-4"/>
          <w:sz w:val="24"/>
          <w:szCs w:val="24"/>
        </w:rPr>
        <w:t>decreased</w:t>
      </w:r>
      <w:r w:rsidR="003A7E8C">
        <w:rPr>
          <w:rFonts w:asciiTheme="majorBidi" w:eastAsia="Times New Roman" w:hAnsiTheme="majorBidi" w:cstheme="majorBidi"/>
          <w:bCs/>
          <w:color w:val="000000"/>
          <w:spacing w:val="-4"/>
          <w:sz w:val="24"/>
          <w:szCs w:val="24"/>
        </w:rPr>
        <w:t xml:space="preserve"> considerably</w:t>
      </w:r>
      <w:r w:rsidR="00A16AA6" w:rsidRPr="00C0688A">
        <w:rPr>
          <w:rFonts w:asciiTheme="majorBidi" w:eastAsia="Times New Roman" w:hAnsiTheme="majorBidi" w:cstheme="majorBidi"/>
          <w:bCs/>
          <w:color w:val="000000"/>
          <w:spacing w:val="-4"/>
          <w:sz w:val="24"/>
          <w:szCs w:val="24"/>
        </w:rPr>
        <w:t xml:space="preserve"> WBC level compared to group </w:t>
      </w:r>
      <w:r>
        <w:rPr>
          <w:rFonts w:asciiTheme="majorBidi" w:eastAsia="Times New Roman" w:hAnsiTheme="majorBidi" w:cstheme="majorBidi"/>
          <w:bCs/>
          <w:color w:val="000000"/>
          <w:spacing w:val="-4"/>
          <w:sz w:val="24"/>
          <w:szCs w:val="24"/>
        </w:rPr>
        <w:t>A in patients with leukocytosis</w:t>
      </w:r>
      <w:r w:rsidR="00A16AA6" w:rsidRPr="00C0688A">
        <w:rPr>
          <w:rFonts w:asciiTheme="majorBidi" w:eastAsia="Times New Roman" w:hAnsiTheme="majorBidi" w:cstheme="majorBidi"/>
          <w:bCs/>
          <w:color w:val="000000"/>
          <w:spacing w:val="-4"/>
          <w:sz w:val="24"/>
          <w:szCs w:val="24"/>
        </w:rPr>
        <w:t xml:space="preserve"> </w:t>
      </w:r>
      <w:r w:rsidR="001B59FA" w:rsidRPr="00C0688A">
        <w:rPr>
          <w:rFonts w:asciiTheme="majorBidi" w:hAnsiTheme="majorBidi" w:cstheme="majorBidi"/>
          <w:sz w:val="24"/>
          <w:szCs w:val="24"/>
        </w:rPr>
        <w:t>(</w:t>
      </w:r>
      <w:r w:rsidR="001B59FA" w:rsidRPr="00C0688A">
        <w:rPr>
          <w:rFonts w:asciiTheme="majorBidi" w:eastAsia="Times New Roman" w:hAnsiTheme="majorBidi" w:cstheme="majorBidi"/>
          <w:sz w:val="24"/>
          <w:szCs w:val="24"/>
        </w:rPr>
        <w:t xml:space="preserve">Tab </w:t>
      </w:r>
      <w:r w:rsidR="00CA5781">
        <w:rPr>
          <w:rFonts w:asciiTheme="majorBidi" w:eastAsia="Times New Roman" w:hAnsiTheme="majorBidi" w:cstheme="majorBidi"/>
          <w:sz w:val="24"/>
          <w:szCs w:val="24"/>
        </w:rPr>
        <w:t>5</w:t>
      </w:r>
      <w:r w:rsidR="001B59FA" w:rsidRPr="00C0688A">
        <w:rPr>
          <w:rFonts w:asciiTheme="majorBidi" w:eastAsia="Times New Roman" w:hAnsiTheme="majorBidi" w:cstheme="majorBidi"/>
          <w:sz w:val="24"/>
          <w:szCs w:val="24"/>
        </w:rPr>
        <w:t>)</w:t>
      </w:r>
      <w:r w:rsidR="00962231">
        <w:rPr>
          <w:rFonts w:asciiTheme="majorBidi" w:eastAsia="Times New Roman" w:hAnsiTheme="majorBidi" w:cstheme="majorBidi"/>
          <w:sz w:val="24"/>
          <w:szCs w:val="24"/>
        </w:rPr>
        <w:t>.</w:t>
      </w:r>
    </w:p>
    <w:p w14:paraId="6D4F5F59" w14:textId="00289975" w:rsidR="00082F30" w:rsidRPr="00C0688A" w:rsidRDefault="00082F30" w:rsidP="00DE71D5">
      <w:pPr>
        <w:spacing w:before="120" w:after="0" w:line="480" w:lineRule="auto"/>
        <w:ind w:firstLine="567"/>
        <w:jc w:val="both"/>
        <w:rPr>
          <w:rFonts w:asciiTheme="majorBidi" w:eastAsia="Times New Roman" w:hAnsiTheme="majorBidi" w:cstheme="majorBidi"/>
          <w:bCs/>
          <w:color w:val="000000"/>
          <w:sz w:val="24"/>
          <w:szCs w:val="24"/>
        </w:rPr>
      </w:pPr>
      <w:r w:rsidRPr="00C0688A">
        <w:rPr>
          <w:rFonts w:asciiTheme="majorBidi" w:eastAsia="Times New Roman" w:hAnsiTheme="majorBidi" w:cstheme="majorBidi"/>
          <w:bCs/>
          <w:color w:val="000000"/>
          <w:sz w:val="24"/>
          <w:szCs w:val="24"/>
        </w:rPr>
        <w:t xml:space="preserve">The study revealed </w:t>
      </w:r>
      <w:r w:rsidR="003A7E8C">
        <w:rPr>
          <w:rFonts w:asciiTheme="majorBidi" w:eastAsia="Times New Roman" w:hAnsiTheme="majorBidi" w:cstheme="majorBidi"/>
          <w:bCs/>
          <w:color w:val="000000"/>
          <w:sz w:val="24"/>
          <w:szCs w:val="24"/>
        </w:rPr>
        <w:t>no statistically significant difference</w:t>
      </w:r>
      <w:r w:rsidRPr="00C0688A">
        <w:rPr>
          <w:rFonts w:asciiTheme="majorBidi" w:eastAsia="Times New Roman" w:hAnsiTheme="majorBidi" w:cstheme="majorBidi"/>
          <w:bCs/>
          <w:color w:val="000000"/>
          <w:sz w:val="24"/>
          <w:szCs w:val="24"/>
        </w:rPr>
        <w:t xml:space="preserve"> in iron levels between groups A and B among patients with iron deficiency (P&gt;0.05). Nevertheless, patients with low ferritin in group B exhibited </w:t>
      </w:r>
      <w:r w:rsidR="003A7E8C">
        <w:rPr>
          <w:rFonts w:asciiTheme="majorBidi" w:eastAsia="Times New Roman" w:hAnsiTheme="majorBidi" w:cstheme="majorBidi"/>
          <w:bCs/>
          <w:color w:val="000000"/>
          <w:sz w:val="24"/>
          <w:szCs w:val="24"/>
        </w:rPr>
        <w:t xml:space="preserve">a </w:t>
      </w:r>
      <w:r w:rsidR="00DE71D5">
        <w:rPr>
          <w:rFonts w:asciiTheme="majorBidi" w:eastAsia="Times New Roman" w:hAnsiTheme="majorBidi" w:cstheme="majorBidi"/>
          <w:bCs/>
          <w:color w:val="000000"/>
          <w:sz w:val="24"/>
          <w:szCs w:val="24"/>
        </w:rPr>
        <w:t>significant</w:t>
      </w:r>
      <w:r w:rsidRPr="00C0688A">
        <w:rPr>
          <w:rFonts w:asciiTheme="majorBidi" w:eastAsia="Times New Roman" w:hAnsiTheme="majorBidi" w:cstheme="majorBidi"/>
          <w:bCs/>
          <w:color w:val="000000"/>
          <w:sz w:val="24"/>
          <w:szCs w:val="24"/>
        </w:rPr>
        <w:t xml:space="preserve"> rise in ferritin compared to group A (P= 0.003). The median iron levels in group A ranged from 0.35 </w:t>
      </w:r>
      <w:r w:rsidR="008A66D3" w:rsidRPr="008A66D3">
        <w:rPr>
          <w:rFonts w:asciiTheme="majorBidi" w:eastAsia="Times New Roman" w:hAnsiTheme="majorBidi" w:cstheme="majorBidi"/>
          <w:bCs/>
          <w:color w:val="000000"/>
          <w:sz w:val="24"/>
          <w:szCs w:val="24"/>
        </w:rPr>
        <w:t xml:space="preserve">mcg/dL </w:t>
      </w:r>
      <w:r w:rsidRPr="00C0688A">
        <w:rPr>
          <w:rFonts w:asciiTheme="majorBidi" w:eastAsia="Times New Roman" w:hAnsiTheme="majorBidi" w:cstheme="majorBidi"/>
          <w:bCs/>
          <w:color w:val="000000"/>
          <w:sz w:val="24"/>
          <w:szCs w:val="24"/>
        </w:rPr>
        <w:t>to 1.42</w:t>
      </w:r>
      <w:r w:rsidR="008A66D3" w:rsidRPr="008A66D3">
        <w:t xml:space="preserve"> </w:t>
      </w:r>
      <w:r w:rsidR="008A66D3" w:rsidRPr="008A66D3">
        <w:rPr>
          <w:rFonts w:asciiTheme="majorBidi" w:eastAsia="Times New Roman" w:hAnsiTheme="majorBidi" w:cstheme="majorBidi"/>
          <w:bCs/>
          <w:color w:val="000000"/>
          <w:sz w:val="24"/>
          <w:szCs w:val="24"/>
        </w:rPr>
        <w:t>mcg/dL</w:t>
      </w:r>
      <w:r w:rsidRPr="00C0688A">
        <w:rPr>
          <w:rFonts w:asciiTheme="majorBidi" w:eastAsia="Times New Roman" w:hAnsiTheme="majorBidi" w:cstheme="majorBidi"/>
          <w:bCs/>
          <w:color w:val="000000"/>
          <w:sz w:val="24"/>
          <w:szCs w:val="24"/>
        </w:rPr>
        <w:t>, while in group B</w:t>
      </w:r>
      <w:r w:rsidR="003A7E8C">
        <w:rPr>
          <w:rFonts w:asciiTheme="majorBidi" w:eastAsia="Times New Roman" w:hAnsiTheme="majorBidi" w:cstheme="majorBidi"/>
          <w:bCs/>
          <w:color w:val="000000"/>
          <w:sz w:val="24"/>
          <w:szCs w:val="24"/>
        </w:rPr>
        <w:t>,</w:t>
      </w:r>
      <w:r w:rsidRPr="00C0688A">
        <w:rPr>
          <w:rFonts w:asciiTheme="majorBidi" w:eastAsia="Times New Roman" w:hAnsiTheme="majorBidi" w:cstheme="majorBidi"/>
          <w:bCs/>
          <w:color w:val="000000"/>
          <w:sz w:val="24"/>
          <w:szCs w:val="24"/>
        </w:rPr>
        <w:t xml:space="preserve"> they ranged from 0.31 </w:t>
      </w:r>
      <w:r w:rsidR="008A66D3" w:rsidRPr="008A66D3">
        <w:rPr>
          <w:rFonts w:asciiTheme="majorBidi" w:eastAsia="Times New Roman" w:hAnsiTheme="majorBidi" w:cstheme="majorBidi"/>
          <w:bCs/>
          <w:color w:val="000000"/>
          <w:sz w:val="24"/>
          <w:szCs w:val="24"/>
        </w:rPr>
        <w:t xml:space="preserve">mcg/dL </w:t>
      </w:r>
      <w:r w:rsidRPr="00C0688A">
        <w:rPr>
          <w:rFonts w:asciiTheme="majorBidi" w:eastAsia="Times New Roman" w:hAnsiTheme="majorBidi" w:cstheme="majorBidi"/>
          <w:bCs/>
          <w:color w:val="000000"/>
          <w:sz w:val="24"/>
          <w:szCs w:val="24"/>
        </w:rPr>
        <w:t>to 1.72</w:t>
      </w:r>
      <w:r w:rsidR="008A66D3" w:rsidRPr="008A66D3">
        <w:t xml:space="preserve"> </w:t>
      </w:r>
      <w:r w:rsidR="008A66D3" w:rsidRPr="008A66D3">
        <w:rPr>
          <w:rFonts w:asciiTheme="majorBidi" w:eastAsia="Times New Roman" w:hAnsiTheme="majorBidi" w:cstheme="majorBidi"/>
          <w:bCs/>
          <w:color w:val="000000"/>
          <w:sz w:val="24"/>
          <w:szCs w:val="24"/>
        </w:rPr>
        <w:t>mcg/dL</w:t>
      </w:r>
      <w:r w:rsidR="001B59FA" w:rsidRPr="001B59FA">
        <w:rPr>
          <w:rFonts w:asciiTheme="majorBidi" w:hAnsiTheme="majorBidi" w:cstheme="majorBidi"/>
          <w:sz w:val="24"/>
          <w:szCs w:val="24"/>
        </w:rPr>
        <w:t xml:space="preserve"> </w:t>
      </w:r>
      <w:r w:rsidR="001B59FA" w:rsidRPr="00C0688A">
        <w:rPr>
          <w:rFonts w:asciiTheme="majorBidi" w:hAnsiTheme="majorBidi" w:cstheme="majorBidi"/>
          <w:sz w:val="24"/>
          <w:szCs w:val="24"/>
        </w:rPr>
        <w:t>(</w:t>
      </w:r>
      <w:r w:rsidR="001B59FA" w:rsidRPr="00C0688A">
        <w:rPr>
          <w:rFonts w:asciiTheme="majorBidi" w:eastAsia="Times New Roman" w:hAnsiTheme="majorBidi" w:cstheme="majorBidi"/>
          <w:sz w:val="24"/>
          <w:szCs w:val="24"/>
        </w:rPr>
        <w:t xml:space="preserve">Tab </w:t>
      </w:r>
      <w:r w:rsidR="00CA5781">
        <w:rPr>
          <w:rFonts w:asciiTheme="majorBidi" w:eastAsia="Times New Roman" w:hAnsiTheme="majorBidi" w:cstheme="majorBidi"/>
          <w:sz w:val="24"/>
          <w:szCs w:val="24"/>
        </w:rPr>
        <w:t>5</w:t>
      </w:r>
      <w:r w:rsidR="001B59FA" w:rsidRPr="00C0688A">
        <w:rPr>
          <w:rFonts w:asciiTheme="majorBidi" w:eastAsia="Times New Roman" w:hAnsiTheme="majorBidi" w:cstheme="majorBidi"/>
          <w:sz w:val="24"/>
          <w:szCs w:val="24"/>
        </w:rPr>
        <w:t>)</w:t>
      </w:r>
      <w:r w:rsidR="00962231">
        <w:rPr>
          <w:rFonts w:asciiTheme="majorBidi" w:eastAsia="Times New Roman" w:hAnsiTheme="majorBidi" w:cstheme="majorBidi"/>
          <w:sz w:val="24"/>
          <w:szCs w:val="24"/>
        </w:rPr>
        <w:t>.</w:t>
      </w:r>
    </w:p>
    <w:p w14:paraId="1909BF2A" w14:textId="25E14E04" w:rsidR="00082F30" w:rsidRPr="00C0688A" w:rsidRDefault="003A7E8C" w:rsidP="00CA5781">
      <w:pPr>
        <w:spacing w:before="120" w:after="0" w:line="480" w:lineRule="auto"/>
        <w:ind w:firstLine="567"/>
        <w:jc w:val="both"/>
        <w:rPr>
          <w:rFonts w:asciiTheme="majorBidi" w:eastAsia="Times New Roman" w:hAnsiTheme="majorBidi" w:cstheme="majorBidi"/>
          <w:color w:val="000000"/>
          <w:sz w:val="24"/>
          <w:szCs w:val="24"/>
        </w:rPr>
      </w:pPr>
      <w:r>
        <w:rPr>
          <w:rFonts w:asciiTheme="majorBidi" w:eastAsia="Times New Roman" w:hAnsiTheme="majorBidi" w:cstheme="majorBidi"/>
          <w:bCs/>
          <w:color w:val="000000"/>
          <w:sz w:val="24"/>
          <w:szCs w:val="24"/>
        </w:rPr>
        <w:t>There was a</w:t>
      </w:r>
      <w:r w:rsidR="00AE303A">
        <w:rPr>
          <w:rFonts w:asciiTheme="majorBidi" w:eastAsia="Times New Roman" w:hAnsiTheme="majorBidi" w:cstheme="majorBidi"/>
          <w:bCs/>
          <w:color w:val="000000"/>
          <w:sz w:val="24"/>
          <w:szCs w:val="24"/>
        </w:rPr>
        <w:t xml:space="preserve"> </w:t>
      </w:r>
      <w:r w:rsidR="00082F30" w:rsidRPr="00C0688A">
        <w:rPr>
          <w:rFonts w:asciiTheme="majorBidi" w:eastAsia="Times New Roman" w:hAnsiTheme="majorBidi" w:cstheme="majorBidi"/>
          <w:bCs/>
          <w:color w:val="000000"/>
          <w:sz w:val="24"/>
          <w:szCs w:val="24"/>
        </w:rPr>
        <w:t>notable reduc</w:t>
      </w:r>
      <w:r w:rsidR="002E64F3">
        <w:rPr>
          <w:rFonts w:asciiTheme="majorBidi" w:eastAsia="Times New Roman" w:hAnsiTheme="majorBidi" w:cstheme="majorBidi"/>
          <w:bCs/>
          <w:color w:val="000000"/>
          <w:sz w:val="24"/>
          <w:szCs w:val="24"/>
        </w:rPr>
        <w:t>tion in total cholesterol</w:t>
      </w:r>
      <w:r w:rsidR="00082F30" w:rsidRPr="00C0688A">
        <w:rPr>
          <w:rFonts w:asciiTheme="majorBidi" w:eastAsia="Times New Roman" w:hAnsiTheme="majorBidi" w:cstheme="majorBidi"/>
          <w:bCs/>
          <w:color w:val="000000"/>
          <w:sz w:val="24"/>
          <w:szCs w:val="24"/>
        </w:rPr>
        <w:t xml:space="preserve"> among patients diagnosed with hypercholesterolemia in group B compared to group A (P= 0.001). Group B exhibited a statistically significant elevation in HDL compared to group A (P= 0.006). Group B exhibited a statistically significant reduction in LDL levels compared to group A (P=0.001). Group B </w:t>
      </w:r>
      <w:r>
        <w:rPr>
          <w:rFonts w:asciiTheme="majorBidi" w:eastAsia="Times New Roman" w:hAnsiTheme="majorBidi" w:cstheme="majorBidi"/>
          <w:bCs/>
          <w:color w:val="000000"/>
          <w:sz w:val="24"/>
          <w:szCs w:val="24"/>
        </w:rPr>
        <w:t>significantly reduced</w:t>
      </w:r>
      <w:r w:rsidR="00082F30" w:rsidRPr="00C0688A">
        <w:rPr>
          <w:rFonts w:asciiTheme="majorBidi" w:eastAsia="Times New Roman" w:hAnsiTheme="majorBidi" w:cstheme="majorBidi"/>
          <w:bCs/>
          <w:color w:val="000000"/>
          <w:sz w:val="24"/>
          <w:szCs w:val="24"/>
        </w:rPr>
        <w:t xml:space="preserve"> TGs compared to group A (P&lt; 0.001). Group A had a median total cholesterol level of 224</w:t>
      </w:r>
      <w:r w:rsidR="008A66D3">
        <w:rPr>
          <w:rFonts w:asciiTheme="majorBidi" w:eastAsia="Times New Roman" w:hAnsiTheme="majorBidi" w:cstheme="majorBidi"/>
          <w:bCs/>
          <w:color w:val="000000"/>
          <w:sz w:val="24"/>
          <w:szCs w:val="24"/>
        </w:rPr>
        <w:t xml:space="preserve"> mmol/L</w:t>
      </w:r>
      <w:r w:rsidR="00082F30" w:rsidRPr="00C0688A">
        <w:rPr>
          <w:rFonts w:asciiTheme="majorBidi" w:eastAsia="Times New Roman" w:hAnsiTheme="majorBidi" w:cstheme="majorBidi"/>
          <w:bCs/>
          <w:color w:val="000000"/>
          <w:sz w:val="24"/>
          <w:szCs w:val="24"/>
        </w:rPr>
        <w:t>, whereas Group B had a median total cholesterol level of 201</w:t>
      </w:r>
      <w:r w:rsidR="008A66D3">
        <w:rPr>
          <w:rFonts w:asciiTheme="majorBidi" w:eastAsia="Times New Roman" w:hAnsiTheme="majorBidi" w:cstheme="majorBidi"/>
          <w:bCs/>
          <w:color w:val="000000"/>
          <w:sz w:val="24"/>
          <w:szCs w:val="24"/>
        </w:rPr>
        <w:t xml:space="preserve"> mmol/L</w:t>
      </w:r>
      <w:r w:rsidR="00082F30" w:rsidRPr="00C0688A">
        <w:rPr>
          <w:rFonts w:asciiTheme="majorBidi" w:eastAsia="Times New Roman" w:hAnsiTheme="majorBidi" w:cstheme="majorBidi"/>
          <w:bCs/>
          <w:color w:val="000000"/>
          <w:sz w:val="24"/>
          <w:szCs w:val="24"/>
        </w:rPr>
        <w:t>. Regarding LDL levels, group B exhibited a median value of 136</w:t>
      </w:r>
      <w:r w:rsidR="008A66D3">
        <w:rPr>
          <w:rFonts w:asciiTheme="majorBidi" w:eastAsia="Times New Roman" w:hAnsiTheme="majorBidi" w:cstheme="majorBidi"/>
          <w:bCs/>
          <w:color w:val="000000"/>
          <w:sz w:val="24"/>
          <w:szCs w:val="24"/>
        </w:rPr>
        <w:t xml:space="preserve"> mmol/L</w:t>
      </w:r>
      <w:r w:rsidR="00082F30" w:rsidRPr="00C0688A">
        <w:rPr>
          <w:rFonts w:asciiTheme="majorBidi" w:eastAsia="Times New Roman" w:hAnsiTheme="majorBidi" w:cstheme="majorBidi"/>
          <w:bCs/>
          <w:color w:val="000000"/>
          <w:sz w:val="24"/>
          <w:szCs w:val="24"/>
        </w:rPr>
        <w:t>, whereas group A displayed a median value of 168</w:t>
      </w:r>
      <w:r w:rsidR="008A66D3">
        <w:rPr>
          <w:rFonts w:asciiTheme="majorBidi" w:eastAsia="Times New Roman" w:hAnsiTheme="majorBidi" w:cstheme="majorBidi"/>
          <w:bCs/>
          <w:color w:val="000000"/>
          <w:sz w:val="24"/>
          <w:szCs w:val="24"/>
        </w:rPr>
        <w:t xml:space="preserve"> mmol/L</w:t>
      </w:r>
      <w:r w:rsidR="00082F30" w:rsidRPr="00C0688A">
        <w:rPr>
          <w:rFonts w:asciiTheme="majorBidi" w:eastAsia="Times New Roman" w:hAnsiTheme="majorBidi" w:cstheme="majorBidi"/>
          <w:bCs/>
          <w:color w:val="000000"/>
          <w:sz w:val="24"/>
          <w:szCs w:val="24"/>
        </w:rPr>
        <w:t>. Group B had a notable decrease in median TGs, with a value of 148</w:t>
      </w:r>
      <w:r w:rsidR="008A66D3">
        <w:rPr>
          <w:rFonts w:asciiTheme="majorBidi" w:eastAsia="Times New Roman" w:hAnsiTheme="majorBidi" w:cstheme="majorBidi"/>
          <w:bCs/>
          <w:color w:val="000000"/>
          <w:sz w:val="24"/>
          <w:szCs w:val="24"/>
        </w:rPr>
        <w:t xml:space="preserve"> mmol/L</w:t>
      </w:r>
      <w:r w:rsidR="00082F30" w:rsidRPr="00C0688A">
        <w:rPr>
          <w:rFonts w:asciiTheme="majorBidi" w:eastAsia="Times New Roman" w:hAnsiTheme="majorBidi" w:cstheme="majorBidi"/>
          <w:bCs/>
          <w:color w:val="000000"/>
          <w:sz w:val="24"/>
          <w:szCs w:val="24"/>
        </w:rPr>
        <w:t xml:space="preserve">, </w:t>
      </w:r>
      <w:r w:rsidR="00CA7D45">
        <w:rPr>
          <w:rFonts w:asciiTheme="majorBidi" w:eastAsia="Times New Roman" w:hAnsiTheme="majorBidi" w:cstheme="majorBidi"/>
          <w:bCs/>
          <w:color w:val="000000"/>
          <w:sz w:val="24"/>
          <w:szCs w:val="24"/>
        </w:rPr>
        <w:t>compared</w:t>
      </w:r>
      <w:r w:rsidR="00082F30" w:rsidRPr="00C0688A">
        <w:rPr>
          <w:rFonts w:asciiTheme="majorBidi" w:eastAsia="Times New Roman" w:hAnsiTheme="majorBidi" w:cstheme="majorBidi"/>
          <w:bCs/>
          <w:color w:val="000000"/>
          <w:sz w:val="24"/>
          <w:szCs w:val="24"/>
        </w:rPr>
        <w:t xml:space="preserve"> to group A</w:t>
      </w:r>
      <w:r w:rsidR="001B59FA" w:rsidRPr="001B59FA">
        <w:rPr>
          <w:rFonts w:asciiTheme="majorBidi" w:hAnsiTheme="majorBidi" w:cstheme="majorBidi"/>
          <w:sz w:val="24"/>
          <w:szCs w:val="24"/>
        </w:rPr>
        <w:t xml:space="preserve"> </w:t>
      </w:r>
      <w:r w:rsidR="001B59FA" w:rsidRPr="00C0688A">
        <w:rPr>
          <w:rFonts w:asciiTheme="majorBidi" w:hAnsiTheme="majorBidi" w:cstheme="majorBidi"/>
          <w:sz w:val="24"/>
          <w:szCs w:val="24"/>
        </w:rPr>
        <w:t>(</w:t>
      </w:r>
      <w:r w:rsidR="001B59FA" w:rsidRPr="00C0688A">
        <w:rPr>
          <w:rFonts w:asciiTheme="majorBidi" w:eastAsia="Times New Roman" w:hAnsiTheme="majorBidi" w:cstheme="majorBidi"/>
          <w:sz w:val="24"/>
          <w:szCs w:val="24"/>
        </w:rPr>
        <w:t xml:space="preserve">Tab </w:t>
      </w:r>
      <w:r w:rsidR="00CA5781">
        <w:rPr>
          <w:rFonts w:asciiTheme="majorBidi" w:eastAsia="Times New Roman" w:hAnsiTheme="majorBidi" w:cstheme="majorBidi"/>
          <w:sz w:val="24"/>
          <w:szCs w:val="24"/>
        </w:rPr>
        <w:t>5</w:t>
      </w:r>
      <w:r w:rsidR="001B59FA" w:rsidRPr="00C0688A">
        <w:rPr>
          <w:rFonts w:asciiTheme="majorBidi" w:eastAsia="Times New Roman" w:hAnsiTheme="majorBidi" w:cstheme="majorBidi"/>
          <w:sz w:val="24"/>
          <w:szCs w:val="24"/>
        </w:rPr>
        <w:t>)</w:t>
      </w:r>
      <w:r w:rsidR="00962231">
        <w:rPr>
          <w:rFonts w:asciiTheme="majorBidi" w:eastAsia="Times New Roman" w:hAnsiTheme="majorBidi" w:cstheme="majorBidi"/>
          <w:sz w:val="24"/>
          <w:szCs w:val="24"/>
        </w:rPr>
        <w:t>.</w:t>
      </w:r>
    </w:p>
    <w:p w14:paraId="24EE0CBB" w14:textId="4B2E7434" w:rsidR="006870FF" w:rsidRPr="0012538F" w:rsidRDefault="0016676E" w:rsidP="00127B08">
      <w:pPr>
        <w:spacing w:before="120" w:after="0" w:line="480" w:lineRule="auto"/>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P</w:t>
      </w:r>
      <w:r w:rsidR="00082F30" w:rsidRPr="00C0688A">
        <w:rPr>
          <w:rFonts w:asciiTheme="majorBidi" w:eastAsia="Times New Roman" w:hAnsiTheme="majorBidi" w:cstheme="majorBidi"/>
          <w:sz w:val="24"/>
          <w:szCs w:val="24"/>
        </w:rPr>
        <w:t xml:space="preserve">atients with increased ALT had significantly decreased </w:t>
      </w:r>
      <w:r w:rsidR="004B134F">
        <w:rPr>
          <w:rFonts w:asciiTheme="majorBidi" w:eastAsia="Times New Roman" w:hAnsiTheme="majorBidi" w:cstheme="majorBidi"/>
          <w:sz w:val="24"/>
          <w:szCs w:val="24"/>
        </w:rPr>
        <w:t>AL</w:t>
      </w:r>
      <w:r w:rsidR="00082F30" w:rsidRPr="00C0688A">
        <w:rPr>
          <w:rFonts w:asciiTheme="majorBidi" w:eastAsia="Times New Roman" w:hAnsiTheme="majorBidi" w:cstheme="majorBidi"/>
          <w:sz w:val="24"/>
          <w:szCs w:val="24"/>
        </w:rPr>
        <w:t>T in group B compared to group A. Total bilirubin w</w:t>
      </w:r>
      <w:r w:rsidR="00127B08">
        <w:rPr>
          <w:rFonts w:asciiTheme="majorBidi" w:eastAsia="Times New Roman" w:hAnsiTheme="majorBidi" w:cstheme="majorBidi"/>
          <w:sz w:val="24"/>
          <w:szCs w:val="24"/>
        </w:rPr>
        <w:t>as</w:t>
      </w:r>
      <w:r w:rsidR="00082F30" w:rsidRPr="00C0688A">
        <w:rPr>
          <w:rFonts w:asciiTheme="majorBidi" w:eastAsia="Times New Roman" w:hAnsiTheme="majorBidi" w:cstheme="majorBidi"/>
          <w:sz w:val="24"/>
          <w:szCs w:val="24"/>
        </w:rPr>
        <w:t xml:space="preserve"> similar between groups A and B, with no significant difference. Direct bilirubin levels were significantly decreased in group B compared to group A in patients with increased direct bilirubin. The study also found no significant difference in total bilirubin levels between groups </w:t>
      </w:r>
      <w:r w:rsidR="00CA7D45">
        <w:rPr>
          <w:rFonts w:asciiTheme="majorBidi" w:eastAsia="Times New Roman" w:hAnsiTheme="majorBidi" w:cstheme="majorBidi"/>
          <w:sz w:val="24"/>
          <w:szCs w:val="24"/>
        </w:rPr>
        <w:t>of</w:t>
      </w:r>
      <w:r w:rsidR="00082F30" w:rsidRPr="00C0688A">
        <w:rPr>
          <w:rFonts w:asciiTheme="majorBidi" w:eastAsia="Times New Roman" w:hAnsiTheme="majorBidi" w:cstheme="majorBidi"/>
          <w:sz w:val="24"/>
          <w:szCs w:val="24"/>
        </w:rPr>
        <w:t xml:space="preserve"> patients with hyperbilirubinemia </w:t>
      </w:r>
      <w:r w:rsidR="001B59FA" w:rsidRPr="00C0688A">
        <w:rPr>
          <w:rFonts w:asciiTheme="majorBidi" w:hAnsiTheme="majorBidi" w:cstheme="majorBidi"/>
          <w:sz w:val="24"/>
          <w:szCs w:val="24"/>
        </w:rPr>
        <w:t>(</w:t>
      </w:r>
      <w:r w:rsidR="001B59FA" w:rsidRPr="00C0688A">
        <w:rPr>
          <w:rFonts w:asciiTheme="majorBidi" w:eastAsia="Times New Roman" w:hAnsiTheme="majorBidi" w:cstheme="majorBidi"/>
          <w:sz w:val="24"/>
          <w:szCs w:val="24"/>
        </w:rPr>
        <w:t xml:space="preserve">Tab </w:t>
      </w:r>
      <w:r w:rsidR="00CA5781">
        <w:rPr>
          <w:rFonts w:asciiTheme="majorBidi" w:eastAsia="Times New Roman" w:hAnsiTheme="majorBidi" w:cstheme="majorBidi"/>
          <w:sz w:val="24"/>
          <w:szCs w:val="24"/>
        </w:rPr>
        <w:t>5</w:t>
      </w:r>
      <w:r w:rsidR="001B59FA" w:rsidRPr="00C0688A">
        <w:rPr>
          <w:rFonts w:asciiTheme="majorBidi" w:eastAsia="Times New Roman" w:hAnsiTheme="majorBidi" w:cstheme="majorBidi"/>
          <w:sz w:val="24"/>
          <w:szCs w:val="24"/>
        </w:rPr>
        <w:t>)</w:t>
      </w:r>
      <w:r w:rsidR="00962231">
        <w:rPr>
          <w:rFonts w:asciiTheme="majorBidi" w:eastAsia="Times New Roman" w:hAnsiTheme="majorBidi" w:cstheme="majorBidi"/>
          <w:sz w:val="24"/>
          <w:szCs w:val="24"/>
        </w:rPr>
        <w:t>.</w:t>
      </w:r>
    </w:p>
    <w:p w14:paraId="3E40D65E" w14:textId="09D8101D" w:rsidR="00962231" w:rsidRDefault="00962231" w:rsidP="00962231">
      <w:pPr>
        <w:pStyle w:val="Caption"/>
        <w:keepNext/>
      </w:pPr>
      <w:r>
        <w:t xml:space="preserve">Tab </w:t>
      </w:r>
      <w:fldSimple w:instr=" SEQ Table \* ARABIC ">
        <w:r w:rsidR="00B97D4E">
          <w:rPr>
            <w:noProof/>
          </w:rPr>
          <w:t>5</w:t>
        </w:r>
      </w:fldSimple>
      <w:r>
        <w:t xml:space="preserve">. </w:t>
      </w:r>
      <w:r w:rsidRPr="00962231">
        <w:t>Comparison of (subgroups of patients) with abnormalities in CBC, Iron profile, dyslipidemia, liver enzymes, and bilirubin in both groups</w:t>
      </w:r>
      <w:r>
        <w:t>.</w:t>
      </w:r>
    </w:p>
    <w:tbl>
      <w:tblPr>
        <w:tblW w:w="5000" w:type="pct"/>
        <w:jc w:val="center"/>
        <w:tblBorders>
          <w:top w:val="single" w:sz="4" w:space="0" w:color="auto"/>
          <w:bottom w:val="single" w:sz="4" w:space="0" w:color="auto"/>
        </w:tblBorders>
        <w:tblCellMar>
          <w:left w:w="28" w:type="dxa"/>
          <w:right w:w="28" w:type="dxa"/>
        </w:tblCellMar>
        <w:tblLook w:val="0400" w:firstRow="0" w:lastRow="0" w:firstColumn="0" w:lastColumn="0" w:noHBand="0" w:noVBand="1"/>
        <w:tblCaption w:val="Tab 5. Comparison of (subgroups of patients) with abnormalities in CBC, Iron profile, dyslipidemia, liver enzymes, and bilirubin in both groups."/>
        <w:tblDescription w:val="*: Statistically significant at p &lt; 0.05. Group A: before treatment. Group B: after treatment."/>
      </w:tblPr>
      <w:tblGrid>
        <w:gridCol w:w="3039"/>
        <w:gridCol w:w="2331"/>
        <w:gridCol w:w="2331"/>
        <w:gridCol w:w="1370"/>
      </w:tblGrid>
      <w:tr w:rsidR="00B442F4" w:rsidRPr="000412D8" w14:paraId="0F857757" w14:textId="77777777" w:rsidTr="00962231">
        <w:trPr>
          <w:trHeight w:val="20"/>
          <w:jc w:val="center"/>
        </w:trPr>
        <w:tc>
          <w:tcPr>
            <w:tcW w:w="1675" w:type="pct"/>
            <w:tcBorders>
              <w:top w:val="single" w:sz="4" w:space="0" w:color="auto"/>
              <w:bottom w:val="single" w:sz="4" w:space="0" w:color="auto"/>
            </w:tcBorders>
            <w:shd w:val="clear" w:color="auto" w:fill="auto"/>
            <w:vAlign w:val="center"/>
          </w:tcPr>
          <w:p w14:paraId="03FC1C52" w14:textId="77777777" w:rsidR="00B442F4" w:rsidRPr="000412D8" w:rsidRDefault="00B442F4" w:rsidP="001E1AC1">
            <w:pPr>
              <w:spacing w:after="0" w:line="240" w:lineRule="auto"/>
              <w:jc w:val="both"/>
              <w:rPr>
                <w:rFonts w:ascii="Times New Roman" w:eastAsia="Times New Roman" w:hAnsi="Times New Roman" w:cs="Times New Roman"/>
                <w:b/>
                <w:sz w:val="16"/>
                <w:szCs w:val="16"/>
              </w:rPr>
            </w:pPr>
            <w:r w:rsidRPr="000412D8">
              <w:rPr>
                <w:rFonts w:ascii="Times New Roman" w:eastAsia="Times New Roman" w:hAnsi="Times New Roman" w:cs="Times New Roman"/>
                <w:b/>
                <w:sz w:val="16"/>
                <w:szCs w:val="16"/>
              </w:rPr>
              <w:t>Variable</w:t>
            </w:r>
          </w:p>
        </w:tc>
        <w:tc>
          <w:tcPr>
            <w:tcW w:w="1285" w:type="pct"/>
            <w:tcBorders>
              <w:top w:val="single" w:sz="4" w:space="0" w:color="auto"/>
              <w:bottom w:val="single" w:sz="4" w:space="0" w:color="auto"/>
            </w:tcBorders>
            <w:shd w:val="clear" w:color="auto" w:fill="auto"/>
            <w:vAlign w:val="center"/>
          </w:tcPr>
          <w:p w14:paraId="79D71E8C" w14:textId="77777777" w:rsidR="00B442F4" w:rsidRPr="000412D8" w:rsidRDefault="00B442F4" w:rsidP="001E1AC1">
            <w:pPr>
              <w:spacing w:after="0" w:line="240" w:lineRule="auto"/>
              <w:jc w:val="both"/>
              <w:rPr>
                <w:rFonts w:ascii="Times New Roman" w:eastAsia="Times New Roman" w:hAnsi="Times New Roman" w:cs="Times New Roman"/>
                <w:b/>
                <w:sz w:val="16"/>
                <w:szCs w:val="16"/>
              </w:rPr>
            </w:pPr>
            <w:r w:rsidRPr="000412D8">
              <w:rPr>
                <w:rFonts w:ascii="Times New Roman" w:eastAsia="Times New Roman" w:hAnsi="Times New Roman" w:cs="Times New Roman"/>
                <w:b/>
                <w:sz w:val="16"/>
                <w:szCs w:val="16"/>
              </w:rPr>
              <w:t>Group A</w:t>
            </w:r>
          </w:p>
        </w:tc>
        <w:tc>
          <w:tcPr>
            <w:tcW w:w="1285" w:type="pct"/>
            <w:tcBorders>
              <w:top w:val="single" w:sz="4" w:space="0" w:color="auto"/>
              <w:bottom w:val="single" w:sz="4" w:space="0" w:color="auto"/>
            </w:tcBorders>
            <w:shd w:val="clear" w:color="auto" w:fill="auto"/>
            <w:vAlign w:val="center"/>
          </w:tcPr>
          <w:p w14:paraId="4CBBD9DE" w14:textId="77777777" w:rsidR="00B442F4" w:rsidRPr="000412D8" w:rsidRDefault="00B442F4" w:rsidP="001E1AC1">
            <w:pPr>
              <w:spacing w:after="0" w:line="240" w:lineRule="auto"/>
              <w:jc w:val="both"/>
              <w:rPr>
                <w:rFonts w:ascii="Times New Roman" w:eastAsia="Times New Roman" w:hAnsi="Times New Roman" w:cs="Times New Roman"/>
                <w:b/>
                <w:sz w:val="16"/>
                <w:szCs w:val="16"/>
              </w:rPr>
            </w:pPr>
            <w:r w:rsidRPr="000412D8">
              <w:rPr>
                <w:rFonts w:ascii="Times New Roman" w:eastAsia="Times New Roman" w:hAnsi="Times New Roman" w:cs="Times New Roman"/>
                <w:b/>
                <w:sz w:val="16"/>
                <w:szCs w:val="16"/>
              </w:rPr>
              <w:t>Group B</w:t>
            </w:r>
          </w:p>
        </w:tc>
        <w:tc>
          <w:tcPr>
            <w:tcW w:w="755" w:type="pct"/>
            <w:tcBorders>
              <w:top w:val="single" w:sz="4" w:space="0" w:color="auto"/>
              <w:bottom w:val="single" w:sz="4" w:space="0" w:color="auto"/>
            </w:tcBorders>
            <w:shd w:val="clear" w:color="auto" w:fill="auto"/>
            <w:vAlign w:val="center"/>
          </w:tcPr>
          <w:p w14:paraId="2B0C3CCE" w14:textId="77777777" w:rsidR="00B442F4" w:rsidRPr="000412D8" w:rsidRDefault="00B442F4" w:rsidP="001E1AC1">
            <w:pPr>
              <w:spacing w:after="0" w:line="240" w:lineRule="auto"/>
              <w:jc w:val="both"/>
              <w:rPr>
                <w:rFonts w:ascii="Times New Roman" w:eastAsia="Times New Roman" w:hAnsi="Times New Roman" w:cs="Times New Roman"/>
                <w:b/>
                <w:sz w:val="16"/>
                <w:szCs w:val="16"/>
              </w:rPr>
            </w:pPr>
            <w:r w:rsidRPr="000412D8">
              <w:rPr>
                <w:rFonts w:ascii="Times New Roman" w:eastAsia="Times New Roman" w:hAnsi="Times New Roman" w:cs="Times New Roman"/>
                <w:b/>
                <w:sz w:val="16"/>
                <w:szCs w:val="16"/>
              </w:rPr>
              <w:t>P-value</w:t>
            </w:r>
          </w:p>
        </w:tc>
      </w:tr>
      <w:tr w:rsidR="00B442F4" w:rsidRPr="000412D8" w14:paraId="7B826535" w14:textId="77777777" w:rsidTr="00962231">
        <w:trPr>
          <w:trHeight w:val="20"/>
          <w:jc w:val="center"/>
        </w:trPr>
        <w:tc>
          <w:tcPr>
            <w:tcW w:w="1675" w:type="pct"/>
            <w:shd w:val="clear" w:color="auto" w:fill="auto"/>
            <w:vAlign w:val="center"/>
          </w:tcPr>
          <w:p w14:paraId="1EF736E4" w14:textId="77777777" w:rsidR="00B442F4" w:rsidRPr="000412D8" w:rsidRDefault="00B442F4" w:rsidP="001E1AC1">
            <w:pPr>
              <w:spacing w:after="0" w:line="240" w:lineRule="auto"/>
              <w:jc w:val="both"/>
              <w:rPr>
                <w:rFonts w:ascii="Times New Roman" w:eastAsia="Times New Roman" w:hAnsi="Times New Roman" w:cs="Times New Roman"/>
                <w:b/>
                <w:sz w:val="16"/>
                <w:szCs w:val="16"/>
              </w:rPr>
            </w:pPr>
            <w:bookmarkStart w:id="6" w:name="_3znysh7" w:colFirst="0" w:colLast="0"/>
            <w:bookmarkEnd w:id="6"/>
            <w:r w:rsidRPr="000412D8">
              <w:rPr>
                <w:rFonts w:ascii="Times New Roman" w:eastAsia="Times New Roman" w:hAnsi="Times New Roman" w:cs="Times New Roman"/>
                <w:b/>
                <w:sz w:val="16"/>
                <w:szCs w:val="16"/>
              </w:rPr>
              <w:t>Erythrocytosis (N=</w:t>
            </w:r>
            <w:r>
              <w:rPr>
                <w:rFonts w:ascii="Times New Roman" w:eastAsia="Times New Roman" w:hAnsi="Times New Roman" w:cs="Times New Roman"/>
                <w:b/>
                <w:sz w:val="16"/>
                <w:szCs w:val="16"/>
              </w:rPr>
              <w:t>5</w:t>
            </w:r>
            <w:r w:rsidRPr="000412D8">
              <w:rPr>
                <w:rFonts w:ascii="Times New Roman" w:eastAsia="Times New Roman" w:hAnsi="Times New Roman" w:cs="Times New Roman"/>
                <w:b/>
                <w:sz w:val="16"/>
                <w:szCs w:val="16"/>
              </w:rPr>
              <w:t>)</w:t>
            </w:r>
          </w:p>
        </w:tc>
        <w:tc>
          <w:tcPr>
            <w:tcW w:w="1285" w:type="pct"/>
            <w:shd w:val="clear" w:color="auto" w:fill="auto"/>
            <w:vAlign w:val="center"/>
          </w:tcPr>
          <w:p w14:paraId="0D017B42"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1285" w:type="pct"/>
            <w:shd w:val="clear" w:color="auto" w:fill="auto"/>
            <w:vAlign w:val="center"/>
          </w:tcPr>
          <w:p w14:paraId="0CE24FD2"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755" w:type="pct"/>
            <w:vMerge w:val="restart"/>
            <w:shd w:val="clear" w:color="auto" w:fill="auto"/>
            <w:vAlign w:val="center"/>
          </w:tcPr>
          <w:p w14:paraId="2E6F3649"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0.3</w:t>
            </w:r>
          </w:p>
        </w:tc>
      </w:tr>
      <w:tr w:rsidR="00B442F4" w:rsidRPr="000412D8" w14:paraId="06BE72BF" w14:textId="77777777" w:rsidTr="00962231">
        <w:trPr>
          <w:trHeight w:val="20"/>
          <w:jc w:val="center"/>
        </w:trPr>
        <w:tc>
          <w:tcPr>
            <w:tcW w:w="1675" w:type="pct"/>
            <w:shd w:val="clear" w:color="auto" w:fill="auto"/>
            <w:vAlign w:val="center"/>
          </w:tcPr>
          <w:p w14:paraId="5471A886"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Min – Max</w:t>
            </w:r>
          </w:p>
        </w:tc>
        <w:tc>
          <w:tcPr>
            <w:tcW w:w="1285" w:type="pct"/>
            <w:shd w:val="clear" w:color="auto" w:fill="auto"/>
            <w:vAlign w:val="center"/>
          </w:tcPr>
          <w:p w14:paraId="275B09B4"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4.81 – 6.04</w:t>
            </w:r>
          </w:p>
        </w:tc>
        <w:tc>
          <w:tcPr>
            <w:tcW w:w="1285" w:type="pct"/>
            <w:shd w:val="clear" w:color="auto" w:fill="auto"/>
            <w:vAlign w:val="center"/>
          </w:tcPr>
          <w:p w14:paraId="6A8FFCE1"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4.47 – 6.2</w:t>
            </w:r>
          </w:p>
        </w:tc>
        <w:tc>
          <w:tcPr>
            <w:tcW w:w="755" w:type="pct"/>
            <w:vMerge/>
            <w:shd w:val="clear" w:color="auto" w:fill="auto"/>
            <w:vAlign w:val="center"/>
          </w:tcPr>
          <w:p w14:paraId="637B281B" w14:textId="77777777" w:rsidR="00B442F4" w:rsidRPr="000412D8" w:rsidRDefault="00B442F4" w:rsidP="001E1AC1">
            <w:pPr>
              <w:widowControl w:val="0"/>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tc>
      </w:tr>
      <w:tr w:rsidR="00B442F4" w:rsidRPr="000412D8" w14:paraId="7E43A7F5" w14:textId="77777777" w:rsidTr="00962231">
        <w:trPr>
          <w:trHeight w:val="20"/>
          <w:jc w:val="center"/>
        </w:trPr>
        <w:tc>
          <w:tcPr>
            <w:tcW w:w="1675" w:type="pct"/>
            <w:shd w:val="clear" w:color="auto" w:fill="auto"/>
            <w:vAlign w:val="center"/>
          </w:tcPr>
          <w:p w14:paraId="5344C22E"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Median (IQR)</w:t>
            </w:r>
          </w:p>
        </w:tc>
        <w:tc>
          <w:tcPr>
            <w:tcW w:w="1285" w:type="pct"/>
            <w:shd w:val="clear" w:color="auto" w:fill="auto"/>
            <w:vAlign w:val="center"/>
          </w:tcPr>
          <w:p w14:paraId="0FDA52C7"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5.5 (4.9 – 5.8)</w:t>
            </w:r>
          </w:p>
        </w:tc>
        <w:tc>
          <w:tcPr>
            <w:tcW w:w="1285" w:type="pct"/>
            <w:shd w:val="clear" w:color="auto" w:fill="auto"/>
            <w:vAlign w:val="center"/>
          </w:tcPr>
          <w:p w14:paraId="45A65DA1"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5.5 (4.9 – 5.7)</w:t>
            </w:r>
          </w:p>
        </w:tc>
        <w:tc>
          <w:tcPr>
            <w:tcW w:w="755" w:type="pct"/>
            <w:vMerge/>
            <w:shd w:val="clear" w:color="auto" w:fill="auto"/>
            <w:vAlign w:val="center"/>
          </w:tcPr>
          <w:p w14:paraId="5C2B2552" w14:textId="77777777" w:rsidR="00B442F4" w:rsidRPr="000412D8" w:rsidRDefault="00B442F4" w:rsidP="001E1AC1">
            <w:pPr>
              <w:widowControl w:val="0"/>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tc>
      </w:tr>
      <w:tr w:rsidR="00B442F4" w:rsidRPr="000412D8" w14:paraId="77C0E3B0" w14:textId="77777777" w:rsidTr="00962231">
        <w:trPr>
          <w:trHeight w:val="20"/>
          <w:jc w:val="center"/>
        </w:trPr>
        <w:tc>
          <w:tcPr>
            <w:tcW w:w="1675" w:type="pct"/>
            <w:shd w:val="clear" w:color="auto" w:fill="auto"/>
            <w:vAlign w:val="center"/>
          </w:tcPr>
          <w:p w14:paraId="048F54CC" w14:textId="77777777" w:rsidR="00B442F4" w:rsidRPr="000412D8" w:rsidRDefault="00B442F4" w:rsidP="001E1AC1">
            <w:pPr>
              <w:spacing w:after="0" w:line="240" w:lineRule="auto"/>
              <w:jc w:val="both"/>
              <w:rPr>
                <w:rFonts w:ascii="Times New Roman" w:eastAsia="Times New Roman" w:hAnsi="Times New Roman" w:cs="Times New Roman"/>
                <w:b/>
                <w:sz w:val="16"/>
                <w:szCs w:val="16"/>
              </w:rPr>
            </w:pPr>
            <w:proofErr w:type="spellStart"/>
            <w:r w:rsidRPr="000412D8">
              <w:rPr>
                <w:rFonts w:ascii="Times New Roman" w:eastAsia="Times New Roman" w:hAnsi="Times New Roman" w:cs="Times New Roman"/>
                <w:b/>
                <w:sz w:val="16"/>
                <w:szCs w:val="16"/>
              </w:rPr>
              <w:t>Erythrocytopenia</w:t>
            </w:r>
            <w:proofErr w:type="spellEnd"/>
            <w:r w:rsidRPr="000412D8">
              <w:rPr>
                <w:rFonts w:ascii="Times New Roman" w:eastAsia="Times New Roman" w:hAnsi="Times New Roman" w:cs="Times New Roman"/>
                <w:b/>
                <w:sz w:val="16"/>
                <w:szCs w:val="16"/>
              </w:rPr>
              <w:t xml:space="preserve"> (N=5)</w:t>
            </w:r>
          </w:p>
        </w:tc>
        <w:tc>
          <w:tcPr>
            <w:tcW w:w="1285" w:type="pct"/>
            <w:shd w:val="clear" w:color="auto" w:fill="auto"/>
            <w:vAlign w:val="center"/>
          </w:tcPr>
          <w:p w14:paraId="09B4D414"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1285" w:type="pct"/>
            <w:shd w:val="clear" w:color="auto" w:fill="auto"/>
            <w:vAlign w:val="center"/>
          </w:tcPr>
          <w:p w14:paraId="7938BF0E"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755" w:type="pct"/>
            <w:vMerge w:val="restart"/>
            <w:shd w:val="clear" w:color="auto" w:fill="auto"/>
            <w:vAlign w:val="center"/>
          </w:tcPr>
          <w:p w14:paraId="409037FE" w14:textId="77777777" w:rsidR="00B442F4" w:rsidRPr="000412D8" w:rsidRDefault="00B442F4" w:rsidP="001E1AC1">
            <w:pPr>
              <w:spacing w:after="0" w:line="240" w:lineRule="auto"/>
              <w:jc w:val="both"/>
              <w:rPr>
                <w:rFonts w:ascii="Times New Roman" w:eastAsia="Times New Roman" w:hAnsi="Times New Roman" w:cs="Times New Roman"/>
                <w:b/>
                <w:sz w:val="16"/>
                <w:szCs w:val="16"/>
              </w:rPr>
            </w:pPr>
            <w:r w:rsidRPr="000412D8">
              <w:rPr>
                <w:rFonts w:ascii="Times New Roman" w:eastAsia="Times New Roman" w:hAnsi="Times New Roman" w:cs="Times New Roman"/>
                <w:b/>
                <w:sz w:val="16"/>
                <w:szCs w:val="16"/>
              </w:rPr>
              <w:t>0.04*</w:t>
            </w:r>
          </w:p>
        </w:tc>
      </w:tr>
      <w:tr w:rsidR="00B442F4" w:rsidRPr="000412D8" w14:paraId="1FF88C84" w14:textId="77777777" w:rsidTr="00962231">
        <w:trPr>
          <w:trHeight w:val="20"/>
          <w:jc w:val="center"/>
        </w:trPr>
        <w:tc>
          <w:tcPr>
            <w:tcW w:w="1675" w:type="pct"/>
            <w:shd w:val="clear" w:color="auto" w:fill="auto"/>
            <w:vAlign w:val="center"/>
          </w:tcPr>
          <w:p w14:paraId="3DEBBDAA"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Min – Max</w:t>
            </w:r>
          </w:p>
        </w:tc>
        <w:tc>
          <w:tcPr>
            <w:tcW w:w="1285" w:type="pct"/>
            <w:shd w:val="clear" w:color="auto" w:fill="auto"/>
            <w:vAlign w:val="center"/>
          </w:tcPr>
          <w:p w14:paraId="17D7FDCC"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3.2 – 4.21</w:t>
            </w:r>
          </w:p>
        </w:tc>
        <w:tc>
          <w:tcPr>
            <w:tcW w:w="1285" w:type="pct"/>
            <w:shd w:val="clear" w:color="auto" w:fill="auto"/>
            <w:vAlign w:val="center"/>
          </w:tcPr>
          <w:p w14:paraId="5430492F"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3.5 – 4.28</w:t>
            </w:r>
          </w:p>
        </w:tc>
        <w:tc>
          <w:tcPr>
            <w:tcW w:w="755" w:type="pct"/>
            <w:vMerge/>
            <w:shd w:val="clear" w:color="auto" w:fill="auto"/>
            <w:vAlign w:val="center"/>
          </w:tcPr>
          <w:p w14:paraId="1D9CB5D6" w14:textId="77777777" w:rsidR="00B442F4" w:rsidRPr="000412D8" w:rsidRDefault="00B442F4" w:rsidP="001E1AC1">
            <w:pPr>
              <w:widowControl w:val="0"/>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tc>
      </w:tr>
      <w:tr w:rsidR="00B442F4" w:rsidRPr="000412D8" w14:paraId="760F908E" w14:textId="77777777" w:rsidTr="00962231">
        <w:trPr>
          <w:trHeight w:val="20"/>
          <w:jc w:val="center"/>
        </w:trPr>
        <w:tc>
          <w:tcPr>
            <w:tcW w:w="1675" w:type="pct"/>
            <w:shd w:val="clear" w:color="auto" w:fill="auto"/>
            <w:vAlign w:val="center"/>
          </w:tcPr>
          <w:p w14:paraId="1D335928"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Median (IQR)</w:t>
            </w:r>
          </w:p>
        </w:tc>
        <w:tc>
          <w:tcPr>
            <w:tcW w:w="1285" w:type="pct"/>
            <w:shd w:val="clear" w:color="auto" w:fill="auto"/>
            <w:vAlign w:val="center"/>
          </w:tcPr>
          <w:p w14:paraId="55F005A8"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3.7 (3.4 – 4)</w:t>
            </w:r>
          </w:p>
        </w:tc>
        <w:tc>
          <w:tcPr>
            <w:tcW w:w="1285" w:type="pct"/>
            <w:shd w:val="clear" w:color="auto" w:fill="auto"/>
            <w:vAlign w:val="center"/>
          </w:tcPr>
          <w:p w14:paraId="7415EBB9"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4.1 (3.8 – 4.3)</w:t>
            </w:r>
          </w:p>
        </w:tc>
        <w:tc>
          <w:tcPr>
            <w:tcW w:w="755" w:type="pct"/>
            <w:vMerge/>
            <w:shd w:val="clear" w:color="auto" w:fill="auto"/>
            <w:vAlign w:val="center"/>
          </w:tcPr>
          <w:p w14:paraId="2C9F4B11" w14:textId="77777777" w:rsidR="00B442F4" w:rsidRPr="000412D8" w:rsidRDefault="00B442F4" w:rsidP="001E1AC1">
            <w:pPr>
              <w:widowControl w:val="0"/>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tc>
      </w:tr>
      <w:tr w:rsidR="00B442F4" w:rsidRPr="000412D8" w14:paraId="1A0152D7" w14:textId="77777777" w:rsidTr="00962231">
        <w:trPr>
          <w:trHeight w:val="20"/>
          <w:jc w:val="center"/>
        </w:trPr>
        <w:tc>
          <w:tcPr>
            <w:tcW w:w="1675" w:type="pct"/>
            <w:shd w:val="clear" w:color="auto" w:fill="auto"/>
            <w:vAlign w:val="center"/>
          </w:tcPr>
          <w:p w14:paraId="4E299F6E" w14:textId="77777777" w:rsidR="00B442F4" w:rsidRPr="000412D8" w:rsidRDefault="00B442F4" w:rsidP="001E1AC1">
            <w:pPr>
              <w:spacing w:after="0" w:line="240" w:lineRule="auto"/>
              <w:jc w:val="both"/>
              <w:rPr>
                <w:rFonts w:ascii="Times New Roman" w:eastAsia="Times New Roman" w:hAnsi="Times New Roman" w:cs="Times New Roman"/>
                <w:b/>
                <w:sz w:val="16"/>
                <w:szCs w:val="16"/>
              </w:rPr>
            </w:pPr>
            <w:r w:rsidRPr="000412D8">
              <w:rPr>
                <w:rFonts w:ascii="Times New Roman" w:eastAsia="Times New Roman" w:hAnsi="Times New Roman" w:cs="Times New Roman"/>
                <w:b/>
                <w:sz w:val="16"/>
                <w:szCs w:val="16"/>
              </w:rPr>
              <w:t>Hb in patients with anemia (N= 29)</w:t>
            </w:r>
          </w:p>
        </w:tc>
        <w:tc>
          <w:tcPr>
            <w:tcW w:w="1285" w:type="pct"/>
            <w:shd w:val="clear" w:color="auto" w:fill="auto"/>
            <w:vAlign w:val="center"/>
          </w:tcPr>
          <w:p w14:paraId="2DD624F1"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1285" w:type="pct"/>
            <w:shd w:val="clear" w:color="auto" w:fill="auto"/>
            <w:vAlign w:val="center"/>
          </w:tcPr>
          <w:p w14:paraId="0B53ED32"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755" w:type="pct"/>
            <w:vMerge w:val="restart"/>
            <w:shd w:val="clear" w:color="auto" w:fill="auto"/>
            <w:vAlign w:val="center"/>
          </w:tcPr>
          <w:p w14:paraId="21FDA074"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b/>
                <w:sz w:val="16"/>
                <w:szCs w:val="16"/>
              </w:rPr>
              <w:t>0.014*</w:t>
            </w:r>
          </w:p>
        </w:tc>
      </w:tr>
      <w:tr w:rsidR="00B442F4" w:rsidRPr="000412D8" w14:paraId="763460E9" w14:textId="77777777" w:rsidTr="00962231">
        <w:trPr>
          <w:trHeight w:val="20"/>
          <w:jc w:val="center"/>
        </w:trPr>
        <w:tc>
          <w:tcPr>
            <w:tcW w:w="1675" w:type="pct"/>
            <w:shd w:val="clear" w:color="auto" w:fill="auto"/>
            <w:vAlign w:val="center"/>
          </w:tcPr>
          <w:p w14:paraId="3FD3CDA2"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Min – Max</w:t>
            </w:r>
          </w:p>
        </w:tc>
        <w:tc>
          <w:tcPr>
            <w:tcW w:w="1285" w:type="pct"/>
            <w:shd w:val="clear" w:color="auto" w:fill="auto"/>
            <w:vAlign w:val="center"/>
          </w:tcPr>
          <w:p w14:paraId="3B849D4A"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8.5 – 12.7</w:t>
            </w:r>
          </w:p>
        </w:tc>
        <w:tc>
          <w:tcPr>
            <w:tcW w:w="1285" w:type="pct"/>
            <w:shd w:val="clear" w:color="auto" w:fill="auto"/>
            <w:vAlign w:val="center"/>
          </w:tcPr>
          <w:p w14:paraId="6992E6C3"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9.5 – 12.9</w:t>
            </w:r>
          </w:p>
        </w:tc>
        <w:tc>
          <w:tcPr>
            <w:tcW w:w="755" w:type="pct"/>
            <w:vMerge/>
            <w:shd w:val="clear" w:color="auto" w:fill="auto"/>
            <w:vAlign w:val="center"/>
          </w:tcPr>
          <w:p w14:paraId="2F088DCB" w14:textId="77777777" w:rsidR="00B442F4" w:rsidRPr="000412D8" w:rsidRDefault="00B442F4" w:rsidP="001E1AC1">
            <w:pPr>
              <w:widowControl w:val="0"/>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tc>
      </w:tr>
      <w:tr w:rsidR="00B442F4" w:rsidRPr="000412D8" w14:paraId="52E69656" w14:textId="77777777" w:rsidTr="00962231">
        <w:trPr>
          <w:trHeight w:val="20"/>
          <w:jc w:val="center"/>
        </w:trPr>
        <w:tc>
          <w:tcPr>
            <w:tcW w:w="1675" w:type="pct"/>
            <w:shd w:val="clear" w:color="auto" w:fill="auto"/>
            <w:vAlign w:val="center"/>
          </w:tcPr>
          <w:p w14:paraId="5276C560"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Median (IQR)</w:t>
            </w:r>
          </w:p>
        </w:tc>
        <w:tc>
          <w:tcPr>
            <w:tcW w:w="1285" w:type="pct"/>
            <w:shd w:val="clear" w:color="auto" w:fill="auto"/>
            <w:vAlign w:val="center"/>
          </w:tcPr>
          <w:p w14:paraId="317EE219"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10.6 (10.1 – 11.4)</w:t>
            </w:r>
          </w:p>
        </w:tc>
        <w:tc>
          <w:tcPr>
            <w:tcW w:w="1285" w:type="pct"/>
            <w:shd w:val="clear" w:color="auto" w:fill="auto"/>
            <w:vAlign w:val="center"/>
          </w:tcPr>
          <w:p w14:paraId="6BB493F9"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10.9 (10.4 – 11.5)</w:t>
            </w:r>
          </w:p>
        </w:tc>
        <w:tc>
          <w:tcPr>
            <w:tcW w:w="755" w:type="pct"/>
            <w:vMerge/>
            <w:shd w:val="clear" w:color="auto" w:fill="auto"/>
            <w:vAlign w:val="center"/>
          </w:tcPr>
          <w:p w14:paraId="01486F68" w14:textId="77777777" w:rsidR="00B442F4" w:rsidRPr="000412D8" w:rsidRDefault="00B442F4" w:rsidP="001E1AC1">
            <w:pPr>
              <w:widowControl w:val="0"/>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tc>
      </w:tr>
      <w:tr w:rsidR="00B442F4" w:rsidRPr="000412D8" w14:paraId="67A365E3" w14:textId="77777777" w:rsidTr="00962231">
        <w:trPr>
          <w:trHeight w:val="20"/>
          <w:jc w:val="center"/>
        </w:trPr>
        <w:tc>
          <w:tcPr>
            <w:tcW w:w="1675" w:type="pct"/>
            <w:shd w:val="clear" w:color="auto" w:fill="auto"/>
            <w:vAlign w:val="center"/>
          </w:tcPr>
          <w:p w14:paraId="73224BDD" w14:textId="77777777" w:rsidR="00B442F4" w:rsidRPr="000412D8" w:rsidRDefault="00B442F4" w:rsidP="001E1AC1">
            <w:pPr>
              <w:spacing w:after="0" w:line="240" w:lineRule="auto"/>
              <w:jc w:val="both"/>
              <w:rPr>
                <w:rFonts w:ascii="Times New Roman" w:eastAsia="Times New Roman" w:hAnsi="Times New Roman" w:cs="Times New Roman"/>
                <w:b/>
                <w:sz w:val="16"/>
                <w:szCs w:val="16"/>
              </w:rPr>
            </w:pPr>
            <w:r w:rsidRPr="000412D8">
              <w:rPr>
                <w:rFonts w:ascii="Times New Roman" w:eastAsia="Times New Roman" w:hAnsi="Times New Roman" w:cs="Times New Roman"/>
                <w:b/>
                <w:sz w:val="16"/>
                <w:szCs w:val="16"/>
              </w:rPr>
              <w:t>MCV in patients with decreased MCV(N=35)</w:t>
            </w:r>
          </w:p>
        </w:tc>
        <w:tc>
          <w:tcPr>
            <w:tcW w:w="1285" w:type="pct"/>
            <w:shd w:val="clear" w:color="auto" w:fill="auto"/>
            <w:vAlign w:val="center"/>
          </w:tcPr>
          <w:p w14:paraId="05C554CD"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1285" w:type="pct"/>
            <w:shd w:val="clear" w:color="auto" w:fill="auto"/>
            <w:vAlign w:val="center"/>
          </w:tcPr>
          <w:p w14:paraId="7E52E528"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755" w:type="pct"/>
            <w:vMerge w:val="restart"/>
            <w:shd w:val="clear" w:color="auto" w:fill="auto"/>
            <w:vAlign w:val="center"/>
          </w:tcPr>
          <w:p w14:paraId="7DCAC98F"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b/>
                <w:sz w:val="16"/>
                <w:szCs w:val="16"/>
              </w:rPr>
              <w:t>0.007*</w:t>
            </w:r>
          </w:p>
        </w:tc>
      </w:tr>
      <w:tr w:rsidR="00B442F4" w:rsidRPr="000412D8" w14:paraId="35809DF6" w14:textId="77777777" w:rsidTr="00962231">
        <w:trPr>
          <w:trHeight w:val="20"/>
          <w:jc w:val="center"/>
        </w:trPr>
        <w:tc>
          <w:tcPr>
            <w:tcW w:w="1675" w:type="pct"/>
            <w:shd w:val="clear" w:color="auto" w:fill="auto"/>
            <w:vAlign w:val="center"/>
          </w:tcPr>
          <w:p w14:paraId="0288A7E2" w14:textId="07E6AC94"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 xml:space="preserve">Min </w:t>
            </w:r>
            <w:r>
              <w:rPr>
                <w:rFonts w:ascii="Times New Roman" w:eastAsia="Times New Roman" w:hAnsi="Times New Roman" w:cs="Times New Roman"/>
                <w:sz w:val="16"/>
                <w:szCs w:val="16"/>
              </w:rPr>
              <w:t>–</w:t>
            </w:r>
            <w:r w:rsidRPr="000412D8">
              <w:rPr>
                <w:rFonts w:ascii="Times New Roman" w:eastAsia="Times New Roman" w:hAnsi="Times New Roman" w:cs="Times New Roman"/>
                <w:sz w:val="16"/>
                <w:szCs w:val="16"/>
              </w:rPr>
              <w:t xml:space="preserve"> Max</w:t>
            </w:r>
          </w:p>
        </w:tc>
        <w:tc>
          <w:tcPr>
            <w:tcW w:w="1285" w:type="pct"/>
            <w:shd w:val="clear" w:color="auto" w:fill="auto"/>
            <w:vAlign w:val="center"/>
          </w:tcPr>
          <w:p w14:paraId="4F9D4A97"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59.1 – 82.4</w:t>
            </w:r>
          </w:p>
        </w:tc>
        <w:tc>
          <w:tcPr>
            <w:tcW w:w="1285" w:type="pct"/>
            <w:shd w:val="clear" w:color="auto" w:fill="auto"/>
            <w:vAlign w:val="center"/>
          </w:tcPr>
          <w:p w14:paraId="60435341"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57.9 – 87.4</w:t>
            </w:r>
          </w:p>
        </w:tc>
        <w:tc>
          <w:tcPr>
            <w:tcW w:w="755" w:type="pct"/>
            <w:vMerge/>
            <w:shd w:val="clear" w:color="auto" w:fill="auto"/>
            <w:vAlign w:val="center"/>
          </w:tcPr>
          <w:p w14:paraId="05C018B5" w14:textId="77777777" w:rsidR="00B442F4" w:rsidRPr="000412D8" w:rsidRDefault="00B442F4" w:rsidP="001E1AC1">
            <w:pPr>
              <w:widowControl w:val="0"/>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tc>
      </w:tr>
      <w:tr w:rsidR="00B442F4" w:rsidRPr="000412D8" w14:paraId="3EF80B67" w14:textId="77777777" w:rsidTr="00962231">
        <w:trPr>
          <w:trHeight w:val="20"/>
          <w:jc w:val="center"/>
        </w:trPr>
        <w:tc>
          <w:tcPr>
            <w:tcW w:w="1675" w:type="pct"/>
            <w:shd w:val="clear" w:color="auto" w:fill="auto"/>
            <w:vAlign w:val="center"/>
          </w:tcPr>
          <w:p w14:paraId="2238C7C7"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Median (IQR)</w:t>
            </w:r>
          </w:p>
        </w:tc>
        <w:tc>
          <w:tcPr>
            <w:tcW w:w="1285" w:type="pct"/>
            <w:shd w:val="clear" w:color="auto" w:fill="auto"/>
            <w:vAlign w:val="center"/>
          </w:tcPr>
          <w:p w14:paraId="7754D5DC"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76.6 (73 – 80.7)</w:t>
            </w:r>
          </w:p>
        </w:tc>
        <w:tc>
          <w:tcPr>
            <w:tcW w:w="1285" w:type="pct"/>
            <w:shd w:val="clear" w:color="auto" w:fill="auto"/>
            <w:vAlign w:val="center"/>
          </w:tcPr>
          <w:p w14:paraId="0C9D5E73"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77.9 (74.5 – 81.4)</w:t>
            </w:r>
          </w:p>
        </w:tc>
        <w:tc>
          <w:tcPr>
            <w:tcW w:w="755" w:type="pct"/>
            <w:vMerge/>
            <w:shd w:val="clear" w:color="auto" w:fill="auto"/>
            <w:vAlign w:val="center"/>
          </w:tcPr>
          <w:p w14:paraId="1C9944FB" w14:textId="77777777" w:rsidR="00B442F4" w:rsidRPr="000412D8" w:rsidRDefault="00B442F4" w:rsidP="001E1AC1">
            <w:pPr>
              <w:widowControl w:val="0"/>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tc>
      </w:tr>
      <w:tr w:rsidR="00B442F4" w:rsidRPr="000412D8" w14:paraId="0F7A2E6F" w14:textId="77777777" w:rsidTr="00962231">
        <w:trPr>
          <w:trHeight w:val="20"/>
          <w:jc w:val="center"/>
        </w:trPr>
        <w:tc>
          <w:tcPr>
            <w:tcW w:w="1675" w:type="pct"/>
            <w:shd w:val="clear" w:color="auto" w:fill="auto"/>
            <w:vAlign w:val="center"/>
          </w:tcPr>
          <w:p w14:paraId="4CDA4D6D" w14:textId="77777777" w:rsidR="00B442F4" w:rsidRPr="000412D8" w:rsidRDefault="00B442F4" w:rsidP="001E1AC1">
            <w:pPr>
              <w:spacing w:after="0" w:line="240" w:lineRule="auto"/>
              <w:jc w:val="both"/>
              <w:rPr>
                <w:rFonts w:ascii="Times New Roman" w:eastAsia="Times New Roman" w:hAnsi="Times New Roman" w:cs="Times New Roman"/>
                <w:b/>
                <w:sz w:val="16"/>
                <w:szCs w:val="16"/>
              </w:rPr>
            </w:pPr>
            <w:r w:rsidRPr="000412D8">
              <w:rPr>
                <w:rFonts w:ascii="Times New Roman" w:eastAsia="Times New Roman" w:hAnsi="Times New Roman" w:cs="Times New Roman"/>
                <w:b/>
                <w:sz w:val="16"/>
                <w:szCs w:val="16"/>
              </w:rPr>
              <w:t>MCH in patients with decreased MCH (N=34)</w:t>
            </w:r>
          </w:p>
        </w:tc>
        <w:tc>
          <w:tcPr>
            <w:tcW w:w="1285" w:type="pct"/>
            <w:shd w:val="clear" w:color="auto" w:fill="auto"/>
            <w:vAlign w:val="center"/>
          </w:tcPr>
          <w:p w14:paraId="6DD934B9"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1285" w:type="pct"/>
            <w:shd w:val="clear" w:color="auto" w:fill="auto"/>
            <w:vAlign w:val="center"/>
          </w:tcPr>
          <w:p w14:paraId="40C88D26"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755" w:type="pct"/>
            <w:vMerge w:val="restart"/>
            <w:shd w:val="clear" w:color="auto" w:fill="auto"/>
            <w:vAlign w:val="center"/>
          </w:tcPr>
          <w:p w14:paraId="543BA6C8" w14:textId="77777777" w:rsidR="00B442F4" w:rsidRPr="000412D8" w:rsidRDefault="00B442F4" w:rsidP="001E1AC1">
            <w:pPr>
              <w:spacing w:after="0" w:line="240" w:lineRule="auto"/>
              <w:jc w:val="both"/>
              <w:rPr>
                <w:rFonts w:ascii="Times New Roman" w:eastAsia="Times New Roman" w:hAnsi="Times New Roman" w:cs="Times New Roman"/>
                <w:b/>
                <w:sz w:val="16"/>
                <w:szCs w:val="16"/>
              </w:rPr>
            </w:pPr>
            <w:r w:rsidRPr="000412D8">
              <w:rPr>
                <w:rFonts w:ascii="Times New Roman" w:eastAsia="Times New Roman" w:hAnsi="Times New Roman" w:cs="Times New Roman"/>
                <w:b/>
                <w:sz w:val="16"/>
                <w:szCs w:val="16"/>
              </w:rPr>
              <w:t>0.003*</w:t>
            </w:r>
          </w:p>
        </w:tc>
      </w:tr>
      <w:tr w:rsidR="00B442F4" w:rsidRPr="000412D8" w14:paraId="48C2D54F" w14:textId="77777777" w:rsidTr="00962231">
        <w:trPr>
          <w:trHeight w:val="20"/>
          <w:jc w:val="center"/>
        </w:trPr>
        <w:tc>
          <w:tcPr>
            <w:tcW w:w="1675" w:type="pct"/>
            <w:shd w:val="clear" w:color="auto" w:fill="auto"/>
            <w:vAlign w:val="center"/>
          </w:tcPr>
          <w:p w14:paraId="5D5421C1" w14:textId="0F5A5FF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 xml:space="preserve">Min </w:t>
            </w:r>
            <w:r>
              <w:rPr>
                <w:rFonts w:ascii="Times New Roman" w:eastAsia="Times New Roman" w:hAnsi="Times New Roman" w:cs="Times New Roman"/>
                <w:sz w:val="16"/>
                <w:szCs w:val="16"/>
              </w:rPr>
              <w:t>–</w:t>
            </w:r>
            <w:r w:rsidRPr="000412D8">
              <w:rPr>
                <w:rFonts w:ascii="Times New Roman" w:eastAsia="Times New Roman" w:hAnsi="Times New Roman" w:cs="Times New Roman"/>
                <w:sz w:val="16"/>
                <w:szCs w:val="16"/>
              </w:rPr>
              <w:t xml:space="preserve"> Max</w:t>
            </w:r>
          </w:p>
        </w:tc>
        <w:tc>
          <w:tcPr>
            <w:tcW w:w="1285" w:type="pct"/>
            <w:shd w:val="clear" w:color="auto" w:fill="auto"/>
            <w:vAlign w:val="center"/>
          </w:tcPr>
          <w:p w14:paraId="7F9FC340"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15.9 – 26.9</w:t>
            </w:r>
          </w:p>
        </w:tc>
        <w:tc>
          <w:tcPr>
            <w:tcW w:w="1285" w:type="pct"/>
            <w:shd w:val="clear" w:color="auto" w:fill="auto"/>
            <w:vAlign w:val="center"/>
          </w:tcPr>
          <w:p w14:paraId="2F125BCC"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16.3 – 27.4</w:t>
            </w:r>
          </w:p>
        </w:tc>
        <w:tc>
          <w:tcPr>
            <w:tcW w:w="755" w:type="pct"/>
            <w:vMerge/>
            <w:shd w:val="clear" w:color="auto" w:fill="auto"/>
            <w:vAlign w:val="center"/>
          </w:tcPr>
          <w:p w14:paraId="50EDAAEB" w14:textId="77777777" w:rsidR="00B442F4" w:rsidRPr="000412D8" w:rsidRDefault="00B442F4" w:rsidP="001E1AC1">
            <w:pPr>
              <w:widowControl w:val="0"/>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tc>
      </w:tr>
      <w:tr w:rsidR="00B442F4" w:rsidRPr="000412D8" w14:paraId="3D5E26CF" w14:textId="77777777" w:rsidTr="00962231">
        <w:trPr>
          <w:trHeight w:val="20"/>
          <w:jc w:val="center"/>
        </w:trPr>
        <w:tc>
          <w:tcPr>
            <w:tcW w:w="1675" w:type="pct"/>
            <w:shd w:val="clear" w:color="auto" w:fill="auto"/>
            <w:vAlign w:val="center"/>
          </w:tcPr>
          <w:p w14:paraId="757E0CAA"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Median (IQR)</w:t>
            </w:r>
          </w:p>
        </w:tc>
        <w:tc>
          <w:tcPr>
            <w:tcW w:w="1285" w:type="pct"/>
            <w:shd w:val="clear" w:color="auto" w:fill="auto"/>
            <w:vAlign w:val="center"/>
          </w:tcPr>
          <w:p w14:paraId="7FB8D535"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25.15 (23.1 – 26.2)</w:t>
            </w:r>
          </w:p>
        </w:tc>
        <w:tc>
          <w:tcPr>
            <w:tcW w:w="1285" w:type="pct"/>
            <w:shd w:val="clear" w:color="auto" w:fill="auto"/>
            <w:vAlign w:val="center"/>
          </w:tcPr>
          <w:p w14:paraId="70D85168"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25.2 (22.63 – 26.8)</w:t>
            </w:r>
          </w:p>
        </w:tc>
        <w:tc>
          <w:tcPr>
            <w:tcW w:w="755" w:type="pct"/>
            <w:vMerge/>
            <w:shd w:val="clear" w:color="auto" w:fill="auto"/>
            <w:vAlign w:val="center"/>
          </w:tcPr>
          <w:p w14:paraId="6B01C136" w14:textId="77777777" w:rsidR="00B442F4" w:rsidRPr="000412D8" w:rsidRDefault="00B442F4" w:rsidP="001E1AC1">
            <w:pPr>
              <w:widowControl w:val="0"/>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tc>
      </w:tr>
      <w:tr w:rsidR="00B442F4" w:rsidRPr="000412D8" w14:paraId="15E273F3" w14:textId="77777777" w:rsidTr="00962231">
        <w:trPr>
          <w:trHeight w:val="20"/>
          <w:jc w:val="center"/>
        </w:trPr>
        <w:tc>
          <w:tcPr>
            <w:tcW w:w="1675" w:type="pct"/>
            <w:shd w:val="clear" w:color="auto" w:fill="auto"/>
            <w:vAlign w:val="center"/>
          </w:tcPr>
          <w:p w14:paraId="6003A625" w14:textId="77777777" w:rsidR="00B442F4" w:rsidRPr="000412D8" w:rsidRDefault="00B442F4" w:rsidP="001E1AC1">
            <w:pPr>
              <w:spacing w:after="0" w:line="240" w:lineRule="auto"/>
              <w:jc w:val="both"/>
              <w:rPr>
                <w:rFonts w:ascii="Times New Roman" w:eastAsia="Times New Roman" w:hAnsi="Times New Roman" w:cs="Times New Roman"/>
                <w:b/>
                <w:sz w:val="16"/>
                <w:szCs w:val="16"/>
              </w:rPr>
            </w:pPr>
            <w:r w:rsidRPr="000412D8">
              <w:rPr>
                <w:rFonts w:ascii="Times New Roman" w:eastAsia="Times New Roman" w:hAnsi="Times New Roman" w:cs="Times New Roman"/>
                <w:b/>
                <w:sz w:val="16"/>
                <w:szCs w:val="16"/>
              </w:rPr>
              <w:t>WBCs in patients with leukocytosis (N= 10)</w:t>
            </w:r>
          </w:p>
        </w:tc>
        <w:tc>
          <w:tcPr>
            <w:tcW w:w="1285" w:type="pct"/>
            <w:shd w:val="clear" w:color="auto" w:fill="auto"/>
            <w:vAlign w:val="center"/>
          </w:tcPr>
          <w:p w14:paraId="0709B635"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1285" w:type="pct"/>
            <w:shd w:val="clear" w:color="auto" w:fill="auto"/>
            <w:vAlign w:val="center"/>
          </w:tcPr>
          <w:p w14:paraId="1A9FBDC9"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755" w:type="pct"/>
            <w:vMerge w:val="restart"/>
            <w:shd w:val="clear" w:color="auto" w:fill="auto"/>
            <w:vAlign w:val="center"/>
          </w:tcPr>
          <w:p w14:paraId="326633EA"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b/>
                <w:sz w:val="16"/>
                <w:szCs w:val="16"/>
              </w:rPr>
              <w:t>0.005*</w:t>
            </w:r>
          </w:p>
        </w:tc>
      </w:tr>
      <w:tr w:rsidR="00B442F4" w:rsidRPr="000412D8" w14:paraId="53727AC3" w14:textId="77777777" w:rsidTr="00962231">
        <w:trPr>
          <w:trHeight w:val="20"/>
          <w:jc w:val="center"/>
        </w:trPr>
        <w:tc>
          <w:tcPr>
            <w:tcW w:w="1675" w:type="pct"/>
            <w:shd w:val="clear" w:color="auto" w:fill="auto"/>
            <w:vAlign w:val="center"/>
          </w:tcPr>
          <w:p w14:paraId="2B86DFE2" w14:textId="16B01C1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 xml:space="preserve">Min </w:t>
            </w:r>
            <w:r>
              <w:rPr>
                <w:rFonts w:ascii="Times New Roman" w:eastAsia="Times New Roman" w:hAnsi="Times New Roman" w:cs="Times New Roman"/>
                <w:sz w:val="16"/>
                <w:szCs w:val="16"/>
              </w:rPr>
              <w:t>–</w:t>
            </w:r>
            <w:r w:rsidRPr="000412D8">
              <w:rPr>
                <w:rFonts w:ascii="Times New Roman" w:eastAsia="Times New Roman" w:hAnsi="Times New Roman" w:cs="Times New Roman"/>
                <w:sz w:val="16"/>
                <w:szCs w:val="16"/>
              </w:rPr>
              <w:t xml:space="preserve"> Max</w:t>
            </w:r>
          </w:p>
        </w:tc>
        <w:tc>
          <w:tcPr>
            <w:tcW w:w="1285" w:type="pct"/>
            <w:shd w:val="clear" w:color="auto" w:fill="auto"/>
            <w:vAlign w:val="center"/>
          </w:tcPr>
          <w:p w14:paraId="7047BA30"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 xml:space="preserve">10.09 – 13.97 </w:t>
            </w:r>
          </w:p>
        </w:tc>
        <w:tc>
          <w:tcPr>
            <w:tcW w:w="1285" w:type="pct"/>
            <w:shd w:val="clear" w:color="auto" w:fill="auto"/>
            <w:vAlign w:val="center"/>
          </w:tcPr>
          <w:p w14:paraId="0ABEC285"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6.4 – 11.58</w:t>
            </w:r>
          </w:p>
        </w:tc>
        <w:tc>
          <w:tcPr>
            <w:tcW w:w="755" w:type="pct"/>
            <w:vMerge/>
            <w:shd w:val="clear" w:color="auto" w:fill="auto"/>
            <w:vAlign w:val="center"/>
          </w:tcPr>
          <w:p w14:paraId="51480847" w14:textId="77777777" w:rsidR="00B442F4" w:rsidRPr="000412D8" w:rsidRDefault="00B442F4" w:rsidP="001E1AC1">
            <w:pPr>
              <w:widowControl w:val="0"/>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tc>
      </w:tr>
      <w:tr w:rsidR="00B442F4" w:rsidRPr="000412D8" w14:paraId="3E9840A0" w14:textId="77777777" w:rsidTr="00962231">
        <w:trPr>
          <w:trHeight w:val="20"/>
          <w:jc w:val="center"/>
        </w:trPr>
        <w:tc>
          <w:tcPr>
            <w:tcW w:w="1675" w:type="pct"/>
            <w:shd w:val="clear" w:color="auto" w:fill="auto"/>
            <w:vAlign w:val="center"/>
          </w:tcPr>
          <w:p w14:paraId="69DC650D"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Median (IQR)</w:t>
            </w:r>
          </w:p>
        </w:tc>
        <w:tc>
          <w:tcPr>
            <w:tcW w:w="1285" w:type="pct"/>
            <w:shd w:val="clear" w:color="auto" w:fill="auto"/>
            <w:vAlign w:val="center"/>
          </w:tcPr>
          <w:p w14:paraId="471D983C"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12.1 (11.1 – 12.8)</w:t>
            </w:r>
          </w:p>
        </w:tc>
        <w:tc>
          <w:tcPr>
            <w:tcW w:w="1285" w:type="pct"/>
            <w:shd w:val="clear" w:color="auto" w:fill="auto"/>
            <w:vAlign w:val="center"/>
          </w:tcPr>
          <w:p w14:paraId="556620F1"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9 (7.6 – 9.6)</w:t>
            </w:r>
          </w:p>
        </w:tc>
        <w:tc>
          <w:tcPr>
            <w:tcW w:w="755" w:type="pct"/>
            <w:vMerge/>
            <w:shd w:val="clear" w:color="auto" w:fill="auto"/>
            <w:vAlign w:val="center"/>
          </w:tcPr>
          <w:p w14:paraId="17A8B79A" w14:textId="77777777" w:rsidR="00B442F4" w:rsidRPr="000412D8" w:rsidRDefault="00B442F4" w:rsidP="001E1AC1">
            <w:pPr>
              <w:widowControl w:val="0"/>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tc>
      </w:tr>
      <w:tr w:rsidR="00B442F4" w:rsidRPr="000412D8" w14:paraId="26A06DF2" w14:textId="77777777" w:rsidTr="00962231">
        <w:trPr>
          <w:trHeight w:val="20"/>
          <w:jc w:val="center"/>
        </w:trPr>
        <w:tc>
          <w:tcPr>
            <w:tcW w:w="1675" w:type="pct"/>
            <w:shd w:val="clear" w:color="auto" w:fill="auto"/>
            <w:vAlign w:val="center"/>
          </w:tcPr>
          <w:p w14:paraId="02E762EC" w14:textId="77777777" w:rsidR="00B442F4" w:rsidRPr="000412D8" w:rsidRDefault="00B442F4" w:rsidP="001E1AC1">
            <w:pPr>
              <w:spacing w:after="0" w:line="240" w:lineRule="auto"/>
              <w:jc w:val="both"/>
              <w:rPr>
                <w:rFonts w:ascii="Times New Roman" w:eastAsia="Times New Roman" w:hAnsi="Times New Roman" w:cs="Times New Roman"/>
                <w:b/>
                <w:bCs/>
                <w:sz w:val="16"/>
                <w:szCs w:val="16"/>
              </w:rPr>
            </w:pPr>
            <w:r w:rsidRPr="000412D8">
              <w:rPr>
                <w:rFonts w:ascii="Times New Roman" w:eastAsia="Times New Roman" w:hAnsi="Times New Roman" w:cs="Times New Roman"/>
                <w:b/>
                <w:bCs/>
                <w:sz w:val="16"/>
                <w:szCs w:val="16"/>
              </w:rPr>
              <w:t xml:space="preserve">Iron in patients with iron deficiency (N= </w:t>
            </w:r>
            <w:r>
              <w:rPr>
                <w:rFonts w:ascii="Times New Roman" w:eastAsia="Times New Roman" w:hAnsi="Times New Roman" w:cs="Times New Roman"/>
                <w:b/>
                <w:bCs/>
                <w:sz w:val="16"/>
                <w:szCs w:val="16"/>
              </w:rPr>
              <w:t>21</w:t>
            </w:r>
            <w:r w:rsidRPr="000412D8">
              <w:rPr>
                <w:rFonts w:ascii="Times New Roman" w:eastAsia="Times New Roman" w:hAnsi="Times New Roman" w:cs="Times New Roman"/>
                <w:b/>
                <w:bCs/>
                <w:sz w:val="16"/>
                <w:szCs w:val="16"/>
              </w:rPr>
              <w:t>)</w:t>
            </w:r>
          </w:p>
        </w:tc>
        <w:tc>
          <w:tcPr>
            <w:tcW w:w="1285" w:type="pct"/>
            <w:shd w:val="clear" w:color="auto" w:fill="auto"/>
            <w:vAlign w:val="bottom"/>
          </w:tcPr>
          <w:p w14:paraId="01CAABE3"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1285" w:type="pct"/>
            <w:shd w:val="clear" w:color="auto" w:fill="auto"/>
            <w:vAlign w:val="bottom"/>
          </w:tcPr>
          <w:p w14:paraId="5730E720"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755" w:type="pct"/>
            <w:shd w:val="clear" w:color="auto" w:fill="auto"/>
            <w:vAlign w:val="center"/>
          </w:tcPr>
          <w:p w14:paraId="7B87DFC4"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r>
      <w:tr w:rsidR="00B442F4" w:rsidRPr="000412D8" w14:paraId="233658AD" w14:textId="77777777" w:rsidTr="00962231">
        <w:trPr>
          <w:trHeight w:val="20"/>
          <w:jc w:val="center"/>
        </w:trPr>
        <w:tc>
          <w:tcPr>
            <w:tcW w:w="1675" w:type="pct"/>
            <w:shd w:val="clear" w:color="auto" w:fill="auto"/>
            <w:vAlign w:val="center"/>
          </w:tcPr>
          <w:p w14:paraId="73A6AD9C" w14:textId="47E43923"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 xml:space="preserve">Min </w:t>
            </w:r>
            <w:r>
              <w:rPr>
                <w:rFonts w:ascii="Times New Roman" w:eastAsia="Times New Roman" w:hAnsi="Times New Roman" w:cs="Times New Roman"/>
                <w:sz w:val="16"/>
                <w:szCs w:val="16"/>
              </w:rPr>
              <w:t>–</w:t>
            </w:r>
            <w:r w:rsidRPr="000412D8">
              <w:rPr>
                <w:rFonts w:ascii="Times New Roman" w:eastAsia="Times New Roman" w:hAnsi="Times New Roman" w:cs="Times New Roman"/>
                <w:sz w:val="16"/>
                <w:szCs w:val="16"/>
              </w:rPr>
              <w:t xml:space="preserve"> Max</w:t>
            </w:r>
          </w:p>
          <w:p w14:paraId="5C5F2B90"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Median (IQR)</w:t>
            </w:r>
          </w:p>
        </w:tc>
        <w:tc>
          <w:tcPr>
            <w:tcW w:w="1285" w:type="pct"/>
            <w:shd w:val="clear" w:color="auto" w:fill="auto"/>
            <w:vAlign w:val="bottom"/>
          </w:tcPr>
          <w:p w14:paraId="4A1710BF"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0.35 – 1.42</w:t>
            </w:r>
          </w:p>
          <w:p w14:paraId="71EA5CA1"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0.68 (0.52 – 0.89)</w:t>
            </w:r>
          </w:p>
        </w:tc>
        <w:tc>
          <w:tcPr>
            <w:tcW w:w="1285" w:type="pct"/>
            <w:shd w:val="clear" w:color="auto" w:fill="auto"/>
            <w:vAlign w:val="bottom"/>
          </w:tcPr>
          <w:p w14:paraId="46F0863F"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0.31 – 1.72</w:t>
            </w:r>
          </w:p>
          <w:p w14:paraId="145AFF2C"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0.76 (0.52 – 0.95)</w:t>
            </w:r>
          </w:p>
        </w:tc>
        <w:tc>
          <w:tcPr>
            <w:tcW w:w="755" w:type="pct"/>
            <w:shd w:val="clear" w:color="auto" w:fill="auto"/>
            <w:vAlign w:val="center"/>
          </w:tcPr>
          <w:p w14:paraId="3B50BB83"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 xml:space="preserve">0.28 </w:t>
            </w:r>
          </w:p>
        </w:tc>
      </w:tr>
      <w:tr w:rsidR="00B442F4" w:rsidRPr="000412D8" w14:paraId="297B74F0" w14:textId="77777777" w:rsidTr="00962231">
        <w:trPr>
          <w:trHeight w:val="20"/>
          <w:jc w:val="center"/>
        </w:trPr>
        <w:tc>
          <w:tcPr>
            <w:tcW w:w="1675" w:type="pct"/>
            <w:shd w:val="clear" w:color="auto" w:fill="auto"/>
            <w:vAlign w:val="center"/>
          </w:tcPr>
          <w:p w14:paraId="76F4A548" w14:textId="77777777" w:rsidR="00B442F4" w:rsidRPr="000412D8" w:rsidRDefault="00B442F4" w:rsidP="001E1AC1">
            <w:pPr>
              <w:spacing w:after="0" w:line="240" w:lineRule="auto"/>
              <w:jc w:val="both"/>
              <w:rPr>
                <w:rFonts w:ascii="Times New Roman" w:eastAsia="Times New Roman" w:hAnsi="Times New Roman" w:cs="Times New Roman"/>
                <w:b/>
                <w:bCs/>
                <w:sz w:val="16"/>
                <w:szCs w:val="16"/>
              </w:rPr>
            </w:pPr>
            <w:r w:rsidRPr="000412D8">
              <w:rPr>
                <w:rFonts w:ascii="Times New Roman" w:eastAsia="Times New Roman" w:hAnsi="Times New Roman" w:cs="Times New Roman"/>
                <w:b/>
                <w:bCs/>
                <w:sz w:val="16"/>
                <w:szCs w:val="16"/>
              </w:rPr>
              <w:t>Ferritin in patients with decreased ferritin(N=19)</w:t>
            </w:r>
          </w:p>
        </w:tc>
        <w:tc>
          <w:tcPr>
            <w:tcW w:w="1285" w:type="pct"/>
            <w:shd w:val="clear" w:color="auto" w:fill="auto"/>
            <w:vAlign w:val="bottom"/>
          </w:tcPr>
          <w:p w14:paraId="2275C374"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1285" w:type="pct"/>
            <w:shd w:val="clear" w:color="auto" w:fill="auto"/>
            <w:vAlign w:val="bottom"/>
          </w:tcPr>
          <w:p w14:paraId="1AD7FC34"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755" w:type="pct"/>
            <w:shd w:val="clear" w:color="auto" w:fill="auto"/>
            <w:vAlign w:val="center"/>
          </w:tcPr>
          <w:p w14:paraId="0C260431"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r>
      <w:tr w:rsidR="00B442F4" w:rsidRPr="000412D8" w14:paraId="65C700AA" w14:textId="77777777" w:rsidTr="00962231">
        <w:trPr>
          <w:trHeight w:val="20"/>
          <w:jc w:val="center"/>
        </w:trPr>
        <w:tc>
          <w:tcPr>
            <w:tcW w:w="1675" w:type="pct"/>
            <w:shd w:val="clear" w:color="auto" w:fill="auto"/>
            <w:vAlign w:val="center"/>
          </w:tcPr>
          <w:p w14:paraId="0041EA51" w14:textId="45F5BC3B"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 xml:space="preserve">Min </w:t>
            </w:r>
            <w:r>
              <w:rPr>
                <w:rFonts w:ascii="Times New Roman" w:eastAsia="Times New Roman" w:hAnsi="Times New Roman" w:cs="Times New Roman"/>
                <w:sz w:val="16"/>
                <w:szCs w:val="16"/>
              </w:rPr>
              <w:t>–</w:t>
            </w:r>
            <w:r w:rsidRPr="000412D8">
              <w:rPr>
                <w:rFonts w:ascii="Times New Roman" w:eastAsia="Times New Roman" w:hAnsi="Times New Roman" w:cs="Times New Roman"/>
                <w:sz w:val="16"/>
                <w:szCs w:val="16"/>
              </w:rPr>
              <w:t xml:space="preserve"> Max</w:t>
            </w:r>
          </w:p>
          <w:p w14:paraId="7BC6D1B5"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Median (IQR)</w:t>
            </w:r>
          </w:p>
        </w:tc>
        <w:tc>
          <w:tcPr>
            <w:tcW w:w="1285" w:type="pct"/>
            <w:shd w:val="clear" w:color="auto" w:fill="auto"/>
            <w:vAlign w:val="bottom"/>
          </w:tcPr>
          <w:p w14:paraId="1567F402"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4.8 – 23.4</w:t>
            </w:r>
          </w:p>
          <w:p w14:paraId="5008BE20"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8.1 (5.3 – 12)</w:t>
            </w:r>
          </w:p>
        </w:tc>
        <w:tc>
          <w:tcPr>
            <w:tcW w:w="1285" w:type="pct"/>
            <w:shd w:val="clear" w:color="auto" w:fill="auto"/>
            <w:vAlign w:val="bottom"/>
          </w:tcPr>
          <w:p w14:paraId="7A72C3D0"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5 – 46.4</w:t>
            </w:r>
          </w:p>
          <w:p w14:paraId="1FCEFBE0"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11 (7.2 – 15)</w:t>
            </w:r>
          </w:p>
        </w:tc>
        <w:tc>
          <w:tcPr>
            <w:tcW w:w="755" w:type="pct"/>
            <w:shd w:val="clear" w:color="auto" w:fill="auto"/>
            <w:vAlign w:val="center"/>
          </w:tcPr>
          <w:p w14:paraId="67593EB1"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0.014 *</w:t>
            </w:r>
          </w:p>
        </w:tc>
      </w:tr>
      <w:tr w:rsidR="00B442F4" w:rsidRPr="000412D8" w14:paraId="5E8B543C" w14:textId="77777777" w:rsidTr="00962231">
        <w:trPr>
          <w:trHeight w:val="20"/>
          <w:jc w:val="center"/>
        </w:trPr>
        <w:tc>
          <w:tcPr>
            <w:tcW w:w="1675" w:type="pct"/>
            <w:shd w:val="clear" w:color="auto" w:fill="auto"/>
            <w:vAlign w:val="center"/>
          </w:tcPr>
          <w:p w14:paraId="260EC216" w14:textId="77777777" w:rsidR="00B442F4" w:rsidRPr="000412D8" w:rsidRDefault="00B442F4" w:rsidP="001E1AC1">
            <w:pPr>
              <w:spacing w:after="0" w:line="240" w:lineRule="auto"/>
              <w:jc w:val="both"/>
              <w:rPr>
                <w:rFonts w:ascii="Times New Roman" w:eastAsia="Times New Roman" w:hAnsi="Times New Roman" w:cs="Times New Roman"/>
                <w:b/>
                <w:bCs/>
                <w:sz w:val="16"/>
                <w:szCs w:val="16"/>
              </w:rPr>
            </w:pPr>
            <w:r w:rsidRPr="000412D8">
              <w:rPr>
                <w:rFonts w:ascii="Times New Roman" w:eastAsia="Times New Roman" w:hAnsi="Times New Roman" w:cs="Times New Roman"/>
                <w:b/>
                <w:bCs/>
                <w:sz w:val="16"/>
                <w:szCs w:val="16"/>
              </w:rPr>
              <w:t>T. cholesterol in patients with hypercholesterolemia (N=25)</w:t>
            </w:r>
          </w:p>
        </w:tc>
        <w:tc>
          <w:tcPr>
            <w:tcW w:w="1285" w:type="pct"/>
            <w:shd w:val="clear" w:color="auto" w:fill="auto"/>
            <w:vAlign w:val="bottom"/>
          </w:tcPr>
          <w:p w14:paraId="1F387EDD"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1285" w:type="pct"/>
            <w:shd w:val="clear" w:color="auto" w:fill="auto"/>
            <w:vAlign w:val="bottom"/>
          </w:tcPr>
          <w:p w14:paraId="5567B8F4"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755" w:type="pct"/>
            <w:shd w:val="clear" w:color="auto" w:fill="auto"/>
            <w:vAlign w:val="center"/>
          </w:tcPr>
          <w:p w14:paraId="3C8BE98B" w14:textId="77777777" w:rsidR="00B442F4" w:rsidRPr="000412D8" w:rsidRDefault="00B442F4" w:rsidP="001E1AC1">
            <w:pPr>
              <w:spacing w:after="0" w:line="240" w:lineRule="auto"/>
              <w:jc w:val="both"/>
              <w:rPr>
                <w:rFonts w:ascii="Times New Roman" w:eastAsia="Times New Roman" w:hAnsi="Times New Roman" w:cs="Times New Roman"/>
                <w:bCs/>
                <w:sz w:val="16"/>
                <w:szCs w:val="16"/>
              </w:rPr>
            </w:pPr>
          </w:p>
        </w:tc>
      </w:tr>
      <w:tr w:rsidR="00B442F4" w:rsidRPr="000412D8" w14:paraId="7B20AB5F" w14:textId="77777777" w:rsidTr="00962231">
        <w:trPr>
          <w:trHeight w:val="20"/>
          <w:jc w:val="center"/>
        </w:trPr>
        <w:tc>
          <w:tcPr>
            <w:tcW w:w="1675" w:type="pct"/>
            <w:shd w:val="clear" w:color="auto" w:fill="auto"/>
            <w:vAlign w:val="center"/>
          </w:tcPr>
          <w:p w14:paraId="222B5A5D" w14:textId="24BF80E8"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 xml:space="preserve">Min </w:t>
            </w:r>
            <w:r>
              <w:rPr>
                <w:rFonts w:ascii="Times New Roman" w:eastAsia="Times New Roman" w:hAnsi="Times New Roman" w:cs="Times New Roman"/>
                <w:sz w:val="16"/>
                <w:szCs w:val="16"/>
              </w:rPr>
              <w:t>–</w:t>
            </w:r>
            <w:r w:rsidRPr="000412D8">
              <w:rPr>
                <w:rFonts w:ascii="Times New Roman" w:eastAsia="Times New Roman" w:hAnsi="Times New Roman" w:cs="Times New Roman"/>
                <w:sz w:val="16"/>
                <w:szCs w:val="16"/>
              </w:rPr>
              <w:t xml:space="preserve"> Max</w:t>
            </w:r>
          </w:p>
          <w:p w14:paraId="74367015"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Median (IQR)</w:t>
            </w:r>
          </w:p>
        </w:tc>
        <w:tc>
          <w:tcPr>
            <w:tcW w:w="1285" w:type="pct"/>
            <w:shd w:val="clear" w:color="auto" w:fill="auto"/>
            <w:vAlign w:val="bottom"/>
          </w:tcPr>
          <w:p w14:paraId="6776CEB6"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205 – 316</w:t>
            </w:r>
          </w:p>
          <w:p w14:paraId="53E50A56"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224 (212 – 247)</w:t>
            </w:r>
          </w:p>
        </w:tc>
        <w:tc>
          <w:tcPr>
            <w:tcW w:w="1285" w:type="pct"/>
            <w:shd w:val="clear" w:color="auto" w:fill="auto"/>
            <w:vAlign w:val="bottom"/>
          </w:tcPr>
          <w:p w14:paraId="14CA6681"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133 – 259</w:t>
            </w:r>
          </w:p>
          <w:p w14:paraId="33CB0D80"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201 (190 – 222)</w:t>
            </w:r>
          </w:p>
        </w:tc>
        <w:tc>
          <w:tcPr>
            <w:tcW w:w="755" w:type="pct"/>
            <w:shd w:val="clear" w:color="auto" w:fill="auto"/>
            <w:vAlign w:val="center"/>
          </w:tcPr>
          <w:p w14:paraId="793B8315" w14:textId="77777777" w:rsidR="00B442F4" w:rsidRPr="000412D8" w:rsidRDefault="00B442F4" w:rsidP="001E1AC1">
            <w:pPr>
              <w:spacing w:after="0" w:line="240" w:lineRule="auto"/>
              <w:jc w:val="both"/>
              <w:rPr>
                <w:rFonts w:ascii="Times New Roman" w:eastAsia="Times New Roman" w:hAnsi="Times New Roman" w:cs="Times New Roman"/>
                <w:bCs/>
                <w:sz w:val="16"/>
                <w:szCs w:val="16"/>
              </w:rPr>
            </w:pPr>
            <w:r w:rsidRPr="000412D8">
              <w:rPr>
                <w:rFonts w:ascii="Times New Roman" w:eastAsia="Times New Roman" w:hAnsi="Times New Roman" w:cs="Times New Roman"/>
                <w:bCs/>
                <w:sz w:val="16"/>
                <w:szCs w:val="16"/>
              </w:rPr>
              <w:t>0.001 *</w:t>
            </w:r>
          </w:p>
        </w:tc>
      </w:tr>
      <w:tr w:rsidR="00B442F4" w:rsidRPr="000412D8" w14:paraId="33A6023E" w14:textId="77777777" w:rsidTr="00962231">
        <w:trPr>
          <w:trHeight w:val="20"/>
          <w:jc w:val="center"/>
        </w:trPr>
        <w:tc>
          <w:tcPr>
            <w:tcW w:w="1675" w:type="pct"/>
            <w:shd w:val="clear" w:color="auto" w:fill="auto"/>
            <w:vAlign w:val="center"/>
          </w:tcPr>
          <w:p w14:paraId="2F5B4756" w14:textId="77777777" w:rsidR="00B442F4" w:rsidRPr="000412D8" w:rsidRDefault="00B442F4" w:rsidP="001E1AC1">
            <w:pPr>
              <w:spacing w:after="0" w:line="240" w:lineRule="auto"/>
              <w:jc w:val="both"/>
              <w:rPr>
                <w:rFonts w:ascii="Times New Roman" w:eastAsia="Times New Roman" w:hAnsi="Times New Roman" w:cs="Times New Roman"/>
                <w:b/>
                <w:bCs/>
                <w:sz w:val="16"/>
                <w:szCs w:val="16"/>
              </w:rPr>
            </w:pPr>
            <w:r w:rsidRPr="000412D8">
              <w:rPr>
                <w:rFonts w:ascii="Times New Roman" w:eastAsia="Times New Roman" w:hAnsi="Times New Roman" w:cs="Times New Roman"/>
                <w:b/>
                <w:bCs/>
                <w:sz w:val="16"/>
                <w:szCs w:val="16"/>
              </w:rPr>
              <w:t>HDL in patients with decreased HDL</w:t>
            </w:r>
            <w:r w:rsidRPr="000412D8">
              <w:rPr>
                <w:rFonts w:ascii="Times New Roman" w:eastAsia="Times New Roman" w:hAnsi="Times New Roman" w:cs="Times New Roman"/>
                <w:sz w:val="16"/>
                <w:szCs w:val="16"/>
              </w:rPr>
              <w:t xml:space="preserve"> </w:t>
            </w:r>
            <w:r w:rsidRPr="000412D8">
              <w:rPr>
                <w:rFonts w:ascii="Times New Roman" w:eastAsia="Times New Roman" w:hAnsi="Times New Roman" w:cs="Times New Roman"/>
                <w:b/>
                <w:bCs/>
                <w:sz w:val="16"/>
                <w:szCs w:val="16"/>
              </w:rPr>
              <w:t>(N= 21)</w:t>
            </w:r>
          </w:p>
        </w:tc>
        <w:tc>
          <w:tcPr>
            <w:tcW w:w="1285" w:type="pct"/>
            <w:shd w:val="clear" w:color="auto" w:fill="auto"/>
            <w:vAlign w:val="bottom"/>
          </w:tcPr>
          <w:p w14:paraId="5BCC7067"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1285" w:type="pct"/>
            <w:shd w:val="clear" w:color="auto" w:fill="auto"/>
            <w:vAlign w:val="bottom"/>
          </w:tcPr>
          <w:p w14:paraId="4D01082B"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755" w:type="pct"/>
            <w:shd w:val="clear" w:color="auto" w:fill="auto"/>
            <w:vAlign w:val="center"/>
          </w:tcPr>
          <w:p w14:paraId="7E984BEF" w14:textId="77777777" w:rsidR="00B442F4" w:rsidRPr="000412D8" w:rsidRDefault="00B442F4" w:rsidP="001E1AC1">
            <w:pPr>
              <w:spacing w:after="0" w:line="240" w:lineRule="auto"/>
              <w:jc w:val="both"/>
              <w:rPr>
                <w:rFonts w:ascii="Times New Roman" w:eastAsia="Times New Roman" w:hAnsi="Times New Roman" w:cs="Times New Roman"/>
                <w:bCs/>
                <w:sz w:val="16"/>
                <w:szCs w:val="16"/>
              </w:rPr>
            </w:pPr>
          </w:p>
        </w:tc>
      </w:tr>
      <w:tr w:rsidR="00B442F4" w:rsidRPr="000412D8" w14:paraId="69497AC4" w14:textId="77777777" w:rsidTr="00962231">
        <w:trPr>
          <w:trHeight w:val="20"/>
          <w:jc w:val="center"/>
        </w:trPr>
        <w:tc>
          <w:tcPr>
            <w:tcW w:w="1675" w:type="pct"/>
            <w:shd w:val="clear" w:color="auto" w:fill="auto"/>
            <w:vAlign w:val="center"/>
          </w:tcPr>
          <w:p w14:paraId="02B0C617" w14:textId="1CFFA49A"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 xml:space="preserve">Min </w:t>
            </w:r>
            <w:r>
              <w:rPr>
                <w:rFonts w:ascii="Times New Roman" w:eastAsia="Times New Roman" w:hAnsi="Times New Roman" w:cs="Times New Roman"/>
                <w:sz w:val="16"/>
                <w:szCs w:val="16"/>
              </w:rPr>
              <w:t>–</w:t>
            </w:r>
            <w:r w:rsidRPr="000412D8">
              <w:rPr>
                <w:rFonts w:ascii="Times New Roman" w:eastAsia="Times New Roman" w:hAnsi="Times New Roman" w:cs="Times New Roman"/>
                <w:sz w:val="16"/>
                <w:szCs w:val="16"/>
              </w:rPr>
              <w:t xml:space="preserve"> Max</w:t>
            </w:r>
          </w:p>
          <w:p w14:paraId="52AC115C"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Median (IQR)</w:t>
            </w:r>
          </w:p>
        </w:tc>
        <w:tc>
          <w:tcPr>
            <w:tcW w:w="1285" w:type="pct"/>
            <w:shd w:val="clear" w:color="auto" w:fill="auto"/>
            <w:vAlign w:val="bottom"/>
          </w:tcPr>
          <w:p w14:paraId="2E22C852"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24 – 34</w:t>
            </w:r>
          </w:p>
          <w:p w14:paraId="076BD0BA"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32 (28 – 33)</w:t>
            </w:r>
          </w:p>
        </w:tc>
        <w:tc>
          <w:tcPr>
            <w:tcW w:w="1285" w:type="pct"/>
            <w:shd w:val="clear" w:color="auto" w:fill="auto"/>
            <w:vAlign w:val="bottom"/>
          </w:tcPr>
          <w:p w14:paraId="4E33285E"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23 – 43</w:t>
            </w:r>
          </w:p>
          <w:p w14:paraId="1BA06BDA"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33 (32 – 39)</w:t>
            </w:r>
          </w:p>
        </w:tc>
        <w:tc>
          <w:tcPr>
            <w:tcW w:w="755" w:type="pct"/>
            <w:shd w:val="clear" w:color="auto" w:fill="auto"/>
            <w:vAlign w:val="center"/>
          </w:tcPr>
          <w:p w14:paraId="2D9C893B" w14:textId="77777777" w:rsidR="00B442F4" w:rsidRPr="000412D8" w:rsidRDefault="00B442F4" w:rsidP="001E1AC1">
            <w:pPr>
              <w:spacing w:after="0" w:line="240" w:lineRule="auto"/>
              <w:jc w:val="both"/>
              <w:rPr>
                <w:rFonts w:ascii="Times New Roman" w:eastAsia="Times New Roman" w:hAnsi="Times New Roman" w:cs="Times New Roman"/>
                <w:bCs/>
                <w:sz w:val="16"/>
                <w:szCs w:val="16"/>
              </w:rPr>
            </w:pPr>
            <w:r w:rsidRPr="000412D8">
              <w:rPr>
                <w:rFonts w:ascii="Times New Roman" w:eastAsia="Times New Roman" w:hAnsi="Times New Roman" w:cs="Times New Roman"/>
                <w:bCs/>
                <w:sz w:val="16"/>
                <w:szCs w:val="16"/>
              </w:rPr>
              <w:t>0.006 *</w:t>
            </w:r>
          </w:p>
        </w:tc>
      </w:tr>
      <w:tr w:rsidR="00B442F4" w:rsidRPr="000412D8" w14:paraId="37537E5A" w14:textId="77777777" w:rsidTr="00962231">
        <w:trPr>
          <w:trHeight w:val="20"/>
          <w:jc w:val="center"/>
        </w:trPr>
        <w:tc>
          <w:tcPr>
            <w:tcW w:w="1675" w:type="pct"/>
            <w:shd w:val="clear" w:color="auto" w:fill="auto"/>
            <w:vAlign w:val="center"/>
          </w:tcPr>
          <w:p w14:paraId="42F7A558" w14:textId="77777777" w:rsidR="00B442F4" w:rsidRPr="000412D8" w:rsidRDefault="00B442F4" w:rsidP="001E1AC1">
            <w:pPr>
              <w:spacing w:after="0" w:line="240" w:lineRule="auto"/>
              <w:jc w:val="both"/>
              <w:rPr>
                <w:rFonts w:ascii="Times New Roman" w:eastAsia="Times New Roman" w:hAnsi="Times New Roman" w:cs="Times New Roman"/>
                <w:b/>
                <w:bCs/>
                <w:sz w:val="16"/>
                <w:szCs w:val="16"/>
              </w:rPr>
            </w:pPr>
            <w:r w:rsidRPr="000412D8">
              <w:rPr>
                <w:rFonts w:ascii="Times New Roman" w:eastAsia="Times New Roman" w:hAnsi="Times New Roman" w:cs="Times New Roman"/>
                <w:b/>
                <w:bCs/>
                <w:sz w:val="16"/>
                <w:szCs w:val="16"/>
              </w:rPr>
              <w:t>LDL in patients with increased LDL (N= 17)</w:t>
            </w:r>
          </w:p>
        </w:tc>
        <w:tc>
          <w:tcPr>
            <w:tcW w:w="1285" w:type="pct"/>
            <w:shd w:val="clear" w:color="auto" w:fill="auto"/>
            <w:vAlign w:val="bottom"/>
          </w:tcPr>
          <w:p w14:paraId="318EE947"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1285" w:type="pct"/>
            <w:shd w:val="clear" w:color="auto" w:fill="auto"/>
            <w:vAlign w:val="bottom"/>
          </w:tcPr>
          <w:p w14:paraId="52980722"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p>
        </w:tc>
        <w:tc>
          <w:tcPr>
            <w:tcW w:w="755" w:type="pct"/>
            <w:shd w:val="clear" w:color="auto" w:fill="auto"/>
            <w:vAlign w:val="center"/>
          </w:tcPr>
          <w:p w14:paraId="6AC58A32" w14:textId="77777777" w:rsidR="00B442F4" w:rsidRPr="000412D8" w:rsidRDefault="00B442F4" w:rsidP="001E1AC1">
            <w:pPr>
              <w:spacing w:after="0" w:line="240" w:lineRule="auto"/>
              <w:jc w:val="both"/>
              <w:rPr>
                <w:rFonts w:ascii="Times New Roman" w:eastAsia="Times New Roman" w:hAnsi="Times New Roman" w:cs="Times New Roman"/>
                <w:bCs/>
                <w:sz w:val="16"/>
                <w:szCs w:val="16"/>
              </w:rPr>
            </w:pPr>
          </w:p>
        </w:tc>
      </w:tr>
      <w:tr w:rsidR="00B442F4" w:rsidRPr="000412D8" w14:paraId="28F26556" w14:textId="77777777" w:rsidTr="00962231">
        <w:trPr>
          <w:trHeight w:val="20"/>
          <w:jc w:val="center"/>
        </w:trPr>
        <w:tc>
          <w:tcPr>
            <w:tcW w:w="1675" w:type="pct"/>
            <w:shd w:val="clear" w:color="auto" w:fill="auto"/>
            <w:vAlign w:val="center"/>
          </w:tcPr>
          <w:p w14:paraId="1923029D" w14:textId="6669829A"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 xml:space="preserve">Min </w:t>
            </w:r>
            <w:r>
              <w:rPr>
                <w:rFonts w:ascii="Times New Roman" w:eastAsia="Times New Roman" w:hAnsi="Times New Roman" w:cs="Times New Roman"/>
                <w:sz w:val="16"/>
                <w:szCs w:val="16"/>
              </w:rPr>
              <w:t>–</w:t>
            </w:r>
            <w:r w:rsidRPr="000412D8">
              <w:rPr>
                <w:rFonts w:ascii="Times New Roman" w:eastAsia="Times New Roman" w:hAnsi="Times New Roman" w:cs="Times New Roman"/>
                <w:sz w:val="16"/>
                <w:szCs w:val="16"/>
              </w:rPr>
              <w:t xml:space="preserve"> Max</w:t>
            </w:r>
          </w:p>
          <w:p w14:paraId="6F27F230"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Median (IQR)</w:t>
            </w:r>
          </w:p>
        </w:tc>
        <w:tc>
          <w:tcPr>
            <w:tcW w:w="1285" w:type="pct"/>
            <w:shd w:val="clear" w:color="auto" w:fill="auto"/>
            <w:vAlign w:val="bottom"/>
          </w:tcPr>
          <w:p w14:paraId="6A82FB45"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141 – 207</w:t>
            </w:r>
          </w:p>
          <w:p w14:paraId="3DEE6C32"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168 (153 – 193)</w:t>
            </w:r>
          </w:p>
        </w:tc>
        <w:tc>
          <w:tcPr>
            <w:tcW w:w="1285" w:type="pct"/>
            <w:shd w:val="clear" w:color="auto" w:fill="auto"/>
            <w:vAlign w:val="bottom"/>
          </w:tcPr>
          <w:p w14:paraId="7EB983BD"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87 – 171</w:t>
            </w:r>
          </w:p>
          <w:p w14:paraId="2DFFF81A"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136 (118 – 154)</w:t>
            </w:r>
          </w:p>
        </w:tc>
        <w:tc>
          <w:tcPr>
            <w:tcW w:w="755" w:type="pct"/>
            <w:shd w:val="clear" w:color="auto" w:fill="auto"/>
            <w:vAlign w:val="center"/>
          </w:tcPr>
          <w:p w14:paraId="0893CB7E" w14:textId="77777777" w:rsidR="00B442F4" w:rsidRPr="000412D8" w:rsidRDefault="00B442F4" w:rsidP="001E1AC1">
            <w:pPr>
              <w:spacing w:after="0" w:line="240" w:lineRule="auto"/>
              <w:jc w:val="both"/>
              <w:rPr>
                <w:rFonts w:ascii="Times New Roman" w:eastAsia="Times New Roman" w:hAnsi="Times New Roman" w:cs="Times New Roman"/>
                <w:bCs/>
                <w:sz w:val="16"/>
                <w:szCs w:val="16"/>
              </w:rPr>
            </w:pPr>
            <w:r w:rsidRPr="000412D8">
              <w:rPr>
                <w:rFonts w:ascii="Times New Roman" w:eastAsia="Times New Roman" w:hAnsi="Times New Roman" w:cs="Times New Roman"/>
                <w:bCs/>
                <w:sz w:val="16"/>
                <w:szCs w:val="16"/>
              </w:rPr>
              <w:t>0.002 *</w:t>
            </w:r>
          </w:p>
        </w:tc>
      </w:tr>
      <w:tr w:rsidR="00B442F4" w:rsidRPr="000412D8" w14:paraId="1711F54E" w14:textId="77777777" w:rsidTr="00962231">
        <w:trPr>
          <w:trHeight w:val="20"/>
          <w:jc w:val="center"/>
        </w:trPr>
        <w:tc>
          <w:tcPr>
            <w:tcW w:w="1675" w:type="pct"/>
            <w:shd w:val="clear" w:color="auto" w:fill="auto"/>
            <w:vAlign w:val="center"/>
          </w:tcPr>
          <w:p w14:paraId="76264F6F" w14:textId="77777777" w:rsidR="00B442F4" w:rsidRPr="005E06CF" w:rsidRDefault="00B442F4" w:rsidP="001E1AC1">
            <w:pPr>
              <w:spacing w:after="0" w:line="240" w:lineRule="auto"/>
              <w:ind w:left="170"/>
              <w:jc w:val="both"/>
              <w:rPr>
                <w:rFonts w:ascii="Times New Roman" w:eastAsia="Times New Roman" w:hAnsi="Times New Roman" w:cs="Times New Roman"/>
                <w:b/>
                <w:bCs/>
                <w:sz w:val="16"/>
                <w:szCs w:val="16"/>
              </w:rPr>
            </w:pPr>
            <w:r w:rsidRPr="005E06CF">
              <w:rPr>
                <w:rFonts w:ascii="Times New Roman" w:eastAsia="Times New Roman" w:hAnsi="Times New Roman" w:cs="Times New Roman"/>
                <w:b/>
                <w:bCs/>
                <w:sz w:val="16"/>
                <w:szCs w:val="16"/>
              </w:rPr>
              <w:t>TGs in patients with increased TGs (N= 35)</w:t>
            </w:r>
          </w:p>
          <w:p w14:paraId="36C24232"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Min - Max</w:t>
            </w:r>
          </w:p>
          <w:p w14:paraId="55724F28"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Median (IQR)</w:t>
            </w:r>
          </w:p>
        </w:tc>
        <w:tc>
          <w:tcPr>
            <w:tcW w:w="1285" w:type="pct"/>
            <w:shd w:val="clear" w:color="auto" w:fill="auto"/>
            <w:vAlign w:val="bottom"/>
          </w:tcPr>
          <w:p w14:paraId="1D5386F4"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151 – 485</w:t>
            </w:r>
          </w:p>
          <w:p w14:paraId="286CF4D1"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190 (166 – 260)</w:t>
            </w:r>
          </w:p>
        </w:tc>
        <w:tc>
          <w:tcPr>
            <w:tcW w:w="1285" w:type="pct"/>
            <w:shd w:val="clear" w:color="auto" w:fill="auto"/>
            <w:vAlign w:val="bottom"/>
          </w:tcPr>
          <w:p w14:paraId="76F8B5E9"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64 - 423</w:t>
            </w:r>
          </w:p>
          <w:p w14:paraId="3E67B07E"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148 (125 – 188)</w:t>
            </w:r>
          </w:p>
        </w:tc>
        <w:tc>
          <w:tcPr>
            <w:tcW w:w="755" w:type="pct"/>
            <w:shd w:val="clear" w:color="auto" w:fill="auto"/>
            <w:vAlign w:val="center"/>
          </w:tcPr>
          <w:p w14:paraId="08113459" w14:textId="77777777" w:rsidR="00B442F4" w:rsidRPr="000412D8" w:rsidRDefault="00B442F4" w:rsidP="001E1AC1">
            <w:pPr>
              <w:spacing w:after="0" w:line="240" w:lineRule="auto"/>
              <w:jc w:val="both"/>
              <w:rPr>
                <w:rFonts w:ascii="Times New Roman" w:eastAsia="Times New Roman" w:hAnsi="Times New Roman" w:cs="Times New Roman"/>
                <w:bCs/>
                <w:sz w:val="16"/>
                <w:szCs w:val="16"/>
              </w:rPr>
            </w:pPr>
            <w:r w:rsidRPr="000412D8">
              <w:rPr>
                <w:rFonts w:ascii="Times New Roman" w:eastAsia="Times New Roman" w:hAnsi="Times New Roman" w:cs="Times New Roman"/>
                <w:bCs/>
                <w:sz w:val="16"/>
                <w:szCs w:val="16"/>
              </w:rPr>
              <w:t>&lt;0.001 *</w:t>
            </w:r>
          </w:p>
        </w:tc>
      </w:tr>
      <w:tr w:rsidR="00B442F4" w:rsidRPr="000412D8" w14:paraId="7E20A47A" w14:textId="77777777" w:rsidTr="00962231">
        <w:trPr>
          <w:trHeight w:val="20"/>
          <w:jc w:val="center"/>
        </w:trPr>
        <w:tc>
          <w:tcPr>
            <w:tcW w:w="1675" w:type="pct"/>
            <w:shd w:val="clear" w:color="auto" w:fill="auto"/>
            <w:vAlign w:val="center"/>
          </w:tcPr>
          <w:p w14:paraId="4ABCECEB" w14:textId="77777777" w:rsidR="00B442F4" w:rsidRPr="005E06CF" w:rsidRDefault="00B442F4" w:rsidP="001E1AC1">
            <w:pPr>
              <w:spacing w:after="0" w:line="240" w:lineRule="auto"/>
              <w:ind w:left="170"/>
              <w:jc w:val="both"/>
              <w:rPr>
                <w:rFonts w:ascii="Times New Roman" w:eastAsia="Times New Roman" w:hAnsi="Times New Roman" w:cs="Times New Roman"/>
                <w:sz w:val="16"/>
                <w:szCs w:val="16"/>
              </w:rPr>
            </w:pPr>
            <w:r w:rsidRPr="005E06CF">
              <w:rPr>
                <w:rFonts w:ascii="Times New Roman" w:eastAsia="Times New Roman" w:hAnsi="Times New Roman" w:cs="Times New Roman"/>
                <w:sz w:val="16"/>
                <w:szCs w:val="16"/>
              </w:rPr>
              <w:t>ALT in patients with elevated ALT (N=7)</w:t>
            </w:r>
          </w:p>
          <w:p w14:paraId="4CD9DE98" w14:textId="77777777" w:rsidR="00B442F4" w:rsidRPr="005E06CF" w:rsidRDefault="00B442F4" w:rsidP="001E1AC1">
            <w:pPr>
              <w:spacing w:after="0" w:line="240" w:lineRule="auto"/>
              <w:ind w:left="170"/>
              <w:jc w:val="both"/>
              <w:rPr>
                <w:rFonts w:ascii="Times New Roman" w:eastAsia="Times New Roman" w:hAnsi="Times New Roman" w:cs="Times New Roman"/>
                <w:sz w:val="16"/>
                <w:szCs w:val="16"/>
              </w:rPr>
            </w:pPr>
            <w:r w:rsidRPr="005E06CF">
              <w:rPr>
                <w:rFonts w:ascii="Times New Roman" w:eastAsia="Times New Roman" w:hAnsi="Times New Roman" w:cs="Times New Roman"/>
                <w:sz w:val="16"/>
                <w:szCs w:val="16"/>
              </w:rPr>
              <w:t>Min - Max</w:t>
            </w:r>
          </w:p>
          <w:p w14:paraId="5D3D4449" w14:textId="77777777" w:rsidR="00B442F4" w:rsidRPr="005E06CF" w:rsidRDefault="00B442F4" w:rsidP="001E1AC1">
            <w:pPr>
              <w:spacing w:after="0" w:line="240" w:lineRule="auto"/>
              <w:ind w:left="170"/>
              <w:jc w:val="both"/>
              <w:rPr>
                <w:rFonts w:ascii="Times New Roman" w:eastAsia="Times New Roman" w:hAnsi="Times New Roman" w:cs="Times New Roman"/>
                <w:sz w:val="16"/>
                <w:szCs w:val="16"/>
              </w:rPr>
            </w:pPr>
            <w:r w:rsidRPr="005E06CF">
              <w:rPr>
                <w:rFonts w:ascii="Times New Roman" w:eastAsia="Times New Roman" w:hAnsi="Times New Roman" w:cs="Times New Roman"/>
                <w:sz w:val="16"/>
                <w:szCs w:val="16"/>
              </w:rPr>
              <w:t>Median (IQR)</w:t>
            </w:r>
          </w:p>
        </w:tc>
        <w:tc>
          <w:tcPr>
            <w:tcW w:w="1285" w:type="pct"/>
            <w:shd w:val="clear" w:color="auto" w:fill="auto"/>
            <w:vAlign w:val="bottom"/>
          </w:tcPr>
          <w:p w14:paraId="127180E9" w14:textId="77777777" w:rsidR="00B442F4" w:rsidRPr="005E06CF" w:rsidRDefault="00B442F4" w:rsidP="001E1AC1">
            <w:pPr>
              <w:spacing w:after="0" w:line="240" w:lineRule="auto"/>
              <w:jc w:val="both"/>
              <w:rPr>
                <w:rFonts w:ascii="Times New Roman" w:eastAsia="Times New Roman" w:hAnsi="Times New Roman" w:cs="Times New Roman"/>
                <w:b/>
                <w:bCs/>
                <w:sz w:val="16"/>
                <w:szCs w:val="16"/>
              </w:rPr>
            </w:pPr>
            <w:r w:rsidRPr="005E06CF">
              <w:rPr>
                <w:rFonts w:ascii="Times New Roman" w:eastAsia="Times New Roman" w:hAnsi="Times New Roman" w:cs="Times New Roman"/>
                <w:b/>
                <w:bCs/>
                <w:sz w:val="16"/>
                <w:szCs w:val="16"/>
              </w:rPr>
              <w:t>33 – 96</w:t>
            </w:r>
          </w:p>
          <w:p w14:paraId="276B1CB3" w14:textId="77777777" w:rsidR="00B442F4" w:rsidRPr="005E06CF" w:rsidRDefault="00B442F4" w:rsidP="001E1AC1">
            <w:pPr>
              <w:spacing w:after="0" w:line="240" w:lineRule="auto"/>
              <w:jc w:val="both"/>
              <w:rPr>
                <w:rFonts w:ascii="Times New Roman" w:eastAsia="Times New Roman" w:hAnsi="Times New Roman" w:cs="Times New Roman"/>
                <w:b/>
                <w:bCs/>
                <w:sz w:val="16"/>
                <w:szCs w:val="16"/>
              </w:rPr>
            </w:pPr>
            <w:r w:rsidRPr="005E06CF">
              <w:rPr>
                <w:rFonts w:ascii="Times New Roman" w:eastAsia="Times New Roman" w:hAnsi="Times New Roman" w:cs="Times New Roman"/>
                <w:b/>
                <w:bCs/>
                <w:sz w:val="16"/>
                <w:szCs w:val="16"/>
              </w:rPr>
              <w:t>50 (39 – 61)</w:t>
            </w:r>
          </w:p>
        </w:tc>
        <w:tc>
          <w:tcPr>
            <w:tcW w:w="1285" w:type="pct"/>
            <w:shd w:val="clear" w:color="auto" w:fill="auto"/>
            <w:vAlign w:val="bottom"/>
          </w:tcPr>
          <w:p w14:paraId="5338BF64"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11 – 82</w:t>
            </w:r>
          </w:p>
          <w:p w14:paraId="43133A4B"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41 (21 – 56)</w:t>
            </w:r>
          </w:p>
        </w:tc>
        <w:tc>
          <w:tcPr>
            <w:tcW w:w="755" w:type="pct"/>
            <w:shd w:val="clear" w:color="auto" w:fill="auto"/>
            <w:vAlign w:val="center"/>
          </w:tcPr>
          <w:p w14:paraId="255662FF"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b/>
                <w:sz w:val="16"/>
                <w:szCs w:val="16"/>
              </w:rPr>
              <w:t>0.017 *</w:t>
            </w:r>
          </w:p>
        </w:tc>
      </w:tr>
      <w:tr w:rsidR="00B442F4" w:rsidRPr="000412D8" w14:paraId="78F8FFFA" w14:textId="77777777" w:rsidTr="00962231">
        <w:trPr>
          <w:trHeight w:val="20"/>
          <w:jc w:val="center"/>
        </w:trPr>
        <w:tc>
          <w:tcPr>
            <w:tcW w:w="1675" w:type="pct"/>
            <w:shd w:val="clear" w:color="auto" w:fill="auto"/>
            <w:vAlign w:val="center"/>
          </w:tcPr>
          <w:p w14:paraId="4552E657" w14:textId="77777777" w:rsidR="00B442F4" w:rsidRPr="005E06CF" w:rsidRDefault="00B442F4" w:rsidP="001E1AC1">
            <w:pPr>
              <w:spacing w:after="0" w:line="240" w:lineRule="auto"/>
              <w:ind w:left="170"/>
              <w:jc w:val="both"/>
              <w:rPr>
                <w:rFonts w:ascii="Times New Roman" w:eastAsia="Times New Roman" w:hAnsi="Times New Roman" w:cs="Times New Roman"/>
                <w:b/>
                <w:bCs/>
                <w:sz w:val="16"/>
                <w:szCs w:val="16"/>
              </w:rPr>
            </w:pPr>
            <w:r w:rsidRPr="005E06CF">
              <w:rPr>
                <w:rFonts w:ascii="Times New Roman" w:eastAsia="Times New Roman" w:hAnsi="Times New Roman" w:cs="Times New Roman"/>
                <w:b/>
                <w:bCs/>
                <w:sz w:val="16"/>
                <w:szCs w:val="16"/>
              </w:rPr>
              <w:t>T. bilirubin in patients with hyperbilirubinemia (N=6)</w:t>
            </w:r>
          </w:p>
          <w:p w14:paraId="185B6190"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Min - Max</w:t>
            </w:r>
          </w:p>
          <w:p w14:paraId="04BA8F82"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Median (IQR)</w:t>
            </w:r>
          </w:p>
        </w:tc>
        <w:tc>
          <w:tcPr>
            <w:tcW w:w="1285" w:type="pct"/>
            <w:shd w:val="clear" w:color="auto" w:fill="auto"/>
            <w:vAlign w:val="bottom"/>
          </w:tcPr>
          <w:p w14:paraId="04201891"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1.09 – 2.7</w:t>
            </w:r>
          </w:p>
          <w:p w14:paraId="5E5B17D7"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1.67 (1.12 – 2.1)</w:t>
            </w:r>
          </w:p>
        </w:tc>
        <w:tc>
          <w:tcPr>
            <w:tcW w:w="1285" w:type="pct"/>
            <w:shd w:val="clear" w:color="auto" w:fill="auto"/>
            <w:vAlign w:val="bottom"/>
          </w:tcPr>
          <w:p w14:paraId="67AE708A"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0.85 – 2.1</w:t>
            </w:r>
          </w:p>
          <w:p w14:paraId="2A204B61"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1.94 (1.07 – 2.1)</w:t>
            </w:r>
          </w:p>
        </w:tc>
        <w:tc>
          <w:tcPr>
            <w:tcW w:w="755" w:type="pct"/>
            <w:shd w:val="clear" w:color="auto" w:fill="auto"/>
            <w:vAlign w:val="center"/>
          </w:tcPr>
          <w:p w14:paraId="6377760F" w14:textId="77777777" w:rsidR="00B442F4" w:rsidRPr="000412D8" w:rsidRDefault="00B442F4" w:rsidP="001E1AC1">
            <w:pPr>
              <w:spacing w:after="0" w:line="240" w:lineRule="auto"/>
              <w:jc w:val="both"/>
              <w:rPr>
                <w:rFonts w:ascii="Times New Roman" w:eastAsia="Times New Roman" w:hAnsi="Times New Roman" w:cs="Times New Roman"/>
                <w:b/>
                <w:sz w:val="16"/>
                <w:szCs w:val="16"/>
              </w:rPr>
            </w:pPr>
            <w:r w:rsidRPr="000412D8">
              <w:rPr>
                <w:rFonts w:ascii="Times New Roman" w:eastAsia="Times New Roman" w:hAnsi="Times New Roman" w:cs="Times New Roman"/>
                <w:b/>
                <w:sz w:val="16"/>
                <w:szCs w:val="16"/>
              </w:rPr>
              <w:t xml:space="preserve">0.92 </w:t>
            </w:r>
          </w:p>
        </w:tc>
      </w:tr>
      <w:tr w:rsidR="00B442F4" w:rsidRPr="000412D8" w14:paraId="2B02A0F5" w14:textId="77777777" w:rsidTr="00962231">
        <w:trPr>
          <w:trHeight w:val="20"/>
          <w:jc w:val="center"/>
        </w:trPr>
        <w:tc>
          <w:tcPr>
            <w:tcW w:w="1675" w:type="pct"/>
            <w:shd w:val="clear" w:color="auto" w:fill="auto"/>
            <w:vAlign w:val="center"/>
          </w:tcPr>
          <w:p w14:paraId="0381148F" w14:textId="77777777" w:rsidR="00B442F4" w:rsidRPr="005E06CF" w:rsidRDefault="00B442F4" w:rsidP="001E1AC1">
            <w:pPr>
              <w:spacing w:after="0" w:line="240" w:lineRule="auto"/>
              <w:ind w:left="170"/>
              <w:jc w:val="both"/>
              <w:rPr>
                <w:rFonts w:ascii="Times New Roman" w:eastAsia="Times New Roman" w:hAnsi="Times New Roman" w:cs="Times New Roman"/>
                <w:b/>
                <w:bCs/>
                <w:sz w:val="16"/>
                <w:szCs w:val="16"/>
              </w:rPr>
            </w:pPr>
            <w:r w:rsidRPr="005E06CF">
              <w:rPr>
                <w:rFonts w:ascii="Times New Roman" w:eastAsia="Times New Roman" w:hAnsi="Times New Roman" w:cs="Times New Roman"/>
                <w:b/>
                <w:bCs/>
                <w:sz w:val="16"/>
                <w:szCs w:val="16"/>
              </w:rPr>
              <w:t>D. bilirubin in patients with D. hyperbilirubinemia</w:t>
            </w:r>
          </w:p>
          <w:p w14:paraId="09FE5372"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(N= 20)</w:t>
            </w:r>
          </w:p>
          <w:p w14:paraId="7CD3F74E"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Min - Max</w:t>
            </w:r>
          </w:p>
          <w:p w14:paraId="6AC362B2" w14:textId="77777777" w:rsidR="00B442F4" w:rsidRPr="000412D8" w:rsidRDefault="00B442F4" w:rsidP="001E1AC1">
            <w:pPr>
              <w:spacing w:after="0" w:line="240" w:lineRule="auto"/>
              <w:ind w:left="170"/>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Median (IQR)</w:t>
            </w:r>
          </w:p>
        </w:tc>
        <w:tc>
          <w:tcPr>
            <w:tcW w:w="1285" w:type="pct"/>
            <w:shd w:val="clear" w:color="auto" w:fill="auto"/>
            <w:vAlign w:val="bottom"/>
          </w:tcPr>
          <w:p w14:paraId="64AE2E23"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0.26 – 0.7</w:t>
            </w:r>
          </w:p>
          <w:p w14:paraId="092CEF00"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0.35 (0.29 – 0.48)</w:t>
            </w:r>
          </w:p>
        </w:tc>
        <w:tc>
          <w:tcPr>
            <w:tcW w:w="1285" w:type="pct"/>
            <w:shd w:val="clear" w:color="auto" w:fill="auto"/>
            <w:vAlign w:val="bottom"/>
          </w:tcPr>
          <w:p w14:paraId="1BD99743"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0.11 – 0.8</w:t>
            </w:r>
          </w:p>
          <w:p w14:paraId="058CAB07" w14:textId="77777777" w:rsidR="00B442F4" w:rsidRPr="000412D8" w:rsidRDefault="00B442F4" w:rsidP="001E1AC1">
            <w:pPr>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sz w:val="16"/>
                <w:szCs w:val="16"/>
              </w:rPr>
              <w:t>0.28 (0.2 – 0.36)</w:t>
            </w:r>
          </w:p>
        </w:tc>
        <w:tc>
          <w:tcPr>
            <w:tcW w:w="755" w:type="pct"/>
            <w:shd w:val="clear" w:color="auto" w:fill="auto"/>
            <w:vAlign w:val="center"/>
          </w:tcPr>
          <w:p w14:paraId="43D05967" w14:textId="77777777" w:rsidR="00B442F4" w:rsidRPr="000412D8" w:rsidRDefault="00B442F4" w:rsidP="00962231">
            <w:pPr>
              <w:keepNext/>
              <w:spacing w:after="0" w:line="240" w:lineRule="auto"/>
              <w:jc w:val="both"/>
              <w:rPr>
                <w:rFonts w:ascii="Times New Roman" w:eastAsia="Times New Roman" w:hAnsi="Times New Roman" w:cs="Times New Roman"/>
                <w:sz w:val="16"/>
                <w:szCs w:val="16"/>
              </w:rPr>
            </w:pPr>
            <w:r w:rsidRPr="000412D8">
              <w:rPr>
                <w:rFonts w:ascii="Times New Roman" w:eastAsia="Times New Roman" w:hAnsi="Times New Roman" w:cs="Times New Roman"/>
                <w:b/>
                <w:sz w:val="16"/>
                <w:szCs w:val="16"/>
              </w:rPr>
              <w:t>0.025 *</w:t>
            </w:r>
          </w:p>
        </w:tc>
      </w:tr>
    </w:tbl>
    <w:p w14:paraId="3CE3D1EE" w14:textId="0AF96397" w:rsidR="00A96E04" w:rsidRDefault="00A96E04" w:rsidP="00A96E04">
      <w:pPr>
        <w:spacing w:before="120" w:after="0" w:line="480" w:lineRule="auto"/>
        <w:jc w:val="both"/>
        <w:rPr>
          <w:bCs/>
          <w:i/>
          <w:iCs/>
          <w:color w:val="44546A"/>
          <w:sz w:val="18"/>
          <w:szCs w:val="18"/>
        </w:rPr>
      </w:pPr>
      <w:bookmarkStart w:id="7" w:name="_Hlk190692111"/>
      <w:r w:rsidRPr="00A96E04">
        <w:rPr>
          <w:bCs/>
          <w:i/>
          <w:iCs/>
          <w:color w:val="44546A"/>
          <w:sz w:val="18"/>
          <w:szCs w:val="18"/>
        </w:rPr>
        <w:t>*: Statistically significant at p &lt; 0.05. Group A: before treatment. Group B: after treatment</w:t>
      </w:r>
      <w:bookmarkEnd w:id="7"/>
      <w:r>
        <w:rPr>
          <w:bCs/>
          <w:i/>
          <w:iCs/>
          <w:color w:val="44546A"/>
          <w:sz w:val="18"/>
          <w:szCs w:val="18"/>
        </w:rPr>
        <w:t>.</w:t>
      </w:r>
    </w:p>
    <w:p w14:paraId="6F7318EF" w14:textId="391CAD5C" w:rsidR="006A715A" w:rsidRDefault="00777BF7" w:rsidP="00A96E04">
      <w:pPr>
        <w:spacing w:before="120" w:after="0" w:line="480" w:lineRule="auto"/>
        <w:jc w:val="both"/>
      </w:pPr>
      <w:r>
        <w:rPr>
          <w:rFonts w:ascii="Times New Roman" w:eastAsia="Times New Roman" w:hAnsi="Times New Roman" w:cs="Times New Roman"/>
          <w:b/>
          <w:bCs/>
          <w:sz w:val="24"/>
          <w:szCs w:val="24"/>
        </w:rPr>
        <w:t>6</w:t>
      </w:r>
      <w:r w:rsidR="00B3190E">
        <w:rPr>
          <w:rFonts w:ascii="Times New Roman" w:eastAsia="Times New Roman" w:hAnsi="Times New Roman" w:cs="Times New Roman"/>
          <w:b/>
          <w:bCs/>
          <w:sz w:val="24"/>
          <w:szCs w:val="24"/>
        </w:rPr>
        <w:t xml:space="preserve">. </w:t>
      </w:r>
      <w:r w:rsidR="00B3190E" w:rsidRPr="000412D8">
        <w:rPr>
          <w:rFonts w:ascii="Times New Roman" w:eastAsia="Times New Roman" w:hAnsi="Times New Roman" w:cs="Times New Roman"/>
          <w:b/>
          <w:bCs/>
          <w:sz w:val="24"/>
          <w:szCs w:val="24"/>
        </w:rPr>
        <w:t xml:space="preserve">Correlation study between </w:t>
      </w:r>
      <w:r w:rsidR="00B3190E" w:rsidRPr="00A206D7">
        <w:rPr>
          <w:rFonts w:ascii="Times New Roman" w:eastAsia="Times New Roman" w:hAnsi="Times New Roman" w:cs="Times New Roman"/>
          <w:b/>
          <w:bCs/>
          <w:i/>
          <w:iCs/>
          <w:sz w:val="24"/>
          <w:szCs w:val="24"/>
        </w:rPr>
        <w:t>H. Pyl</w:t>
      </w:r>
      <w:r w:rsidR="00875389" w:rsidRPr="00A206D7">
        <w:rPr>
          <w:rFonts w:ascii="Times New Roman" w:eastAsia="Times New Roman" w:hAnsi="Times New Roman" w:cs="Times New Roman"/>
          <w:b/>
          <w:bCs/>
          <w:i/>
          <w:iCs/>
          <w:sz w:val="24"/>
          <w:szCs w:val="24"/>
        </w:rPr>
        <w:t>ori</w:t>
      </w:r>
      <w:r w:rsidR="00875389">
        <w:rPr>
          <w:rFonts w:ascii="Times New Roman" w:eastAsia="Times New Roman" w:hAnsi="Times New Roman" w:cs="Times New Roman"/>
          <w:b/>
          <w:bCs/>
          <w:sz w:val="24"/>
          <w:szCs w:val="24"/>
        </w:rPr>
        <w:t xml:space="preserve"> fecal Ag and CBC in group B:</w:t>
      </w:r>
      <w:r w:rsidR="0061343F">
        <w:rPr>
          <w:rFonts w:asciiTheme="majorBidi" w:eastAsia="Times New Roman" w:hAnsiTheme="majorBidi" w:cstheme="majorBidi"/>
          <w:sz w:val="24"/>
          <w:szCs w:val="24"/>
        </w:rPr>
        <w:br/>
        <w:t xml:space="preserve"> </w:t>
      </w:r>
      <w:r w:rsidR="0061343F">
        <w:rPr>
          <w:rFonts w:asciiTheme="majorBidi" w:eastAsia="Times New Roman" w:hAnsiTheme="majorBidi" w:cstheme="majorBidi"/>
          <w:sz w:val="24"/>
          <w:szCs w:val="24"/>
        </w:rPr>
        <w:tab/>
      </w:r>
      <w:r w:rsidR="005E06CF" w:rsidRPr="005E06CF">
        <w:rPr>
          <w:rFonts w:asciiTheme="majorBidi" w:eastAsia="Times New Roman" w:hAnsiTheme="majorBidi" w:cstheme="majorBidi"/>
          <w:sz w:val="24"/>
          <w:szCs w:val="24"/>
        </w:rPr>
        <w:t xml:space="preserve">No statistically significant correlation between </w:t>
      </w:r>
      <w:r w:rsidR="005E06CF" w:rsidRPr="00A206D7">
        <w:rPr>
          <w:rFonts w:asciiTheme="majorBidi" w:eastAsia="Times New Roman" w:hAnsiTheme="majorBidi" w:cstheme="majorBidi"/>
          <w:i/>
          <w:iCs/>
          <w:sz w:val="24"/>
          <w:szCs w:val="24"/>
        </w:rPr>
        <w:t>H. pylori</w:t>
      </w:r>
      <w:r w:rsidR="005E06CF" w:rsidRPr="005E06CF">
        <w:rPr>
          <w:rFonts w:asciiTheme="majorBidi" w:eastAsia="Times New Roman" w:hAnsiTheme="majorBidi" w:cstheme="majorBidi"/>
          <w:sz w:val="24"/>
          <w:szCs w:val="24"/>
        </w:rPr>
        <w:t xml:space="preserve"> fecal Ag and CBC</w:t>
      </w:r>
      <w:r w:rsidR="00151FFA">
        <w:rPr>
          <w:rFonts w:asciiTheme="majorBidi" w:eastAsia="Times New Roman" w:hAnsiTheme="majorBidi" w:cstheme="majorBidi"/>
          <w:sz w:val="24"/>
          <w:szCs w:val="24"/>
        </w:rPr>
        <w:t>,</w:t>
      </w:r>
      <w:r w:rsidR="005E06CF" w:rsidRPr="005E06CF">
        <w:rPr>
          <w:rFonts w:asciiTheme="majorBidi" w:eastAsia="Times New Roman" w:hAnsiTheme="majorBidi" w:cstheme="majorBidi"/>
          <w:sz w:val="24"/>
          <w:szCs w:val="24"/>
        </w:rPr>
        <w:t xml:space="preserve"> </w:t>
      </w:r>
      <w:r w:rsidR="00151FFA" w:rsidRPr="00151FFA">
        <w:rPr>
          <w:rFonts w:asciiTheme="majorBidi" w:eastAsia="Times New Roman" w:hAnsiTheme="majorBidi" w:cstheme="majorBidi"/>
          <w:sz w:val="24"/>
          <w:szCs w:val="24"/>
        </w:rPr>
        <w:t>iron profile</w:t>
      </w:r>
      <w:r w:rsidR="00151FFA">
        <w:rPr>
          <w:rFonts w:asciiTheme="majorBidi" w:eastAsia="Times New Roman" w:hAnsiTheme="majorBidi" w:cstheme="majorBidi"/>
          <w:sz w:val="24"/>
          <w:szCs w:val="24"/>
        </w:rPr>
        <w:t>,</w:t>
      </w:r>
      <w:r w:rsidR="00D804E0">
        <w:rPr>
          <w:rFonts w:asciiTheme="majorBidi" w:eastAsia="Times New Roman" w:hAnsiTheme="majorBidi" w:cstheme="majorBidi"/>
          <w:sz w:val="24"/>
          <w:szCs w:val="24"/>
        </w:rPr>
        <w:t xml:space="preserve"> </w:t>
      </w:r>
      <w:r w:rsidR="00151FFA" w:rsidRPr="00151FFA">
        <w:rPr>
          <w:rFonts w:asciiTheme="majorBidi" w:eastAsia="Times New Roman" w:hAnsiTheme="majorBidi" w:cstheme="majorBidi"/>
          <w:sz w:val="24"/>
          <w:szCs w:val="24"/>
        </w:rPr>
        <w:t>lipids profile</w:t>
      </w:r>
      <w:r w:rsidR="00151FFA">
        <w:rPr>
          <w:rFonts w:asciiTheme="majorBidi" w:eastAsia="Times New Roman" w:hAnsiTheme="majorBidi" w:cstheme="majorBidi"/>
          <w:sz w:val="24"/>
          <w:szCs w:val="24"/>
        </w:rPr>
        <w:t xml:space="preserve"> (except HDL),</w:t>
      </w:r>
      <w:r w:rsidR="00CA7D45">
        <w:rPr>
          <w:rFonts w:asciiTheme="majorBidi" w:eastAsia="Times New Roman" w:hAnsiTheme="majorBidi" w:cstheme="majorBidi"/>
          <w:sz w:val="24"/>
          <w:szCs w:val="24"/>
        </w:rPr>
        <w:t xml:space="preserve"> </w:t>
      </w:r>
      <w:r w:rsidR="00151FFA">
        <w:rPr>
          <w:rFonts w:asciiTheme="majorBidi" w:eastAsia="Times New Roman" w:hAnsiTheme="majorBidi" w:cstheme="majorBidi"/>
          <w:sz w:val="24"/>
          <w:szCs w:val="24"/>
        </w:rPr>
        <w:t>ALT,</w:t>
      </w:r>
      <w:r w:rsidR="00CA7D45">
        <w:rPr>
          <w:rFonts w:asciiTheme="majorBidi" w:eastAsia="Times New Roman" w:hAnsiTheme="majorBidi" w:cstheme="majorBidi"/>
          <w:sz w:val="24"/>
          <w:szCs w:val="24"/>
        </w:rPr>
        <w:t xml:space="preserve"> </w:t>
      </w:r>
      <w:r w:rsidR="00151FFA">
        <w:rPr>
          <w:rFonts w:asciiTheme="majorBidi" w:eastAsia="Times New Roman" w:hAnsiTheme="majorBidi" w:cstheme="majorBidi"/>
          <w:sz w:val="24"/>
          <w:szCs w:val="24"/>
        </w:rPr>
        <w:t>AST,</w:t>
      </w:r>
      <w:r w:rsidR="00CA7D45">
        <w:rPr>
          <w:rFonts w:asciiTheme="majorBidi" w:eastAsia="Times New Roman" w:hAnsiTheme="majorBidi" w:cstheme="majorBidi"/>
          <w:sz w:val="24"/>
          <w:szCs w:val="24"/>
        </w:rPr>
        <w:t xml:space="preserve"> </w:t>
      </w:r>
      <w:r w:rsidR="00151FFA">
        <w:rPr>
          <w:rFonts w:asciiTheme="majorBidi" w:eastAsia="Times New Roman" w:hAnsiTheme="majorBidi" w:cstheme="majorBidi"/>
          <w:sz w:val="24"/>
          <w:szCs w:val="24"/>
        </w:rPr>
        <w:t>total and direct bilirubin</w:t>
      </w:r>
      <w:r w:rsidR="00151FFA" w:rsidRPr="00151FFA">
        <w:rPr>
          <w:rFonts w:asciiTheme="majorBidi" w:eastAsia="Times New Roman" w:hAnsiTheme="majorBidi" w:cstheme="majorBidi"/>
          <w:sz w:val="24"/>
          <w:szCs w:val="24"/>
        </w:rPr>
        <w:t xml:space="preserve"> in group B (P&gt; 0.05) </w:t>
      </w:r>
      <w:r w:rsidR="00702BF9" w:rsidRPr="00702BF9">
        <w:rPr>
          <w:rFonts w:asciiTheme="majorBidi" w:eastAsia="Times New Roman" w:hAnsiTheme="majorBidi" w:cstheme="majorBidi"/>
          <w:sz w:val="24"/>
          <w:szCs w:val="24"/>
        </w:rPr>
        <w:t xml:space="preserve">(Table </w:t>
      </w:r>
      <w:r w:rsidR="00B60FF1">
        <w:rPr>
          <w:rFonts w:asciiTheme="majorBidi" w:eastAsia="Times New Roman" w:hAnsiTheme="majorBidi" w:cstheme="majorBidi"/>
          <w:sz w:val="24"/>
          <w:szCs w:val="24"/>
        </w:rPr>
        <w:t>6</w:t>
      </w:r>
      <w:r w:rsidR="00702BF9" w:rsidRPr="00702BF9">
        <w:rPr>
          <w:rFonts w:asciiTheme="majorBidi" w:eastAsia="Times New Roman" w:hAnsiTheme="majorBidi" w:cstheme="majorBidi"/>
          <w:sz w:val="24"/>
          <w:szCs w:val="24"/>
        </w:rPr>
        <w:t>)</w:t>
      </w:r>
      <w:r w:rsidR="0061343F">
        <w:rPr>
          <w:rFonts w:asciiTheme="majorBidi" w:eastAsia="Times New Roman" w:hAnsiTheme="majorBidi" w:cstheme="majorBidi"/>
          <w:sz w:val="24"/>
          <w:szCs w:val="24"/>
        </w:rPr>
        <w:t>,</w:t>
      </w:r>
      <w:r w:rsidR="00CA7D45">
        <w:rPr>
          <w:rFonts w:asciiTheme="majorBidi" w:eastAsia="Times New Roman" w:hAnsiTheme="majorBidi" w:cstheme="majorBidi"/>
          <w:sz w:val="24"/>
          <w:szCs w:val="24"/>
        </w:rPr>
        <w:t xml:space="preserve"> </w:t>
      </w:r>
      <w:r w:rsidR="0061343F">
        <w:rPr>
          <w:rFonts w:asciiTheme="majorBidi" w:eastAsia="Times New Roman" w:hAnsiTheme="majorBidi" w:cstheme="majorBidi"/>
          <w:sz w:val="24"/>
          <w:szCs w:val="24"/>
        </w:rPr>
        <w:t xml:space="preserve">meanwhile </w:t>
      </w:r>
      <w:r w:rsidR="00702BF9" w:rsidRPr="00702BF9">
        <w:rPr>
          <w:rFonts w:asciiTheme="majorBidi" w:eastAsia="Times New Roman" w:hAnsiTheme="majorBidi" w:cstheme="majorBidi"/>
          <w:sz w:val="24"/>
          <w:szCs w:val="24"/>
        </w:rPr>
        <w:t xml:space="preserve">A statistically significant positive correlation (r= 0.579) between </w:t>
      </w:r>
      <w:r w:rsidR="00702BF9" w:rsidRPr="00A206D7">
        <w:rPr>
          <w:rFonts w:asciiTheme="majorBidi" w:eastAsia="Times New Roman" w:hAnsiTheme="majorBidi" w:cstheme="majorBidi"/>
          <w:i/>
          <w:iCs/>
          <w:sz w:val="24"/>
          <w:szCs w:val="24"/>
        </w:rPr>
        <w:t>H. pylori</w:t>
      </w:r>
      <w:r w:rsidR="00702BF9" w:rsidRPr="00702BF9">
        <w:rPr>
          <w:rFonts w:asciiTheme="majorBidi" w:eastAsia="Times New Roman" w:hAnsiTheme="majorBidi" w:cstheme="majorBidi"/>
          <w:sz w:val="24"/>
          <w:szCs w:val="24"/>
        </w:rPr>
        <w:t xml:space="preserve"> fecal Ag &amp; HDL in group B</w:t>
      </w:r>
      <w:r w:rsidR="002A4E44">
        <w:rPr>
          <w:rFonts w:asciiTheme="majorBidi" w:eastAsia="Times New Roman" w:hAnsiTheme="majorBidi" w:cstheme="majorBidi"/>
          <w:sz w:val="24"/>
          <w:szCs w:val="24"/>
        </w:rPr>
        <w:t>,</w:t>
      </w:r>
      <w:r w:rsidR="00702BF9" w:rsidRPr="00702BF9">
        <w:rPr>
          <w:rFonts w:asciiTheme="majorBidi" w:eastAsia="Times New Roman" w:hAnsiTheme="majorBidi" w:cstheme="majorBidi"/>
          <w:sz w:val="24"/>
          <w:szCs w:val="24"/>
        </w:rPr>
        <w:t xml:space="preserve"> </w:t>
      </w:r>
      <w:r w:rsidR="002A4E44" w:rsidRPr="002A4E44">
        <w:rPr>
          <w:rFonts w:asciiTheme="majorBidi" w:eastAsia="Times New Roman" w:hAnsiTheme="majorBidi" w:cstheme="majorBidi"/>
          <w:sz w:val="24"/>
          <w:szCs w:val="24"/>
        </w:rPr>
        <w:t xml:space="preserve">a detrimental association was observed between H. pylori fecal antigen and high-density lipoprotein (HDL) levels in individuals with reduced HDL. </w:t>
      </w:r>
      <w:r w:rsidR="00702BF9" w:rsidRPr="00702BF9">
        <w:rPr>
          <w:rFonts w:asciiTheme="majorBidi" w:eastAsia="Times New Roman" w:hAnsiTheme="majorBidi" w:cstheme="majorBidi"/>
          <w:sz w:val="24"/>
          <w:szCs w:val="24"/>
        </w:rPr>
        <w:t>(P= 0.011)</w:t>
      </w:r>
      <w:r w:rsidR="0061343F" w:rsidRPr="0061343F">
        <w:t xml:space="preserve"> </w:t>
      </w:r>
      <w:r w:rsidR="0061343F" w:rsidRPr="0061343F">
        <w:rPr>
          <w:rFonts w:asciiTheme="majorBidi" w:eastAsia="Times New Roman" w:hAnsiTheme="majorBidi" w:cstheme="majorBidi"/>
          <w:sz w:val="24"/>
          <w:szCs w:val="24"/>
        </w:rPr>
        <w:t>(Tab 6)</w:t>
      </w:r>
      <w:r w:rsidR="00702BF9" w:rsidRPr="00702BF9">
        <w:rPr>
          <w:rFonts w:asciiTheme="majorBidi" w:eastAsia="Times New Roman" w:hAnsiTheme="majorBidi" w:cstheme="majorBidi"/>
          <w:sz w:val="24"/>
          <w:szCs w:val="24"/>
        </w:rPr>
        <w:t xml:space="preserve"> (Fig </w:t>
      </w:r>
      <w:r w:rsidR="00151FFA">
        <w:rPr>
          <w:rFonts w:asciiTheme="majorBidi" w:eastAsia="Times New Roman" w:hAnsiTheme="majorBidi" w:cstheme="majorBidi"/>
          <w:sz w:val="24"/>
          <w:szCs w:val="24"/>
        </w:rPr>
        <w:t>1</w:t>
      </w:r>
      <w:r w:rsidR="00702BF9" w:rsidRPr="00702BF9">
        <w:rPr>
          <w:rFonts w:asciiTheme="majorBidi" w:eastAsia="Times New Roman" w:hAnsiTheme="majorBidi" w:cstheme="majorBidi"/>
          <w:sz w:val="24"/>
          <w:szCs w:val="24"/>
        </w:rPr>
        <w:t>)</w:t>
      </w:r>
      <w:r w:rsidR="007B7280">
        <w:t>.</w:t>
      </w:r>
    </w:p>
    <w:p w14:paraId="401DAFE3" w14:textId="5C12F24B" w:rsidR="00A96E04" w:rsidRDefault="00A96E04" w:rsidP="00A96E04">
      <w:pPr>
        <w:pStyle w:val="Caption"/>
        <w:keepNext/>
      </w:pPr>
      <w:bookmarkStart w:id="8" w:name="_Hlk190692355"/>
      <w:r>
        <w:t xml:space="preserve">Tab </w:t>
      </w:r>
      <w:fldSimple w:instr=" SEQ Table \* ARABIC ">
        <w:r w:rsidR="00B97D4E">
          <w:rPr>
            <w:noProof/>
          </w:rPr>
          <w:t>6</w:t>
        </w:r>
      </w:fldSimple>
      <w:r>
        <w:t>. In group B, a correlation study was conducted between H. Pylori fecal Ag and CBC, iron profile, lipids profile, ALT, AST, and total and direct bilirubin.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 6. In group B, a correlation study was conducted between H. Pylori fecal Ag and CBC, iron profile, lipids profile, ALT, AST, and total and direct bilirubin."/>
        <w:tblDescription w:val="r: Pearson correlation coefficient. *: Statistically significant at p &lt; 0.05. Group B: after treatment."/>
      </w:tblPr>
      <w:tblGrid>
        <w:gridCol w:w="2287"/>
        <w:gridCol w:w="2264"/>
        <w:gridCol w:w="2270"/>
        <w:gridCol w:w="2250"/>
      </w:tblGrid>
      <w:tr w:rsidR="00C85F85" w:rsidRPr="00D804E0" w14:paraId="7757AEB2" w14:textId="77777777" w:rsidTr="00321C7D">
        <w:tc>
          <w:tcPr>
            <w:tcW w:w="1261" w:type="pct"/>
            <w:tcBorders>
              <w:top w:val="single" w:sz="4" w:space="0" w:color="auto"/>
              <w:bottom w:val="single" w:sz="4" w:space="0" w:color="auto"/>
            </w:tcBorders>
          </w:tcPr>
          <w:bookmarkEnd w:id="8"/>
          <w:p w14:paraId="16717BB3"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Group B</w:t>
            </w:r>
          </w:p>
        </w:tc>
        <w:tc>
          <w:tcPr>
            <w:tcW w:w="1248" w:type="pct"/>
            <w:tcBorders>
              <w:top w:val="single" w:sz="4" w:space="0" w:color="auto"/>
              <w:bottom w:val="single" w:sz="4" w:space="0" w:color="auto"/>
            </w:tcBorders>
          </w:tcPr>
          <w:p w14:paraId="1AA32F70"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r</w:t>
            </w:r>
          </w:p>
        </w:tc>
        <w:tc>
          <w:tcPr>
            <w:tcW w:w="1251" w:type="pct"/>
            <w:tcBorders>
              <w:top w:val="single" w:sz="4" w:space="0" w:color="auto"/>
              <w:bottom w:val="single" w:sz="4" w:space="0" w:color="auto"/>
            </w:tcBorders>
          </w:tcPr>
          <w:p w14:paraId="015F9204"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P-Value</w:t>
            </w:r>
          </w:p>
        </w:tc>
        <w:tc>
          <w:tcPr>
            <w:tcW w:w="1240" w:type="pct"/>
            <w:tcBorders>
              <w:top w:val="single" w:sz="4" w:space="0" w:color="auto"/>
              <w:bottom w:val="single" w:sz="4" w:space="0" w:color="auto"/>
            </w:tcBorders>
          </w:tcPr>
          <w:p w14:paraId="4A714B04"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N</w:t>
            </w:r>
          </w:p>
        </w:tc>
      </w:tr>
      <w:tr w:rsidR="00C85F85" w:rsidRPr="00D804E0" w14:paraId="4EFBFEA1" w14:textId="77777777" w:rsidTr="00321C7D">
        <w:tc>
          <w:tcPr>
            <w:tcW w:w="1261" w:type="pct"/>
            <w:tcBorders>
              <w:top w:val="single" w:sz="4" w:space="0" w:color="auto"/>
            </w:tcBorders>
            <w:vAlign w:val="center"/>
          </w:tcPr>
          <w:p w14:paraId="79D5CA96"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Hb</w:t>
            </w:r>
          </w:p>
        </w:tc>
        <w:tc>
          <w:tcPr>
            <w:tcW w:w="1248" w:type="pct"/>
            <w:tcBorders>
              <w:top w:val="single" w:sz="4" w:space="0" w:color="auto"/>
            </w:tcBorders>
            <w:vAlign w:val="center"/>
          </w:tcPr>
          <w:p w14:paraId="19C9DA4D"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-0.072</w:t>
            </w:r>
          </w:p>
        </w:tc>
        <w:tc>
          <w:tcPr>
            <w:tcW w:w="1251" w:type="pct"/>
            <w:tcBorders>
              <w:top w:val="single" w:sz="4" w:space="0" w:color="auto"/>
            </w:tcBorders>
            <w:vAlign w:val="center"/>
          </w:tcPr>
          <w:p w14:paraId="6FC86E8C"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0.499</w:t>
            </w:r>
          </w:p>
        </w:tc>
        <w:tc>
          <w:tcPr>
            <w:tcW w:w="1240" w:type="pct"/>
            <w:tcBorders>
              <w:top w:val="single" w:sz="4" w:space="0" w:color="auto"/>
            </w:tcBorders>
            <w:vAlign w:val="center"/>
          </w:tcPr>
          <w:p w14:paraId="7745E200"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D804E0" w14:paraId="16F710F2" w14:textId="77777777" w:rsidTr="00321C7D">
        <w:tc>
          <w:tcPr>
            <w:tcW w:w="1261" w:type="pct"/>
          </w:tcPr>
          <w:p w14:paraId="34643E3B"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RBCs</w:t>
            </w:r>
          </w:p>
        </w:tc>
        <w:tc>
          <w:tcPr>
            <w:tcW w:w="1248" w:type="pct"/>
            <w:vAlign w:val="center"/>
          </w:tcPr>
          <w:p w14:paraId="04B42BD0"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-0.124</w:t>
            </w:r>
          </w:p>
        </w:tc>
        <w:tc>
          <w:tcPr>
            <w:tcW w:w="1251" w:type="pct"/>
            <w:vAlign w:val="center"/>
          </w:tcPr>
          <w:p w14:paraId="0F017DE4"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0.245</w:t>
            </w:r>
          </w:p>
        </w:tc>
        <w:tc>
          <w:tcPr>
            <w:tcW w:w="1240" w:type="pct"/>
            <w:vAlign w:val="center"/>
          </w:tcPr>
          <w:p w14:paraId="47475790"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D804E0" w14:paraId="13D54075" w14:textId="77777777" w:rsidTr="00321C7D">
        <w:tc>
          <w:tcPr>
            <w:tcW w:w="1261" w:type="pct"/>
            <w:vAlign w:val="center"/>
          </w:tcPr>
          <w:p w14:paraId="1F51E164"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MCV</w:t>
            </w:r>
          </w:p>
        </w:tc>
        <w:tc>
          <w:tcPr>
            <w:tcW w:w="1248" w:type="pct"/>
            <w:vAlign w:val="center"/>
          </w:tcPr>
          <w:p w14:paraId="23408C20"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0.093</w:t>
            </w:r>
          </w:p>
        </w:tc>
        <w:tc>
          <w:tcPr>
            <w:tcW w:w="1251" w:type="pct"/>
            <w:vAlign w:val="center"/>
          </w:tcPr>
          <w:p w14:paraId="7E4C7672"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0.384</w:t>
            </w:r>
          </w:p>
        </w:tc>
        <w:tc>
          <w:tcPr>
            <w:tcW w:w="1240" w:type="pct"/>
          </w:tcPr>
          <w:p w14:paraId="5668F6EA"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D804E0" w14:paraId="3956E645" w14:textId="77777777" w:rsidTr="00321C7D">
        <w:tc>
          <w:tcPr>
            <w:tcW w:w="1261" w:type="pct"/>
          </w:tcPr>
          <w:p w14:paraId="77168CFC"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MCH</w:t>
            </w:r>
          </w:p>
        </w:tc>
        <w:tc>
          <w:tcPr>
            <w:tcW w:w="1248" w:type="pct"/>
            <w:vAlign w:val="center"/>
          </w:tcPr>
          <w:p w14:paraId="372BA080"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0.088</w:t>
            </w:r>
          </w:p>
        </w:tc>
        <w:tc>
          <w:tcPr>
            <w:tcW w:w="1251" w:type="pct"/>
            <w:vAlign w:val="center"/>
          </w:tcPr>
          <w:p w14:paraId="1FB91935"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0.408</w:t>
            </w:r>
          </w:p>
        </w:tc>
        <w:tc>
          <w:tcPr>
            <w:tcW w:w="1240" w:type="pct"/>
          </w:tcPr>
          <w:p w14:paraId="1B08BD67"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D804E0" w14:paraId="77B4E313" w14:textId="77777777" w:rsidTr="00321C7D">
        <w:tc>
          <w:tcPr>
            <w:tcW w:w="1261" w:type="pct"/>
          </w:tcPr>
          <w:p w14:paraId="55CCB457"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PLTs</w:t>
            </w:r>
          </w:p>
        </w:tc>
        <w:tc>
          <w:tcPr>
            <w:tcW w:w="1248" w:type="pct"/>
            <w:vAlign w:val="center"/>
          </w:tcPr>
          <w:p w14:paraId="292F4E31"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0.025</w:t>
            </w:r>
          </w:p>
        </w:tc>
        <w:tc>
          <w:tcPr>
            <w:tcW w:w="1251" w:type="pct"/>
            <w:vAlign w:val="center"/>
          </w:tcPr>
          <w:p w14:paraId="16D76673"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0.816</w:t>
            </w:r>
          </w:p>
        </w:tc>
        <w:tc>
          <w:tcPr>
            <w:tcW w:w="1240" w:type="pct"/>
          </w:tcPr>
          <w:p w14:paraId="6082098A"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D804E0" w14:paraId="5FEC6704" w14:textId="77777777" w:rsidTr="00321C7D">
        <w:tc>
          <w:tcPr>
            <w:tcW w:w="1261" w:type="pct"/>
          </w:tcPr>
          <w:p w14:paraId="717837FA"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WBCs</w:t>
            </w:r>
          </w:p>
        </w:tc>
        <w:tc>
          <w:tcPr>
            <w:tcW w:w="1248" w:type="pct"/>
            <w:vAlign w:val="center"/>
          </w:tcPr>
          <w:p w14:paraId="2C085733"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0.017</w:t>
            </w:r>
          </w:p>
        </w:tc>
        <w:tc>
          <w:tcPr>
            <w:tcW w:w="1251" w:type="pct"/>
            <w:vAlign w:val="center"/>
          </w:tcPr>
          <w:p w14:paraId="57061039"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0.87</w:t>
            </w:r>
          </w:p>
        </w:tc>
        <w:tc>
          <w:tcPr>
            <w:tcW w:w="1240" w:type="pct"/>
          </w:tcPr>
          <w:p w14:paraId="1EA94C9A"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D804E0" w14:paraId="56CBDB7F" w14:textId="77777777" w:rsidTr="00321C7D">
        <w:tc>
          <w:tcPr>
            <w:tcW w:w="1261" w:type="pct"/>
          </w:tcPr>
          <w:p w14:paraId="0B38F1B4"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Iron</w:t>
            </w:r>
          </w:p>
        </w:tc>
        <w:tc>
          <w:tcPr>
            <w:tcW w:w="1248" w:type="pct"/>
          </w:tcPr>
          <w:p w14:paraId="229D336D"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-0.039</w:t>
            </w:r>
          </w:p>
        </w:tc>
        <w:tc>
          <w:tcPr>
            <w:tcW w:w="1251" w:type="pct"/>
          </w:tcPr>
          <w:p w14:paraId="03CA9672"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0.713</w:t>
            </w:r>
          </w:p>
        </w:tc>
        <w:tc>
          <w:tcPr>
            <w:tcW w:w="1240" w:type="pct"/>
          </w:tcPr>
          <w:p w14:paraId="0DFA4F96"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D804E0" w14:paraId="2CB84694" w14:textId="77777777" w:rsidTr="00321C7D">
        <w:tc>
          <w:tcPr>
            <w:tcW w:w="1261" w:type="pct"/>
            <w:vAlign w:val="bottom"/>
          </w:tcPr>
          <w:p w14:paraId="65B08534"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Ferritin</w:t>
            </w:r>
          </w:p>
        </w:tc>
        <w:tc>
          <w:tcPr>
            <w:tcW w:w="1248" w:type="pct"/>
          </w:tcPr>
          <w:p w14:paraId="3FF31593"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0.065</w:t>
            </w:r>
          </w:p>
        </w:tc>
        <w:tc>
          <w:tcPr>
            <w:tcW w:w="1251" w:type="pct"/>
          </w:tcPr>
          <w:p w14:paraId="6B8F81A4"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0.54</w:t>
            </w:r>
          </w:p>
        </w:tc>
        <w:tc>
          <w:tcPr>
            <w:tcW w:w="1240" w:type="pct"/>
          </w:tcPr>
          <w:p w14:paraId="7B6D573A"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D804E0" w14:paraId="41D6F44A" w14:textId="77777777" w:rsidTr="00321C7D">
        <w:tc>
          <w:tcPr>
            <w:tcW w:w="1261" w:type="pct"/>
          </w:tcPr>
          <w:p w14:paraId="34787502"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Total cholesterol</w:t>
            </w:r>
          </w:p>
        </w:tc>
        <w:tc>
          <w:tcPr>
            <w:tcW w:w="1248" w:type="pct"/>
          </w:tcPr>
          <w:p w14:paraId="0C2D8E05"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0.059</w:t>
            </w:r>
          </w:p>
        </w:tc>
        <w:tc>
          <w:tcPr>
            <w:tcW w:w="1251" w:type="pct"/>
          </w:tcPr>
          <w:p w14:paraId="4AAE0373"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0.579</w:t>
            </w:r>
          </w:p>
        </w:tc>
        <w:tc>
          <w:tcPr>
            <w:tcW w:w="1240" w:type="pct"/>
          </w:tcPr>
          <w:p w14:paraId="10C71E02"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D804E0" w14:paraId="6717AF51" w14:textId="77777777" w:rsidTr="00321C7D">
        <w:tc>
          <w:tcPr>
            <w:tcW w:w="1261" w:type="pct"/>
            <w:vAlign w:val="bottom"/>
          </w:tcPr>
          <w:p w14:paraId="6E66923F"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HDL</w:t>
            </w:r>
          </w:p>
        </w:tc>
        <w:tc>
          <w:tcPr>
            <w:tcW w:w="1248" w:type="pct"/>
          </w:tcPr>
          <w:p w14:paraId="70057325"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-0.265</w:t>
            </w:r>
          </w:p>
        </w:tc>
        <w:tc>
          <w:tcPr>
            <w:tcW w:w="1251" w:type="pct"/>
          </w:tcPr>
          <w:p w14:paraId="1C1F40D0"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0.011*</w:t>
            </w:r>
          </w:p>
        </w:tc>
        <w:tc>
          <w:tcPr>
            <w:tcW w:w="1240" w:type="pct"/>
          </w:tcPr>
          <w:p w14:paraId="76063477"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D804E0" w14:paraId="4504DC66" w14:textId="77777777" w:rsidTr="00321C7D">
        <w:tc>
          <w:tcPr>
            <w:tcW w:w="1261" w:type="pct"/>
          </w:tcPr>
          <w:p w14:paraId="12AD9A75"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LDL</w:t>
            </w:r>
          </w:p>
        </w:tc>
        <w:tc>
          <w:tcPr>
            <w:tcW w:w="1248" w:type="pct"/>
          </w:tcPr>
          <w:p w14:paraId="290B40CA"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0.140</w:t>
            </w:r>
          </w:p>
        </w:tc>
        <w:tc>
          <w:tcPr>
            <w:tcW w:w="1251" w:type="pct"/>
          </w:tcPr>
          <w:p w14:paraId="2FC14765"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0.188</w:t>
            </w:r>
          </w:p>
        </w:tc>
        <w:tc>
          <w:tcPr>
            <w:tcW w:w="1240" w:type="pct"/>
          </w:tcPr>
          <w:p w14:paraId="24DCC882"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D804E0" w14:paraId="7136C688" w14:textId="77777777" w:rsidTr="00321C7D">
        <w:tc>
          <w:tcPr>
            <w:tcW w:w="1261" w:type="pct"/>
          </w:tcPr>
          <w:p w14:paraId="6687FF3B"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TG</w:t>
            </w:r>
          </w:p>
        </w:tc>
        <w:tc>
          <w:tcPr>
            <w:tcW w:w="1248" w:type="pct"/>
          </w:tcPr>
          <w:p w14:paraId="0A5773E5"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0.180</w:t>
            </w:r>
          </w:p>
        </w:tc>
        <w:tc>
          <w:tcPr>
            <w:tcW w:w="1251" w:type="pct"/>
          </w:tcPr>
          <w:p w14:paraId="5805DC86"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0.089</w:t>
            </w:r>
          </w:p>
        </w:tc>
        <w:tc>
          <w:tcPr>
            <w:tcW w:w="1240" w:type="pct"/>
          </w:tcPr>
          <w:p w14:paraId="73E9F3B1"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D804E0" w14:paraId="1E1E61E4" w14:textId="77777777" w:rsidTr="00321C7D">
        <w:tc>
          <w:tcPr>
            <w:tcW w:w="1261" w:type="pct"/>
          </w:tcPr>
          <w:p w14:paraId="5D6B4BB6"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SGPT</w:t>
            </w:r>
          </w:p>
        </w:tc>
        <w:tc>
          <w:tcPr>
            <w:tcW w:w="1248" w:type="pct"/>
          </w:tcPr>
          <w:p w14:paraId="78446C24"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-0.009</w:t>
            </w:r>
          </w:p>
        </w:tc>
        <w:tc>
          <w:tcPr>
            <w:tcW w:w="1251" w:type="pct"/>
          </w:tcPr>
          <w:p w14:paraId="73F597E9"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0.931</w:t>
            </w:r>
          </w:p>
        </w:tc>
        <w:tc>
          <w:tcPr>
            <w:tcW w:w="1240" w:type="pct"/>
          </w:tcPr>
          <w:p w14:paraId="2FD1C925"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D804E0" w14:paraId="6DC3F423" w14:textId="77777777" w:rsidTr="00321C7D">
        <w:tc>
          <w:tcPr>
            <w:tcW w:w="1261" w:type="pct"/>
          </w:tcPr>
          <w:p w14:paraId="0E9E2C51"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SGOT</w:t>
            </w:r>
          </w:p>
        </w:tc>
        <w:tc>
          <w:tcPr>
            <w:tcW w:w="1248" w:type="pct"/>
          </w:tcPr>
          <w:p w14:paraId="6516D3A6"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-0.066</w:t>
            </w:r>
          </w:p>
        </w:tc>
        <w:tc>
          <w:tcPr>
            <w:tcW w:w="1251" w:type="pct"/>
          </w:tcPr>
          <w:p w14:paraId="37C2784C"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0.535</w:t>
            </w:r>
          </w:p>
        </w:tc>
        <w:tc>
          <w:tcPr>
            <w:tcW w:w="1240" w:type="pct"/>
          </w:tcPr>
          <w:p w14:paraId="3A8DD227"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D804E0" w14:paraId="059499E3" w14:textId="77777777" w:rsidTr="00321C7D">
        <w:tc>
          <w:tcPr>
            <w:tcW w:w="1261" w:type="pct"/>
            <w:vAlign w:val="center"/>
          </w:tcPr>
          <w:p w14:paraId="1179D7FB"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Total bilirubin</w:t>
            </w:r>
          </w:p>
        </w:tc>
        <w:tc>
          <w:tcPr>
            <w:tcW w:w="1248" w:type="pct"/>
          </w:tcPr>
          <w:p w14:paraId="0A5F7601"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-0.119</w:t>
            </w:r>
          </w:p>
        </w:tc>
        <w:tc>
          <w:tcPr>
            <w:tcW w:w="1251" w:type="pct"/>
          </w:tcPr>
          <w:p w14:paraId="0B3EB239"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0.264</w:t>
            </w:r>
          </w:p>
        </w:tc>
        <w:tc>
          <w:tcPr>
            <w:tcW w:w="1240" w:type="pct"/>
          </w:tcPr>
          <w:p w14:paraId="7F47EE79"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r w:rsidR="00C85F85" w:rsidRPr="00C85F85" w14:paraId="0AFAA08D" w14:textId="77777777" w:rsidTr="00321C7D">
        <w:tc>
          <w:tcPr>
            <w:tcW w:w="1261" w:type="pct"/>
            <w:tcBorders>
              <w:bottom w:val="single" w:sz="4" w:space="0" w:color="auto"/>
            </w:tcBorders>
            <w:vAlign w:val="center"/>
          </w:tcPr>
          <w:p w14:paraId="30E04BBE"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Direct Bilirubin</w:t>
            </w:r>
          </w:p>
        </w:tc>
        <w:tc>
          <w:tcPr>
            <w:tcW w:w="1248" w:type="pct"/>
            <w:tcBorders>
              <w:bottom w:val="single" w:sz="4" w:space="0" w:color="auto"/>
            </w:tcBorders>
          </w:tcPr>
          <w:p w14:paraId="27C68D4B"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-0.148</w:t>
            </w:r>
          </w:p>
        </w:tc>
        <w:tc>
          <w:tcPr>
            <w:tcW w:w="1251" w:type="pct"/>
            <w:tcBorders>
              <w:bottom w:val="single" w:sz="4" w:space="0" w:color="auto"/>
            </w:tcBorders>
          </w:tcPr>
          <w:p w14:paraId="072744DA" w14:textId="77777777" w:rsidR="00C85F85" w:rsidRPr="00D95EEC" w:rsidRDefault="00C85F85" w:rsidP="00C85F85">
            <w:pPr>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0.164</w:t>
            </w:r>
          </w:p>
        </w:tc>
        <w:tc>
          <w:tcPr>
            <w:tcW w:w="1240" w:type="pct"/>
            <w:tcBorders>
              <w:bottom w:val="single" w:sz="4" w:space="0" w:color="auto"/>
            </w:tcBorders>
          </w:tcPr>
          <w:p w14:paraId="08890111" w14:textId="77777777" w:rsidR="00C85F85" w:rsidRPr="00D95EEC" w:rsidRDefault="00C85F85" w:rsidP="00321C7D">
            <w:pPr>
              <w:keepNext/>
              <w:rPr>
                <w:rFonts w:ascii="Times New Roman" w:eastAsia="Times New Roman" w:hAnsi="Times New Roman" w:cs="Times New Roman"/>
                <w:kern w:val="0"/>
                <w:sz w:val="24"/>
                <w:szCs w:val="24"/>
                <w14:ligatures w14:val="none"/>
              </w:rPr>
            </w:pPr>
            <w:r w:rsidRPr="00D95EEC">
              <w:rPr>
                <w:rFonts w:ascii="Times New Roman" w:eastAsia="Times New Roman" w:hAnsi="Times New Roman" w:cs="Times New Roman"/>
                <w:kern w:val="0"/>
                <w:sz w:val="24"/>
                <w:szCs w:val="24"/>
                <w14:ligatures w14:val="none"/>
              </w:rPr>
              <w:t>90</w:t>
            </w:r>
          </w:p>
        </w:tc>
      </w:tr>
    </w:tbl>
    <w:p w14:paraId="7C243A97" w14:textId="77777777" w:rsidR="00742B6B" w:rsidRDefault="00321C7D" w:rsidP="00321C7D">
      <w:pPr>
        <w:spacing w:before="120" w:after="0" w:line="480" w:lineRule="auto"/>
        <w:jc w:val="both"/>
        <w:rPr>
          <w:bCs/>
          <w:i/>
          <w:iCs/>
          <w:color w:val="44546A"/>
          <w:sz w:val="18"/>
          <w:szCs w:val="18"/>
        </w:rPr>
        <w:sectPr w:rsidR="00742B6B" w:rsidSect="00F0537C">
          <w:headerReference w:type="default" r:id="rId10"/>
          <w:footerReference w:type="default" r:id="rId11"/>
          <w:pgSz w:w="11907" w:h="16840" w:code="9"/>
          <w:pgMar w:top="1418" w:right="1418" w:bottom="1418" w:left="1418" w:header="851" w:footer="851" w:gutter="0"/>
          <w:pgNumType w:start="8"/>
          <w:cols w:space="720"/>
          <w:docGrid w:linePitch="360"/>
        </w:sectPr>
      </w:pPr>
      <w:bookmarkStart w:id="9" w:name="_Hlk190692424"/>
      <w:r w:rsidRPr="00321C7D">
        <w:rPr>
          <w:bCs/>
          <w:i/>
          <w:iCs/>
          <w:color w:val="44546A"/>
          <w:sz w:val="18"/>
          <w:szCs w:val="18"/>
        </w:rPr>
        <w:t>r: Pearson correlation coefficient. *: Statistically significant at p &lt; 0.05. Group B: after treatment.</w:t>
      </w:r>
    </w:p>
    <w:p w14:paraId="34154361" w14:textId="77777777" w:rsidR="00321C7D" w:rsidRPr="00321C7D" w:rsidRDefault="00321C7D" w:rsidP="00321C7D">
      <w:pPr>
        <w:spacing w:before="120" w:after="0" w:line="480" w:lineRule="auto"/>
        <w:jc w:val="both"/>
        <w:rPr>
          <w:i/>
          <w:iCs/>
          <w:color w:val="44546A"/>
          <w:sz w:val="18"/>
          <w:szCs w:val="18"/>
        </w:rPr>
      </w:pPr>
    </w:p>
    <w:bookmarkEnd w:id="9"/>
    <w:p w14:paraId="57C91344" w14:textId="031643F7" w:rsidR="009A7CA4" w:rsidRPr="00C0688A" w:rsidRDefault="006A715A" w:rsidP="003D4485">
      <w:pPr>
        <w:keepNext/>
        <w:spacing w:before="120" w:after="0" w:line="480" w:lineRule="auto"/>
        <w:rPr>
          <w:rFonts w:asciiTheme="majorBidi" w:hAnsiTheme="majorBidi" w:cstheme="majorBidi"/>
          <w:b/>
          <w:bCs/>
          <w:sz w:val="24"/>
          <w:szCs w:val="24"/>
        </w:rPr>
      </w:pPr>
      <w:r>
        <w:rPr>
          <w:rFonts w:asciiTheme="majorBidi" w:hAnsiTheme="majorBidi" w:cstheme="majorBidi"/>
          <w:noProof/>
          <w:sz w:val="24"/>
          <w:szCs w:val="24"/>
        </w:rPr>
        <w:drawing>
          <wp:anchor distT="0" distB="0" distL="114300" distR="114300" simplePos="0" relativeHeight="251658240" behindDoc="0" locked="0" layoutInCell="1" allowOverlap="1" wp14:anchorId="63C78F88" wp14:editId="05C847ED">
            <wp:simplePos x="900752" y="900752"/>
            <wp:positionH relativeFrom="margin">
              <wp:align>left</wp:align>
            </wp:positionH>
            <wp:positionV relativeFrom="paragraph">
              <wp:align>top</wp:align>
            </wp:positionV>
            <wp:extent cx="5684520" cy="3181985"/>
            <wp:effectExtent l="0" t="0" r="0" b="0"/>
            <wp:wrapSquare wrapText="bothSides"/>
            <wp:docPr id="733486913" name="صورة 2" descr="Fig 1. H. Pylori fecal Ag Vs. HDL in group B.&#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86913" name="صورة 2" descr="Fig 1. H. Pylori fecal Ag Vs. HDL in group B.&#10;&#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4520" cy="3181985"/>
                    </a:xfrm>
                    <a:prstGeom prst="rect">
                      <a:avLst/>
                    </a:prstGeom>
                  </pic:spPr>
                </pic:pic>
              </a:graphicData>
            </a:graphic>
          </wp:anchor>
        </w:drawing>
      </w:r>
      <w:r w:rsidR="00321C7D">
        <w:t xml:space="preserve">Fig </w:t>
      </w:r>
      <w:fldSimple w:instr=" SEQ Figure \* ARABIC ">
        <w:r w:rsidR="00B97D4E">
          <w:rPr>
            <w:noProof/>
          </w:rPr>
          <w:t>1</w:t>
        </w:r>
      </w:fldSimple>
      <w:r w:rsidR="00321C7D">
        <w:t xml:space="preserve">. </w:t>
      </w:r>
      <w:r w:rsidR="00321C7D" w:rsidRPr="00321C7D">
        <w:rPr>
          <w:bCs/>
        </w:rPr>
        <w:t>H. Pylori fecal Ag Vs. HDL in group B</w:t>
      </w:r>
      <w:r w:rsidR="00321C7D">
        <w:rPr>
          <w:bCs/>
        </w:rPr>
        <w:t>.</w:t>
      </w:r>
      <w:r w:rsidR="00321C7D" w:rsidRPr="00321C7D">
        <w:rPr>
          <w:bCs/>
        </w:rPr>
        <w:br/>
      </w:r>
      <w:r w:rsidR="00A16AA6" w:rsidRPr="00C0688A">
        <w:rPr>
          <w:rFonts w:asciiTheme="majorBidi" w:hAnsiTheme="majorBidi" w:cstheme="majorBidi"/>
          <w:b/>
          <w:bCs/>
          <w:sz w:val="24"/>
          <w:szCs w:val="24"/>
        </w:rPr>
        <w:t>Discussion</w:t>
      </w:r>
    </w:p>
    <w:p w14:paraId="57F50B51" w14:textId="4B554763" w:rsidR="009A7CA4" w:rsidRPr="00C0688A" w:rsidRDefault="00744A5F" w:rsidP="00CE4694">
      <w:pPr>
        <w:spacing w:before="120" w:after="0" w:line="480" w:lineRule="auto"/>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Our study was</w:t>
      </w:r>
      <w:r w:rsidR="005A652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to </w:t>
      </w:r>
      <w:r w:rsidR="005A652A">
        <w:rPr>
          <w:rFonts w:asciiTheme="majorBidi" w:eastAsia="Times New Roman" w:hAnsiTheme="majorBidi" w:cstheme="majorBidi"/>
          <w:sz w:val="24"/>
          <w:szCs w:val="24"/>
        </w:rPr>
        <w:t xml:space="preserve">evaluate the </w:t>
      </w:r>
      <w:r w:rsidR="003A7E8C">
        <w:rPr>
          <w:rFonts w:asciiTheme="majorBidi" w:eastAsia="Times New Roman" w:hAnsiTheme="majorBidi" w:cstheme="majorBidi"/>
          <w:sz w:val="24"/>
          <w:szCs w:val="24"/>
        </w:rPr>
        <w:t>relationship</w:t>
      </w:r>
      <w:r w:rsidR="00A16AA6" w:rsidRPr="00C0688A">
        <w:rPr>
          <w:rFonts w:asciiTheme="majorBidi" w:eastAsia="Times New Roman" w:hAnsiTheme="majorBidi" w:cstheme="majorBidi"/>
          <w:sz w:val="24"/>
          <w:szCs w:val="24"/>
        </w:rPr>
        <w:t xml:space="preserve"> between </w:t>
      </w:r>
      <w:r w:rsidR="00A16AA6" w:rsidRPr="000B72B3">
        <w:rPr>
          <w:rFonts w:asciiTheme="majorBidi" w:eastAsia="Times New Roman" w:hAnsiTheme="majorBidi" w:cstheme="majorBidi"/>
          <w:i/>
          <w:iCs/>
          <w:sz w:val="24"/>
          <w:szCs w:val="24"/>
        </w:rPr>
        <w:t>H. pylori</w:t>
      </w:r>
      <w:r w:rsidR="00A16AA6" w:rsidRPr="00C0688A">
        <w:rPr>
          <w:rFonts w:asciiTheme="majorBidi" w:eastAsia="Times New Roman" w:hAnsiTheme="majorBidi" w:cstheme="majorBidi"/>
          <w:sz w:val="24"/>
          <w:szCs w:val="24"/>
        </w:rPr>
        <w:t xml:space="preserve"> infection and alterations in some hematological and biochemical markers among the Egyptian population. During </w:t>
      </w:r>
      <w:r w:rsidR="00A16AA6" w:rsidRPr="000B72B3">
        <w:rPr>
          <w:rFonts w:asciiTheme="majorBidi" w:eastAsia="Times New Roman" w:hAnsiTheme="majorBidi" w:cstheme="majorBidi"/>
          <w:i/>
          <w:iCs/>
          <w:sz w:val="24"/>
          <w:szCs w:val="24"/>
        </w:rPr>
        <w:t>H. pylori</w:t>
      </w:r>
      <w:r w:rsidR="00A16AA6" w:rsidRPr="00C0688A">
        <w:rPr>
          <w:rFonts w:asciiTheme="majorBidi" w:eastAsia="Times New Roman" w:hAnsiTheme="majorBidi" w:cstheme="majorBidi"/>
          <w:sz w:val="24"/>
          <w:szCs w:val="24"/>
        </w:rPr>
        <w:t xml:space="preserve"> infection, individuals experience upper a</w:t>
      </w:r>
      <w:r w:rsidR="00586C49">
        <w:rPr>
          <w:rFonts w:asciiTheme="majorBidi" w:eastAsia="Times New Roman" w:hAnsiTheme="majorBidi" w:cstheme="majorBidi"/>
          <w:sz w:val="24"/>
          <w:szCs w:val="24"/>
        </w:rPr>
        <w:t>bdominal symptoms such as pain,</w:t>
      </w:r>
      <w:r w:rsidR="00A16AA6" w:rsidRPr="00C0688A">
        <w:rPr>
          <w:rFonts w:asciiTheme="majorBidi" w:eastAsia="Times New Roman" w:hAnsiTheme="majorBidi" w:cstheme="majorBidi"/>
          <w:sz w:val="24"/>
          <w:szCs w:val="24"/>
        </w:rPr>
        <w:t xml:space="preserve"> nausea</w:t>
      </w:r>
      <w:r w:rsidR="003A7E8C">
        <w:rPr>
          <w:rFonts w:asciiTheme="majorBidi" w:eastAsia="Times New Roman" w:hAnsiTheme="majorBidi" w:cstheme="majorBidi"/>
          <w:sz w:val="24"/>
          <w:szCs w:val="24"/>
        </w:rPr>
        <w:t>,</w:t>
      </w:r>
      <w:r w:rsidR="00A16AA6" w:rsidRPr="00C0688A">
        <w:rPr>
          <w:rFonts w:asciiTheme="majorBidi" w:eastAsia="Times New Roman" w:hAnsiTheme="majorBidi" w:cstheme="majorBidi"/>
          <w:sz w:val="24"/>
          <w:szCs w:val="24"/>
        </w:rPr>
        <w:t xml:space="preserve"> and vomiting </w:t>
      </w:r>
      <w:r w:rsidR="00CE4694" w:rsidRPr="00CE4694">
        <w:rPr>
          <w:rFonts w:asciiTheme="majorBidi" w:hAnsiTheme="majorBidi" w:cstheme="majorBidi"/>
          <w:sz w:val="24"/>
          <w:szCs w:val="24"/>
        </w:rPr>
        <w:t>[</w:t>
      </w:r>
      <w:r w:rsidR="00CE4694">
        <w:rPr>
          <w:rFonts w:asciiTheme="majorBidi" w:hAnsiTheme="majorBidi" w:cstheme="majorBidi"/>
          <w:sz w:val="24"/>
          <w:szCs w:val="24"/>
        </w:rPr>
        <w:t>9.10</w:t>
      </w:r>
      <w:r w:rsidR="00CE4694" w:rsidRPr="00CE4694">
        <w:rPr>
          <w:rFonts w:asciiTheme="majorBidi" w:hAnsiTheme="majorBidi" w:cstheme="majorBidi"/>
          <w:sz w:val="24"/>
          <w:szCs w:val="24"/>
        </w:rPr>
        <w:t>]</w:t>
      </w:r>
      <w:r w:rsidR="00CE4694">
        <w:rPr>
          <w:rFonts w:asciiTheme="majorBidi" w:hAnsiTheme="majorBidi" w:cstheme="majorBidi"/>
          <w:sz w:val="24"/>
          <w:szCs w:val="24"/>
        </w:rPr>
        <w:t>.</w:t>
      </w:r>
    </w:p>
    <w:p w14:paraId="6EC006AD" w14:textId="570FCA2F" w:rsidR="009A7CA4" w:rsidRPr="00C0688A" w:rsidRDefault="00F0537C" w:rsidP="007F05D3">
      <w:pPr>
        <w:spacing w:before="120" w:after="0" w:line="480" w:lineRule="auto"/>
        <w:ind w:firstLine="567"/>
        <w:rPr>
          <w:rFonts w:asciiTheme="majorBidi" w:eastAsia="Times New Roman" w:hAnsiTheme="majorBidi" w:cstheme="majorBidi"/>
          <w:sz w:val="24"/>
          <w:szCs w:val="24"/>
        </w:rPr>
      </w:pPr>
      <w:r>
        <w:rPr>
          <w:rFonts w:asciiTheme="majorBidi" w:eastAsia="Times New Roman" w:hAnsiTheme="majorBidi" w:cstheme="majorBidi"/>
          <w:sz w:val="24"/>
          <w:szCs w:val="24"/>
        </w:rPr>
        <w:t>Kim's</w:t>
      </w:r>
      <w:r w:rsidR="003D4485">
        <w:rPr>
          <w:rFonts w:asciiTheme="majorBidi" w:eastAsia="Times New Roman" w:hAnsiTheme="majorBidi" w:cstheme="majorBidi"/>
          <w:sz w:val="24"/>
          <w:szCs w:val="24"/>
        </w:rPr>
        <w:t xml:space="preserve"> 2014 study</w:t>
      </w:r>
      <w:r w:rsidR="003A7E8C" w:rsidRPr="00D95EEC">
        <w:rPr>
          <w:rFonts w:asciiTheme="majorBidi" w:eastAsia="Times New Roman" w:hAnsiTheme="majorBidi" w:cstheme="majorBidi"/>
          <w:sz w:val="24"/>
          <w:szCs w:val="24"/>
        </w:rPr>
        <w:t xml:space="preserve"> found that symptoms of acute gastroenteritis, nausea, vomiting, epigastric pain, and heartburn</w:t>
      </w:r>
      <w:r w:rsidR="00A16AA6" w:rsidRPr="00C0688A">
        <w:rPr>
          <w:rFonts w:asciiTheme="majorBidi" w:eastAsia="Times New Roman" w:hAnsiTheme="majorBidi" w:cstheme="majorBidi"/>
          <w:sz w:val="24"/>
          <w:szCs w:val="24"/>
        </w:rPr>
        <w:t xml:space="preserve"> occur </w:t>
      </w:r>
      <w:r w:rsidR="000022AC">
        <w:rPr>
          <w:rFonts w:asciiTheme="majorBidi" w:eastAsia="Times New Roman" w:hAnsiTheme="majorBidi" w:cstheme="majorBidi"/>
          <w:sz w:val="24"/>
          <w:szCs w:val="24"/>
        </w:rPr>
        <w:t>due to</w:t>
      </w:r>
      <w:r w:rsidR="00A16AA6" w:rsidRPr="00C0688A">
        <w:rPr>
          <w:rFonts w:asciiTheme="majorBidi" w:eastAsia="Times New Roman" w:hAnsiTheme="majorBidi" w:cstheme="majorBidi"/>
          <w:sz w:val="24"/>
          <w:szCs w:val="24"/>
        </w:rPr>
        <w:t xml:space="preserve"> </w:t>
      </w:r>
      <w:r w:rsidR="00A16AA6" w:rsidRPr="00E20C73">
        <w:rPr>
          <w:rFonts w:asciiTheme="majorBidi" w:eastAsia="Times New Roman" w:hAnsiTheme="majorBidi" w:cstheme="majorBidi"/>
          <w:i/>
          <w:iCs/>
          <w:sz w:val="24"/>
          <w:szCs w:val="24"/>
        </w:rPr>
        <w:t>H. pylori</w:t>
      </w:r>
      <w:r w:rsidR="00A16AA6" w:rsidRPr="00C0688A">
        <w:rPr>
          <w:rFonts w:asciiTheme="majorBidi" w:eastAsia="Times New Roman" w:hAnsiTheme="majorBidi" w:cstheme="majorBidi"/>
          <w:sz w:val="24"/>
          <w:szCs w:val="24"/>
        </w:rPr>
        <w:t xml:space="preserve"> </w:t>
      </w:r>
      <w:r w:rsidR="000022AC">
        <w:rPr>
          <w:rFonts w:asciiTheme="majorBidi" w:eastAsia="Times New Roman" w:hAnsiTheme="majorBidi" w:cstheme="majorBidi"/>
          <w:sz w:val="24"/>
          <w:szCs w:val="24"/>
        </w:rPr>
        <w:t>affection of</w:t>
      </w:r>
      <w:r w:rsidR="00A16AA6" w:rsidRPr="00C0688A">
        <w:rPr>
          <w:rFonts w:asciiTheme="majorBidi" w:eastAsia="Times New Roman" w:hAnsiTheme="majorBidi" w:cstheme="majorBidi"/>
          <w:sz w:val="24"/>
          <w:szCs w:val="24"/>
        </w:rPr>
        <w:t xml:space="preserve"> the stomach. </w:t>
      </w:r>
      <w:r w:rsidR="00A16AA6" w:rsidRPr="00D95EEC">
        <w:rPr>
          <w:rFonts w:asciiTheme="majorBidi" w:eastAsia="Times New Roman" w:hAnsiTheme="majorBidi" w:cstheme="majorBidi"/>
          <w:sz w:val="24"/>
          <w:szCs w:val="24"/>
        </w:rPr>
        <w:t>That was consistent with the results of our study</w:t>
      </w:r>
      <w:r w:rsidR="001B59FA" w:rsidRPr="00D95EEC">
        <w:rPr>
          <w:rFonts w:asciiTheme="majorBidi" w:eastAsia="Times New Roman" w:hAnsiTheme="majorBidi" w:cstheme="majorBidi"/>
          <w:sz w:val="24"/>
          <w:szCs w:val="24"/>
        </w:rPr>
        <w:t xml:space="preserve"> </w:t>
      </w:r>
      <w:r w:rsidR="00D33138" w:rsidRPr="00D95EEC">
        <w:rPr>
          <w:rFonts w:asciiTheme="majorBidi" w:eastAsia="Times New Roman" w:hAnsiTheme="majorBidi" w:cstheme="majorBidi"/>
          <w:sz w:val="24"/>
          <w:szCs w:val="24"/>
        </w:rPr>
        <w:t>as most of the patients included were suffering from those symptoms</w:t>
      </w:r>
      <w:r w:rsidR="003A7E8C" w:rsidRPr="00D95EEC">
        <w:rPr>
          <w:rFonts w:asciiTheme="majorBidi" w:eastAsia="Times New Roman" w:hAnsiTheme="majorBidi" w:cstheme="majorBidi"/>
          <w:sz w:val="24"/>
          <w:szCs w:val="24"/>
        </w:rPr>
        <w:t xml:space="preserve">, as seen in the symptoms table in the </w:t>
      </w:r>
      <w:r w:rsidR="00D33138" w:rsidRPr="00D95EEC">
        <w:rPr>
          <w:rFonts w:asciiTheme="majorBidi" w:eastAsia="Times New Roman" w:hAnsiTheme="majorBidi" w:cstheme="majorBidi"/>
          <w:sz w:val="24"/>
          <w:szCs w:val="24"/>
        </w:rPr>
        <w:t>results section.</w:t>
      </w:r>
      <w:r w:rsidR="00D33138">
        <w:rPr>
          <w:rFonts w:asciiTheme="majorBidi" w:eastAsia="Times New Roman" w:hAnsiTheme="majorBidi" w:cstheme="majorBidi"/>
          <w:sz w:val="24"/>
          <w:szCs w:val="24"/>
        </w:rPr>
        <w:t xml:space="preserve"> </w:t>
      </w:r>
      <w:r w:rsidR="00CE4694" w:rsidRPr="00D95EEC">
        <w:rPr>
          <w:rFonts w:asciiTheme="majorBidi" w:eastAsia="Times New Roman" w:hAnsiTheme="majorBidi" w:cstheme="majorBidi"/>
          <w:sz w:val="24"/>
          <w:szCs w:val="24"/>
        </w:rPr>
        <w:t>[</w:t>
      </w:r>
      <w:r w:rsidR="00CE4694">
        <w:rPr>
          <w:rFonts w:asciiTheme="majorBidi" w:hAnsiTheme="majorBidi" w:cstheme="majorBidi"/>
          <w:sz w:val="24"/>
          <w:szCs w:val="24"/>
        </w:rPr>
        <w:t>11</w:t>
      </w:r>
      <w:r w:rsidR="00CE4694" w:rsidRPr="00CE4694">
        <w:rPr>
          <w:rFonts w:asciiTheme="majorBidi" w:hAnsiTheme="majorBidi" w:cstheme="majorBidi"/>
          <w:sz w:val="24"/>
          <w:szCs w:val="24"/>
        </w:rPr>
        <w:t>]</w:t>
      </w:r>
    </w:p>
    <w:p w14:paraId="57CD1C66" w14:textId="6090EC97" w:rsidR="009A7CA4" w:rsidRPr="00D95EEC" w:rsidRDefault="00A16AA6" w:rsidP="007F05D3">
      <w:pPr>
        <w:spacing w:before="120" w:after="0" w:line="480" w:lineRule="auto"/>
        <w:ind w:firstLine="567"/>
        <w:jc w:val="both"/>
        <w:rPr>
          <w:rFonts w:asciiTheme="majorBidi" w:hAnsiTheme="majorBidi" w:cstheme="majorBidi"/>
          <w:sz w:val="24"/>
          <w:szCs w:val="24"/>
        </w:rPr>
      </w:pPr>
      <w:r w:rsidRPr="00C0688A">
        <w:rPr>
          <w:rFonts w:asciiTheme="majorBidi" w:eastAsia="Times New Roman" w:hAnsiTheme="majorBidi" w:cstheme="majorBidi"/>
          <w:sz w:val="24"/>
          <w:szCs w:val="24"/>
        </w:rPr>
        <w:t xml:space="preserve">In contrast to our findings, the bulk of guidelines usually recommend triple therapy with levofloxacin as a second-line treatment. A recent study conducted in the United States has shown a significant prevalence of levofloxacin resistance, with a rate of 37.6%. As a result, levofloxacin triple therapy is not recommended as a first treatment option. As an initial therapy, this regimen </w:t>
      </w:r>
      <w:r w:rsidR="007F05D3">
        <w:rPr>
          <w:rFonts w:asciiTheme="majorBidi" w:eastAsia="Times New Roman" w:hAnsiTheme="majorBidi" w:cstheme="majorBidi"/>
          <w:sz w:val="24"/>
          <w:szCs w:val="24"/>
        </w:rPr>
        <w:t>showed</w:t>
      </w:r>
      <w:r w:rsidRPr="00C0688A">
        <w:rPr>
          <w:rFonts w:asciiTheme="majorBidi" w:eastAsia="Times New Roman" w:hAnsiTheme="majorBidi" w:cstheme="majorBidi"/>
          <w:sz w:val="24"/>
          <w:szCs w:val="24"/>
        </w:rPr>
        <w:t xml:space="preserve"> </w:t>
      </w:r>
      <w:r w:rsidR="003A7E8C">
        <w:rPr>
          <w:rFonts w:asciiTheme="majorBidi" w:eastAsia="Times New Roman" w:hAnsiTheme="majorBidi" w:cstheme="majorBidi"/>
          <w:sz w:val="24"/>
          <w:szCs w:val="24"/>
        </w:rPr>
        <w:t>reasonable</w:t>
      </w:r>
      <w:r w:rsidRPr="00C0688A">
        <w:rPr>
          <w:rFonts w:asciiTheme="majorBidi" w:eastAsia="Times New Roman" w:hAnsiTheme="majorBidi" w:cstheme="majorBidi"/>
          <w:sz w:val="24"/>
          <w:szCs w:val="24"/>
        </w:rPr>
        <w:t xml:space="preserve"> </w:t>
      </w:r>
      <w:r w:rsidR="003A7E8C">
        <w:rPr>
          <w:rFonts w:asciiTheme="majorBidi" w:eastAsia="Times New Roman" w:hAnsiTheme="majorBidi" w:cstheme="majorBidi"/>
          <w:sz w:val="24"/>
          <w:szCs w:val="24"/>
        </w:rPr>
        <w:t>eradication rates</w:t>
      </w:r>
      <w:r w:rsidRPr="00C0688A">
        <w:rPr>
          <w:rFonts w:asciiTheme="majorBidi" w:eastAsia="Times New Roman" w:hAnsiTheme="majorBidi" w:cstheme="majorBidi"/>
          <w:sz w:val="24"/>
          <w:szCs w:val="24"/>
        </w:rPr>
        <w:t xml:space="preserve">, ranging from 79.1% to 85.2% </w:t>
      </w:r>
      <w:r w:rsidR="00E55A79" w:rsidRPr="00E55A79">
        <w:rPr>
          <w:rFonts w:asciiTheme="majorBidi" w:hAnsiTheme="majorBidi" w:cstheme="majorBidi"/>
          <w:sz w:val="24"/>
          <w:szCs w:val="24"/>
        </w:rPr>
        <w:t>[</w:t>
      </w:r>
      <w:r w:rsidR="00E55A79">
        <w:rPr>
          <w:rFonts w:asciiTheme="majorBidi" w:hAnsiTheme="majorBidi" w:cstheme="majorBidi"/>
          <w:sz w:val="24"/>
          <w:szCs w:val="24"/>
        </w:rPr>
        <w:t>10</w:t>
      </w:r>
      <w:r w:rsidR="00E55A79" w:rsidRPr="00E55A79">
        <w:rPr>
          <w:rFonts w:asciiTheme="majorBidi" w:hAnsiTheme="majorBidi" w:cstheme="majorBidi"/>
          <w:sz w:val="24"/>
          <w:szCs w:val="24"/>
        </w:rPr>
        <w:t>]</w:t>
      </w:r>
      <w:r w:rsidR="00E55A79">
        <w:rPr>
          <w:rFonts w:asciiTheme="majorBidi" w:hAnsiTheme="majorBidi" w:cstheme="majorBidi"/>
          <w:sz w:val="24"/>
          <w:szCs w:val="24"/>
        </w:rPr>
        <w:t>.</w:t>
      </w:r>
      <w:r w:rsidR="00446B32" w:rsidRPr="00446B32">
        <w:t xml:space="preserve"> </w:t>
      </w:r>
      <w:r w:rsidR="00446B32" w:rsidRPr="00446B32">
        <w:rPr>
          <w:rFonts w:asciiTheme="majorBidi" w:hAnsiTheme="majorBidi" w:cstheme="majorBidi"/>
          <w:sz w:val="24"/>
          <w:szCs w:val="24"/>
        </w:rPr>
        <w:t xml:space="preserve"> </w:t>
      </w:r>
      <w:r w:rsidR="00446B32" w:rsidRPr="00446B32">
        <w:rPr>
          <w:rFonts w:asciiTheme="majorBidi" w:hAnsiTheme="majorBidi" w:cstheme="majorBidi"/>
          <w:i/>
          <w:iCs/>
          <w:sz w:val="24"/>
          <w:szCs w:val="24"/>
        </w:rPr>
        <w:t>H. pylori</w:t>
      </w:r>
      <w:r w:rsidR="00446B32" w:rsidRPr="00446B32">
        <w:rPr>
          <w:rFonts w:asciiTheme="majorBidi" w:hAnsiTheme="majorBidi" w:cstheme="majorBidi"/>
          <w:sz w:val="24"/>
          <w:szCs w:val="24"/>
        </w:rPr>
        <w:t xml:space="preserve"> antibiotic resistance rates were </w:t>
      </w:r>
      <w:r w:rsidR="003A7E8C">
        <w:rPr>
          <w:rFonts w:asciiTheme="majorBidi" w:hAnsiTheme="majorBidi" w:cstheme="majorBidi"/>
          <w:sz w:val="24"/>
          <w:szCs w:val="24"/>
        </w:rPr>
        <w:t>as low as levofloxacin, 20% in Egypt, in another study by Mohamed et al</w:t>
      </w:r>
      <w:r w:rsidR="002C6F8D" w:rsidRPr="00D95EEC">
        <w:rPr>
          <w:rFonts w:asciiTheme="majorBidi" w:hAnsiTheme="majorBidi" w:cstheme="majorBidi"/>
          <w:sz w:val="24"/>
          <w:szCs w:val="24"/>
        </w:rPr>
        <w:t>.</w:t>
      </w:r>
      <w:r w:rsidR="00446B32" w:rsidRPr="00D95EEC">
        <w:rPr>
          <w:rFonts w:asciiTheme="majorBidi" w:hAnsiTheme="majorBidi" w:cstheme="majorBidi"/>
          <w:sz w:val="24"/>
          <w:szCs w:val="24"/>
        </w:rPr>
        <w:t xml:space="preserve"> </w:t>
      </w:r>
      <w:r w:rsidR="002C6F8D" w:rsidRPr="00D95EEC">
        <w:rPr>
          <w:rFonts w:asciiTheme="majorBidi" w:hAnsiTheme="majorBidi" w:cstheme="majorBidi"/>
          <w:sz w:val="24"/>
          <w:szCs w:val="24"/>
        </w:rPr>
        <w:t>[12]</w:t>
      </w:r>
      <w:r w:rsidR="002C6F8D" w:rsidRPr="002C6F8D">
        <w:rPr>
          <w:rFonts w:asciiTheme="majorBidi" w:hAnsiTheme="majorBidi" w:cstheme="majorBidi"/>
          <w:sz w:val="24"/>
          <w:szCs w:val="24"/>
        </w:rPr>
        <w:t xml:space="preserve">.  </w:t>
      </w:r>
    </w:p>
    <w:p w14:paraId="72C75124" w14:textId="2055968F" w:rsidR="009A7CA4" w:rsidRPr="00C0688A" w:rsidRDefault="00A16AA6" w:rsidP="00F90E3A">
      <w:pPr>
        <w:spacing w:before="120" w:after="0" w:line="480" w:lineRule="auto"/>
        <w:ind w:firstLine="567"/>
        <w:jc w:val="both"/>
        <w:rPr>
          <w:rFonts w:asciiTheme="majorBidi" w:eastAsia="Times New Roman" w:hAnsiTheme="majorBidi" w:cstheme="majorBidi"/>
          <w:sz w:val="24"/>
          <w:szCs w:val="24"/>
        </w:rPr>
      </w:pPr>
      <w:r w:rsidRPr="00C0688A">
        <w:rPr>
          <w:rFonts w:asciiTheme="majorBidi" w:eastAsia="Times New Roman" w:hAnsiTheme="majorBidi" w:cstheme="majorBidi"/>
          <w:sz w:val="24"/>
          <w:szCs w:val="24"/>
        </w:rPr>
        <w:t xml:space="preserve">Rahmati </w:t>
      </w:r>
      <w:r w:rsidR="003A7E8C">
        <w:rPr>
          <w:rFonts w:asciiTheme="majorBidi" w:eastAsia="Times New Roman" w:hAnsiTheme="majorBidi" w:cstheme="majorBidi"/>
          <w:sz w:val="24"/>
          <w:szCs w:val="24"/>
        </w:rPr>
        <w:t>A.</w:t>
      </w:r>
      <w:r w:rsidRPr="00C0688A">
        <w:rPr>
          <w:rFonts w:asciiTheme="majorBidi" w:eastAsia="Times New Roman" w:hAnsiTheme="majorBidi" w:cstheme="majorBidi"/>
          <w:sz w:val="24"/>
          <w:szCs w:val="24"/>
        </w:rPr>
        <w:t xml:space="preserve"> </w:t>
      </w:r>
      <w:r w:rsidR="003A7E8C">
        <w:rPr>
          <w:rFonts w:asciiTheme="majorBidi" w:eastAsia="Times New Roman" w:hAnsiTheme="majorBidi" w:cstheme="majorBidi"/>
          <w:sz w:val="24"/>
          <w:szCs w:val="24"/>
        </w:rPr>
        <w:t xml:space="preserve">et al. (2022) conducted a study that </w:t>
      </w:r>
      <w:r w:rsidRPr="00C0688A">
        <w:rPr>
          <w:rFonts w:asciiTheme="majorBidi" w:eastAsia="Times New Roman" w:hAnsiTheme="majorBidi" w:cstheme="majorBidi"/>
          <w:sz w:val="24"/>
          <w:szCs w:val="24"/>
        </w:rPr>
        <w:t>revealed that eliminating H. pylori has been linked to a rise in platelet count in patien</w:t>
      </w:r>
      <w:r w:rsidR="00F90E3A">
        <w:rPr>
          <w:rFonts w:asciiTheme="majorBidi" w:eastAsia="Times New Roman" w:hAnsiTheme="majorBidi" w:cstheme="majorBidi"/>
          <w:sz w:val="24"/>
          <w:szCs w:val="24"/>
        </w:rPr>
        <w:t>ts with immune thrombocytopenia</w:t>
      </w:r>
      <w:r w:rsidR="003A7E8C">
        <w:rPr>
          <w:rFonts w:asciiTheme="majorBidi" w:eastAsia="Times New Roman" w:hAnsiTheme="majorBidi" w:cstheme="majorBidi"/>
          <w:sz w:val="24"/>
          <w:szCs w:val="24"/>
        </w:rPr>
        <w:t xml:space="preserve">. </w:t>
      </w:r>
      <w:r w:rsidRPr="00C0688A">
        <w:rPr>
          <w:rFonts w:asciiTheme="majorBidi" w:eastAsia="Times New Roman" w:hAnsiTheme="majorBidi" w:cstheme="majorBidi"/>
          <w:sz w:val="24"/>
          <w:szCs w:val="24"/>
        </w:rPr>
        <w:t xml:space="preserve">The study included a group of 1907 patients who had either had an </w:t>
      </w:r>
      <w:r w:rsidRPr="00F851B5">
        <w:rPr>
          <w:rFonts w:asciiTheme="majorBidi" w:eastAsia="Times New Roman" w:hAnsiTheme="majorBidi" w:cstheme="majorBidi"/>
          <w:i/>
          <w:iCs/>
          <w:sz w:val="24"/>
          <w:szCs w:val="24"/>
        </w:rPr>
        <w:t>H. pylori</w:t>
      </w:r>
      <w:r w:rsidRPr="00C0688A">
        <w:rPr>
          <w:rFonts w:asciiTheme="majorBidi" w:eastAsia="Times New Roman" w:hAnsiTheme="majorBidi" w:cstheme="majorBidi"/>
          <w:sz w:val="24"/>
          <w:szCs w:val="24"/>
        </w:rPr>
        <w:t xml:space="preserve"> blood antibody test (n=1546) or underwent an upper gastrointestinal endoscopy (n=361). </w:t>
      </w:r>
      <w:r w:rsidR="003A7E8C">
        <w:rPr>
          <w:rFonts w:asciiTheme="majorBidi" w:eastAsia="Times New Roman" w:hAnsiTheme="majorBidi" w:cstheme="majorBidi"/>
          <w:sz w:val="24"/>
          <w:szCs w:val="24"/>
        </w:rPr>
        <w:t xml:space="preserve">The platelet count, indices, and other blood cell parameters were analyzed </w:t>
      </w:r>
      <w:r w:rsidRPr="00C0688A">
        <w:rPr>
          <w:rFonts w:asciiTheme="majorBidi" w:eastAsia="Times New Roman" w:hAnsiTheme="majorBidi" w:cstheme="majorBidi"/>
          <w:sz w:val="24"/>
          <w:szCs w:val="24"/>
        </w:rPr>
        <w:t xml:space="preserve">in individuals who tested positive and negative for </w:t>
      </w:r>
      <w:r w:rsidRPr="00F851B5">
        <w:rPr>
          <w:rFonts w:asciiTheme="majorBidi" w:eastAsia="Times New Roman" w:hAnsiTheme="majorBidi" w:cstheme="majorBidi"/>
          <w:i/>
          <w:iCs/>
          <w:sz w:val="24"/>
          <w:szCs w:val="24"/>
        </w:rPr>
        <w:t>H. pylori</w:t>
      </w:r>
      <w:r w:rsidRPr="00C0688A">
        <w:rPr>
          <w:rFonts w:asciiTheme="majorBidi" w:eastAsia="Times New Roman" w:hAnsiTheme="majorBidi" w:cstheme="majorBidi"/>
          <w:sz w:val="24"/>
          <w:szCs w:val="24"/>
        </w:rPr>
        <w:t xml:space="preserve">. There was no significant difference in platelet count and indices between those who tested positive and negative for </w:t>
      </w:r>
      <w:r w:rsidRPr="00F851B5">
        <w:rPr>
          <w:rFonts w:asciiTheme="majorBidi" w:eastAsia="Times New Roman" w:hAnsiTheme="majorBidi" w:cstheme="majorBidi"/>
          <w:i/>
          <w:iCs/>
          <w:sz w:val="24"/>
          <w:szCs w:val="24"/>
        </w:rPr>
        <w:t>H. pylori</w:t>
      </w:r>
      <w:r w:rsidR="00954AFF">
        <w:rPr>
          <w:rFonts w:asciiTheme="majorBidi" w:eastAsia="Times New Roman" w:hAnsiTheme="majorBidi" w:cstheme="majorBidi"/>
          <w:sz w:val="24"/>
          <w:szCs w:val="24"/>
        </w:rPr>
        <w:t xml:space="preserve"> (P &gt; 0.05) </w:t>
      </w:r>
      <w:r w:rsidR="009A5815" w:rsidRPr="009A5815">
        <w:rPr>
          <w:rFonts w:asciiTheme="majorBidi" w:hAnsiTheme="majorBidi" w:cstheme="majorBidi"/>
          <w:sz w:val="24"/>
          <w:szCs w:val="24"/>
        </w:rPr>
        <w:t>[</w:t>
      </w:r>
      <w:r w:rsidR="009A5815">
        <w:rPr>
          <w:rFonts w:asciiTheme="majorBidi" w:hAnsiTheme="majorBidi" w:cstheme="majorBidi"/>
          <w:sz w:val="24"/>
          <w:szCs w:val="24"/>
        </w:rPr>
        <w:t>1</w:t>
      </w:r>
      <w:r w:rsidR="004B3389">
        <w:rPr>
          <w:rFonts w:asciiTheme="majorBidi" w:hAnsiTheme="majorBidi" w:cstheme="majorBidi"/>
          <w:sz w:val="24"/>
          <w:szCs w:val="24"/>
        </w:rPr>
        <w:t>3</w:t>
      </w:r>
      <w:r w:rsidR="009A5815" w:rsidRPr="009A5815">
        <w:rPr>
          <w:rFonts w:asciiTheme="majorBidi" w:hAnsiTheme="majorBidi" w:cstheme="majorBidi"/>
          <w:sz w:val="24"/>
          <w:szCs w:val="24"/>
        </w:rPr>
        <w:t>]</w:t>
      </w:r>
      <w:r w:rsidR="009A5815">
        <w:rPr>
          <w:rFonts w:asciiTheme="majorBidi" w:hAnsiTheme="majorBidi" w:cstheme="majorBidi"/>
          <w:sz w:val="24"/>
          <w:szCs w:val="24"/>
        </w:rPr>
        <w:t>.</w:t>
      </w:r>
    </w:p>
    <w:p w14:paraId="68D1464D" w14:textId="25A5C565" w:rsidR="008D4E6C" w:rsidRDefault="00A16AA6" w:rsidP="008D4E6C">
      <w:pPr>
        <w:spacing w:before="120" w:after="0" w:line="480" w:lineRule="auto"/>
        <w:ind w:firstLine="567"/>
        <w:rPr>
          <w:rFonts w:asciiTheme="majorBidi" w:eastAsia="Times New Roman" w:hAnsiTheme="majorBidi" w:cstheme="majorBidi"/>
          <w:spacing w:val="4"/>
          <w:sz w:val="24"/>
          <w:szCs w:val="24"/>
        </w:rPr>
      </w:pPr>
      <w:r w:rsidRPr="00C0688A">
        <w:rPr>
          <w:rFonts w:asciiTheme="majorBidi" w:eastAsia="Times New Roman" w:hAnsiTheme="majorBidi" w:cstheme="majorBidi"/>
          <w:sz w:val="24"/>
          <w:szCs w:val="24"/>
        </w:rPr>
        <w:t xml:space="preserve">In a study by Haeri M. et al. (2018), </w:t>
      </w:r>
      <w:r w:rsidR="003A7E8C">
        <w:rPr>
          <w:rFonts w:asciiTheme="majorBidi" w:eastAsia="Times New Roman" w:hAnsiTheme="majorBidi" w:cstheme="majorBidi"/>
          <w:sz w:val="24"/>
          <w:szCs w:val="24"/>
        </w:rPr>
        <w:t xml:space="preserve">66.5% of the cases tested positive for </w:t>
      </w:r>
      <w:r w:rsidR="003A7E8C" w:rsidRPr="00F0537C">
        <w:rPr>
          <w:rFonts w:asciiTheme="majorBidi" w:eastAsia="Times New Roman" w:hAnsiTheme="majorBidi" w:cstheme="majorBidi"/>
          <w:i/>
          <w:iCs/>
          <w:sz w:val="24"/>
          <w:szCs w:val="24"/>
        </w:rPr>
        <w:t>H. pylori.</w:t>
      </w:r>
      <w:r w:rsidR="003A7E8C">
        <w:rPr>
          <w:rFonts w:asciiTheme="majorBidi" w:eastAsia="Times New Roman" w:hAnsiTheme="majorBidi" w:cstheme="majorBidi"/>
          <w:sz w:val="24"/>
          <w:szCs w:val="24"/>
        </w:rPr>
        <w:t xml:space="preserve"> Male individuals afflicted with </w:t>
      </w:r>
      <w:r w:rsidR="003A7E8C" w:rsidRPr="00E20C73">
        <w:rPr>
          <w:rFonts w:asciiTheme="majorBidi" w:eastAsia="Times New Roman" w:hAnsiTheme="majorBidi" w:cstheme="majorBidi"/>
          <w:i/>
          <w:iCs/>
          <w:sz w:val="24"/>
          <w:szCs w:val="24"/>
        </w:rPr>
        <w:t>H. pylori</w:t>
      </w:r>
      <w:r w:rsidR="003A7E8C">
        <w:rPr>
          <w:rFonts w:asciiTheme="majorBidi" w:eastAsia="Times New Roman" w:hAnsiTheme="majorBidi" w:cstheme="majorBidi"/>
          <w:sz w:val="24"/>
          <w:szCs w:val="24"/>
        </w:rPr>
        <w:t xml:space="preserve"> infection exhibited elevated levels of LDL compared to those who did not have </w:t>
      </w:r>
      <w:r w:rsidR="003A7E8C" w:rsidRPr="00E20C73">
        <w:rPr>
          <w:rFonts w:asciiTheme="majorBidi" w:eastAsia="Times New Roman" w:hAnsiTheme="majorBidi" w:cstheme="majorBidi"/>
          <w:i/>
          <w:iCs/>
          <w:sz w:val="24"/>
          <w:szCs w:val="24"/>
        </w:rPr>
        <w:t>H. pylori</w:t>
      </w:r>
      <w:r w:rsidR="003A7E8C">
        <w:rPr>
          <w:rFonts w:asciiTheme="majorBidi" w:eastAsia="Times New Roman" w:hAnsiTheme="majorBidi" w:cstheme="majorBidi"/>
          <w:sz w:val="24"/>
          <w:szCs w:val="24"/>
        </w:rPr>
        <w:t xml:space="preserve">. In addition, those with </w:t>
      </w:r>
      <w:r w:rsidR="003A7E8C" w:rsidRPr="00F0537C">
        <w:rPr>
          <w:rFonts w:asciiTheme="majorBidi" w:eastAsia="Times New Roman" w:hAnsiTheme="majorBidi" w:cstheme="majorBidi"/>
          <w:i/>
          <w:iCs/>
          <w:sz w:val="24"/>
          <w:szCs w:val="24"/>
        </w:rPr>
        <w:t>H. pylori</w:t>
      </w:r>
      <w:r w:rsidR="003A7E8C">
        <w:rPr>
          <w:rFonts w:asciiTheme="majorBidi" w:eastAsia="Times New Roman" w:hAnsiTheme="majorBidi" w:cstheme="majorBidi"/>
          <w:sz w:val="24"/>
          <w:szCs w:val="24"/>
        </w:rPr>
        <w:t xml:space="preserve"> infection exhibited elevated </w:t>
      </w:r>
      <w:r w:rsidR="008D4E6C">
        <w:rPr>
          <w:rFonts w:asciiTheme="majorBidi" w:eastAsia="Times New Roman" w:hAnsiTheme="majorBidi" w:cstheme="majorBidi"/>
          <w:sz w:val="24"/>
          <w:szCs w:val="24"/>
        </w:rPr>
        <w:t xml:space="preserve">triglyceride </w:t>
      </w:r>
      <w:r w:rsidR="003A7E8C">
        <w:rPr>
          <w:rFonts w:asciiTheme="majorBidi" w:eastAsia="Times New Roman" w:hAnsiTheme="majorBidi" w:cstheme="majorBidi"/>
          <w:sz w:val="24"/>
          <w:szCs w:val="24"/>
        </w:rPr>
        <w:t xml:space="preserve">levels and reduced HDL levels. Nevertheless, there was no statistically significant disparity in HDL and TG between the cases with and without </w:t>
      </w:r>
      <w:r w:rsidR="003A7E8C" w:rsidRPr="00F0537C">
        <w:rPr>
          <w:rFonts w:asciiTheme="majorBidi" w:eastAsia="Times New Roman" w:hAnsiTheme="majorBidi" w:cstheme="majorBidi"/>
          <w:i/>
          <w:iCs/>
          <w:sz w:val="24"/>
          <w:szCs w:val="24"/>
        </w:rPr>
        <w:t>H</w:t>
      </w:r>
      <w:r w:rsidR="00E20C73" w:rsidRPr="00F0537C">
        <w:rPr>
          <w:rFonts w:asciiTheme="majorBidi" w:eastAsia="Times New Roman" w:hAnsiTheme="majorBidi" w:cstheme="majorBidi"/>
          <w:i/>
          <w:iCs/>
          <w:sz w:val="24"/>
          <w:szCs w:val="24"/>
        </w:rPr>
        <w:t xml:space="preserve">. </w:t>
      </w:r>
      <w:r w:rsidR="00D95EEC" w:rsidRPr="00F0537C">
        <w:rPr>
          <w:rFonts w:asciiTheme="majorBidi" w:eastAsia="Times New Roman" w:hAnsiTheme="majorBidi" w:cstheme="majorBidi"/>
          <w:i/>
          <w:iCs/>
          <w:sz w:val="24"/>
          <w:szCs w:val="24"/>
        </w:rPr>
        <w:t>pylori</w:t>
      </w:r>
      <w:r w:rsidR="003A6086">
        <w:rPr>
          <w:rFonts w:asciiTheme="majorBidi" w:eastAsia="Times New Roman" w:hAnsiTheme="majorBidi" w:cstheme="majorBidi"/>
          <w:sz w:val="24"/>
          <w:szCs w:val="24"/>
        </w:rPr>
        <w:t xml:space="preserve"> infection </w:t>
      </w:r>
      <w:r w:rsidR="009A5815" w:rsidRPr="009A5815">
        <w:rPr>
          <w:rFonts w:asciiTheme="majorBidi" w:hAnsiTheme="majorBidi" w:cstheme="majorBidi"/>
          <w:sz w:val="24"/>
          <w:szCs w:val="24"/>
        </w:rPr>
        <w:t>[</w:t>
      </w:r>
      <w:r w:rsidR="009A5815">
        <w:rPr>
          <w:rFonts w:asciiTheme="majorBidi" w:hAnsiTheme="majorBidi" w:cstheme="majorBidi"/>
          <w:sz w:val="24"/>
          <w:szCs w:val="24"/>
        </w:rPr>
        <w:t>1</w:t>
      </w:r>
      <w:r w:rsidR="004B3389">
        <w:rPr>
          <w:rFonts w:asciiTheme="majorBidi" w:hAnsiTheme="majorBidi" w:cstheme="majorBidi"/>
          <w:sz w:val="24"/>
          <w:szCs w:val="24"/>
        </w:rPr>
        <w:t>4</w:t>
      </w:r>
      <w:r w:rsidR="009A5815" w:rsidRPr="009A5815">
        <w:rPr>
          <w:rFonts w:asciiTheme="majorBidi" w:hAnsiTheme="majorBidi" w:cstheme="majorBidi"/>
          <w:sz w:val="24"/>
          <w:szCs w:val="24"/>
        </w:rPr>
        <w:t>]</w:t>
      </w:r>
      <w:r w:rsidR="009A5815">
        <w:rPr>
          <w:rFonts w:asciiTheme="majorBidi" w:hAnsiTheme="majorBidi" w:cstheme="majorBidi"/>
          <w:sz w:val="24"/>
          <w:szCs w:val="24"/>
        </w:rPr>
        <w:t>.</w:t>
      </w:r>
      <w:r w:rsidR="009A5815">
        <w:rPr>
          <w:rFonts w:asciiTheme="majorBidi" w:hAnsiTheme="majorBidi" w:cstheme="majorBidi"/>
          <w:sz w:val="24"/>
          <w:szCs w:val="24"/>
        </w:rPr>
        <w:br/>
      </w:r>
      <w:r w:rsidRPr="00C0688A">
        <w:rPr>
          <w:rFonts w:asciiTheme="majorBidi" w:hAnsiTheme="majorBidi" w:cstheme="majorBidi"/>
          <w:b/>
          <w:bCs/>
          <w:sz w:val="24"/>
          <w:szCs w:val="24"/>
        </w:rPr>
        <w:t>Limitations of the study:</w:t>
      </w:r>
      <w:r w:rsidR="0039230A">
        <w:rPr>
          <w:rFonts w:asciiTheme="majorBidi" w:hAnsiTheme="majorBidi" w:cstheme="majorBidi"/>
          <w:b/>
          <w:bCs/>
          <w:sz w:val="24"/>
          <w:szCs w:val="24"/>
        </w:rPr>
        <w:t xml:space="preserve"> </w:t>
      </w:r>
      <w:r w:rsidR="003A7E8C">
        <w:rPr>
          <w:rFonts w:asciiTheme="majorBidi" w:eastAsia="Times New Roman" w:hAnsiTheme="majorBidi" w:cstheme="majorBidi"/>
          <w:spacing w:val="4"/>
          <w:sz w:val="24"/>
          <w:szCs w:val="24"/>
        </w:rPr>
        <w:t xml:space="preserve">Our </w:t>
      </w:r>
      <w:r w:rsidR="008D4E6C">
        <w:rPr>
          <w:rFonts w:asciiTheme="majorBidi" w:eastAsia="Times New Roman" w:hAnsiTheme="majorBidi" w:cstheme="majorBidi"/>
          <w:spacing w:val="4"/>
          <w:sz w:val="24"/>
          <w:szCs w:val="24"/>
        </w:rPr>
        <w:t>limitations were</w:t>
      </w:r>
      <w:r w:rsidR="003A7E8C">
        <w:rPr>
          <w:rFonts w:asciiTheme="majorBidi" w:eastAsia="Times New Roman" w:hAnsiTheme="majorBidi" w:cstheme="majorBidi"/>
          <w:spacing w:val="4"/>
          <w:sz w:val="24"/>
          <w:szCs w:val="24"/>
        </w:rPr>
        <w:t xml:space="preserve"> the short follow-up period</w:t>
      </w:r>
      <w:r w:rsidR="008D4E6C">
        <w:rPr>
          <w:rFonts w:asciiTheme="majorBidi" w:eastAsia="Times New Roman" w:hAnsiTheme="majorBidi" w:cstheme="majorBidi"/>
          <w:spacing w:val="4"/>
          <w:sz w:val="24"/>
          <w:szCs w:val="24"/>
        </w:rPr>
        <w:t>, small sample size, and single-center study.</w:t>
      </w:r>
    </w:p>
    <w:p w14:paraId="3E720247" w14:textId="57942160" w:rsidR="009A7CA4" w:rsidRPr="00C0688A" w:rsidRDefault="00A16AA6" w:rsidP="008D4E6C">
      <w:pPr>
        <w:spacing w:before="120" w:after="0" w:line="480" w:lineRule="auto"/>
        <w:rPr>
          <w:rFonts w:asciiTheme="majorBidi" w:hAnsiTheme="majorBidi" w:cstheme="majorBidi"/>
          <w:b/>
          <w:bCs/>
          <w:sz w:val="24"/>
          <w:szCs w:val="24"/>
        </w:rPr>
      </w:pPr>
      <w:r w:rsidRPr="00C0688A">
        <w:rPr>
          <w:rFonts w:asciiTheme="majorBidi" w:hAnsiTheme="majorBidi" w:cstheme="majorBidi"/>
          <w:b/>
          <w:bCs/>
          <w:sz w:val="24"/>
          <w:szCs w:val="24"/>
        </w:rPr>
        <w:t xml:space="preserve">Conclusion </w:t>
      </w:r>
    </w:p>
    <w:p w14:paraId="36CE311D" w14:textId="5BA693F9" w:rsidR="009A7CA4" w:rsidRPr="00C0688A" w:rsidRDefault="00A16AA6" w:rsidP="00DD3506">
      <w:pPr>
        <w:spacing w:before="120" w:after="0" w:line="480" w:lineRule="auto"/>
        <w:ind w:firstLine="567"/>
        <w:jc w:val="both"/>
        <w:rPr>
          <w:rFonts w:asciiTheme="majorBidi" w:eastAsia="Times New Roman" w:hAnsiTheme="majorBidi" w:cstheme="majorBidi"/>
          <w:sz w:val="24"/>
          <w:szCs w:val="24"/>
        </w:rPr>
      </w:pPr>
      <w:r w:rsidRPr="00C0688A">
        <w:rPr>
          <w:rFonts w:asciiTheme="majorBidi" w:eastAsia="Times New Roman" w:hAnsiTheme="majorBidi" w:cstheme="majorBidi"/>
          <w:sz w:val="24"/>
          <w:szCs w:val="24"/>
        </w:rPr>
        <w:t xml:space="preserve">Finally, treatment has reduced the high prevalence of gastrointestinal symptoms associated with </w:t>
      </w:r>
      <w:r w:rsidRPr="00E00CC2">
        <w:rPr>
          <w:rFonts w:asciiTheme="majorBidi" w:eastAsia="Times New Roman" w:hAnsiTheme="majorBidi" w:cstheme="majorBidi"/>
          <w:i/>
          <w:iCs/>
          <w:sz w:val="24"/>
          <w:szCs w:val="24"/>
        </w:rPr>
        <w:t>H. pylori</w:t>
      </w:r>
      <w:r w:rsidRPr="00C0688A">
        <w:rPr>
          <w:rFonts w:asciiTheme="majorBidi" w:eastAsia="Times New Roman" w:hAnsiTheme="majorBidi" w:cstheme="majorBidi"/>
          <w:sz w:val="24"/>
          <w:szCs w:val="24"/>
        </w:rPr>
        <w:t xml:space="preserve"> infections. There was evidence of a correlation between the </w:t>
      </w:r>
      <w:r w:rsidRPr="00E00CC2">
        <w:rPr>
          <w:rFonts w:asciiTheme="majorBidi" w:eastAsia="Times New Roman" w:hAnsiTheme="majorBidi" w:cstheme="majorBidi"/>
          <w:i/>
          <w:iCs/>
          <w:sz w:val="24"/>
          <w:szCs w:val="24"/>
        </w:rPr>
        <w:t xml:space="preserve">H. pylori </w:t>
      </w:r>
      <w:r w:rsidRPr="00C0688A">
        <w:rPr>
          <w:rFonts w:asciiTheme="majorBidi" w:eastAsia="Times New Roman" w:hAnsiTheme="majorBidi" w:cstheme="majorBidi"/>
          <w:sz w:val="24"/>
          <w:szCs w:val="24"/>
        </w:rPr>
        <w:t xml:space="preserve">fecal antigen and the CBC values; nonetheless, dyslipidemia may be </w:t>
      </w:r>
      <w:r w:rsidR="003A7E8C">
        <w:rPr>
          <w:rFonts w:asciiTheme="majorBidi" w:eastAsia="Times New Roman" w:hAnsiTheme="majorBidi" w:cstheme="majorBidi"/>
          <w:sz w:val="24"/>
          <w:szCs w:val="24"/>
        </w:rPr>
        <w:t>related to</w:t>
      </w:r>
      <w:r w:rsidRPr="00C0688A">
        <w:rPr>
          <w:rFonts w:asciiTheme="majorBidi" w:eastAsia="Times New Roman" w:hAnsiTheme="majorBidi" w:cstheme="majorBidi"/>
          <w:sz w:val="24"/>
          <w:szCs w:val="24"/>
        </w:rPr>
        <w:t xml:space="preserve"> </w:t>
      </w:r>
      <w:r w:rsidRPr="00E00CC2">
        <w:rPr>
          <w:rFonts w:asciiTheme="majorBidi" w:eastAsia="Times New Roman" w:hAnsiTheme="majorBidi" w:cstheme="majorBidi"/>
          <w:i/>
          <w:iCs/>
          <w:sz w:val="24"/>
          <w:szCs w:val="24"/>
        </w:rPr>
        <w:t>H. pylori</w:t>
      </w:r>
      <w:r w:rsidRPr="00C0688A">
        <w:rPr>
          <w:rFonts w:asciiTheme="majorBidi" w:eastAsia="Times New Roman" w:hAnsiTheme="majorBidi" w:cstheme="majorBidi"/>
          <w:sz w:val="24"/>
          <w:szCs w:val="24"/>
        </w:rPr>
        <w:t xml:space="preserve"> infection. This correlation necessitates further research to confirm and clarify the processes at work.</w:t>
      </w:r>
      <w:r w:rsidR="00DD3506" w:rsidRPr="00DD3506">
        <w:t xml:space="preserve"> </w:t>
      </w:r>
      <w:r w:rsidR="00DD3506" w:rsidRPr="00D95EEC">
        <w:rPr>
          <w:rFonts w:asciiTheme="majorBidi" w:eastAsia="Times New Roman" w:hAnsiTheme="majorBidi" w:cstheme="majorBidi"/>
          <w:sz w:val="24"/>
          <w:szCs w:val="24"/>
        </w:rPr>
        <w:t xml:space="preserve">Our research indicates that for those who test positive for </w:t>
      </w:r>
      <w:r w:rsidR="00DD3506" w:rsidRPr="002060E6">
        <w:rPr>
          <w:rFonts w:asciiTheme="majorBidi" w:eastAsia="Times New Roman" w:hAnsiTheme="majorBidi" w:cstheme="majorBidi"/>
          <w:i/>
          <w:iCs/>
          <w:sz w:val="24"/>
          <w:szCs w:val="24"/>
        </w:rPr>
        <w:t>H. pylori</w:t>
      </w:r>
      <w:r w:rsidR="00DD3506" w:rsidRPr="00D95EEC">
        <w:rPr>
          <w:rFonts w:asciiTheme="majorBidi" w:eastAsia="Times New Roman" w:hAnsiTheme="majorBidi" w:cstheme="majorBidi"/>
          <w:sz w:val="24"/>
          <w:szCs w:val="24"/>
        </w:rPr>
        <w:t>, we advise conducting lipid profiles, hematological parameter testing, and long-term community-based studies.</w:t>
      </w:r>
    </w:p>
    <w:p w14:paraId="19C158FC" w14:textId="77777777" w:rsidR="007B7280" w:rsidRPr="007B7280" w:rsidRDefault="007B7280" w:rsidP="007B7280">
      <w:pPr>
        <w:spacing w:before="120" w:after="0" w:line="480" w:lineRule="auto"/>
        <w:rPr>
          <w:rFonts w:asciiTheme="majorBidi" w:eastAsia="Times New Roman" w:hAnsiTheme="majorBidi" w:cstheme="majorBidi"/>
          <w:b/>
          <w:bCs/>
          <w:sz w:val="24"/>
          <w:szCs w:val="24"/>
        </w:rPr>
      </w:pPr>
      <w:r w:rsidRPr="007B7280">
        <w:rPr>
          <w:rFonts w:asciiTheme="majorBidi" w:eastAsia="Times New Roman" w:hAnsiTheme="majorBidi" w:cstheme="majorBidi"/>
          <w:b/>
          <w:bCs/>
          <w:sz w:val="24"/>
          <w:szCs w:val="24"/>
        </w:rPr>
        <w:t>Footnotes.</w:t>
      </w:r>
    </w:p>
    <w:p w14:paraId="297F8487" w14:textId="689ACB93" w:rsidR="007B7280" w:rsidRPr="007B7280" w:rsidRDefault="007B7280" w:rsidP="007B7280">
      <w:pPr>
        <w:spacing w:before="120" w:after="0" w:line="480" w:lineRule="auto"/>
        <w:rPr>
          <w:rFonts w:asciiTheme="majorBidi" w:eastAsia="Times New Roman" w:hAnsiTheme="majorBidi" w:cstheme="majorBidi"/>
          <w:sz w:val="24"/>
          <w:szCs w:val="24"/>
        </w:rPr>
      </w:pPr>
      <w:r w:rsidRPr="007B7280">
        <w:rPr>
          <w:rFonts w:asciiTheme="majorBidi" w:eastAsia="Times New Roman" w:hAnsiTheme="majorBidi" w:cstheme="majorBidi"/>
          <w:sz w:val="24"/>
          <w:szCs w:val="24"/>
        </w:rPr>
        <w:t xml:space="preserve">Mohamed Emara </w:t>
      </w:r>
      <w:bookmarkStart w:id="10" w:name="_Hlk175576913"/>
      <w:r w:rsidRPr="007B7280">
        <w:rPr>
          <w:rFonts w:asciiTheme="majorBidi" w:eastAsia="Times New Roman" w:hAnsiTheme="majorBidi" w:cstheme="majorBidi"/>
          <w:sz w:val="24"/>
          <w:szCs w:val="24"/>
        </w:rPr>
        <w:t>(</w:t>
      </w:r>
      <w:r w:rsidR="00E42D0A">
        <w:rPr>
          <w:rFonts w:asciiTheme="majorBidi" w:eastAsia="Times New Roman" w:hAnsiTheme="majorBidi" w:cstheme="majorBidi"/>
          <w:sz w:val="24"/>
          <w:szCs w:val="24"/>
        </w:rPr>
        <w:t>P</w:t>
      </w:r>
      <w:r w:rsidRPr="007B7280">
        <w:rPr>
          <w:rFonts w:asciiTheme="majorBidi" w:eastAsia="Times New Roman" w:hAnsiTheme="majorBidi" w:cstheme="majorBidi"/>
          <w:sz w:val="24"/>
          <w:szCs w:val="24"/>
        </w:rPr>
        <w:t xml:space="preserve">rofessor of gastroenterology, hepatology, and infectious </w:t>
      </w:r>
      <w:bookmarkEnd w:id="10"/>
      <w:r w:rsidRPr="007B7280">
        <w:rPr>
          <w:rFonts w:asciiTheme="majorBidi" w:eastAsia="Times New Roman" w:hAnsiTheme="majorBidi" w:cstheme="majorBidi"/>
          <w:sz w:val="24"/>
          <w:szCs w:val="24"/>
        </w:rPr>
        <w:t>diseases)</w:t>
      </w:r>
      <w:r w:rsidR="00E42D0A" w:rsidRPr="007B7280">
        <w:rPr>
          <w:rFonts w:asciiTheme="majorBidi" w:eastAsia="Times New Roman" w:hAnsiTheme="majorBidi" w:cstheme="majorBidi"/>
          <w:sz w:val="24"/>
          <w:szCs w:val="24"/>
        </w:rPr>
        <w:t xml:space="preserve">, </w:t>
      </w:r>
      <w:r w:rsidR="00E42D0A">
        <w:rPr>
          <w:rFonts w:asciiTheme="majorBidi" w:eastAsia="Times New Roman" w:hAnsiTheme="majorBidi" w:cstheme="majorBidi"/>
          <w:sz w:val="24"/>
          <w:szCs w:val="24"/>
        </w:rPr>
        <w:t>Marwa Shabana</w:t>
      </w:r>
      <w:r w:rsidR="00E42D0A" w:rsidRPr="007B7280">
        <w:rPr>
          <w:rFonts w:asciiTheme="majorBidi" w:eastAsia="Times New Roman" w:hAnsiTheme="majorBidi" w:cstheme="majorBidi"/>
          <w:sz w:val="24"/>
          <w:szCs w:val="24"/>
        </w:rPr>
        <w:t xml:space="preserve"> (</w:t>
      </w:r>
      <w:r w:rsidR="00E42D0A">
        <w:rPr>
          <w:rFonts w:asciiTheme="majorBidi" w:eastAsia="Times New Roman" w:hAnsiTheme="majorBidi" w:cstheme="majorBidi"/>
          <w:sz w:val="24"/>
          <w:szCs w:val="24"/>
        </w:rPr>
        <w:t>Assistant professor of clinical pathology</w:t>
      </w:r>
      <w:r w:rsidR="00E42D0A" w:rsidRPr="007B7280">
        <w:rPr>
          <w:rFonts w:asciiTheme="majorBidi" w:eastAsia="Times New Roman" w:hAnsiTheme="majorBidi" w:cstheme="majorBidi"/>
          <w:sz w:val="24"/>
          <w:szCs w:val="24"/>
        </w:rPr>
        <w:t xml:space="preserve">), </w:t>
      </w:r>
      <w:r w:rsidR="00E42D0A">
        <w:rPr>
          <w:rFonts w:asciiTheme="majorBidi" w:eastAsia="Times New Roman" w:hAnsiTheme="majorBidi" w:cstheme="majorBidi"/>
          <w:sz w:val="24"/>
          <w:szCs w:val="24"/>
        </w:rPr>
        <w:t xml:space="preserve">and Amany Mohamed (Assistant professor of family medicine) </w:t>
      </w:r>
      <w:r w:rsidRPr="007B7280">
        <w:rPr>
          <w:rFonts w:asciiTheme="majorBidi" w:eastAsia="Times New Roman" w:hAnsiTheme="majorBidi" w:cstheme="majorBidi"/>
          <w:sz w:val="24"/>
          <w:szCs w:val="24"/>
        </w:rPr>
        <w:t>were the peer reviewers.</w:t>
      </w:r>
    </w:p>
    <w:p w14:paraId="1C0C05BD" w14:textId="77777777" w:rsidR="007B7280" w:rsidRPr="007B7280" w:rsidRDefault="007B7280" w:rsidP="007B7280">
      <w:pPr>
        <w:spacing w:before="120" w:after="0" w:line="480" w:lineRule="auto"/>
        <w:rPr>
          <w:rFonts w:asciiTheme="majorBidi" w:eastAsia="Times New Roman" w:hAnsiTheme="majorBidi" w:cstheme="majorBidi"/>
          <w:sz w:val="24"/>
          <w:szCs w:val="24"/>
        </w:rPr>
      </w:pPr>
      <w:r w:rsidRPr="007B7280">
        <w:rPr>
          <w:rFonts w:asciiTheme="majorBidi" w:eastAsia="Times New Roman" w:hAnsiTheme="majorBidi" w:cstheme="majorBidi"/>
          <w:b/>
          <w:bCs/>
          <w:sz w:val="24"/>
          <w:szCs w:val="24"/>
        </w:rPr>
        <w:t>E- Editor:</w:t>
      </w:r>
      <w:r w:rsidRPr="007B7280">
        <w:rPr>
          <w:rFonts w:asciiTheme="majorBidi" w:eastAsia="Times New Roman" w:hAnsiTheme="majorBidi" w:cstheme="majorBidi"/>
          <w:sz w:val="24"/>
          <w:szCs w:val="24"/>
        </w:rPr>
        <w:t xml:space="preserve"> Salem Youssef Mohamed, Osama Ahmed Khalil, Amany Mohammed.</w:t>
      </w:r>
    </w:p>
    <w:p w14:paraId="1444DD35" w14:textId="77777777" w:rsidR="007B7280" w:rsidRPr="007B7280" w:rsidRDefault="007B7280" w:rsidP="007B7280">
      <w:pPr>
        <w:spacing w:before="120" w:after="0" w:line="480" w:lineRule="auto"/>
        <w:rPr>
          <w:rFonts w:asciiTheme="majorBidi" w:eastAsia="Times New Roman" w:hAnsiTheme="majorBidi" w:cstheme="majorBidi"/>
          <w:sz w:val="24"/>
          <w:szCs w:val="24"/>
        </w:rPr>
      </w:pPr>
      <w:r w:rsidRPr="007B7280">
        <w:rPr>
          <w:rFonts w:asciiTheme="majorBidi" w:eastAsia="Times New Roman" w:hAnsiTheme="majorBidi" w:cstheme="majorBidi"/>
          <w:b/>
          <w:bCs/>
          <w:sz w:val="24"/>
          <w:szCs w:val="24"/>
        </w:rPr>
        <w:t>Copyright ©.</w:t>
      </w:r>
      <w:r w:rsidRPr="007B7280">
        <w:rPr>
          <w:rFonts w:asciiTheme="majorBidi" w:eastAsia="Times New Roman" w:hAnsiTheme="majorBidi" w:cstheme="majorBidi"/>
          <w:sz w:val="24"/>
          <w:szCs w:val="24"/>
        </w:rPr>
        <w:t xml:space="preserve"> This open-access article is distributed under the Creative Commons Attribution License (CC BY). It may be used, distributed, or reproduced in other forums, provided the original author(s) and the copyright owner(s) are credited. The original publication in this journal must be cited according to accepted academic practice. </w:t>
      </w:r>
    </w:p>
    <w:p w14:paraId="30E700EA" w14:textId="77777777" w:rsidR="007B7280" w:rsidRPr="007B7280" w:rsidRDefault="007B7280" w:rsidP="007B7280">
      <w:pPr>
        <w:spacing w:before="120" w:after="0" w:line="480" w:lineRule="auto"/>
        <w:rPr>
          <w:rFonts w:asciiTheme="majorBidi" w:eastAsia="Times New Roman" w:hAnsiTheme="majorBidi" w:cstheme="majorBidi"/>
          <w:sz w:val="24"/>
          <w:szCs w:val="24"/>
        </w:rPr>
      </w:pPr>
      <w:r w:rsidRPr="007B7280">
        <w:rPr>
          <w:rFonts w:asciiTheme="majorBidi" w:eastAsia="Times New Roman" w:hAnsiTheme="majorBidi" w:cstheme="majorBidi"/>
          <w:b/>
          <w:bCs/>
          <w:sz w:val="24"/>
          <w:szCs w:val="24"/>
        </w:rPr>
        <w:t>Disclaimer:</w:t>
      </w:r>
      <w:r w:rsidRPr="007B7280">
        <w:rPr>
          <w:rFonts w:asciiTheme="majorBidi" w:eastAsia="Times New Roman" w:hAnsiTheme="majorBidi" w:cstheme="majorBidi"/>
          <w:sz w:val="24"/>
          <w:szCs w:val="24"/>
        </w:rPr>
        <w:t xml:space="preserve"> The authors' claims in this article are solely their own and do not necessarily represent their affiliated organizations or those of the publisher, the editors, and the reviewers. Any product evaluated in this article or its manufacturer's claim is not guaranteed or endorsed by the publisher.</w:t>
      </w:r>
    </w:p>
    <w:p w14:paraId="291ACF80" w14:textId="77777777" w:rsidR="007B7280" w:rsidRPr="007B7280" w:rsidRDefault="007B7280" w:rsidP="007B7280">
      <w:pPr>
        <w:spacing w:before="120" w:after="0" w:line="480" w:lineRule="auto"/>
        <w:rPr>
          <w:rFonts w:asciiTheme="majorBidi" w:eastAsia="Times New Roman" w:hAnsiTheme="majorBidi" w:cstheme="majorBidi"/>
          <w:b/>
          <w:sz w:val="24"/>
          <w:szCs w:val="24"/>
        </w:rPr>
      </w:pPr>
      <w:r w:rsidRPr="007B7280">
        <w:rPr>
          <w:rFonts w:asciiTheme="majorBidi" w:eastAsia="Times New Roman" w:hAnsiTheme="majorBidi" w:cstheme="majorBidi"/>
          <w:b/>
          <w:sz w:val="24"/>
          <w:szCs w:val="24"/>
        </w:rPr>
        <w:t>Ethical approval:</w:t>
      </w:r>
      <w:r w:rsidRPr="007B7280">
        <w:rPr>
          <w:rFonts w:asciiTheme="majorBidi" w:eastAsia="Times New Roman" w:hAnsiTheme="majorBidi" w:cstheme="majorBidi"/>
          <w:sz w:val="24"/>
          <w:szCs w:val="24"/>
        </w:rPr>
        <w:t xml:space="preserve"> </w:t>
      </w:r>
    </w:p>
    <w:p w14:paraId="049727B6" w14:textId="159EAA04" w:rsidR="007B7280" w:rsidRDefault="007B7280" w:rsidP="007B7280">
      <w:pPr>
        <w:spacing w:before="120" w:after="0" w:line="480" w:lineRule="auto"/>
        <w:rPr>
          <w:rFonts w:asciiTheme="majorBidi" w:eastAsia="Times New Roman" w:hAnsiTheme="majorBidi" w:cstheme="majorBidi"/>
          <w:sz w:val="24"/>
          <w:szCs w:val="24"/>
        </w:rPr>
      </w:pPr>
      <w:r w:rsidRPr="007B7280">
        <w:rPr>
          <w:rFonts w:asciiTheme="majorBidi" w:eastAsia="Times New Roman" w:hAnsiTheme="majorBidi" w:cstheme="majorBidi"/>
          <w:sz w:val="24"/>
          <w:szCs w:val="24"/>
        </w:rPr>
        <w:t xml:space="preserve">Written informed consent was obtained from the patient after the studies were well explained before data collection. The hospital's Research Ethics Review Committee approved the </w:t>
      </w:r>
      <w:r w:rsidR="00E42D0A">
        <w:rPr>
          <w:rFonts w:asciiTheme="majorBidi" w:eastAsia="Times New Roman" w:hAnsiTheme="majorBidi" w:cstheme="majorBidi"/>
          <w:sz w:val="24"/>
          <w:szCs w:val="24"/>
        </w:rPr>
        <w:t>study.</w:t>
      </w:r>
    </w:p>
    <w:p w14:paraId="3E78ED84" w14:textId="77777777" w:rsidR="00E42D0A" w:rsidRPr="00E42D0A" w:rsidRDefault="00E42D0A" w:rsidP="00E42D0A">
      <w:pPr>
        <w:spacing w:before="120" w:after="0" w:line="480" w:lineRule="auto"/>
        <w:rPr>
          <w:rFonts w:asciiTheme="majorBidi" w:eastAsia="Times New Roman" w:hAnsiTheme="majorBidi" w:cstheme="majorBidi"/>
          <w:sz w:val="24"/>
          <w:szCs w:val="24"/>
        </w:rPr>
      </w:pPr>
      <w:r w:rsidRPr="00E42D0A">
        <w:rPr>
          <w:rFonts w:asciiTheme="majorBidi" w:eastAsia="Times New Roman" w:hAnsiTheme="majorBidi" w:cstheme="majorBidi"/>
          <w:sz w:val="24"/>
          <w:szCs w:val="24"/>
        </w:rPr>
        <w:t xml:space="preserve">In April, the Ethics Committee of the Faculty of Medicine at Alexandria University accepted the current research, with the serial number </w:t>
      </w:r>
      <w:r w:rsidRPr="00E42D0A">
        <w:rPr>
          <w:rFonts w:asciiTheme="majorBidi" w:eastAsia="Times New Roman" w:hAnsiTheme="majorBidi" w:cstheme="majorBidi"/>
          <w:b/>
          <w:bCs/>
          <w:sz w:val="24"/>
          <w:szCs w:val="24"/>
        </w:rPr>
        <w:t>0305083</w:t>
      </w:r>
      <w:r w:rsidRPr="00E42D0A">
        <w:rPr>
          <w:rFonts w:asciiTheme="majorBidi" w:eastAsia="Times New Roman" w:hAnsiTheme="majorBidi" w:cstheme="majorBidi"/>
          <w:sz w:val="24"/>
          <w:szCs w:val="24"/>
        </w:rPr>
        <w:t>.</w:t>
      </w:r>
    </w:p>
    <w:p w14:paraId="35DB2C29" w14:textId="77777777" w:rsidR="007B7280" w:rsidRPr="007B7280" w:rsidRDefault="007B7280" w:rsidP="007B7280">
      <w:pPr>
        <w:spacing w:before="120" w:after="0" w:line="480" w:lineRule="auto"/>
        <w:rPr>
          <w:rFonts w:asciiTheme="majorBidi" w:eastAsia="Times New Roman" w:hAnsiTheme="majorBidi" w:cstheme="majorBidi"/>
          <w:b/>
          <w:sz w:val="24"/>
          <w:szCs w:val="24"/>
          <w:lang w:val="en-GB"/>
        </w:rPr>
      </w:pPr>
      <w:r w:rsidRPr="007B7280">
        <w:rPr>
          <w:rFonts w:asciiTheme="majorBidi" w:eastAsia="Times New Roman" w:hAnsiTheme="majorBidi" w:cstheme="majorBidi"/>
          <w:b/>
          <w:sz w:val="24"/>
          <w:szCs w:val="24"/>
          <w:lang w:val="en-GB"/>
        </w:rPr>
        <w:t>Study protocol: </w:t>
      </w:r>
    </w:p>
    <w:p w14:paraId="3439FFD4" w14:textId="77777777" w:rsidR="007B7280" w:rsidRPr="007B7280" w:rsidRDefault="007B7280" w:rsidP="007B7280">
      <w:pPr>
        <w:spacing w:before="120" w:after="0" w:line="480" w:lineRule="auto"/>
        <w:rPr>
          <w:rFonts w:asciiTheme="majorBidi" w:eastAsia="Times New Roman" w:hAnsiTheme="majorBidi" w:cstheme="majorBidi"/>
          <w:sz w:val="24"/>
          <w:szCs w:val="24"/>
          <w:lang w:val="en-GB"/>
        </w:rPr>
      </w:pPr>
      <w:r w:rsidRPr="007B7280">
        <w:rPr>
          <w:rFonts w:asciiTheme="majorBidi" w:eastAsia="Times New Roman" w:hAnsiTheme="majorBidi" w:cstheme="majorBidi"/>
          <w:sz w:val="24"/>
          <w:szCs w:val="24"/>
          <w:lang w:val="en-GB"/>
        </w:rPr>
        <w:t>In adherence to the principles outlined in the Helsinki Declaration, the study protocol was implemented with approval from the institutional review board. Before commencing the research, written consent was obtained from the patient to utilize their clinical information.</w:t>
      </w:r>
    </w:p>
    <w:p w14:paraId="3018472D" w14:textId="77777777" w:rsidR="007B7280" w:rsidRPr="007B7280" w:rsidRDefault="007B7280" w:rsidP="007B7280">
      <w:pPr>
        <w:spacing w:before="120" w:after="0" w:line="480" w:lineRule="auto"/>
        <w:rPr>
          <w:rFonts w:asciiTheme="majorBidi" w:eastAsia="Times New Roman" w:hAnsiTheme="majorBidi" w:cstheme="majorBidi"/>
          <w:sz w:val="24"/>
          <w:szCs w:val="24"/>
        </w:rPr>
      </w:pPr>
      <w:r w:rsidRPr="007B7280">
        <w:rPr>
          <w:rFonts w:asciiTheme="majorBidi" w:eastAsia="Times New Roman" w:hAnsiTheme="majorBidi" w:cstheme="majorBidi"/>
          <w:b/>
          <w:bCs/>
          <w:sz w:val="24"/>
          <w:szCs w:val="24"/>
        </w:rPr>
        <w:t>Data and materials availability:</w:t>
      </w:r>
      <w:r w:rsidRPr="007B7280">
        <w:rPr>
          <w:rFonts w:asciiTheme="majorBidi" w:eastAsia="Times New Roman" w:hAnsiTheme="majorBidi" w:cstheme="majorBidi"/>
          <w:sz w:val="24"/>
          <w:szCs w:val="24"/>
        </w:rPr>
        <w:t xml:space="preserve"> The datasets used or analyzed during the current study are available from the corresponding author upon reasonable request.</w:t>
      </w:r>
    </w:p>
    <w:p w14:paraId="2E6F570D" w14:textId="77777777" w:rsidR="007B7280" w:rsidRPr="007B7280" w:rsidRDefault="007B7280" w:rsidP="007B7280">
      <w:pPr>
        <w:spacing w:before="120" w:after="0" w:line="480" w:lineRule="auto"/>
        <w:rPr>
          <w:rFonts w:asciiTheme="majorBidi" w:eastAsia="Times New Roman" w:hAnsiTheme="majorBidi" w:cstheme="majorBidi"/>
          <w:sz w:val="24"/>
          <w:szCs w:val="24"/>
        </w:rPr>
      </w:pPr>
      <w:r w:rsidRPr="007B7280">
        <w:rPr>
          <w:rFonts w:asciiTheme="majorBidi" w:eastAsia="Times New Roman" w:hAnsiTheme="majorBidi" w:cstheme="majorBidi"/>
          <w:b/>
          <w:bCs/>
          <w:sz w:val="24"/>
          <w:szCs w:val="24"/>
        </w:rPr>
        <w:t>Competing interests</w:t>
      </w:r>
      <w:r w:rsidRPr="007B7280">
        <w:rPr>
          <w:rFonts w:asciiTheme="majorBidi" w:eastAsia="Times New Roman" w:hAnsiTheme="majorBidi" w:cstheme="majorBidi"/>
          <w:sz w:val="24"/>
          <w:szCs w:val="24"/>
        </w:rPr>
        <w:t>: The authors declare that they have no competing interests.</w:t>
      </w:r>
    </w:p>
    <w:p w14:paraId="006B4F10" w14:textId="77777777" w:rsidR="007B7280" w:rsidRPr="007B7280" w:rsidRDefault="007B7280" w:rsidP="007B7280">
      <w:pPr>
        <w:spacing w:before="120" w:after="0" w:line="480" w:lineRule="auto"/>
        <w:rPr>
          <w:rFonts w:asciiTheme="majorBidi" w:eastAsia="Times New Roman" w:hAnsiTheme="majorBidi" w:cstheme="majorBidi"/>
          <w:sz w:val="24"/>
          <w:szCs w:val="24"/>
        </w:rPr>
      </w:pPr>
      <w:r w:rsidRPr="007B7280">
        <w:rPr>
          <w:rFonts w:asciiTheme="majorBidi" w:eastAsia="Times New Roman" w:hAnsiTheme="majorBidi" w:cstheme="majorBidi"/>
          <w:b/>
          <w:bCs/>
          <w:sz w:val="24"/>
          <w:szCs w:val="24"/>
        </w:rPr>
        <w:t>Funding</w:t>
      </w:r>
      <w:r w:rsidRPr="007B7280">
        <w:rPr>
          <w:rFonts w:asciiTheme="majorBidi" w:eastAsia="Times New Roman" w:hAnsiTheme="majorBidi" w:cstheme="majorBidi"/>
          <w:sz w:val="24"/>
          <w:szCs w:val="24"/>
        </w:rPr>
        <w:t>: This study had no funding from any resource.</w:t>
      </w:r>
    </w:p>
    <w:p w14:paraId="2FC4DB46" w14:textId="5A126595" w:rsidR="007B7280" w:rsidRPr="007B7280" w:rsidRDefault="007B7280" w:rsidP="007B7280">
      <w:pPr>
        <w:spacing w:before="120" w:after="0" w:line="480" w:lineRule="auto"/>
        <w:rPr>
          <w:rFonts w:asciiTheme="majorBidi" w:eastAsia="Times New Roman" w:hAnsiTheme="majorBidi" w:cstheme="majorBidi"/>
          <w:sz w:val="24"/>
          <w:szCs w:val="24"/>
        </w:rPr>
      </w:pPr>
      <w:r w:rsidRPr="007B7280">
        <w:rPr>
          <w:rFonts w:asciiTheme="majorBidi" w:eastAsia="Times New Roman" w:hAnsiTheme="majorBidi" w:cstheme="majorBidi"/>
          <w:sz w:val="24"/>
          <w:szCs w:val="24"/>
        </w:rPr>
        <w:t xml:space="preserve">This work was done according to the </w:t>
      </w:r>
      <w:r w:rsidR="008A64D9">
        <w:rPr>
          <w:rFonts w:asciiTheme="majorBidi" w:eastAsia="Times New Roman" w:hAnsiTheme="majorBidi" w:cstheme="majorBidi"/>
          <w:b/>
          <w:bCs/>
          <w:sz w:val="24"/>
          <w:szCs w:val="24"/>
        </w:rPr>
        <w:t>STROBE</w:t>
      </w:r>
      <w:r w:rsidRPr="007B7280">
        <w:rPr>
          <w:rFonts w:asciiTheme="majorBidi" w:eastAsia="Times New Roman" w:hAnsiTheme="majorBidi" w:cstheme="majorBidi"/>
          <w:b/>
          <w:bCs/>
          <w:sz w:val="24"/>
          <w:szCs w:val="24"/>
        </w:rPr>
        <w:t xml:space="preserve"> </w:t>
      </w:r>
      <w:r w:rsidRPr="007B7280">
        <w:rPr>
          <w:rFonts w:asciiTheme="majorBidi" w:eastAsia="Times New Roman" w:hAnsiTheme="majorBidi" w:cstheme="majorBidi"/>
          <w:sz w:val="24"/>
          <w:szCs w:val="24"/>
        </w:rPr>
        <w:t>guidelines.</w:t>
      </w:r>
      <w:bookmarkStart w:id="11" w:name="h11"/>
      <w:bookmarkEnd w:id="11"/>
    </w:p>
    <w:p w14:paraId="2E1CEAB1" w14:textId="77777777" w:rsidR="007B7280" w:rsidRPr="007B7280" w:rsidRDefault="007B7280" w:rsidP="007B7280">
      <w:pPr>
        <w:spacing w:before="120" w:after="0" w:line="480" w:lineRule="auto"/>
        <w:rPr>
          <w:rFonts w:asciiTheme="majorBidi" w:eastAsia="Times New Roman" w:hAnsiTheme="majorBidi" w:cstheme="majorBidi"/>
          <w:b/>
          <w:bCs/>
          <w:sz w:val="24"/>
          <w:szCs w:val="24"/>
        </w:rPr>
      </w:pPr>
      <w:r w:rsidRPr="007B7280">
        <w:rPr>
          <w:rFonts w:asciiTheme="majorBidi" w:eastAsia="Times New Roman" w:hAnsiTheme="majorBidi" w:cstheme="majorBidi"/>
          <w:b/>
          <w:bCs/>
          <w:sz w:val="24"/>
          <w:szCs w:val="24"/>
        </w:rPr>
        <w:t xml:space="preserve">Authors' contributions </w:t>
      </w:r>
    </w:p>
    <w:p w14:paraId="396D999D" w14:textId="77777777" w:rsidR="00F0537C" w:rsidRPr="008A64D9" w:rsidRDefault="00F0537C" w:rsidP="00D96F27">
      <w:pPr>
        <w:spacing w:before="120" w:after="0" w:line="480" w:lineRule="auto"/>
        <w:rPr>
          <w:rFonts w:asciiTheme="majorBidi" w:eastAsia="Times New Roman" w:hAnsiTheme="majorBidi" w:cstheme="majorBidi"/>
          <w:vertAlign w:val="superscript"/>
        </w:rPr>
      </w:pPr>
      <w:r w:rsidRPr="008A64D9">
        <w:rPr>
          <w:rFonts w:asciiTheme="majorBidi" w:eastAsia="Times New Roman" w:hAnsiTheme="majorBidi" w:cstheme="majorBidi"/>
          <w:sz w:val="24"/>
          <w:szCs w:val="24"/>
        </w:rPr>
        <w:t xml:space="preserve">Mohamed Gamal </w:t>
      </w:r>
      <w:proofErr w:type="spellStart"/>
      <w:r w:rsidRPr="008A64D9">
        <w:rPr>
          <w:rFonts w:asciiTheme="majorBidi" w:eastAsia="Times New Roman" w:hAnsiTheme="majorBidi" w:cstheme="majorBidi"/>
          <w:sz w:val="24"/>
          <w:szCs w:val="24"/>
        </w:rPr>
        <w:t>Abdrabou</w:t>
      </w:r>
      <w:proofErr w:type="spellEnd"/>
      <w:r w:rsidRPr="008A64D9">
        <w:rPr>
          <w:rFonts w:asciiTheme="majorBidi" w:eastAsia="Times New Roman" w:hAnsiTheme="majorBidi" w:cstheme="majorBidi"/>
          <w:sz w:val="24"/>
          <w:szCs w:val="24"/>
        </w:rPr>
        <w:t xml:space="preserve"> and Emad Rashad Badr</w:t>
      </w:r>
      <w:r>
        <w:rPr>
          <w:rFonts w:asciiTheme="majorBidi" w:eastAsia="Times New Roman" w:hAnsiTheme="majorBidi" w:cstheme="majorBidi"/>
          <w:sz w:val="24"/>
          <w:szCs w:val="24"/>
          <w:vertAlign w:val="superscript"/>
        </w:rPr>
        <w:t xml:space="preserve"> </w:t>
      </w:r>
      <w:r w:rsidR="007B7280" w:rsidRPr="007B7280">
        <w:rPr>
          <w:rFonts w:asciiTheme="majorBidi" w:eastAsia="Times New Roman" w:hAnsiTheme="majorBidi" w:cstheme="majorBidi"/>
          <w:sz w:val="24"/>
          <w:szCs w:val="24"/>
        </w:rPr>
        <w:t xml:space="preserve">collected and followed up on the patients, carrying out the requested investigations. </w:t>
      </w:r>
      <w:r w:rsidRPr="008A64D9">
        <w:rPr>
          <w:rFonts w:asciiTheme="majorBidi" w:eastAsia="Times New Roman" w:hAnsiTheme="majorBidi" w:cstheme="majorBidi"/>
          <w:sz w:val="24"/>
          <w:szCs w:val="24"/>
        </w:rPr>
        <w:t xml:space="preserve">Hosam Eldin </w:t>
      </w:r>
      <w:proofErr w:type="spellStart"/>
      <w:r w:rsidRPr="008A64D9">
        <w:rPr>
          <w:rFonts w:asciiTheme="majorBidi" w:eastAsia="Times New Roman" w:hAnsiTheme="majorBidi" w:cstheme="majorBidi"/>
          <w:sz w:val="24"/>
          <w:szCs w:val="24"/>
        </w:rPr>
        <w:t>Abouelkheir</w:t>
      </w:r>
      <w:proofErr w:type="spellEnd"/>
      <w:r>
        <w:rPr>
          <w:rFonts w:asciiTheme="majorBidi" w:eastAsia="Times New Roman" w:hAnsiTheme="majorBidi" w:cstheme="majorBidi"/>
          <w:sz w:val="24"/>
          <w:szCs w:val="24"/>
        </w:rPr>
        <w:t xml:space="preserve"> and</w:t>
      </w:r>
      <w:r w:rsidRPr="008A64D9">
        <w:rPr>
          <w:rFonts w:asciiTheme="majorBidi" w:eastAsia="Times New Roman" w:hAnsiTheme="majorBidi" w:cstheme="majorBidi"/>
          <w:sz w:val="24"/>
          <w:szCs w:val="24"/>
        </w:rPr>
        <w:t xml:space="preserve"> Abeer </w:t>
      </w:r>
      <w:proofErr w:type="spellStart"/>
      <w:r w:rsidRPr="008A64D9">
        <w:rPr>
          <w:rFonts w:asciiTheme="majorBidi" w:eastAsia="Times New Roman" w:hAnsiTheme="majorBidi" w:cstheme="majorBidi"/>
          <w:sz w:val="24"/>
          <w:szCs w:val="24"/>
        </w:rPr>
        <w:t>Elhadidi</w:t>
      </w:r>
      <w:proofErr w:type="spellEnd"/>
    </w:p>
    <w:p w14:paraId="26645A9D" w14:textId="07B0D1FB" w:rsidR="007B7280" w:rsidRPr="007B7280" w:rsidRDefault="00F0537C" w:rsidP="00F0537C">
      <w:pPr>
        <w:rPr>
          <w:rFonts w:asciiTheme="majorBidi" w:eastAsia="Times New Roman" w:hAnsiTheme="majorBidi" w:cstheme="majorBidi"/>
          <w:sz w:val="24"/>
          <w:szCs w:val="24"/>
        </w:rPr>
      </w:pPr>
      <w:r w:rsidRPr="007B7280">
        <w:rPr>
          <w:rFonts w:asciiTheme="majorBidi" w:eastAsia="Times New Roman" w:hAnsiTheme="majorBidi" w:cstheme="majorBidi"/>
          <w:sz w:val="24"/>
          <w:szCs w:val="24"/>
        </w:rPr>
        <w:t>followed up with</w:t>
      </w:r>
      <w:r>
        <w:rPr>
          <w:rFonts w:asciiTheme="majorBidi" w:eastAsia="Times New Roman" w:hAnsiTheme="majorBidi" w:cstheme="majorBidi"/>
          <w:sz w:val="24"/>
          <w:szCs w:val="24"/>
        </w:rPr>
        <w:t xml:space="preserve"> </w:t>
      </w:r>
      <w:r w:rsidR="007B7280" w:rsidRPr="007B7280">
        <w:rPr>
          <w:rFonts w:asciiTheme="majorBidi" w:eastAsia="Times New Roman" w:hAnsiTheme="majorBidi" w:cstheme="majorBidi"/>
          <w:sz w:val="24"/>
          <w:szCs w:val="24"/>
        </w:rPr>
        <w:t>the patients and analyzed the collected data. All authors authorized the manuscript.</w:t>
      </w:r>
    </w:p>
    <w:p w14:paraId="72F4EDBF" w14:textId="77777777" w:rsidR="007B7280" w:rsidRPr="007B7280" w:rsidRDefault="007B7280" w:rsidP="007B7280">
      <w:pPr>
        <w:spacing w:before="120" w:after="0" w:line="480" w:lineRule="auto"/>
        <w:rPr>
          <w:rFonts w:asciiTheme="majorBidi" w:eastAsia="Times New Roman" w:hAnsiTheme="majorBidi" w:cstheme="majorBidi"/>
          <w:sz w:val="24"/>
          <w:szCs w:val="24"/>
        </w:rPr>
      </w:pPr>
      <w:r w:rsidRPr="007B7280">
        <w:rPr>
          <w:rFonts w:asciiTheme="majorBidi" w:eastAsia="Times New Roman" w:hAnsiTheme="majorBidi" w:cstheme="majorBidi"/>
          <w:b/>
          <w:bCs/>
          <w:sz w:val="24"/>
          <w:szCs w:val="24"/>
          <w:lang w:val="en-GB"/>
        </w:rPr>
        <w:t>Acknowledgment</w:t>
      </w:r>
      <w:r w:rsidRPr="007B7280">
        <w:rPr>
          <w:rFonts w:asciiTheme="majorBidi" w:eastAsia="Times New Roman" w:hAnsiTheme="majorBidi" w:cstheme="majorBidi"/>
          <w:sz w:val="24"/>
          <w:szCs w:val="24"/>
          <w:lang w:val="en-GB"/>
        </w:rPr>
        <w:t xml:space="preserve">: </w:t>
      </w:r>
      <w:r w:rsidRPr="007B7280">
        <w:rPr>
          <w:rFonts w:asciiTheme="majorBidi" w:eastAsia="Times New Roman" w:hAnsiTheme="majorBidi" w:cstheme="majorBidi"/>
          <w:sz w:val="24"/>
          <w:szCs w:val="24"/>
        </w:rPr>
        <w:t>none.</w:t>
      </w:r>
    </w:p>
    <w:p w14:paraId="19C3A2C0" w14:textId="048F5FB5" w:rsidR="009A7CA4" w:rsidRDefault="00A16AA6" w:rsidP="00184784">
      <w:pPr>
        <w:spacing w:before="120" w:after="0" w:line="480" w:lineRule="auto"/>
        <w:rPr>
          <w:rFonts w:asciiTheme="majorBidi" w:hAnsiTheme="majorBidi" w:cstheme="majorBidi"/>
          <w:b/>
          <w:bCs/>
          <w:sz w:val="24"/>
          <w:szCs w:val="24"/>
        </w:rPr>
      </w:pPr>
      <w:r w:rsidRPr="00C0688A">
        <w:rPr>
          <w:rFonts w:asciiTheme="majorBidi" w:hAnsiTheme="majorBidi" w:cstheme="majorBidi"/>
          <w:b/>
          <w:bCs/>
          <w:sz w:val="24"/>
          <w:szCs w:val="24"/>
        </w:rPr>
        <w:t>References</w:t>
      </w:r>
    </w:p>
    <w:p w14:paraId="0147612B" w14:textId="449F6B28" w:rsidR="009A7CA4" w:rsidRPr="00C0688A" w:rsidRDefault="00A16AA6" w:rsidP="008A2709">
      <w:pPr>
        <w:pStyle w:val="citation"/>
        <w:keepLines/>
        <w:spacing w:before="120" w:beforeAutospacing="0" w:after="0" w:afterAutospacing="0" w:line="480" w:lineRule="auto"/>
        <w:ind w:left="567" w:hanging="567"/>
        <w:jc w:val="both"/>
        <w:rPr>
          <w:rFonts w:asciiTheme="majorBidi" w:hAnsiTheme="majorBidi" w:cstheme="majorBidi"/>
        </w:rPr>
      </w:pPr>
      <w:r w:rsidRPr="00C0688A">
        <w:rPr>
          <w:rFonts w:asciiTheme="majorBidi" w:hAnsiTheme="majorBidi" w:cstheme="majorBidi"/>
        </w:rPr>
        <w:t>1.</w:t>
      </w:r>
      <w:r w:rsidR="00BD716D">
        <w:rPr>
          <w:rFonts w:asciiTheme="majorBidi" w:hAnsiTheme="majorBidi" w:cstheme="majorBidi"/>
        </w:rPr>
        <w:tab/>
      </w:r>
      <w:proofErr w:type="spellStart"/>
      <w:r w:rsidR="00BD716D" w:rsidRPr="00BD716D">
        <w:rPr>
          <w:rFonts w:asciiTheme="majorBidi" w:hAnsiTheme="majorBidi" w:cstheme="majorBidi"/>
        </w:rPr>
        <w:t>Malferth</w:t>
      </w:r>
      <w:r w:rsidR="008A2709">
        <w:rPr>
          <w:rFonts w:asciiTheme="majorBidi" w:hAnsiTheme="majorBidi" w:cstheme="majorBidi"/>
        </w:rPr>
        <w:t>einer</w:t>
      </w:r>
      <w:proofErr w:type="spellEnd"/>
      <w:r w:rsidR="008A2709">
        <w:rPr>
          <w:rFonts w:asciiTheme="majorBidi" w:hAnsiTheme="majorBidi" w:cstheme="majorBidi"/>
        </w:rPr>
        <w:t xml:space="preserve"> P, Camargo MC, El-Omar E </w:t>
      </w:r>
      <w:r w:rsidR="00BD716D">
        <w:rPr>
          <w:rFonts w:asciiTheme="majorBidi" w:hAnsiTheme="majorBidi" w:cstheme="majorBidi"/>
        </w:rPr>
        <w:t>et al</w:t>
      </w:r>
      <w:r w:rsidR="00BD716D" w:rsidRPr="00BD716D">
        <w:rPr>
          <w:rFonts w:asciiTheme="majorBidi" w:hAnsiTheme="majorBidi" w:cstheme="majorBidi"/>
        </w:rPr>
        <w:t xml:space="preserve">. </w:t>
      </w:r>
      <w:r w:rsidR="00BD716D" w:rsidRPr="00E00CC2">
        <w:rPr>
          <w:rFonts w:asciiTheme="majorBidi" w:hAnsiTheme="majorBidi" w:cstheme="majorBidi"/>
          <w:i/>
          <w:iCs/>
        </w:rPr>
        <w:t>Helicobacter pylori</w:t>
      </w:r>
      <w:r w:rsidR="00BD716D" w:rsidRPr="00BD716D">
        <w:rPr>
          <w:rFonts w:asciiTheme="majorBidi" w:hAnsiTheme="majorBidi" w:cstheme="majorBidi"/>
        </w:rPr>
        <w:t xml:space="preserve"> infection. </w:t>
      </w:r>
      <w:r w:rsidR="00BD716D" w:rsidRPr="00BD716D">
        <w:rPr>
          <w:rFonts w:asciiTheme="majorBidi" w:hAnsiTheme="majorBidi" w:cstheme="majorBidi"/>
          <w:i/>
          <w:iCs/>
        </w:rPr>
        <w:t>Nat Rev Dis Primers</w:t>
      </w:r>
      <w:r w:rsidR="00BD716D" w:rsidRPr="00BD716D">
        <w:rPr>
          <w:rFonts w:asciiTheme="majorBidi" w:hAnsiTheme="majorBidi" w:cstheme="majorBidi"/>
        </w:rPr>
        <w:t xml:space="preserve"> 2023;9(1):19. </w:t>
      </w:r>
    </w:p>
    <w:p w14:paraId="2A6751B0" w14:textId="0B26C516" w:rsidR="009A7CA4" w:rsidRPr="00C0688A" w:rsidRDefault="00A16AA6" w:rsidP="008A2709">
      <w:pPr>
        <w:pStyle w:val="citation"/>
        <w:keepLines/>
        <w:spacing w:before="120" w:beforeAutospacing="0" w:after="0" w:afterAutospacing="0" w:line="480" w:lineRule="auto"/>
        <w:ind w:left="567" w:hanging="567"/>
        <w:jc w:val="both"/>
        <w:rPr>
          <w:rFonts w:asciiTheme="majorBidi" w:hAnsiTheme="majorBidi" w:cstheme="majorBidi"/>
        </w:rPr>
      </w:pPr>
      <w:r w:rsidRPr="00C0688A">
        <w:rPr>
          <w:rFonts w:asciiTheme="majorBidi" w:hAnsiTheme="majorBidi" w:cstheme="majorBidi"/>
        </w:rPr>
        <w:t>2.</w:t>
      </w:r>
      <w:r w:rsidR="00F261E3">
        <w:rPr>
          <w:rFonts w:asciiTheme="majorBidi" w:hAnsiTheme="majorBidi" w:cstheme="majorBidi"/>
        </w:rPr>
        <w:tab/>
      </w:r>
      <w:r w:rsidR="00F261E3" w:rsidRPr="00F261E3">
        <w:rPr>
          <w:rFonts w:asciiTheme="majorBidi" w:hAnsiTheme="majorBidi" w:cstheme="majorBidi"/>
        </w:rPr>
        <w:t>Top</w:t>
      </w:r>
      <w:r w:rsidR="008A2709">
        <w:rPr>
          <w:rFonts w:asciiTheme="majorBidi" w:hAnsiTheme="majorBidi" w:cstheme="majorBidi"/>
        </w:rPr>
        <w:t xml:space="preserve">i S, Santacroce L, Bottalico L </w:t>
      </w:r>
      <w:r w:rsidR="00F261E3">
        <w:rPr>
          <w:rFonts w:asciiTheme="majorBidi" w:hAnsiTheme="majorBidi" w:cstheme="majorBidi"/>
        </w:rPr>
        <w:t>et al</w:t>
      </w:r>
      <w:r w:rsidR="00F261E3" w:rsidRPr="00F261E3">
        <w:rPr>
          <w:rFonts w:asciiTheme="majorBidi" w:hAnsiTheme="majorBidi" w:cstheme="majorBidi"/>
        </w:rPr>
        <w:t xml:space="preserve">. Gastric Cancer in History: A Perspective Interdisciplinary Study. </w:t>
      </w:r>
      <w:r w:rsidR="00F261E3" w:rsidRPr="00F261E3">
        <w:rPr>
          <w:rFonts w:asciiTheme="majorBidi" w:hAnsiTheme="majorBidi" w:cstheme="majorBidi"/>
          <w:i/>
          <w:iCs/>
        </w:rPr>
        <w:t>Cancers (Basel)</w:t>
      </w:r>
      <w:r w:rsidR="00F261E3" w:rsidRPr="00F261E3">
        <w:rPr>
          <w:rFonts w:asciiTheme="majorBidi" w:hAnsiTheme="majorBidi" w:cstheme="majorBidi"/>
        </w:rPr>
        <w:t xml:space="preserve"> 2020;12(2):264. </w:t>
      </w:r>
    </w:p>
    <w:p w14:paraId="58B5A714" w14:textId="69C84C5D" w:rsidR="009A7CA4" w:rsidRPr="00C0688A" w:rsidRDefault="00A16AA6" w:rsidP="001E1AC1">
      <w:pPr>
        <w:pStyle w:val="citation"/>
        <w:keepLines/>
        <w:spacing w:before="120" w:beforeAutospacing="0" w:after="0" w:afterAutospacing="0" w:line="480" w:lineRule="auto"/>
        <w:ind w:left="567" w:hanging="567"/>
        <w:jc w:val="both"/>
        <w:rPr>
          <w:rFonts w:asciiTheme="majorBidi" w:hAnsiTheme="majorBidi" w:cstheme="majorBidi"/>
        </w:rPr>
      </w:pPr>
      <w:r w:rsidRPr="00C0688A">
        <w:rPr>
          <w:rFonts w:asciiTheme="majorBidi" w:hAnsiTheme="majorBidi" w:cstheme="majorBidi"/>
        </w:rPr>
        <w:t>3.</w:t>
      </w:r>
      <w:r w:rsidR="00F261E3">
        <w:rPr>
          <w:rFonts w:asciiTheme="majorBidi" w:hAnsiTheme="majorBidi" w:cstheme="majorBidi"/>
        </w:rPr>
        <w:tab/>
      </w:r>
      <w:r w:rsidR="00F261E3" w:rsidRPr="00F261E3">
        <w:rPr>
          <w:rFonts w:asciiTheme="majorBidi" w:hAnsiTheme="majorBidi" w:cstheme="majorBidi"/>
        </w:rPr>
        <w:t xml:space="preserve">Miller AK, Williams SM. </w:t>
      </w:r>
      <w:r w:rsidR="00F261E3" w:rsidRPr="00E703DF">
        <w:rPr>
          <w:rFonts w:asciiTheme="majorBidi" w:hAnsiTheme="majorBidi" w:cstheme="majorBidi"/>
          <w:i/>
          <w:iCs/>
        </w:rPr>
        <w:t>Helicobacter</w:t>
      </w:r>
      <w:r w:rsidR="00F261E3" w:rsidRPr="00F261E3">
        <w:rPr>
          <w:rFonts w:asciiTheme="majorBidi" w:hAnsiTheme="majorBidi" w:cstheme="majorBidi"/>
        </w:rPr>
        <w:t xml:space="preserve"> pylori infection causes </w:t>
      </w:r>
      <w:r w:rsidR="003A7E8C">
        <w:rPr>
          <w:rFonts w:asciiTheme="majorBidi" w:hAnsiTheme="majorBidi" w:cstheme="majorBidi"/>
        </w:rPr>
        <w:t>protective and deleterious effects on</w:t>
      </w:r>
      <w:r w:rsidR="00F261E3" w:rsidRPr="00F261E3">
        <w:rPr>
          <w:rFonts w:asciiTheme="majorBidi" w:hAnsiTheme="majorBidi" w:cstheme="majorBidi"/>
        </w:rPr>
        <w:t xml:space="preserve"> human health and disease. </w:t>
      </w:r>
      <w:r w:rsidR="00F261E3" w:rsidRPr="006F6BD9">
        <w:rPr>
          <w:rFonts w:asciiTheme="majorBidi" w:hAnsiTheme="majorBidi" w:cstheme="majorBidi"/>
          <w:i/>
          <w:iCs/>
        </w:rPr>
        <w:t xml:space="preserve">Genes </w:t>
      </w:r>
      <w:proofErr w:type="spellStart"/>
      <w:r w:rsidR="00F261E3" w:rsidRPr="006F6BD9">
        <w:rPr>
          <w:rFonts w:asciiTheme="majorBidi" w:hAnsiTheme="majorBidi" w:cstheme="majorBidi"/>
          <w:i/>
          <w:iCs/>
        </w:rPr>
        <w:t>Immun</w:t>
      </w:r>
      <w:proofErr w:type="spellEnd"/>
      <w:r w:rsidR="00F261E3" w:rsidRPr="00F261E3">
        <w:rPr>
          <w:rFonts w:asciiTheme="majorBidi" w:hAnsiTheme="majorBidi" w:cstheme="majorBidi"/>
        </w:rPr>
        <w:t xml:space="preserve"> 2021;22(4):218-26. </w:t>
      </w:r>
    </w:p>
    <w:p w14:paraId="4BD77CF3" w14:textId="7F0198EE" w:rsidR="009A7CA4" w:rsidRPr="00C0688A" w:rsidRDefault="00A16AA6" w:rsidP="00AE3CD9">
      <w:pPr>
        <w:pStyle w:val="citation"/>
        <w:keepLines/>
        <w:spacing w:before="120" w:beforeAutospacing="0" w:after="0" w:afterAutospacing="0" w:line="480" w:lineRule="auto"/>
        <w:ind w:left="567" w:hanging="567"/>
        <w:jc w:val="both"/>
        <w:rPr>
          <w:rFonts w:asciiTheme="majorBidi" w:hAnsiTheme="majorBidi" w:cstheme="majorBidi"/>
        </w:rPr>
      </w:pPr>
      <w:r w:rsidRPr="00C0688A">
        <w:rPr>
          <w:rFonts w:asciiTheme="majorBidi" w:hAnsiTheme="majorBidi" w:cstheme="majorBidi"/>
        </w:rPr>
        <w:t>4.</w:t>
      </w:r>
      <w:r w:rsidR="00F261E3">
        <w:rPr>
          <w:rFonts w:asciiTheme="majorBidi" w:hAnsiTheme="majorBidi" w:cstheme="majorBidi"/>
        </w:rPr>
        <w:tab/>
      </w:r>
      <w:proofErr w:type="spellStart"/>
      <w:r w:rsidR="006F6BD9" w:rsidRPr="006F6BD9">
        <w:rPr>
          <w:rFonts w:asciiTheme="majorBidi" w:hAnsiTheme="majorBidi" w:cstheme="majorBidi"/>
        </w:rPr>
        <w:t>Alsulaima</w:t>
      </w:r>
      <w:r w:rsidR="00AE3CD9">
        <w:rPr>
          <w:rFonts w:asciiTheme="majorBidi" w:hAnsiTheme="majorBidi" w:cstheme="majorBidi"/>
        </w:rPr>
        <w:t>ny</w:t>
      </w:r>
      <w:proofErr w:type="spellEnd"/>
      <w:r w:rsidR="00AE3CD9">
        <w:rPr>
          <w:rFonts w:asciiTheme="majorBidi" w:hAnsiTheme="majorBidi" w:cstheme="majorBidi"/>
        </w:rPr>
        <w:t xml:space="preserve"> FAS, Awan ZA, </w:t>
      </w:r>
      <w:proofErr w:type="spellStart"/>
      <w:r w:rsidR="00AE3CD9">
        <w:rPr>
          <w:rFonts w:asciiTheme="majorBidi" w:hAnsiTheme="majorBidi" w:cstheme="majorBidi"/>
        </w:rPr>
        <w:t>Almohamady</w:t>
      </w:r>
      <w:proofErr w:type="spellEnd"/>
      <w:r w:rsidR="00AE3CD9">
        <w:rPr>
          <w:rFonts w:asciiTheme="majorBidi" w:hAnsiTheme="majorBidi" w:cstheme="majorBidi"/>
        </w:rPr>
        <w:t xml:space="preserve"> AM </w:t>
      </w:r>
      <w:r w:rsidR="006F6BD9">
        <w:rPr>
          <w:rFonts w:asciiTheme="majorBidi" w:hAnsiTheme="majorBidi" w:cstheme="majorBidi"/>
        </w:rPr>
        <w:t>et al</w:t>
      </w:r>
      <w:r w:rsidR="006F6BD9" w:rsidRPr="006F6BD9">
        <w:rPr>
          <w:rFonts w:asciiTheme="majorBidi" w:hAnsiTheme="majorBidi" w:cstheme="majorBidi"/>
        </w:rPr>
        <w:t>. Prevalence of</w:t>
      </w:r>
      <w:r w:rsidR="006F6BD9" w:rsidRPr="00E703DF">
        <w:rPr>
          <w:rFonts w:asciiTheme="majorBidi" w:hAnsiTheme="majorBidi" w:cstheme="majorBidi"/>
          <w:i/>
          <w:iCs/>
        </w:rPr>
        <w:t> Helicobacter</w:t>
      </w:r>
      <w:r w:rsidR="006F6BD9" w:rsidRPr="006F6BD9">
        <w:rPr>
          <w:rFonts w:asciiTheme="majorBidi" w:hAnsiTheme="majorBidi" w:cstheme="majorBidi"/>
        </w:rPr>
        <w:t xml:space="preserve"> pylori Infection and Diagnostic Methods in the Middle East and North Africa Region. </w:t>
      </w:r>
      <w:r w:rsidR="006F6BD9" w:rsidRPr="006F6BD9">
        <w:rPr>
          <w:rFonts w:asciiTheme="majorBidi" w:hAnsiTheme="majorBidi" w:cstheme="majorBidi"/>
          <w:i/>
          <w:iCs/>
        </w:rPr>
        <w:t>Medicina</w:t>
      </w:r>
      <w:r w:rsidR="006F6BD9" w:rsidRPr="006F6BD9">
        <w:rPr>
          <w:rFonts w:asciiTheme="majorBidi" w:hAnsiTheme="majorBidi" w:cstheme="majorBidi"/>
        </w:rPr>
        <w:t xml:space="preserve"> </w:t>
      </w:r>
      <w:r w:rsidR="006F6BD9" w:rsidRPr="006F6BD9">
        <w:rPr>
          <w:rFonts w:asciiTheme="majorBidi" w:hAnsiTheme="majorBidi" w:cstheme="majorBidi"/>
          <w:i/>
          <w:iCs/>
        </w:rPr>
        <w:t>(Kaunas)</w:t>
      </w:r>
      <w:r w:rsidR="006F6BD9" w:rsidRPr="006F6BD9">
        <w:rPr>
          <w:rFonts w:asciiTheme="majorBidi" w:hAnsiTheme="majorBidi" w:cstheme="majorBidi"/>
        </w:rPr>
        <w:t xml:space="preserve"> 2020;56(4):169. </w:t>
      </w:r>
    </w:p>
    <w:p w14:paraId="24E14DCC" w14:textId="72C9AED9" w:rsidR="009A7CA4" w:rsidRPr="00C0688A" w:rsidRDefault="00A16AA6" w:rsidP="00160928">
      <w:pPr>
        <w:pStyle w:val="citation"/>
        <w:keepLines/>
        <w:spacing w:before="120" w:beforeAutospacing="0" w:after="0" w:afterAutospacing="0" w:line="480" w:lineRule="auto"/>
        <w:ind w:left="567" w:hanging="567"/>
        <w:jc w:val="both"/>
        <w:rPr>
          <w:rFonts w:asciiTheme="majorBidi" w:hAnsiTheme="majorBidi" w:cstheme="majorBidi"/>
        </w:rPr>
      </w:pPr>
      <w:r w:rsidRPr="00C0688A">
        <w:rPr>
          <w:rFonts w:asciiTheme="majorBidi" w:hAnsiTheme="majorBidi" w:cstheme="majorBidi"/>
        </w:rPr>
        <w:t>5.</w:t>
      </w:r>
      <w:r w:rsidR="006F6BD9">
        <w:rPr>
          <w:rFonts w:asciiTheme="majorBidi" w:hAnsiTheme="majorBidi" w:cstheme="majorBidi"/>
        </w:rPr>
        <w:tab/>
      </w:r>
      <w:r w:rsidR="00160928">
        <w:rPr>
          <w:rFonts w:asciiTheme="majorBidi" w:hAnsiTheme="majorBidi" w:cstheme="majorBidi"/>
        </w:rPr>
        <w:t xml:space="preserve">Jia Z, Zheng M, Jiang J, </w:t>
      </w:r>
      <w:r w:rsidR="006F6BD9">
        <w:rPr>
          <w:rFonts w:asciiTheme="majorBidi" w:hAnsiTheme="majorBidi" w:cstheme="majorBidi"/>
        </w:rPr>
        <w:t>et al</w:t>
      </w:r>
      <w:r w:rsidR="006F6BD9" w:rsidRPr="006F6BD9">
        <w:rPr>
          <w:rFonts w:asciiTheme="majorBidi" w:hAnsiTheme="majorBidi" w:cstheme="majorBidi"/>
        </w:rPr>
        <w:t xml:space="preserve">. Positive H. pylori status predicts better prognosis of non-cardiac gastric cancer patients: </w:t>
      </w:r>
      <w:r w:rsidR="003A7E8C">
        <w:rPr>
          <w:rFonts w:asciiTheme="majorBidi" w:hAnsiTheme="majorBidi" w:cstheme="majorBidi"/>
        </w:rPr>
        <w:t>cohort study and meta-analysis results</w:t>
      </w:r>
      <w:r w:rsidR="006F6BD9" w:rsidRPr="006F6BD9">
        <w:rPr>
          <w:rFonts w:asciiTheme="majorBidi" w:hAnsiTheme="majorBidi" w:cstheme="majorBidi"/>
        </w:rPr>
        <w:t xml:space="preserve">. </w:t>
      </w:r>
      <w:r w:rsidR="006F6BD9" w:rsidRPr="006F6BD9">
        <w:rPr>
          <w:rFonts w:asciiTheme="majorBidi" w:hAnsiTheme="majorBidi" w:cstheme="majorBidi"/>
          <w:i/>
          <w:iCs/>
        </w:rPr>
        <w:t>BMC Cancer</w:t>
      </w:r>
      <w:r w:rsidR="006F6BD9" w:rsidRPr="006F6BD9">
        <w:rPr>
          <w:rFonts w:asciiTheme="majorBidi" w:hAnsiTheme="majorBidi" w:cstheme="majorBidi"/>
        </w:rPr>
        <w:t xml:space="preserve"> 2022;22(1):155. </w:t>
      </w:r>
    </w:p>
    <w:p w14:paraId="72724494" w14:textId="0E4E499E" w:rsidR="009A7CA4" w:rsidRPr="00C0688A" w:rsidRDefault="00A16AA6" w:rsidP="00160928">
      <w:pPr>
        <w:pStyle w:val="citation"/>
        <w:keepLines/>
        <w:spacing w:before="120" w:beforeAutospacing="0" w:after="0" w:afterAutospacing="0" w:line="480" w:lineRule="auto"/>
        <w:ind w:left="567" w:hanging="567"/>
        <w:jc w:val="both"/>
        <w:rPr>
          <w:rFonts w:asciiTheme="majorBidi" w:hAnsiTheme="majorBidi" w:cstheme="majorBidi"/>
        </w:rPr>
      </w:pPr>
      <w:r w:rsidRPr="00C0688A">
        <w:rPr>
          <w:rFonts w:asciiTheme="majorBidi" w:hAnsiTheme="majorBidi" w:cstheme="majorBidi"/>
        </w:rPr>
        <w:t xml:space="preserve">6. </w:t>
      </w:r>
      <w:r w:rsidR="006F6BD9">
        <w:rPr>
          <w:rFonts w:asciiTheme="majorBidi" w:hAnsiTheme="majorBidi" w:cstheme="majorBidi"/>
        </w:rPr>
        <w:tab/>
      </w:r>
      <w:r w:rsidR="006F6BD9" w:rsidRPr="00C304B0">
        <w:rPr>
          <w:rFonts w:asciiTheme="majorBidi" w:hAnsiTheme="majorBidi" w:cstheme="majorBidi"/>
        </w:rPr>
        <w:t xml:space="preserve">Thakar S, </w:t>
      </w:r>
      <w:proofErr w:type="spellStart"/>
      <w:r w:rsidR="006F6BD9" w:rsidRPr="00C304B0">
        <w:rPr>
          <w:rFonts w:asciiTheme="majorBidi" w:hAnsiTheme="majorBidi" w:cstheme="majorBidi"/>
        </w:rPr>
        <w:t>Gabarin</w:t>
      </w:r>
      <w:proofErr w:type="spellEnd"/>
      <w:r w:rsidR="006F6BD9" w:rsidRPr="006F6BD9">
        <w:rPr>
          <w:rFonts w:asciiTheme="majorBidi" w:hAnsiTheme="majorBidi" w:cstheme="majorBidi"/>
        </w:rPr>
        <w:t xml:space="preserve"> N, Gupta A, </w:t>
      </w:r>
      <w:proofErr w:type="spellStart"/>
      <w:r w:rsidR="00160928">
        <w:rPr>
          <w:rFonts w:asciiTheme="majorBidi" w:hAnsiTheme="majorBidi" w:cstheme="majorBidi"/>
        </w:rPr>
        <w:t>etal</w:t>
      </w:r>
      <w:proofErr w:type="spellEnd"/>
      <w:r w:rsidR="006F6BD9" w:rsidRPr="006F6BD9">
        <w:rPr>
          <w:rFonts w:asciiTheme="majorBidi" w:hAnsiTheme="majorBidi" w:cstheme="majorBidi"/>
        </w:rPr>
        <w:t xml:space="preserve">. Anemia-Induced Bleeding in Patients with Platelet Disorders. </w:t>
      </w:r>
      <w:proofErr w:type="spellStart"/>
      <w:r w:rsidR="006F6BD9" w:rsidRPr="006F6BD9">
        <w:rPr>
          <w:rFonts w:asciiTheme="majorBidi" w:hAnsiTheme="majorBidi" w:cstheme="majorBidi"/>
          <w:i/>
          <w:iCs/>
        </w:rPr>
        <w:t>Transfus</w:t>
      </w:r>
      <w:proofErr w:type="spellEnd"/>
      <w:r w:rsidR="006F6BD9" w:rsidRPr="006F6BD9">
        <w:rPr>
          <w:rFonts w:asciiTheme="majorBidi" w:hAnsiTheme="majorBidi" w:cstheme="majorBidi"/>
          <w:i/>
          <w:iCs/>
        </w:rPr>
        <w:t xml:space="preserve"> Med Rev</w:t>
      </w:r>
      <w:r w:rsidR="006F6BD9" w:rsidRPr="006F6BD9">
        <w:rPr>
          <w:rFonts w:asciiTheme="majorBidi" w:hAnsiTheme="majorBidi" w:cstheme="majorBidi"/>
        </w:rPr>
        <w:t xml:space="preserve"> 2021;35(3):22-8. </w:t>
      </w:r>
    </w:p>
    <w:p w14:paraId="24BDC7D2" w14:textId="77777777" w:rsidR="009A7CA4" w:rsidRPr="00C0688A" w:rsidRDefault="00A16AA6" w:rsidP="001E1AC1">
      <w:pPr>
        <w:pStyle w:val="citation"/>
        <w:keepLines/>
        <w:spacing w:before="120" w:beforeAutospacing="0" w:after="0" w:afterAutospacing="0" w:line="480" w:lineRule="auto"/>
        <w:ind w:left="567" w:hanging="567"/>
        <w:jc w:val="both"/>
        <w:rPr>
          <w:rFonts w:asciiTheme="majorBidi" w:hAnsiTheme="majorBidi" w:cstheme="majorBidi"/>
        </w:rPr>
      </w:pPr>
      <w:r w:rsidRPr="00C0688A">
        <w:rPr>
          <w:rFonts w:asciiTheme="majorBidi" w:hAnsiTheme="majorBidi" w:cstheme="majorBidi"/>
        </w:rPr>
        <w:t>7</w:t>
      </w:r>
      <w:r w:rsidR="006F6BD9">
        <w:rPr>
          <w:rFonts w:asciiTheme="majorBidi" w:hAnsiTheme="majorBidi" w:cstheme="majorBidi"/>
        </w:rPr>
        <w:tab/>
      </w:r>
      <w:r w:rsidR="006F6BD9" w:rsidRPr="006F6BD9">
        <w:rPr>
          <w:rFonts w:asciiTheme="majorBidi" w:hAnsiTheme="majorBidi" w:cstheme="majorBidi"/>
        </w:rPr>
        <w:t xml:space="preserve">Wilkins T, Wheeler B, Carpenter M. Upper Gastrointestinal Bleeding in Adults: Evaluation and Management. </w:t>
      </w:r>
      <w:r w:rsidR="006F6BD9" w:rsidRPr="006F6BD9">
        <w:rPr>
          <w:rFonts w:asciiTheme="majorBidi" w:hAnsiTheme="majorBidi" w:cstheme="majorBidi"/>
          <w:i/>
          <w:iCs/>
        </w:rPr>
        <w:t>Am Fam Physician</w:t>
      </w:r>
      <w:r w:rsidR="006F6BD9" w:rsidRPr="006F6BD9">
        <w:rPr>
          <w:rFonts w:asciiTheme="majorBidi" w:hAnsiTheme="majorBidi" w:cstheme="majorBidi"/>
        </w:rPr>
        <w:t xml:space="preserve"> 2020;101(5):294-300. </w:t>
      </w:r>
    </w:p>
    <w:p w14:paraId="1FA7860D" w14:textId="3F2F1747" w:rsidR="009A7CA4" w:rsidRPr="00C0688A" w:rsidRDefault="00A16AA6" w:rsidP="00160928">
      <w:pPr>
        <w:pStyle w:val="citation"/>
        <w:keepLines/>
        <w:spacing w:before="120" w:beforeAutospacing="0" w:after="0" w:afterAutospacing="0" w:line="480" w:lineRule="auto"/>
        <w:ind w:left="567" w:hanging="567"/>
        <w:jc w:val="both"/>
        <w:rPr>
          <w:rFonts w:asciiTheme="majorBidi" w:hAnsiTheme="majorBidi" w:cstheme="majorBidi"/>
        </w:rPr>
      </w:pPr>
      <w:r w:rsidRPr="00C0688A">
        <w:rPr>
          <w:rFonts w:asciiTheme="majorBidi" w:hAnsiTheme="majorBidi" w:cstheme="majorBidi"/>
        </w:rPr>
        <w:t>8.</w:t>
      </w:r>
      <w:r w:rsidR="006F6BD9">
        <w:rPr>
          <w:rFonts w:asciiTheme="majorBidi" w:hAnsiTheme="majorBidi" w:cstheme="majorBidi"/>
        </w:rPr>
        <w:tab/>
      </w:r>
      <w:proofErr w:type="spellStart"/>
      <w:r w:rsidR="00B62054" w:rsidRPr="00B62054">
        <w:rPr>
          <w:rFonts w:asciiTheme="majorBidi" w:hAnsiTheme="majorBidi" w:cstheme="majorBidi"/>
        </w:rPr>
        <w:t>Elb</w:t>
      </w:r>
      <w:r w:rsidR="00160928">
        <w:rPr>
          <w:rFonts w:asciiTheme="majorBidi" w:hAnsiTheme="majorBidi" w:cstheme="majorBidi"/>
        </w:rPr>
        <w:t>ehiry</w:t>
      </w:r>
      <w:proofErr w:type="spellEnd"/>
      <w:r w:rsidR="00160928">
        <w:rPr>
          <w:rFonts w:asciiTheme="majorBidi" w:hAnsiTheme="majorBidi" w:cstheme="majorBidi"/>
        </w:rPr>
        <w:t xml:space="preserve"> A, Marzouk E, </w:t>
      </w:r>
      <w:proofErr w:type="spellStart"/>
      <w:r w:rsidR="00160928">
        <w:rPr>
          <w:rFonts w:asciiTheme="majorBidi" w:hAnsiTheme="majorBidi" w:cstheme="majorBidi"/>
        </w:rPr>
        <w:t>Aldubaib</w:t>
      </w:r>
      <w:proofErr w:type="spellEnd"/>
      <w:r w:rsidR="00160928">
        <w:rPr>
          <w:rFonts w:asciiTheme="majorBidi" w:hAnsiTheme="majorBidi" w:cstheme="majorBidi"/>
        </w:rPr>
        <w:t xml:space="preserve"> M</w:t>
      </w:r>
      <w:r w:rsidR="00B62054" w:rsidRPr="00B62054">
        <w:rPr>
          <w:rFonts w:asciiTheme="majorBidi" w:hAnsiTheme="majorBidi" w:cstheme="majorBidi"/>
        </w:rPr>
        <w:t xml:space="preserve">, </w:t>
      </w:r>
      <w:r w:rsidR="00B62054">
        <w:rPr>
          <w:rFonts w:asciiTheme="majorBidi" w:hAnsiTheme="majorBidi" w:cstheme="majorBidi"/>
        </w:rPr>
        <w:t>et al</w:t>
      </w:r>
      <w:r w:rsidR="00B62054" w:rsidRPr="00B62054">
        <w:rPr>
          <w:rFonts w:asciiTheme="majorBidi" w:hAnsiTheme="majorBidi" w:cstheme="majorBidi"/>
        </w:rPr>
        <w:t>. </w:t>
      </w:r>
      <w:r w:rsidR="00B62054" w:rsidRPr="00B62054">
        <w:rPr>
          <w:rFonts w:asciiTheme="majorBidi" w:hAnsiTheme="majorBidi" w:cstheme="majorBidi"/>
          <w:i/>
          <w:iCs/>
        </w:rPr>
        <w:t>Helicobacter pylori </w:t>
      </w:r>
      <w:r w:rsidR="00B62054" w:rsidRPr="00B62054">
        <w:rPr>
          <w:rFonts w:asciiTheme="majorBidi" w:hAnsiTheme="majorBidi" w:cstheme="majorBidi"/>
        </w:rPr>
        <w:t xml:space="preserve">Infection: Current Status and Future Prospects on Diagnostic, Therapeutic and Control Challenges. </w:t>
      </w:r>
      <w:r w:rsidR="00B62054" w:rsidRPr="008647CD">
        <w:rPr>
          <w:rFonts w:asciiTheme="majorBidi" w:hAnsiTheme="majorBidi" w:cstheme="majorBidi"/>
          <w:i/>
          <w:iCs/>
        </w:rPr>
        <w:t>Antibiotics (Basel)</w:t>
      </w:r>
      <w:r w:rsidR="00B62054" w:rsidRPr="00B62054">
        <w:rPr>
          <w:rFonts w:asciiTheme="majorBidi" w:hAnsiTheme="majorBidi" w:cstheme="majorBidi"/>
        </w:rPr>
        <w:t xml:space="preserve"> 2023;12(2):191. </w:t>
      </w:r>
    </w:p>
    <w:p w14:paraId="78CE747D" w14:textId="38B14B76" w:rsidR="009A7CA4" w:rsidRPr="00C0688A" w:rsidRDefault="00A16AA6" w:rsidP="00160928">
      <w:pPr>
        <w:pStyle w:val="citation"/>
        <w:keepLines/>
        <w:spacing w:before="120" w:beforeAutospacing="0" w:after="0" w:afterAutospacing="0" w:line="480" w:lineRule="auto"/>
        <w:ind w:left="567" w:hanging="567"/>
        <w:jc w:val="both"/>
        <w:rPr>
          <w:rFonts w:asciiTheme="majorBidi" w:hAnsiTheme="majorBidi" w:cstheme="majorBidi"/>
        </w:rPr>
      </w:pPr>
      <w:r w:rsidRPr="00C0688A">
        <w:rPr>
          <w:rFonts w:asciiTheme="majorBidi" w:hAnsiTheme="majorBidi" w:cstheme="majorBidi"/>
        </w:rPr>
        <w:t>9.</w:t>
      </w:r>
      <w:r w:rsidR="008647CD">
        <w:rPr>
          <w:rFonts w:asciiTheme="majorBidi" w:hAnsiTheme="majorBidi" w:cstheme="majorBidi"/>
        </w:rPr>
        <w:tab/>
      </w:r>
      <w:r w:rsidR="008647CD" w:rsidRPr="008647CD">
        <w:rPr>
          <w:rFonts w:asciiTheme="majorBidi" w:hAnsiTheme="majorBidi" w:cstheme="majorBidi"/>
        </w:rPr>
        <w:t xml:space="preserve">Tilahun M, </w:t>
      </w:r>
      <w:proofErr w:type="spellStart"/>
      <w:r w:rsidR="008647CD" w:rsidRPr="008647CD">
        <w:rPr>
          <w:rFonts w:asciiTheme="majorBidi" w:hAnsiTheme="majorBidi" w:cstheme="majorBidi"/>
        </w:rPr>
        <w:t>Gedefie</w:t>
      </w:r>
      <w:proofErr w:type="spellEnd"/>
      <w:r w:rsidR="008647CD" w:rsidRPr="008647CD">
        <w:rPr>
          <w:rFonts w:asciiTheme="majorBidi" w:hAnsiTheme="majorBidi" w:cstheme="majorBidi"/>
        </w:rPr>
        <w:t xml:space="preserve"> A, </w:t>
      </w:r>
      <w:proofErr w:type="spellStart"/>
      <w:r w:rsidR="008647CD" w:rsidRPr="008647CD">
        <w:rPr>
          <w:rFonts w:asciiTheme="majorBidi" w:hAnsiTheme="majorBidi" w:cstheme="majorBidi"/>
        </w:rPr>
        <w:t>Belayhun</w:t>
      </w:r>
      <w:proofErr w:type="spellEnd"/>
      <w:r w:rsidR="008647CD" w:rsidRPr="008647CD">
        <w:rPr>
          <w:rFonts w:asciiTheme="majorBidi" w:hAnsiTheme="majorBidi" w:cstheme="majorBidi"/>
        </w:rPr>
        <w:t xml:space="preserve"> C, </w:t>
      </w:r>
      <w:proofErr w:type="spellStart"/>
      <w:r w:rsidR="00160928">
        <w:rPr>
          <w:rFonts w:asciiTheme="majorBidi" w:hAnsiTheme="majorBidi" w:cstheme="majorBidi"/>
        </w:rPr>
        <w:t>etal</w:t>
      </w:r>
      <w:proofErr w:type="spellEnd"/>
      <w:r w:rsidR="008647CD" w:rsidRPr="008647CD">
        <w:rPr>
          <w:rFonts w:asciiTheme="majorBidi" w:hAnsiTheme="majorBidi" w:cstheme="majorBidi"/>
        </w:rPr>
        <w:t>. </w:t>
      </w:r>
      <w:r w:rsidR="008647CD" w:rsidRPr="00E703DF">
        <w:rPr>
          <w:rFonts w:asciiTheme="majorBidi" w:hAnsiTheme="majorBidi" w:cstheme="majorBidi"/>
          <w:i/>
          <w:iCs/>
        </w:rPr>
        <w:t>Helicobacter pylori</w:t>
      </w:r>
      <w:r w:rsidR="008647CD" w:rsidRPr="008647CD">
        <w:rPr>
          <w:rFonts w:asciiTheme="majorBidi" w:hAnsiTheme="majorBidi" w:cstheme="majorBidi"/>
        </w:rPr>
        <w:t xml:space="preserve"> Pathogenicity Islands and Giardia lamblia Cysteine Proteases in Role of Coinfection and Pathogenesis. </w:t>
      </w:r>
      <w:r w:rsidR="008647CD" w:rsidRPr="008647CD">
        <w:rPr>
          <w:rFonts w:asciiTheme="majorBidi" w:hAnsiTheme="majorBidi" w:cstheme="majorBidi"/>
          <w:i/>
          <w:iCs/>
        </w:rPr>
        <w:t>Infect Drug Resist</w:t>
      </w:r>
      <w:r w:rsidR="008647CD" w:rsidRPr="008647CD">
        <w:rPr>
          <w:rFonts w:asciiTheme="majorBidi" w:hAnsiTheme="majorBidi" w:cstheme="majorBidi"/>
        </w:rPr>
        <w:t xml:space="preserve"> </w:t>
      </w:r>
      <w:r w:rsidR="00E731FD" w:rsidRPr="008647CD">
        <w:rPr>
          <w:rFonts w:asciiTheme="majorBidi" w:hAnsiTheme="majorBidi" w:cstheme="majorBidi"/>
        </w:rPr>
        <w:t>2022; 15:21</w:t>
      </w:r>
      <w:r w:rsidR="008647CD" w:rsidRPr="008647CD">
        <w:rPr>
          <w:rFonts w:asciiTheme="majorBidi" w:hAnsiTheme="majorBidi" w:cstheme="majorBidi"/>
        </w:rPr>
        <w:t xml:space="preserve">-34. </w:t>
      </w:r>
    </w:p>
    <w:p w14:paraId="2357E276" w14:textId="64A3D44D" w:rsidR="009A7CA4" w:rsidRPr="00C0688A" w:rsidRDefault="00A16AA6" w:rsidP="001E1AC1">
      <w:pPr>
        <w:pStyle w:val="citation"/>
        <w:keepLines/>
        <w:spacing w:before="120" w:beforeAutospacing="0" w:after="0" w:afterAutospacing="0" w:line="480" w:lineRule="auto"/>
        <w:ind w:left="567" w:hanging="567"/>
        <w:jc w:val="both"/>
        <w:rPr>
          <w:rFonts w:asciiTheme="majorBidi" w:hAnsiTheme="majorBidi" w:cstheme="majorBidi"/>
        </w:rPr>
      </w:pPr>
      <w:r w:rsidRPr="00C0688A">
        <w:rPr>
          <w:rFonts w:asciiTheme="majorBidi" w:hAnsiTheme="majorBidi" w:cstheme="majorBidi"/>
        </w:rPr>
        <w:t>10.</w:t>
      </w:r>
      <w:r w:rsidR="00F80374">
        <w:rPr>
          <w:rFonts w:asciiTheme="majorBidi" w:hAnsiTheme="majorBidi" w:cstheme="majorBidi"/>
        </w:rPr>
        <w:t xml:space="preserve">  </w:t>
      </w:r>
      <w:r w:rsidR="001B59FA">
        <w:rPr>
          <w:rFonts w:asciiTheme="majorBidi" w:hAnsiTheme="majorBidi" w:cstheme="majorBidi"/>
        </w:rPr>
        <w:t xml:space="preserve"> </w:t>
      </w:r>
      <w:r w:rsidR="008647CD" w:rsidRPr="008647CD">
        <w:rPr>
          <w:rFonts w:asciiTheme="majorBidi" w:hAnsiTheme="majorBidi" w:cstheme="majorBidi"/>
        </w:rPr>
        <w:t xml:space="preserve">Sağlam NÖ, Civan HA. Impact of chronic </w:t>
      </w:r>
      <w:r w:rsidR="008647CD" w:rsidRPr="00E703DF">
        <w:rPr>
          <w:rFonts w:asciiTheme="majorBidi" w:hAnsiTheme="majorBidi" w:cstheme="majorBidi"/>
          <w:i/>
          <w:iCs/>
        </w:rPr>
        <w:t>Helicobacter pylori</w:t>
      </w:r>
      <w:r w:rsidR="008647CD" w:rsidRPr="008647CD">
        <w:rPr>
          <w:rFonts w:asciiTheme="majorBidi" w:hAnsiTheme="majorBidi" w:cstheme="majorBidi"/>
        </w:rPr>
        <w:t xml:space="preserve"> infection on inflammatory markers and hematological parameters. </w:t>
      </w:r>
      <w:proofErr w:type="spellStart"/>
      <w:r w:rsidR="008647CD" w:rsidRPr="008647CD">
        <w:rPr>
          <w:rFonts w:asciiTheme="majorBidi" w:hAnsiTheme="majorBidi" w:cstheme="majorBidi"/>
          <w:i/>
          <w:iCs/>
        </w:rPr>
        <w:t>Eur</w:t>
      </w:r>
      <w:proofErr w:type="spellEnd"/>
      <w:r w:rsidR="008647CD" w:rsidRPr="008647CD">
        <w:rPr>
          <w:rFonts w:asciiTheme="majorBidi" w:hAnsiTheme="majorBidi" w:cstheme="majorBidi"/>
          <w:i/>
          <w:iCs/>
        </w:rPr>
        <w:t xml:space="preserve"> Rev Med </w:t>
      </w:r>
      <w:proofErr w:type="spellStart"/>
      <w:r w:rsidR="008647CD" w:rsidRPr="008647CD">
        <w:rPr>
          <w:rFonts w:asciiTheme="majorBidi" w:hAnsiTheme="majorBidi" w:cstheme="majorBidi"/>
          <w:i/>
          <w:iCs/>
        </w:rPr>
        <w:t>Pharmacol</w:t>
      </w:r>
      <w:proofErr w:type="spellEnd"/>
      <w:r w:rsidR="008647CD" w:rsidRPr="008647CD">
        <w:rPr>
          <w:rFonts w:asciiTheme="majorBidi" w:hAnsiTheme="majorBidi" w:cstheme="majorBidi"/>
          <w:i/>
          <w:iCs/>
        </w:rPr>
        <w:t xml:space="preserve"> Sci</w:t>
      </w:r>
      <w:r w:rsidR="008647CD" w:rsidRPr="008647CD">
        <w:rPr>
          <w:rFonts w:asciiTheme="majorBidi" w:hAnsiTheme="majorBidi" w:cstheme="majorBidi"/>
        </w:rPr>
        <w:t xml:space="preserve"> 2023;27(3):969-79. </w:t>
      </w:r>
    </w:p>
    <w:p w14:paraId="7D9796DD" w14:textId="159BE6FF" w:rsidR="009A7CA4" w:rsidRPr="00C0688A" w:rsidRDefault="00636F88" w:rsidP="00636F88">
      <w:pPr>
        <w:pStyle w:val="citation"/>
        <w:keepLines/>
        <w:spacing w:before="120" w:after="0" w:line="480" w:lineRule="auto"/>
        <w:ind w:left="-142" w:hanging="283"/>
        <w:rPr>
          <w:rFonts w:asciiTheme="majorBidi" w:hAnsiTheme="majorBidi" w:cstheme="majorBidi"/>
        </w:rPr>
      </w:pPr>
      <w:r>
        <w:rPr>
          <w:rFonts w:asciiTheme="majorBidi" w:hAnsiTheme="majorBidi" w:cstheme="majorBidi"/>
        </w:rPr>
        <w:t xml:space="preserve">    </w:t>
      </w:r>
      <w:r w:rsidR="00FB79D7">
        <w:rPr>
          <w:rFonts w:asciiTheme="majorBidi" w:hAnsiTheme="majorBidi" w:cstheme="majorBidi"/>
        </w:rPr>
        <w:t xml:space="preserve">   </w:t>
      </w:r>
      <w:r w:rsidR="00A16AA6" w:rsidRPr="00AC4853">
        <w:rPr>
          <w:rFonts w:asciiTheme="majorBidi" w:hAnsiTheme="majorBidi" w:cstheme="majorBidi"/>
        </w:rPr>
        <w:t>11.</w:t>
      </w:r>
      <w:r w:rsidR="003A7E8C">
        <w:rPr>
          <w:rFonts w:asciiTheme="majorBidi" w:hAnsiTheme="majorBidi" w:cstheme="majorBidi"/>
        </w:rPr>
        <w:t xml:space="preserve"> </w:t>
      </w:r>
      <w:r w:rsidR="00A16AA6" w:rsidRPr="00AC4853">
        <w:rPr>
          <w:rFonts w:asciiTheme="majorBidi" w:hAnsiTheme="majorBidi" w:cstheme="majorBidi"/>
        </w:rPr>
        <w:t xml:space="preserve">Kim N. Symptoms of Acute and Chronic </w:t>
      </w:r>
      <w:r w:rsidR="00A16AA6" w:rsidRPr="00E703DF">
        <w:rPr>
          <w:rFonts w:asciiTheme="majorBidi" w:hAnsiTheme="majorBidi" w:cstheme="majorBidi"/>
          <w:i/>
          <w:iCs/>
        </w:rPr>
        <w:t>H. pylori</w:t>
      </w:r>
      <w:r w:rsidR="00A16AA6" w:rsidRPr="00AC4853">
        <w:rPr>
          <w:rFonts w:asciiTheme="majorBidi" w:hAnsiTheme="majorBidi" w:cstheme="majorBidi"/>
        </w:rPr>
        <w:t xml:space="preserve"> Infection. In</w:t>
      </w:r>
      <w:r w:rsidR="00284B01" w:rsidRPr="00AC4853">
        <w:rPr>
          <w:rFonts w:asciiTheme="majorBidi" w:hAnsiTheme="majorBidi" w:cstheme="majorBidi"/>
        </w:rPr>
        <w:t>:</w:t>
      </w:r>
      <w:r w:rsidR="00A16AA6" w:rsidRPr="00AC4853">
        <w:rPr>
          <w:rFonts w:asciiTheme="majorBidi" w:hAnsiTheme="majorBidi" w:cstheme="majorBidi"/>
        </w:rPr>
        <w:t> </w:t>
      </w:r>
      <w:r w:rsidR="008933E3" w:rsidRPr="00AC4853">
        <w:rPr>
          <w:rFonts w:asciiTheme="majorBidi" w:hAnsiTheme="majorBidi" w:cstheme="majorBidi"/>
        </w:rPr>
        <w:t>Buzas G</w:t>
      </w:r>
      <w:r w:rsidR="00AC4853" w:rsidRPr="00AC4853">
        <w:rPr>
          <w:rFonts w:asciiTheme="majorBidi" w:hAnsiTheme="majorBidi" w:cstheme="majorBidi"/>
        </w:rPr>
        <w:t>,</w:t>
      </w:r>
      <w:r w:rsidR="008933E3" w:rsidRPr="00AC4853">
        <w:rPr>
          <w:rFonts w:asciiTheme="majorBidi" w:hAnsiTheme="majorBidi" w:cstheme="majorBidi"/>
        </w:rPr>
        <w:t xml:space="preserve"> ed. </w:t>
      </w:r>
      <w:r w:rsidR="00A16AA6" w:rsidRPr="00874B2D">
        <w:rPr>
          <w:rFonts w:asciiTheme="majorBidi" w:hAnsiTheme="majorBidi" w:cstheme="majorBidi"/>
          <w:i/>
          <w:iCs/>
        </w:rPr>
        <w:t>Helicobacter pylori</w:t>
      </w:r>
      <w:r w:rsidR="00284B01" w:rsidRPr="00AC4853">
        <w:rPr>
          <w:rFonts w:asciiTheme="majorBidi" w:hAnsiTheme="majorBidi" w:cstheme="majorBidi"/>
        </w:rPr>
        <w:t>.</w:t>
      </w:r>
      <w:r w:rsidR="00A16AA6" w:rsidRPr="00AC4853">
        <w:rPr>
          <w:rFonts w:asciiTheme="majorBidi" w:hAnsiTheme="majorBidi" w:cstheme="majorBidi"/>
        </w:rPr>
        <w:t> Singapore: Springer Nature Singapore</w:t>
      </w:r>
      <w:r w:rsidR="00284B01" w:rsidRPr="00AC4853">
        <w:rPr>
          <w:rFonts w:asciiTheme="majorBidi" w:hAnsiTheme="majorBidi" w:cstheme="majorBidi"/>
        </w:rPr>
        <w:t>;</w:t>
      </w:r>
      <w:r w:rsidR="00AC4853">
        <w:rPr>
          <w:rFonts w:asciiTheme="majorBidi" w:hAnsiTheme="majorBidi" w:cstheme="majorBidi"/>
        </w:rPr>
        <w:t xml:space="preserve"> </w:t>
      </w:r>
      <w:r w:rsidR="00284B01" w:rsidRPr="00AC4853">
        <w:rPr>
          <w:rFonts w:asciiTheme="majorBidi" w:hAnsiTheme="majorBidi" w:cstheme="majorBidi"/>
        </w:rPr>
        <w:t>2014</w:t>
      </w:r>
      <w:r w:rsidR="00AC4853" w:rsidRPr="00AC4853">
        <w:rPr>
          <w:rFonts w:asciiTheme="majorBidi" w:hAnsiTheme="majorBidi" w:cstheme="majorBidi"/>
        </w:rPr>
        <w:t>.</w:t>
      </w:r>
      <w:r w:rsidR="00284B01" w:rsidRPr="00AC4853">
        <w:rPr>
          <w:rFonts w:asciiTheme="majorBidi" w:hAnsiTheme="majorBidi" w:cstheme="majorBidi"/>
        </w:rPr>
        <w:t xml:space="preserve"> </w:t>
      </w:r>
      <w:r w:rsidR="00AC4853" w:rsidRPr="00AC4853">
        <w:rPr>
          <w:rFonts w:asciiTheme="majorBidi" w:hAnsiTheme="majorBidi" w:cstheme="majorBidi"/>
        </w:rPr>
        <w:t xml:space="preserve">p. </w:t>
      </w:r>
      <w:r w:rsidR="00284B01" w:rsidRPr="00AC4853">
        <w:rPr>
          <w:rFonts w:asciiTheme="majorBidi" w:hAnsiTheme="majorBidi" w:cstheme="majorBidi"/>
        </w:rPr>
        <w:t>205-13</w:t>
      </w:r>
      <w:r w:rsidR="00AC4853" w:rsidRPr="00AC4853">
        <w:rPr>
          <w:rFonts w:asciiTheme="majorBidi" w:hAnsiTheme="majorBidi" w:cstheme="majorBidi"/>
        </w:rPr>
        <w:t>.</w:t>
      </w:r>
      <w:r w:rsidR="00446B32">
        <w:rPr>
          <w:rFonts w:asciiTheme="majorBidi" w:hAnsiTheme="majorBidi" w:cstheme="majorBidi"/>
        </w:rPr>
        <w:br/>
      </w:r>
      <w:r w:rsidR="00FB79D7">
        <w:rPr>
          <w:rFonts w:asciiTheme="majorBidi" w:hAnsiTheme="majorBidi" w:cstheme="majorBidi"/>
        </w:rPr>
        <w:t xml:space="preserve">  </w:t>
      </w:r>
      <w:r w:rsidR="00446B32">
        <w:rPr>
          <w:rFonts w:asciiTheme="majorBidi" w:hAnsiTheme="majorBidi" w:cstheme="majorBidi"/>
        </w:rPr>
        <w:t xml:space="preserve">12. </w:t>
      </w:r>
      <w:r w:rsidR="00446B32" w:rsidRPr="00446B32">
        <w:rPr>
          <w:rFonts w:asciiTheme="majorBidi" w:hAnsiTheme="majorBidi" w:cstheme="majorBidi"/>
        </w:rPr>
        <w:t xml:space="preserve">Mohamed </w:t>
      </w:r>
      <w:r w:rsidR="00E731FD" w:rsidRPr="00446B32">
        <w:rPr>
          <w:rFonts w:asciiTheme="majorBidi" w:hAnsiTheme="majorBidi" w:cstheme="majorBidi"/>
        </w:rPr>
        <w:t>Metwally</w:t>
      </w:r>
      <w:r w:rsidR="00446B32" w:rsidRPr="00446B32">
        <w:rPr>
          <w:rFonts w:asciiTheme="majorBidi" w:hAnsiTheme="majorBidi" w:cstheme="majorBidi"/>
        </w:rPr>
        <w:t xml:space="preserve">, Raghda Ragab, Hasnaa S Abdel </w:t>
      </w:r>
      <w:r w:rsidR="001B282C" w:rsidRPr="00446B32">
        <w:rPr>
          <w:rFonts w:asciiTheme="majorBidi" w:hAnsiTheme="majorBidi" w:cstheme="majorBidi"/>
        </w:rPr>
        <w:t>Hamid</w:t>
      </w:r>
      <w:r w:rsidR="001B282C">
        <w:rPr>
          <w:rFonts w:asciiTheme="majorBidi" w:hAnsiTheme="majorBidi" w:cstheme="majorBidi"/>
        </w:rPr>
        <w:t>;</w:t>
      </w:r>
      <w:r w:rsidR="001B282C" w:rsidRPr="00446B32">
        <w:rPr>
          <w:rFonts w:asciiTheme="majorBidi" w:hAnsiTheme="majorBidi" w:cstheme="majorBidi"/>
        </w:rPr>
        <w:t xml:space="preserve"> </w:t>
      </w:r>
      <w:r w:rsidR="001B282C" w:rsidRPr="00874B2D">
        <w:rPr>
          <w:rFonts w:asciiTheme="majorBidi" w:hAnsiTheme="majorBidi" w:cstheme="majorBidi"/>
          <w:i/>
          <w:iCs/>
        </w:rPr>
        <w:t>Helicobacter</w:t>
      </w:r>
      <w:r w:rsidR="00446B32" w:rsidRPr="00874B2D">
        <w:rPr>
          <w:rFonts w:asciiTheme="majorBidi" w:hAnsiTheme="majorBidi" w:cstheme="majorBidi"/>
          <w:i/>
          <w:iCs/>
        </w:rPr>
        <w:t xml:space="preserve"> pylori</w:t>
      </w:r>
      <w:r w:rsidR="00446B32" w:rsidRPr="00446B32">
        <w:rPr>
          <w:rFonts w:asciiTheme="majorBidi" w:hAnsiTheme="majorBidi" w:cstheme="majorBidi"/>
        </w:rPr>
        <w:t xml:space="preserve"> Antibiotic Resistance in Egypt:</w:t>
      </w:r>
      <w:r w:rsidR="00446B32" w:rsidRPr="00446B32">
        <w:t xml:space="preserve"> </w:t>
      </w:r>
      <w:r>
        <w:rPr>
          <w:rFonts w:asciiTheme="majorBidi" w:hAnsiTheme="majorBidi" w:cstheme="majorBidi"/>
        </w:rPr>
        <w:t>2022 Oct 11:15:5905-5913.</w:t>
      </w:r>
    </w:p>
    <w:p w14:paraId="43989343" w14:textId="68918EFB" w:rsidR="009A7CA4" w:rsidRPr="00AE10F0" w:rsidRDefault="00A16AA6" w:rsidP="00636F88">
      <w:pPr>
        <w:pStyle w:val="Heading4"/>
        <w:rPr>
          <w:rFonts w:asciiTheme="majorBidi" w:eastAsia="Times New Roman" w:hAnsiTheme="majorBidi" w:cstheme="majorBidi"/>
          <w:b w:val="0"/>
        </w:rPr>
      </w:pPr>
      <w:r w:rsidRPr="00AE10F0">
        <w:rPr>
          <w:rFonts w:asciiTheme="majorBidi" w:eastAsia="Times New Roman" w:hAnsiTheme="majorBidi" w:cstheme="majorBidi"/>
          <w:b w:val="0"/>
        </w:rPr>
        <w:t>1</w:t>
      </w:r>
      <w:r w:rsidR="00636F88">
        <w:rPr>
          <w:rFonts w:asciiTheme="majorBidi" w:eastAsia="Times New Roman" w:hAnsiTheme="majorBidi" w:cstheme="majorBidi"/>
          <w:b w:val="0"/>
        </w:rPr>
        <w:t>3</w:t>
      </w:r>
      <w:r w:rsidRPr="00AE10F0">
        <w:rPr>
          <w:rFonts w:asciiTheme="majorBidi" w:eastAsia="Times New Roman" w:hAnsiTheme="majorBidi" w:cstheme="majorBidi"/>
          <w:b w:val="0"/>
        </w:rPr>
        <w:t>.</w:t>
      </w:r>
      <w:r w:rsidR="001B59FA">
        <w:rPr>
          <w:rFonts w:asciiTheme="majorBidi" w:eastAsia="Times New Roman" w:hAnsiTheme="majorBidi" w:cstheme="majorBidi"/>
          <w:b w:val="0"/>
        </w:rPr>
        <w:t xml:space="preserve"> </w:t>
      </w:r>
      <w:r w:rsidR="00F80374">
        <w:rPr>
          <w:rFonts w:asciiTheme="majorBidi" w:eastAsia="Times New Roman" w:hAnsiTheme="majorBidi" w:cstheme="majorBidi"/>
          <w:b w:val="0"/>
        </w:rPr>
        <w:t xml:space="preserve">  </w:t>
      </w:r>
      <w:r w:rsidR="008647CD" w:rsidRPr="00AE10F0">
        <w:rPr>
          <w:rFonts w:asciiTheme="majorBidi" w:eastAsia="Times New Roman" w:hAnsiTheme="majorBidi" w:cstheme="majorBidi"/>
          <w:b w:val="0"/>
        </w:rPr>
        <w:t xml:space="preserve">Rahmati A, </w:t>
      </w:r>
      <w:proofErr w:type="spellStart"/>
      <w:r w:rsidR="008647CD" w:rsidRPr="00AE10F0">
        <w:rPr>
          <w:rFonts w:asciiTheme="majorBidi" w:eastAsia="Times New Roman" w:hAnsiTheme="majorBidi" w:cstheme="majorBidi"/>
          <w:b w:val="0"/>
        </w:rPr>
        <w:t>Goshayeshi</w:t>
      </w:r>
      <w:proofErr w:type="spellEnd"/>
      <w:r w:rsidR="008647CD" w:rsidRPr="00AE10F0">
        <w:rPr>
          <w:rFonts w:asciiTheme="majorBidi" w:eastAsia="Times New Roman" w:hAnsiTheme="majorBidi" w:cstheme="majorBidi"/>
          <w:b w:val="0"/>
        </w:rPr>
        <w:t xml:space="preserve"> L, Amini N, </w:t>
      </w:r>
      <w:r w:rsidR="003A7E8C">
        <w:rPr>
          <w:rFonts w:asciiTheme="majorBidi" w:eastAsia="Times New Roman" w:hAnsiTheme="majorBidi" w:cstheme="majorBidi"/>
          <w:b w:val="0"/>
        </w:rPr>
        <w:t>et al</w:t>
      </w:r>
      <w:r w:rsidR="008647CD" w:rsidRPr="00AE10F0">
        <w:rPr>
          <w:rFonts w:asciiTheme="majorBidi" w:eastAsia="Times New Roman" w:hAnsiTheme="majorBidi" w:cstheme="majorBidi"/>
          <w:b w:val="0"/>
        </w:rPr>
        <w:t xml:space="preserve">. Platelet Count and Indices in Adult Patients Infected with </w:t>
      </w:r>
      <w:r w:rsidR="008647CD" w:rsidRPr="00E703DF">
        <w:rPr>
          <w:rFonts w:asciiTheme="majorBidi" w:eastAsia="Times New Roman" w:hAnsiTheme="majorBidi" w:cstheme="majorBidi"/>
          <w:b w:val="0"/>
          <w:i/>
          <w:iCs/>
        </w:rPr>
        <w:t>Helicobacter pylori:</w:t>
      </w:r>
      <w:r w:rsidR="008647CD" w:rsidRPr="00AE10F0">
        <w:rPr>
          <w:rFonts w:asciiTheme="majorBidi" w:eastAsia="Times New Roman" w:hAnsiTheme="majorBidi" w:cstheme="majorBidi"/>
          <w:b w:val="0"/>
        </w:rPr>
        <w:t xml:space="preserve"> a Retrospective Study of 1907 Patients. SN </w:t>
      </w:r>
      <w:proofErr w:type="spellStart"/>
      <w:r w:rsidR="008647CD" w:rsidRPr="00AE10F0">
        <w:rPr>
          <w:rFonts w:asciiTheme="majorBidi" w:eastAsia="Times New Roman" w:hAnsiTheme="majorBidi" w:cstheme="majorBidi"/>
          <w:b w:val="0"/>
        </w:rPr>
        <w:t>Compr</w:t>
      </w:r>
      <w:proofErr w:type="spellEnd"/>
      <w:r w:rsidR="008647CD" w:rsidRPr="00AE10F0">
        <w:rPr>
          <w:rFonts w:asciiTheme="majorBidi" w:eastAsia="Times New Roman" w:hAnsiTheme="majorBidi" w:cstheme="majorBidi"/>
          <w:b w:val="0"/>
        </w:rPr>
        <w:t xml:space="preserve"> Clin Med 2022;4(1):247.</w:t>
      </w:r>
      <w:r w:rsidR="00F80374">
        <w:rPr>
          <w:rFonts w:asciiTheme="majorBidi" w:eastAsia="Times New Roman" w:hAnsiTheme="majorBidi" w:cstheme="majorBidi"/>
          <w:b w:val="0"/>
        </w:rPr>
        <w:br/>
      </w:r>
    </w:p>
    <w:p w14:paraId="28BE65B7" w14:textId="521366BF" w:rsidR="00EE59C3" w:rsidRPr="00611F64" w:rsidRDefault="00A16AA6" w:rsidP="00636F88">
      <w:pPr>
        <w:pStyle w:val="citation"/>
        <w:keepLines/>
        <w:spacing w:before="120" w:beforeAutospacing="0" w:after="0" w:afterAutospacing="0" w:line="480" w:lineRule="auto"/>
        <w:ind w:left="567" w:hanging="567"/>
        <w:jc w:val="both"/>
        <w:rPr>
          <w:rFonts w:asciiTheme="majorBidi" w:hAnsiTheme="majorBidi" w:cstheme="majorBidi"/>
        </w:rPr>
      </w:pPr>
      <w:r w:rsidRPr="00C0688A">
        <w:rPr>
          <w:rFonts w:asciiTheme="majorBidi" w:hAnsiTheme="majorBidi" w:cstheme="majorBidi"/>
        </w:rPr>
        <w:t>1</w:t>
      </w:r>
      <w:r w:rsidR="00636F88">
        <w:rPr>
          <w:rFonts w:asciiTheme="majorBidi" w:hAnsiTheme="majorBidi" w:cstheme="majorBidi"/>
        </w:rPr>
        <w:t>4</w:t>
      </w:r>
      <w:r w:rsidRPr="00C0688A">
        <w:rPr>
          <w:rFonts w:asciiTheme="majorBidi" w:hAnsiTheme="majorBidi" w:cstheme="majorBidi"/>
        </w:rPr>
        <w:t>.</w:t>
      </w:r>
      <w:r w:rsidR="008647CD">
        <w:rPr>
          <w:rFonts w:asciiTheme="majorBidi" w:hAnsiTheme="majorBidi" w:cstheme="majorBidi"/>
        </w:rPr>
        <w:tab/>
      </w:r>
      <w:r w:rsidRPr="00C0688A">
        <w:rPr>
          <w:rFonts w:asciiTheme="majorBidi" w:hAnsiTheme="majorBidi" w:cstheme="majorBidi"/>
        </w:rPr>
        <w:t xml:space="preserve">Haeri M, Parham M, Habibi N, </w:t>
      </w:r>
      <w:proofErr w:type="spellStart"/>
      <w:r w:rsidR="00160928">
        <w:rPr>
          <w:rFonts w:asciiTheme="majorBidi" w:hAnsiTheme="majorBidi" w:cstheme="majorBidi"/>
        </w:rPr>
        <w:t>etal</w:t>
      </w:r>
      <w:proofErr w:type="spellEnd"/>
      <w:r w:rsidRPr="00C0688A">
        <w:rPr>
          <w:rFonts w:asciiTheme="majorBidi" w:hAnsiTheme="majorBidi" w:cstheme="majorBidi"/>
        </w:rPr>
        <w:t xml:space="preserve">. Effect of </w:t>
      </w:r>
      <w:r w:rsidRPr="00E703DF">
        <w:rPr>
          <w:rFonts w:asciiTheme="majorBidi" w:hAnsiTheme="majorBidi" w:cstheme="majorBidi"/>
          <w:i/>
          <w:iCs/>
        </w:rPr>
        <w:t>Helicobacter pylori</w:t>
      </w:r>
      <w:r w:rsidRPr="00C0688A">
        <w:rPr>
          <w:rFonts w:asciiTheme="majorBidi" w:hAnsiTheme="majorBidi" w:cstheme="majorBidi"/>
        </w:rPr>
        <w:t xml:space="preserve"> infection on serum lipid profile. </w:t>
      </w:r>
      <w:r w:rsidRPr="008647CD">
        <w:rPr>
          <w:rFonts w:asciiTheme="majorBidi" w:hAnsiTheme="majorBidi" w:cstheme="majorBidi"/>
          <w:i/>
          <w:iCs/>
        </w:rPr>
        <w:t xml:space="preserve">J </w:t>
      </w:r>
      <w:r w:rsidR="008647CD" w:rsidRPr="008647CD">
        <w:rPr>
          <w:rFonts w:asciiTheme="majorBidi" w:hAnsiTheme="majorBidi" w:cstheme="majorBidi"/>
          <w:i/>
          <w:iCs/>
        </w:rPr>
        <w:t>L</w:t>
      </w:r>
      <w:r w:rsidRPr="008647CD">
        <w:rPr>
          <w:rFonts w:asciiTheme="majorBidi" w:hAnsiTheme="majorBidi" w:cstheme="majorBidi"/>
          <w:i/>
          <w:iCs/>
        </w:rPr>
        <w:t>ipids</w:t>
      </w:r>
      <w:r w:rsidR="008647CD">
        <w:rPr>
          <w:rFonts w:asciiTheme="majorBidi" w:hAnsiTheme="majorBidi" w:cstheme="majorBidi"/>
        </w:rPr>
        <w:t xml:space="preserve"> 2018;</w:t>
      </w:r>
      <w:r w:rsidRPr="00C0688A">
        <w:rPr>
          <w:rFonts w:asciiTheme="majorBidi" w:hAnsiTheme="majorBidi" w:cstheme="majorBidi"/>
        </w:rPr>
        <w:t>2018(1)</w:t>
      </w:r>
      <w:r w:rsidR="008647CD">
        <w:rPr>
          <w:rFonts w:asciiTheme="majorBidi" w:hAnsiTheme="majorBidi" w:cstheme="majorBidi"/>
        </w:rPr>
        <w:t>:</w:t>
      </w:r>
      <w:r w:rsidRPr="00C0688A">
        <w:rPr>
          <w:rFonts w:asciiTheme="majorBidi" w:hAnsiTheme="majorBidi" w:cstheme="majorBidi"/>
        </w:rPr>
        <w:t>6734809.</w:t>
      </w:r>
    </w:p>
    <w:sectPr w:rsidR="00EE59C3" w:rsidRPr="00611F64" w:rsidSect="00C0688A">
      <w:pgSz w:w="11907" w:h="16840" w:code="9"/>
      <w:pgMar w:top="1418" w:right="1418" w:bottom="1418" w:left="141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959F" w14:textId="77777777" w:rsidR="00C75E48" w:rsidRDefault="00C75E48">
      <w:pPr>
        <w:spacing w:after="0" w:line="240" w:lineRule="auto"/>
      </w:pPr>
      <w:r>
        <w:separator/>
      </w:r>
    </w:p>
  </w:endnote>
  <w:endnote w:type="continuationSeparator" w:id="0">
    <w:p w14:paraId="34C64C93" w14:textId="77777777" w:rsidR="00C75E48" w:rsidRDefault="00C7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70C2" w14:textId="48ECC5F3" w:rsidR="00772EEC" w:rsidRDefault="00600B6C" w:rsidP="00AD1D61">
    <w:pPr>
      <w:pBdr>
        <w:top w:val="thinThickSmallGap" w:sz="24" w:space="1" w:color="823B0B"/>
      </w:pBdr>
      <w:tabs>
        <w:tab w:val="right" w:pos="9360"/>
      </w:tabs>
      <w:spacing w:after="240" w:line="256" w:lineRule="auto"/>
      <w:ind w:firstLine="357"/>
      <w:rPr>
        <w:rFonts w:ascii="Times New Roman" w:hAnsi="Times New Roman" w:cs="Times New Roman"/>
        <w:sz w:val="24"/>
        <w:szCs w:val="24"/>
      </w:rPr>
    </w:pPr>
    <w:proofErr w:type="spellStart"/>
    <w:r w:rsidRPr="00E032E4">
      <w:rPr>
        <w:rFonts w:eastAsia="Times New Roman"/>
        <w:color w:val="000000"/>
        <w:kern w:val="2"/>
        <w:sz w:val="24"/>
        <w:szCs w:val="24"/>
        <w:lang w:eastAsia="en-GB"/>
      </w:rPr>
      <w:t>Abdrabou</w:t>
    </w:r>
    <w:proofErr w:type="spellEnd"/>
    <w:r w:rsidR="007B7280" w:rsidRPr="007B7280">
      <w:rPr>
        <w:rFonts w:eastAsia="Times New Roman"/>
        <w:color w:val="000000"/>
        <w:kern w:val="2"/>
        <w:sz w:val="24"/>
        <w:szCs w:val="24"/>
        <w:lang w:eastAsia="en-GB"/>
      </w:rPr>
      <w:t xml:space="preserve"> </w:t>
    </w:r>
    <w:r>
      <w:rPr>
        <w:rFonts w:eastAsia="Times New Roman"/>
        <w:color w:val="000000"/>
        <w:kern w:val="2"/>
        <w:sz w:val="24"/>
        <w:szCs w:val="24"/>
        <w:lang w:eastAsia="en-GB"/>
      </w:rPr>
      <w:t>MG</w:t>
    </w:r>
    <w:r w:rsidR="007B7280" w:rsidRPr="007B7280">
      <w:rPr>
        <w:rFonts w:eastAsia="Times New Roman" w:cs="Arial"/>
      </w:rPr>
      <w:t xml:space="preserve"> et al.202</w:t>
    </w:r>
    <w:r>
      <w:rPr>
        <w:rFonts w:eastAsia="Times New Roman" w:cs="Arial"/>
      </w:rPr>
      <w:t>5</w:t>
    </w:r>
    <w:r w:rsidR="007B7280" w:rsidRPr="007B7280">
      <w:rPr>
        <w:rFonts w:eastAsia="Times New Roman" w:cs="Arial"/>
      </w:rPr>
      <w:tab/>
    </w:r>
    <w:r w:rsidR="00772EEC">
      <w:rPr>
        <w:rFonts w:ascii="Times New Roman" w:hAnsi="Times New Roman" w:cs="Times New Roman"/>
        <w:sz w:val="24"/>
        <w:szCs w:val="24"/>
      </w:rPr>
      <w:fldChar w:fldCharType="begin"/>
    </w:r>
    <w:r w:rsidR="00772EEC">
      <w:rPr>
        <w:rFonts w:ascii="Times New Roman" w:hAnsi="Times New Roman" w:cs="Times New Roman"/>
        <w:sz w:val="24"/>
        <w:szCs w:val="24"/>
      </w:rPr>
      <w:instrText xml:space="preserve"> PAGE   \* MERGEFORMAT </w:instrText>
    </w:r>
    <w:r w:rsidR="00772EEC">
      <w:rPr>
        <w:rFonts w:ascii="Times New Roman" w:hAnsi="Times New Roman" w:cs="Times New Roman"/>
        <w:sz w:val="24"/>
        <w:szCs w:val="24"/>
      </w:rPr>
      <w:fldChar w:fldCharType="separate"/>
    </w:r>
    <w:r w:rsidR="00D752F2">
      <w:rPr>
        <w:rFonts w:ascii="Times New Roman" w:hAnsi="Times New Roman" w:cs="Times New Roman"/>
        <w:noProof/>
        <w:sz w:val="24"/>
        <w:szCs w:val="24"/>
      </w:rPr>
      <w:t>1</w:t>
    </w:r>
    <w:r w:rsidR="00772EEC">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E3BD" w14:textId="77777777" w:rsidR="00C75E48" w:rsidRDefault="00C75E48">
      <w:pPr>
        <w:spacing w:after="0" w:line="240" w:lineRule="auto"/>
      </w:pPr>
      <w:r>
        <w:separator/>
      </w:r>
    </w:p>
  </w:footnote>
  <w:footnote w:type="continuationSeparator" w:id="0">
    <w:p w14:paraId="19DFF1BE" w14:textId="77777777" w:rsidR="00C75E48" w:rsidRDefault="00C75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E87A" w14:textId="705C353A" w:rsidR="007B7280" w:rsidRPr="007B7280" w:rsidRDefault="007B7280" w:rsidP="007B7280">
    <w:pPr>
      <w:pBdr>
        <w:bottom w:val="thickThinSmallGap" w:sz="24" w:space="21" w:color="622423"/>
      </w:pBdr>
      <w:tabs>
        <w:tab w:val="right" w:pos="8640"/>
      </w:tabs>
      <w:spacing w:after="0" w:line="240" w:lineRule="auto"/>
      <w:rPr>
        <w:rFonts w:ascii="Cambria" w:eastAsia="Times New Roman" w:hAnsi="Cambria" w:cs="Times New Roman"/>
        <w:sz w:val="18"/>
        <w:szCs w:val="18"/>
      </w:rPr>
    </w:pPr>
    <w:r w:rsidRPr="007B7280">
      <w:rPr>
        <w:rFonts w:ascii="Cambria" w:eastAsia="Times New Roman" w:hAnsi="Cambria" w:cs="Times New Roman"/>
        <w:sz w:val="18"/>
        <w:szCs w:val="18"/>
      </w:rPr>
      <w:t>African journal of gastroenterology and hepatology</w:t>
    </w:r>
    <w:r w:rsidRPr="007B7280">
      <w:rPr>
        <w:rFonts w:ascii="Cambria" w:eastAsia="Times New Roman" w:hAnsi="Cambria" w:cs="Times New Roman"/>
        <w:sz w:val="18"/>
        <w:szCs w:val="18"/>
      </w:rPr>
      <w:tab/>
    </w:r>
    <w:r w:rsidRPr="007B7280">
      <w:rPr>
        <w:rFonts w:ascii="Calibri Light" w:eastAsia="Times New Roman" w:hAnsi="Calibri Light" w:cs="Times New Roman"/>
        <w:noProof/>
        <w:sz w:val="32"/>
        <w:szCs w:val="32"/>
      </w:rPr>
      <w:drawing>
        <wp:inline distT="0" distB="0" distL="0" distR="0" wp14:anchorId="25A3E8CE" wp14:editId="3BB380AD">
          <wp:extent cx="1426210" cy="211455"/>
          <wp:effectExtent l="0" t="0" r="0" b="0"/>
          <wp:docPr id="890958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211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7703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5C5EF49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628AAF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0000004"/>
    <w:multiLevelType w:val="multilevel"/>
    <w:tmpl w:val="B29CAE9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0000005"/>
    <w:multiLevelType w:val="multilevel"/>
    <w:tmpl w:val="A55AD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multilevel"/>
    <w:tmpl w:val="F8B62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hybridMultilevel"/>
    <w:tmpl w:val="E4D66B9A"/>
    <w:lvl w:ilvl="0" w:tplc="04090015">
      <w:start w:val="1"/>
      <w:numFmt w:val="upperLetter"/>
      <w:lvlText w:val="%1."/>
      <w:lvlJc w:val="left"/>
      <w:pPr>
        <w:ind w:left="1399" w:hanging="360"/>
      </w:p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7" w15:restartNumberingAfterBreak="0">
    <w:nsid w:val="00000008"/>
    <w:multiLevelType w:val="multilevel"/>
    <w:tmpl w:val="69229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4037A2"/>
    <w:multiLevelType w:val="multilevel"/>
    <w:tmpl w:val="1F0A4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2D7CB2"/>
    <w:multiLevelType w:val="hybridMultilevel"/>
    <w:tmpl w:val="3140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E16B6"/>
    <w:multiLevelType w:val="hybridMultilevel"/>
    <w:tmpl w:val="0444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022410">
    <w:abstractNumId w:val="3"/>
  </w:num>
  <w:num w:numId="2" w16cid:durableId="975530274">
    <w:abstractNumId w:val="4"/>
  </w:num>
  <w:num w:numId="3" w16cid:durableId="1552956521">
    <w:abstractNumId w:val="2"/>
  </w:num>
  <w:num w:numId="4" w16cid:durableId="1989819361">
    <w:abstractNumId w:val="7"/>
  </w:num>
  <w:num w:numId="5" w16cid:durableId="223835103">
    <w:abstractNumId w:val="0"/>
  </w:num>
  <w:num w:numId="6" w16cid:durableId="704602589">
    <w:abstractNumId w:val="5"/>
  </w:num>
  <w:num w:numId="7" w16cid:durableId="1761440408">
    <w:abstractNumId w:val="1"/>
  </w:num>
  <w:num w:numId="8" w16cid:durableId="1198658445">
    <w:abstractNumId w:val="8"/>
  </w:num>
  <w:num w:numId="9" w16cid:durableId="475882098">
    <w:abstractNumId w:val="6"/>
  </w:num>
  <w:num w:numId="10" w16cid:durableId="1643541899">
    <w:abstractNumId w:val="10"/>
  </w:num>
  <w:num w:numId="11" w16cid:durableId="147135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A4"/>
    <w:rsid w:val="000022AC"/>
    <w:rsid w:val="00003E91"/>
    <w:rsid w:val="00014A7A"/>
    <w:rsid w:val="00020D70"/>
    <w:rsid w:val="00023560"/>
    <w:rsid w:val="000315FC"/>
    <w:rsid w:val="00032399"/>
    <w:rsid w:val="00035F2B"/>
    <w:rsid w:val="00040A8A"/>
    <w:rsid w:val="000412D8"/>
    <w:rsid w:val="00060872"/>
    <w:rsid w:val="00065784"/>
    <w:rsid w:val="00067DC1"/>
    <w:rsid w:val="00072929"/>
    <w:rsid w:val="00082F30"/>
    <w:rsid w:val="0008499F"/>
    <w:rsid w:val="00085A9C"/>
    <w:rsid w:val="00087D31"/>
    <w:rsid w:val="00090D6C"/>
    <w:rsid w:val="000923BB"/>
    <w:rsid w:val="000A1439"/>
    <w:rsid w:val="000A4866"/>
    <w:rsid w:val="000A59A1"/>
    <w:rsid w:val="000A731E"/>
    <w:rsid w:val="000B0A32"/>
    <w:rsid w:val="000B72B3"/>
    <w:rsid w:val="000C3FB5"/>
    <w:rsid w:val="000C7571"/>
    <w:rsid w:val="000D5EBB"/>
    <w:rsid w:val="000D6CEB"/>
    <w:rsid w:val="000E66F9"/>
    <w:rsid w:val="00102D9D"/>
    <w:rsid w:val="00112E22"/>
    <w:rsid w:val="00114478"/>
    <w:rsid w:val="001222DE"/>
    <w:rsid w:val="0012538F"/>
    <w:rsid w:val="00127B08"/>
    <w:rsid w:val="001320EA"/>
    <w:rsid w:val="00132EBF"/>
    <w:rsid w:val="0014547C"/>
    <w:rsid w:val="001474A8"/>
    <w:rsid w:val="00151899"/>
    <w:rsid w:val="00151FFA"/>
    <w:rsid w:val="0015623F"/>
    <w:rsid w:val="00160928"/>
    <w:rsid w:val="00162DAE"/>
    <w:rsid w:val="00165938"/>
    <w:rsid w:val="0016676E"/>
    <w:rsid w:val="001740C9"/>
    <w:rsid w:val="00174255"/>
    <w:rsid w:val="00184784"/>
    <w:rsid w:val="001871F5"/>
    <w:rsid w:val="00190D9E"/>
    <w:rsid w:val="001962A3"/>
    <w:rsid w:val="001A08FA"/>
    <w:rsid w:val="001A71F3"/>
    <w:rsid w:val="001B282C"/>
    <w:rsid w:val="001B59FA"/>
    <w:rsid w:val="001C1287"/>
    <w:rsid w:val="001C23B9"/>
    <w:rsid w:val="001D2056"/>
    <w:rsid w:val="001E1AC1"/>
    <w:rsid w:val="001F188B"/>
    <w:rsid w:val="001F1A0A"/>
    <w:rsid w:val="00200F00"/>
    <w:rsid w:val="00204907"/>
    <w:rsid w:val="002060E6"/>
    <w:rsid w:val="00211082"/>
    <w:rsid w:val="00213447"/>
    <w:rsid w:val="00213530"/>
    <w:rsid w:val="00217A38"/>
    <w:rsid w:val="0022347D"/>
    <w:rsid w:val="00226908"/>
    <w:rsid w:val="00233D38"/>
    <w:rsid w:val="00274329"/>
    <w:rsid w:val="00284B01"/>
    <w:rsid w:val="00285A79"/>
    <w:rsid w:val="00292BBD"/>
    <w:rsid w:val="002A4E44"/>
    <w:rsid w:val="002A51D5"/>
    <w:rsid w:val="002C07B5"/>
    <w:rsid w:val="002C3BCB"/>
    <w:rsid w:val="002C6C86"/>
    <w:rsid w:val="002C6F8D"/>
    <w:rsid w:val="002C732F"/>
    <w:rsid w:val="002D6F79"/>
    <w:rsid w:val="002D7A60"/>
    <w:rsid w:val="002E3C26"/>
    <w:rsid w:val="002E64F3"/>
    <w:rsid w:val="002E7CF0"/>
    <w:rsid w:val="00303846"/>
    <w:rsid w:val="00306D07"/>
    <w:rsid w:val="003100C1"/>
    <w:rsid w:val="00312FF9"/>
    <w:rsid w:val="00321C7D"/>
    <w:rsid w:val="00322FE6"/>
    <w:rsid w:val="00323EDD"/>
    <w:rsid w:val="003379AB"/>
    <w:rsid w:val="00343301"/>
    <w:rsid w:val="0034441F"/>
    <w:rsid w:val="003449F7"/>
    <w:rsid w:val="0035639F"/>
    <w:rsid w:val="003564E8"/>
    <w:rsid w:val="00363F9C"/>
    <w:rsid w:val="003812B2"/>
    <w:rsid w:val="0038662E"/>
    <w:rsid w:val="003900A9"/>
    <w:rsid w:val="0039230A"/>
    <w:rsid w:val="003970E7"/>
    <w:rsid w:val="003A2EA1"/>
    <w:rsid w:val="003A6086"/>
    <w:rsid w:val="003A6D15"/>
    <w:rsid w:val="003A7E8C"/>
    <w:rsid w:val="003B0802"/>
    <w:rsid w:val="003B1DE3"/>
    <w:rsid w:val="003B2EB7"/>
    <w:rsid w:val="003C0DD2"/>
    <w:rsid w:val="003C3A3A"/>
    <w:rsid w:val="003C79F0"/>
    <w:rsid w:val="003D4485"/>
    <w:rsid w:val="003D4A45"/>
    <w:rsid w:val="003E3BBF"/>
    <w:rsid w:val="003E4450"/>
    <w:rsid w:val="003F192C"/>
    <w:rsid w:val="003F5250"/>
    <w:rsid w:val="003F7E02"/>
    <w:rsid w:val="00400694"/>
    <w:rsid w:val="0040426B"/>
    <w:rsid w:val="00405566"/>
    <w:rsid w:val="004068F9"/>
    <w:rsid w:val="00423352"/>
    <w:rsid w:val="00435F71"/>
    <w:rsid w:val="00446B32"/>
    <w:rsid w:val="00472386"/>
    <w:rsid w:val="00480F44"/>
    <w:rsid w:val="0048504E"/>
    <w:rsid w:val="004B134F"/>
    <w:rsid w:val="004B3389"/>
    <w:rsid w:val="004B7364"/>
    <w:rsid w:val="004C7653"/>
    <w:rsid w:val="004D022E"/>
    <w:rsid w:val="005020BB"/>
    <w:rsid w:val="00503A10"/>
    <w:rsid w:val="00523AEA"/>
    <w:rsid w:val="005251DB"/>
    <w:rsid w:val="00526780"/>
    <w:rsid w:val="00526FB0"/>
    <w:rsid w:val="00544B4C"/>
    <w:rsid w:val="00546C98"/>
    <w:rsid w:val="005631F2"/>
    <w:rsid w:val="005638D7"/>
    <w:rsid w:val="0056769F"/>
    <w:rsid w:val="00567D33"/>
    <w:rsid w:val="00586C49"/>
    <w:rsid w:val="005A0CE7"/>
    <w:rsid w:val="005A1D48"/>
    <w:rsid w:val="005A652A"/>
    <w:rsid w:val="005B562F"/>
    <w:rsid w:val="005B5E94"/>
    <w:rsid w:val="005B7E12"/>
    <w:rsid w:val="005C3185"/>
    <w:rsid w:val="005C3AC2"/>
    <w:rsid w:val="005C4486"/>
    <w:rsid w:val="005C6C3A"/>
    <w:rsid w:val="005D0639"/>
    <w:rsid w:val="005D35EA"/>
    <w:rsid w:val="005D5E89"/>
    <w:rsid w:val="005D647D"/>
    <w:rsid w:val="005E06CF"/>
    <w:rsid w:val="006004C6"/>
    <w:rsid w:val="00600B6C"/>
    <w:rsid w:val="006102F9"/>
    <w:rsid w:val="00611F64"/>
    <w:rsid w:val="00611FF5"/>
    <w:rsid w:val="0061343F"/>
    <w:rsid w:val="006165E6"/>
    <w:rsid w:val="006173D8"/>
    <w:rsid w:val="00621925"/>
    <w:rsid w:val="00633C02"/>
    <w:rsid w:val="00636F88"/>
    <w:rsid w:val="00643279"/>
    <w:rsid w:val="00656C91"/>
    <w:rsid w:val="00656D4F"/>
    <w:rsid w:val="00666869"/>
    <w:rsid w:val="006677E2"/>
    <w:rsid w:val="0066781D"/>
    <w:rsid w:val="006725B9"/>
    <w:rsid w:val="006870FF"/>
    <w:rsid w:val="00692C9B"/>
    <w:rsid w:val="006A715A"/>
    <w:rsid w:val="006B0D00"/>
    <w:rsid w:val="006B4504"/>
    <w:rsid w:val="006B4B6D"/>
    <w:rsid w:val="006C4E61"/>
    <w:rsid w:val="006D23CA"/>
    <w:rsid w:val="006D4FBA"/>
    <w:rsid w:val="006D59A4"/>
    <w:rsid w:val="006E65EF"/>
    <w:rsid w:val="006F176C"/>
    <w:rsid w:val="006F48C6"/>
    <w:rsid w:val="006F6BD9"/>
    <w:rsid w:val="007023A9"/>
    <w:rsid w:val="00702BF9"/>
    <w:rsid w:val="00706E73"/>
    <w:rsid w:val="00714C6F"/>
    <w:rsid w:val="00723E83"/>
    <w:rsid w:val="007256D7"/>
    <w:rsid w:val="00734805"/>
    <w:rsid w:val="00740319"/>
    <w:rsid w:val="00742B6B"/>
    <w:rsid w:val="00744747"/>
    <w:rsid w:val="00744A5F"/>
    <w:rsid w:val="00757865"/>
    <w:rsid w:val="00764220"/>
    <w:rsid w:val="00772EEC"/>
    <w:rsid w:val="00775E9A"/>
    <w:rsid w:val="007769F7"/>
    <w:rsid w:val="00777B57"/>
    <w:rsid w:val="00777BF7"/>
    <w:rsid w:val="00782FCF"/>
    <w:rsid w:val="007834CE"/>
    <w:rsid w:val="00784164"/>
    <w:rsid w:val="00786B99"/>
    <w:rsid w:val="00787921"/>
    <w:rsid w:val="00797C0E"/>
    <w:rsid w:val="007A52FE"/>
    <w:rsid w:val="007B667E"/>
    <w:rsid w:val="007B7280"/>
    <w:rsid w:val="007B7D6C"/>
    <w:rsid w:val="007D5902"/>
    <w:rsid w:val="007E0B52"/>
    <w:rsid w:val="007E14F5"/>
    <w:rsid w:val="007E515F"/>
    <w:rsid w:val="007F05D3"/>
    <w:rsid w:val="007F13E9"/>
    <w:rsid w:val="007F166B"/>
    <w:rsid w:val="00810C45"/>
    <w:rsid w:val="00812B1D"/>
    <w:rsid w:val="00820B00"/>
    <w:rsid w:val="0082659E"/>
    <w:rsid w:val="00826BA1"/>
    <w:rsid w:val="00830CE9"/>
    <w:rsid w:val="00834A4F"/>
    <w:rsid w:val="008373B8"/>
    <w:rsid w:val="00845B62"/>
    <w:rsid w:val="00845F92"/>
    <w:rsid w:val="00847576"/>
    <w:rsid w:val="00854AC9"/>
    <w:rsid w:val="00854E8C"/>
    <w:rsid w:val="00856958"/>
    <w:rsid w:val="008647CD"/>
    <w:rsid w:val="00865F07"/>
    <w:rsid w:val="008660CF"/>
    <w:rsid w:val="00874B2D"/>
    <w:rsid w:val="00875389"/>
    <w:rsid w:val="008928C3"/>
    <w:rsid w:val="008933E3"/>
    <w:rsid w:val="00894C8D"/>
    <w:rsid w:val="008A19B9"/>
    <w:rsid w:val="008A2709"/>
    <w:rsid w:val="008A5AF0"/>
    <w:rsid w:val="008A64D9"/>
    <w:rsid w:val="008A66D3"/>
    <w:rsid w:val="008B3D49"/>
    <w:rsid w:val="008D4E6C"/>
    <w:rsid w:val="008E6B4D"/>
    <w:rsid w:val="0092581E"/>
    <w:rsid w:val="009312BD"/>
    <w:rsid w:val="00954AFF"/>
    <w:rsid w:val="009570A5"/>
    <w:rsid w:val="00957A4D"/>
    <w:rsid w:val="00962061"/>
    <w:rsid w:val="00962231"/>
    <w:rsid w:val="00965998"/>
    <w:rsid w:val="00985644"/>
    <w:rsid w:val="00992B15"/>
    <w:rsid w:val="009A5815"/>
    <w:rsid w:val="009A7CA4"/>
    <w:rsid w:val="009B38D2"/>
    <w:rsid w:val="009B6B67"/>
    <w:rsid w:val="009C1E09"/>
    <w:rsid w:val="009C4681"/>
    <w:rsid w:val="009D4311"/>
    <w:rsid w:val="009D681C"/>
    <w:rsid w:val="009F272B"/>
    <w:rsid w:val="00A05C35"/>
    <w:rsid w:val="00A07B9F"/>
    <w:rsid w:val="00A103F0"/>
    <w:rsid w:val="00A162C0"/>
    <w:rsid w:val="00A16AA6"/>
    <w:rsid w:val="00A206D7"/>
    <w:rsid w:val="00A433AD"/>
    <w:rsid w:val="00A4407D"/>
    <w:rsid w:val="00A56131"/>
    <w:rsid w:val="00A64FEC"/>
    <w:rsid w:val="00A65827"/>
    <w:rsid w:val="00A75F2C"/>
    <w:rsid w:val="00A96E04"/>
    <w:rsid w:val="00AA1997"/>
    <w:rsid w:val="00AA7E45"/>
    <w:rsid w:val="00AB6F25"/>
    <w:rsid w:val="00AC4853"/>
    <w:rsid w:val="00AC71AE"/>
    <w:rsid w:val="00AD1D61"/>
    <w:rsid w:val="00AE10F0"/>
    <w:rsid w:val="00AE303A"/>
    <w:rsid w:val="00AE3CD9"/>
    <w:rsid w:val="00AE7DD8"/>
    <w:rsid w:val="00B004FC"/>
    <w:rsid w:val="00B00C9E"/>
    <w:rsid w:val="00B169F6"/>
    <w:rsid w:val="00B1782F"/>
    <w:rsid w:val="00B17CA4"/>
    <w:rsid w:val="00B22554"/>
    <w:rsid w:val="00B24B19"/>
    <w:rsid w:val="00B25344"/>
    <w:rsid w:val="00B3190E"/>
    <w:rsid w:val="00B3487D"/>
    <w:rsid w:val="00B427EE"/>
    <w:rsid w:val="00B442F4"/>
    <w:rsid w:val="00B4557D"/>
    <w:rsid w:val="00B602BF"/>
    <w:rsid w:val="00B60FF1"/>
    <w:rsid w:val="00B62054"/>
    <w:rsid w:val="00B64CB8"/>
    <w:rsid w:val="00B669C6"/>
    <w:rsid w:val="00B82E39"/>
    <w:rsid w:val="00B97D4E"/>
    <w:rsid w:val="00BA4AF7"/>
    <w:rsid w:val="00BB45EE"/>
    <w:rsid w:val="00BC36DE"/>
    <w:rsid w:val="00BD1DAE"/>
    <w:rsid w:val="00BD3864"/>
    <w:rsid w:val="00BD716D"/>
    <w:rsid w:val="00BE01A8"/>
    <w:rsid w:val="00BE543F"/>
    <w:rsid w:val="00BF2706"/>
    <w:rsid w:val="00BF5A3D"/>
    <w:rsid w:val="00C0688A"/>
    <w:rsid w:val="00C117A6"/>
    <w:rsid w:val="00C119A4"/>
    <w:rsid w:val="00C304B0"/>
    <w:rsid w:val="00C31B38"/>
    <w:rsid w:val="00C53BF9"/>
    <w:rsid w:val="00C60695"/>
    <w:rsid w:val="00C62169"/>
    <w:rsid w:val="00C666E8"/>
    <w:rsid w:val="00C67A74"/>
    <w:rsid w:val="00C74313"/>
    <w:rsid w:val="00C75E48"/>
    <w:rsid w:val="00C85F85"/>
    <w:rsid w:val="00C8765B"/>
    <w:rsid w:val="00C92B3A"/>
    <w:rsid w:val="00CA211B"/>
    <w:rsid w:val="00CA5781"/>
    <w:rsid w:val="00CA7D45"/>
    <w:rsid w:val="00CC386A"/>
    <w:rsid w:val="00CE4694"/>
    <w:rsid w:val="00CE5C9E"/>
    <w:rsid w:val="00CF0508"/>
    <w:rsid w:val="00D0060C"/>
    <w:rsid w:val="00D13C65"/>
    <w:rsid w:val="00D13EAF"/>
    <w:rsid w:val="00D22F3B"/>
    <w:rsid w:val="00D33138"/>
    <w:rsid w:val="00D346BB"/>
    <w:rsid w:val="00D42C82"/>
    <w:rsid w:val="00D44035"/>
    <w:rsid w:val="00D50533"/>
    <w:rsid w:val="00D50D34"/>
    <w:rsid w:val="00D56A2F"/>
    <w:rsid w:val="00D61224"/>
    <w:rsid w:val="00D752F2"/>
    <w:rsid w:val="00D804E0"/>
    <w:rsid w:val="00D9223E"/>
    <w:rsid w:val="00D9288F"/>
    <w:rsid w:val="00D94CCF"/>
    <w:rsid w:val="00D95EEC"/>
    <w:rsid w:val="00DA3B24"/>
    <w:rsid w:val="00DA64F6"/>
    <w:rsid w:val="00DC1DA9"/>
    <w:rsid w:val="00DD1049"/>
    <w:rsid w:val="00DD3506"/>
    <w:rsid w:val="00DE5711"/>
    <w:rsid w:val="00DE71D5"/>
    <w:rsid w:val="00DF25F7"/>
    <w:rsid w:val="00DF3626"/>
    <w:rsid w:val="00E0081E"/>
    <w:rsid w:val="00E00CC2"/>
    <w:rsid w:val="00E032E4"/>
    <w:rsid w:val="00E13E89"/>
    <w:rsid w:val="00E20C73"/>
    <w:rsid w:val="00E20FEF"/>
    <w:rsid w:val="00E3393D"/>
    <w:rsid w:val="00E42D0A"/>
    <w:rsid w:val="00E55A79"/>
    <w:rsid w:val="00E61AED"/>
    <w:rsid w:val="00E65648"/>
    <w:rsid w:val="00E703DF"/>
    <w:rsid w:val="00E71F41"/>
    <w:rsid w:val="00E72458"/>
    <w:rsid w:val="00E731FD"/>
    <w:rsid w:val="00E76F5D"/>
    <w:rsid w:val="00EA3806"/>
    <w:rsid w:val="00EB0166"/>
    <w:rsid w:val="00EB6AA8"/>
    <w:rsid w:val="00EC1B66"/>
    <w:rsid w:val="00EC4261"/>
    <w:rsid w:val="00ED1BD8"/>
    <w:rsid w:val="00EE1B4B"/>
    <w:rsid w:val="00EE30A3"/>
    <w:rsid w:val="00EE4703"/>
    <w:rsid w:val="00EE59C3"/>
    <w:rsid w:val="00EE6F11"/>
    <w:rsid w:val="00F00FBE"/>
    <w:rsid w:val="00F0537C"/>
    <w:rsid w:val="00F10E57"/>
    <w:rsid w:val="00F22A86"/>
    <w:rsid w:val="00F261E3"/>
    <w:rsid w:val="00F30047"/>
    <w:rsid w:val="00F35BDE"/>
    <w:rsid w:val="00F377A8"/>
    <w:rsid w:val="00F40C30"/>
    <w:rsid w:val="00F5422E"/>
    <w:rsid w:val="00F626DD"/>
    <w:rsid w:val="00F64BCC"/>
    <w:rsid w:val="00F75142"/>
    <w:rsid w:val="00F760EC"/>
    <w:rsid w:val="00F80374"/>
    <w:rsid w:val="00F851B5"/>
    <w:rsid w:val="00F90E3A"/>
    <w:rsid w:val="00F93641"/>
    <w:rsid w:val="00FA16A9"/>
    <w:rsid w:val="00FB6E3C"/>
    <w:rsid w:val="00FB79D7"/>
    <w:rsid w:val="00FC162A"/>
    <w:rsid w:val="00FC4A3B"/>
    <w:rsid w:val="00FD387E"/>
    <w:rsid w:val="00FD7C05"/>
    <w:rsid w:val="00FE784E"/>
    <w:rsid w:val="00FF040F"/>
    <w:rsid w:val="00FF0F29"/>
    <w:rsid w:val="00FF27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1BABB"/>
  <w15:docId w15:val="{DE4E58C1-584B-465B-BD4D-64429295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C0E"/>
    <w:pPr>
      <w:spacing w:after="200" w:line="276" w:lineRule="auto"/>
    </w:pPr>
    <w:rPr>
      <w:rFonts w:cs="Calibri"/>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40" w:after="0"/>
      <w:outlineLvl w:val="2"/>
    </w:pPr>
    <w:rPr>
      <w:rFonts w:ascii="Times New Roman" w:eastAsia="SimSun" w:hAnsi="Times New Roman" w:cs="Times New Roman"/>
      <w:b/>
      <w:color w:val="000000"/>
      <w:sz w:val="28"/>
      <w:szCs w:val="24"/>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SimSun" w:hAnsi="Times New Roman" w:cs="Times New Roman"/>
      <w:b/>
      <w:color w:val="000000"/>
      <w:sz w:val="28"/>
      <w:szCs w:val="24"/>
    </w:rPr>
  </w:style>
  <w:style w:type="paragraph" w:customStyle="1" w:styleId="citation">
    <w:name w:val="citation"/>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
    <w:rPr>
      <w:rFonts w:ascii="Calibri" w:eastAsia="Calibri" w:hAnsi="Calibri" w:cs="Calibri"/>
      <w:b/>
      <w:sz w:val="48"/>
      <w:szCs w:val="48"/>
    </w:rPr>
  </w:style>
  <w:style w:type="character" w:customStyle="1" w:styleId="Heading2Char">
    <w:name w:val="Heading 2 Char"/>
    <w:basedOn w:val="DefaultParagraphFont"/>
    <w:link w:val="Heading2"/>
    <w:uiPriority w:val="9"/>
    <w:rPr>
      <w:rFonts w:ascii="Calibri" w:eastAsia="Calibri" w:hAnsi="Calibri" w:cs="Calibri"/>
      <w:b/>
      <w:sz w:val="36"/>
      <w:szCs w:val="36"/>
    </w:rPr>
  </w:style>
  <w:style w:type="character" w:customStyle="1" w:styleId="Heading4Char">
    <w:name w:val="Heading 4 Char"/>
    <w:basedOn w:val="DefaultParagraphFont"/>
    <w:link w:val="Heading4"/>
    <w:uiPriority w:val="9"/>
    <w:rPr>
      <w:rFonts w:ascii="Calibri" w:eastAsia="Calibri" w:hAnsi="Calibri" w:cs="Calibri"/>
      <w:b/>
      <w:sz w:val="24"/>
      <w:szCs w:val="24"/>
    </w:rPr>
  </w:style>
  <w:style w:type="character" w:customStyle="1" w:styleId="Heading5Char">
    <w:name w:val="Heading 5 Char"/>
    <w:basedOn w:val="DefaultParagraphFont"/>
    <w:link w:val="Heading5"/>
    <w:uiPriority w:val="9"/>
    <w:rPr>
      <w:rFonts w:ascii="Calibri" w:eastAsia="Calibri" w:hAnsi="Calibri" w:cs="Calibri"/>
      <w:b/>
    </w:rPr>
  </w:style>
  <w:style w:type="character" w:customStyle="1" w:styleId="Heading6Char">
    <w:name w:val="Heading 6 Char"/>
    <w:basedOn w:val="DefaultParagraphFont"/>
    <w:link w:val="Heading6"/>
    <w:uiPriority w:val="9"/>
    <w:rPr>
      <w:rFonts w:ascii="Calibri" w:eastAsia="Calibri" w:hAnsi="Calibri" w:cs="Calibri"/>
      <w:b/>
      <w:sz w:val="20"/>
      <w:szCs w:val="20"/>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Calibri" w:eastAsia="Calibri" w:hAnsi="Calibri" w:cs="Calibri"/>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rPr>
  </w:style>
  <w:style w:type="paragraph" w:styleId="Caption">
    <w:name w:val="caption"/>
    <w:basedOn w:val="Normal"/>
    <w:next w:val="Normal"/>
    <w:uiPriority w:val="35"/>
    <w:qFormat/>
    <w:pPr>
      <w:spacing w:line="240" w:lineRule="auto"/>
    </w:pPr>
    <w:rPr>
      <w:i/>
      <w:iCs/>
      <w:color w:val="44546A"/>
      <w:sz w:val="18"/>
      <w:szCs w:val="18"/>
    </w:rPr>
  </w:style>
  <w:style w:type="character" w:customStyle="1" w:styleId="1">
    <w:name w:val="إشارة لم يتم حلها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rPr>
      <w:rFonts w:cs="Calibri"/>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rPr>
      <w:rFonts w:cs="Calibri"/>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3F7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85F85"/>
    <w:pPr>
      <w:spacing w:after="0" w:line="240" w:lineRule="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7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58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g_theking2010@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emyousefmohamed@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461C146-7511-4D2B-8A8E-483C7E0A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16</Pages>
  <Words>3676</Words>
  <Characters>19506</Characters>
  <Application>Microsoft Office Word</Application>
  <DocSecurity>0</DocSecurity>
  <Lines>775</Lines>
  <Paragraphs>479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SYSalem</cp:lastModifiedBy>
  <cp:revision>23</cp:revision>
  <cp:lastPrinted>2025-02-22T11:38:00Z</cp:lastPrinted>
  <dcterms:created xsi:type="dcterms:W3CDTF">2025-02-16T12:08:00Z</dcterms:created>
  <dcterms:modified xsi:type="dcterms:W3CDTF">2025-02-22T11:38:00Z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e4baf215d0de425ba9db4155c697d5be</vt:lpwstr>
  </property>
  <property fmtid="{D5CDD505-2E9C-101B-9397-08002B2CF9AE}" pid="3" name="GrammarlyDocumentId">
    <vt:lpwstr>6f479491e691f1a00cdb30c6f244a0ad94831360b68fc55b37c10d5bac2ff584</vt:lpwstr>
  </property>
</Properties>
</file>