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5C961D" w14:textId="0947D649" w:rsidR="00FC6B49" w:rsidRPr="00A7591F" w:rsidRDefault="00FC6B49" w:rsidP="0082759D">
      <w:pPr>
        <w:pStyle w:val="Heading1"/>
        <w:bidi w:val="0"/>
        <w:jc w:val="center"/>
        <w:rPr>
          <w:shd w:val="clear" w:color="auto" w:fill="FFFFFF"/>
          <w:lang w:bidi="en-US"/>
        </w:rPr>
      </w:pPr>
      <w:r w:rsidRPr="00A7591F">
        <w:rPr>
          <w:shd w:val="clear" w:color="auto" w:fill="FFFFFF"/>
        </w:rPr>
        <w:t xml:space="preserve">Magnetic Resonance Enterography (MRE) in Crohn’s Disease: </w:t>
      </w:r>
      <w:r w:rsidR="006E2CEA" w:rsidRPr="00A7591F">
        <w:rPr>
          <w:shd w:val="clear" w:color="auto" w:fill="FFFFFF"/>
        </w:rPr>
        <w:t xml:space="preserve">How </w:t>
      </w:r>
      <w:r w:rsidR="008B3BC5">
        <w:rPr>
          <w:shd w:val="clear" w:color="auto" w:fill="FFFFFF"/>
        </w:rPr>
        <w:t>We Do It</w:t>
      </w:r>
      <w:r w:rsidRPr="00A7591F">
        <w:rPr>
          <w:shd w:val="clear" w:color="auto" w:fill="FFFFFF"/>
        </w:rPr>
        <w:t xml:space="preserve"> and Common Imaging Findings</w:t>
      </w:r>
    </w:p>
    <w:p w14:paraId="679F1689" w14:textId="7092058C" w:rsidR="005F45F2" w:rsidRPr="005F45F2" w:rsidRDefault="005F45F2" w:rsidP="00306116">
      <w:pPr>
        <w:bidi w:val="0"/>
        <w:spacing w:line="240" w:lineRule="auto"/>
        <w:jc w:val="center"/>
        <w:rPr>
          <w:sz w:val="24"/>
          <w:szCs w:val="24"/>
        </w:rPr>
      </w:pPr>
      <w:r w:rsidRPr="005F45F2">
        <w:rPr>
          <w:sz w:val="24"/>
          <w:szCs w:val="24"/>
          <w:lang w:val="en-GB"/>
        </w:rPr>
        <w:t>Rasha A</w:t>
      </w:r>
      <w:r w:rsidR="00337F9F">
        <w:rPr>
          <w:sz w:val="24"/>
          <w:szCs w:val="24"/>
          <w:lang w:val="en-GB"/>
        </w:rPr>
        <w:t>b</w:t>
      </w:r>
      <w:r w:rsidRPr="005F45F2">
        <w:rPr>
          <w:sz w:val="24"/>
          <w:szCs w:val="24"/>
          <w:lang w:val="en-GB"/>
        </w:rPr>
        <w:t xml:space="preserve">delhafiz Aly </w:t>
      </w:r>
      <w:r w:rsidRPr="005F45F2">
        <w:rPr>
          <w:sz w:val="24"/>
          <w:szCs w:val="24"/>
          <w:vertAlign w:val="superscript"/>
          <w:lang w:val="en-GB"/>
        </w:rPr>
        <w:t>1</w:t>
      </w:r>
      <w:r w:rsidRPr="005F45F2">
        <w:rPr>
          <w:sz w:val="24"/>
          <w:szCs w:val="24"/>
          <w:lang w:val="en-GB"/>
        </w:rPr>
        <w:t xml:space="preserve">, </w:t>
      </w:r>
      <w:r w:rsidRPr="005F45F2">
        <w:rPr>
          <w:sz w:val="24"/>
          <w:szCs w:val="24"/>
        </w:rPr>
        <w:t>Mohammed Abdel-Hafez Ali</w:t>
      </w:r>
      <w:r w:rsidR="007D19E2">
        <w:rPr>
          <w:sz w:val="24"/>
          <w:szCs w:val="24"/>
          <w:vertAlign w:val="superscript"/>
        </w:rPr>
        <w:t>2</w:t>
      </w:r>
      <w:r w:rsidRPr="005F45F2">
        <w:rPr>
          <w:sz w:val="24"/>
          <w:szCs w:val="24"/>
        </w:rPr>
        <w:t>, Rania A.M. Abouyoussef</w:t>
      </w:r>
      <w:r w:rsidR="007D19E2">
        <w:rPr>
          <w:sz w:val="24"/>
          <w:szCs w:val="24"/>
          <w:vertAlign w:val="superscript"/>
        </w:rPr>
        <w:t>3</w:t>
      </w:r>
      <w:r w:rsidRPr="005F45F2">
        <w:rPr>
          <w:sz w:val="24"/>
          <w:szCs w:val="24"/>
        </w:rPr>
        <w:t>, Mohamed Saied Abdelgawad</w:t>
      </w:r>
      <w:r w:rsidRPr="005F45F2">
        <w:rPr>
          <w:sz w:val="24"/>
          <w:szCs w:val="24"/>
          <w:vertAlign w:val="superscript"/>
        </w:rPr>
        <w:t>1</w:t>
      </w:r>
      <w:r w:rsidRPr="005F45F2">
        <w:rPr>
          <w:sz w:val="24"/>
          <w:szCs w:val="24"/>
        </w:rPr>
        <w:t>, Heba Said Ellaban</w:t>
      </w:r>
      <w:r w:rsidRPr="005F45F2">
        <w:rPr>
          <w:sz w:val="24"/>
          <w:szCs w:val="24"/>
          <w:vertAlign w:val="superscript"/>
        </w:rPr>
        <w:t>1</w:t>
      </w:r>
    </w:p>
    <w:p w14:paraId="45FCC0D1" w14:textId="77617B49" w:rsidR="005F45F2" w:rsidRDefault="005F45F2" w:rsidP="005F45F2">
      <w:pPr>
        <w:bidi w:val="0"/>
        <w:spacing w:line="240" w:lineRule="auto"/>
        <w:rPr>
          <w:sz w:val="24"/>
          <w:szCs w:val="24"/>
          <w:lang w:val="en-GB"/>
        </w:rPr>
      </w:pPr>
      <w:r w:rsidRPr="008B3BC5">
        <w:rPr>
          <w:sz w:val="24"/>
          <w:szCs w:val="24"/>
          <w:vertAlign w:val="superscript"/>
          <w:lang w:val="en-GB"/>
        </w:rPr>
        <w:t>1</w:t>
      </w:r>
      <w:r>
        <w:rPr>
          <w:sz w:val="28"/>
          <w:szCs w:val="28"/>
          <w:vertAlign w:val="superscript"/>
          <w:lang w:val="en-GB"/>
        </w:rPr>
        <w:t xml:space="preserve"> </w:t>
      </w:r>
      <w:bookmarkStart w:id="0" w:name="_Hlk195188185"/>
      <w:r w:rsidR="008B3BC5" w:rsidRPr="005A0DC6">
        <w:rPr>
          <w:sz w:val="24"/>
          <w:szCs w:val="24"/>
          <w:lang w:val="en-GB"/>
        </w:rPr>
        <w:t>Radiology department</w:t>
      </w:r>
      <w:r w:rsidR="008B3BC5">
        <w:rPr>
          <w:sz w:val="28"/>
          <w:szCs w:val="28"/>
          <w:lang w:val="en-GB"/>
        </w:rPr>
        <w:t xml:space="preserve">, </w:t>
      </w:r>
      <w:r w:rsidRPr="005F45F2">
        <w:rPr>
          <w:sz w:val="24"/>
          <w:szCs w:val="24"/>
          <w:lang w:val="en-GB"/>
        </w:rPr>
        <w:t>National Liver Institute, Menoufia University</w:t>
      </w:r>
      <w:r w:rsidR="00AC75A7">
        <w:rPr>
          <w:sz w:val="24"/>
          <w:szCs w:val="24"/>
          <w:lang w:val="en-GB"/>
        </w:rPr>
        <w:t>, Egypt</w:t>
      </w:r>
      <w:r>
        <w:rPr>
          <w:sz w:val="24"/>
          <w:szCs w:val="24"/>
          <w:lang w:val="en-GB"/>
        </w:rPr>
        <w:t>.</w:t>
      </w:r>
    </w:p>
    <w:bookmarkEnd w:id="0"/>
    <w:p w14:paraId="7F8E89B3" w14:textId="7E065833" w:rsidR="007D19E2" w:rsidRPr="005F45F2" w:rsidRDefault="00792434" w:rsidP="007D19E2">
      <w:pPr>
        <w:bidi w:val="0"/>
        <w:spacing w:line="240" w:lineRule="auto"/>
        <w:rPr>
          <w:sz w:val="24"/>
          <w:szCs w:val="24"/>
          <w:lang w:val="en-GB"/>
        </w:rPr>
      </w:pPr>
      <w:r>
        <w:rPr>
          <w:sz w:val="24"/>
          <w:szCs w:val="24"/>
          <w:vertAlign w:val="superscript"/>
          <w:lang w:val="en-GB"/>
        </w:rPr>
        <w:t xml:space="preserve">2 </w:t>
      </w:r>
      <w:r w:rsidR="007D19E2">
        <w:rPr>
          <w:sz w:val="24"/>
          <w:szCs w:val="24"/>
          <w:lang w:val="en-GB"/>
        </w:rPr>
        <w:t xml:space="preserve">Department of </w:t>
      </w:r>
      <w:r>
        <w:rPr>
          <w:sz w:val="24"/>
          <w:szCs w:val="24"/>
          <w:lang w:val="en-GB"/>
        </w:rPr>
        <w:t>Pediatric Hepatology, Gastroenterology and Nutrition, National Liver Institute, Menoufia University</w:t>
      </w:r>
      <w:r w:rsidR="00594086">
        <w:rPr>
          <w:sz w:val="24"/>
          <w:szCs w:val="24"/>
          <w:lang w:val="en-GB"/>
        </w:rPr>
        <w:t>, Egypt.</w:t>
      </w:r>
    </w:p>
    <w:p w14:paraId="7E107C2C" w14:textId="2EF0B9D9" w:rsidR="005F45F2" w:rsidRPr="005F45F2" w:rsidRDefault="007D19E2" w:rsidP="005F45F2">
      <w:pPr>
        <w:bidi w:val="0"/>
        <w:spacing w:line="240" w:lineRule="auto"/>
        <w:rPr>
          <w:sz w:val="24"/>
          <w:szCs w:val="24"/>
          <w:lang w:val="en-GB"/>
        </w:rPr>
      </w:pPr>
      <w:r>
        <w:rPr>
          <w:sz w:val="24"/>
          <w:szCs w:val="24"/>
          <w:vertAlign w:val="superscript"/>
        </w:rPr>
        <w:t>3</w:t>
      </w:r>
      <w:r w:rsidR="005F45F2" w:rsidRPr="005F45F2">
        <w:rPr>
          <w:sz w:val="24"/>
          <w:szCs w:val="24"/>
          <w:vertAlign w:val="superscript"/>
        </w:rPr>
        <w:t xml:space="preserve"> </w:t>
      </w:r>
      <w:r w:rsidR="00594086">
        <w:rPr>
          <w:sz w:val="24"/>
          <w:szCs w:val="24"/>
        </w:rPr>
        <w:t xml:space="preserve">Tropical Medicine Department, </w:t>
      </w:r>
      <w:r w:rsidR="005F45F2" w:rsidRPr="005F45F2">
        <w:rPr>
          <w:sz w:val="24"/>
          <w:szCs w:val="24"/>
        </w:rPr>
        <w:t xml:space="preserve">Faculty of Medicine, Alexandria </w:t>
      </w:r>
      <w:r w:rsidR="005F45F2" w:rsidRPr="005F45F2">
        <w:rPr>
          <w:sz w:val="24"/>
          <w:szCs w:val="24"/>
          <w:lang w:val="en-GB"/>
        </w:rPr>
        <w:t>University</w:t>
      </w:r>
      <w:r w:rsidR="00AC75A7">
        <w:rPr>
          <w:sz w:val="24"/>
          <w:szCs w:val="24"/>
          <w:lang w:val="en-GB"/>
        </w:rPr>
        <w:t>, Egypt</w:t>
      </w:r>
      <w:r w:rsidR="005F45F2">
        <w:rPr>
          <w:sz w:val="24"/>
          <w:szCs w:val="24"/>
          <w:lang w:val="en-GB"/>
        </w:rPr>
        <w:t>.</w:t>
      </w:r>
    </w:p>
    <w:p w14:paraId="6D5E1BA2" w14:textId="15965E65" w:rsidR="005F45F2" w:rsidRDefault="005F45F2" w:rsidP="00B618DB">
      <w:pPr>
        <w:bidi w:val="0"/>
        <w:rPr>
          <w:sz w:val="24"/>
          <w:szCs w:val="24"/>
          <w:lang w:val="en-GB" w:bidi="ar-EG"/>
        </w:rPr>
      </w:pPr>
      <w:r w:rsidRPr="005F45F2">
        <w:rPr>
          <w:b/>
          <w:bCs/>
          <w:sz w:val="24"/>
          <w:szCs w:val="24"/>
          <w:lang w:bidi="ar-EG"/>
        </w:rPr>
        <w:t>T</w:t>
      </w:r>
      <w:r w:rsidRPr="005F45F2">
        <w:rPr>
          <w:b/>
          <w:bCs/>
          <w:sz w:val="24"/>
          <w:szCs w:val="24"/>
          <w:lang w:val="en-GB" w:bidi="ar-EG"/>
        </w:rPr>
        <w:t>he corresponding author:</w:t>
      </w:r>
      <w:r w:rsidRPr="005F45F2">
        <w:rPr>
          <w:sz w:val="24"/>
          <w:szCs w:val="24"/>
          <w:lang w:val="en-GB" w:bidi="ar-EG"/>
        </w:rPr>
        <w:t xml:space="preserve"> Rasha Abdelhafiz Aly.</w:t>
      </w:r>
    </w:p>
    <w:p w14:paraId="72F5B2F8" w14:textId="11A5A690" w:rsidR="005F45F2" w:rsidRPr="005F45F2" w:rsidRDefault="00594086" w:rsidP="00B618DB">
      <w:pPr>
        <w:bidi w:val="0"/>
        <w:rPr>
          <w:sz w:val="24"/>
          <w:szCs w:val="24"/>
          <w:lang w:val="en-GB" w:bidi="ar-EG"/>
        </w:rPr>
      </w:pPr>
      <w:r w:rsidRPr="00594086">
        <w:rPr>
          <w:sz w:val="24"/>
          <w:szCs w:val="24"/>
          <w:lang w:val="en-GB" w:bidi="ar-EG"/>
        </w:rPr>
        <w:t>National Liver Institute, Menoufia University.</w:t>
      </w:r>
      <w:r w:rsidR="00792434">
        <w:rPr>
          <w:sz w:val="24"/>
          <w:szCs w:val="24"/>
          <w:lang w:val="en-GB" w:bidi="ar-EG"/>
        </w:rPr>
        <w:t xml:space="preserve"> </w:t>
      </w:r>
      <w:proofErr w:type="spellStart"/>
      <w:r w:rsidR="005F45F2" w:rsidRPr="005F45F2">
        <w:rPr>
          <w:sz w:val="24"/>
          <w:szCs w:val="24"/>
          <w:lang w:val="en-GB" w:bidi="ar-EG"/>
        </w:rPr>
        <w:t>rasha_radiology</w:t>
      </w:r>
      <w:proofErr w:type="spellEnd"/>
      <w:r w:rsidR="005F45F2" w:rsidRPr="005F45F2">
        <w:rPr>
          <w:sz w:val="24"/>
          <w:szCs w:val="24"/>
          <w:lang w:bidi="ar-EG"/>
        </w:rPr>
        <w:t>@</w:t>
      </w:r>
      <w:r w:rsidR="005F45F2" w:rsidRPr="005F45F2">
        <w:rPr>
          <w:sz w:val="24"/>
          <w:szCs w:val="24"/>
          <w:lang w:val="en-GB" w:bidi="ar-EG"/>
        </w:rPr>
        <w:t>yahoo.com</w:t>
      </w:r>
    </w:p>
    <w:p w14:paraId="2F52A4D2" w14:textId="1B6AB8E8" w:rsidR="005F45F2" w:rsidRDefault="00F45189" w:rsidP="00B618DB">
      <w:pPr>
        <w:bidi w:val="0"/>
        <w:rPr>
          <w:sz w:val="28"/>
          <w:szCs w:val="28"/>
          <w:lang w:val="en-GB" w:bidi="ar-EG"/>
        </w:rPr>
      </w:pPr>
      <w:r>
        <w:rPr>
          <w:sz w:val="24"/>
          <w:szCs w:val="24"/>
          <w:lang w:val="en-GB" w:bidi="ar-EG"/>
        </w:rPr>
        <w:t xml:space="preserve">Tel: </w:t>
      </w:r>
      <w:r w:rsidR="005F45F2" w:rsidRPr="005F45F2">
        <w:rPr>
          <w:sz w:val="24"/>
          <w:szCs w:val="24"/>
          <w:lang w:val="en-GB" w:bidi="ar-EG"/>
        </w:rPr>
        <w:t>+201006289905</w:t>
      </w:r>
      <w:r w:rsidR="00C57754">
        <w:rPr>
          <w:sz w:val="24"/>
          <w:szCs w:val="24"/>
          <w:lang w:val="en-GB" w:bidi="ar-EG"/>
        </w:rPr>
        <w:t>.</w:t>
      </w:r>
    </w:p>
    <w:p w14:paraId="7CF6FAE0" w14:textId="177B4F17" w:rsidR="00FB57FC" w:rsidRPr="001B6C2C" w:rsidRDefault="00FB57FC" w:rsidP="00FB57FC">
      <w:pPr>
        <w:tabs>
          <w:tab w:val="left" w:pos="2892"/>
        </w:tabs>
        <w:autoSpaceDE w:val="0"/>
        <w:autoSpaceDN w:val="0"/>
        <w:bidi w:val="0"/>
        <w:adjustRightInd w:val="0"/>
        <w:spacing w:after="0" w:line="360" w:lineRule="auto"/>
      </w:pPr>
      <w:r w:rsidRPr="001B6C2C">
        <w:t xml:space="preserve">Submission </w:t>
      </w:r>
      <w:bookmarkStart w:id="1" w:name="_Hlk125994740"/>
      <w:r w:rsidRPr="001B6C2C">
        <w:t xml:space="preserve">date: </w:t>
      </w:r>
      <w:r w:rsidR="005D57E6" w:rsidRPr="0098317A">
        <w:t>27</w:t>
      </w:r>
      <w:r w:rsidRPr="0098317A">
        <w:t xml:space="preserve"> December 2024.</w:t>
      </w:r>
    </w:p>
    <w:bookmarkEnd w:id="1"/>
    <w:p w14:paraId="2A037077" w14:textId="5D561398" w:rsidR="00FB57FC" w:rsidRPr="001B6C2C" w:rsidRDefault="00FB57FC" w:rsidP="00FB57FC">
      <w:pPr>
        <w:tabs>
          <w:tab w:val="left" w:pos="2892"/>
        </w:tabs>
        <w:autoSpaceDE w:val="0"/>
        <w:autoSpaceDN w:val="0"/>
        <w:bidi w:val="0"/>
        <w:adjustRightInd w:val="0"/>
        <w:spacing w:after="0" w:line="360" w:lineRule="auto"/>
      </w:pPr>
      <w:r w:rsidRPr="001B6C2C">
        <w:t xml:space="preserve">Revision date (End of revision): </w:t>
      </w:r>
      <w:r w:rsidRPr="0098317A">
        <w:t>1</w:t>
      </w:r>
      <w:r w:rsidR="005D57E6" w:rsidRPr="0098317A">
        <w:t>0</w:t>
      </w:r>
      <w:r w:rsidRPr="0098317A">
        <w:t xml:space="preserve"> </w:t>
      </w:r>
      <w:r w:rsidR="005D57E6" w:rsidRPr="0098317A">
        <w:t>March</w:t>
      </w:r>
      <w:r w:rsidRPr="0098317A">
        <w:t xml:space="preserve"> 2025.</w:t>
      </w:r>
    </w:p>
    <w:p w14:paraId="60FE6044" w14:textId="1656DC83" w:rsidR="00FB57FC" w:rsidRDefault="00FB57FC" w:rsidP="00FB57FC">
      <w:pPr>
        <w:tabs>
          <w:tab w:val="left" w:pos="2892"/>
        </w:tabs>
        <w:autoSpaceDE w:val="0"/>
        <w:autoSpaceDN w:val="0"/>
        <w:bidi w:val="0"/>
        <w:adjustRightInd w:val="0"/>
        <w:spacing w:after="0" w:line="360" w:lineRule="auto"/>
      </w:pPr>
      <w:r w:rsidRPr="001B6C2C">
        <w:t>Acceptance date</w:t>
      </w:r>
      <w:r w:rsidR="001B6C2C" w:rsidRPr="001B6C2C">
        <w:t>(scientific)</w:t>
      </w:r>
      <w:r w:rsidRPr="001B6C2C">
        <w:t>:</w:t>
      </w:r>
      <w:r w:rsidRPr="0098317A">
        <w:rPr>
          <w:b/>
          <w:bCs/>
        </w:rPr>
        <w:t xml:space="preserve"> </w:t>
      </w:r>
      <w:r w:rsidRPr="0098317A">
        <w:t>2</w:t>
      </w:r>
      <w:r w:rsidR="005D57E6" w:rsidRPr="0098317A">
        <w:t>1</w:t>
      </w:r>
      <w:r w:rsidRPr="0098317A">
        <w:t xml:space="preserve"> </w:t>
      </w:r>
      <w:r w:rsidR="005D57E6" w:rsidRPr="0098317A">
        <w:t>March</w:t>
      </w:r>
      <w:r w:rsidRPr="0098317A">
        <w:t xml:space="preserve"> 2025.</w:t>
      </w:r>
    </w:p>
    <w:p w14:paraId="56DB7FF6" w14:textId="7E948CB5" w:rsidR="001B6C2C" w:rsidRPr="0098317A" w:rsidRDefault="001B6C2C" w:rsidP="001B6C2C">
      <w:pPr>
        <w:tabs>
          <w:tab w:val="left" w:pos="2892"/>
        </w:tabs>
        <w:autoSpaceDE w:val="0"/>
        <w:autoSpaceDN w:val="0"/>
        <w:bidi w:val="0"/>
        <w:adjustRightInd w:val="0"/>
        <w:spacing w:after="0" w:line="360" w:lineRule="auto"/>
        <w:rPr>
          <w:b/>
          <w:bCs/>
        </w:rPr>
      </w:pPr>
      <w:r>
        <w:t>Acceptance(final): 16 April 2025.</w:t>
      </w:r>
    </w:p>
    <w:p w14:paraId="56F77B40" w14:textId="37D565D6" w:rsidR="00FC6B49" w:rsidRPr="003B09A8" w:rsidRDefault="00FC6B49" w:rsidP="00FB57FC">
      <w:pPr>
        <w:tabs>
          <w:tab w:val="left" w:pos="2892"/>
        </w:tabs>
        <w:autoSpaceDE w:val="0"/>
        <w:autoSpaceDN w:val="0"/>
        <w:bidi w:val="0"/>
        <w:adjustRightInd w:val="0"/>
        <w:spacing w:after="0" w:line="360" w:lineRule="auto"/>
        <w:rPr>
          <w:b/>
          <w:bCs/>
          <w:sz w:val="24"/>
          <w:szCs w:val="24"/>
        </w:rPr>
      </w:pPr>
      <w:r w:rsidRPr="003B09A8">
        <w:rPr>
          <w:b/>
          <w:bCs/>
          <w:sz w:val="24"/>
          <w:szCs w:val="24"/>
        </w:rPr>
        <w:t>A</w:t>
      </w:r>
      <w:r w:rsidR="00EE7D02" w:rsidRPr="003B09A8">
        <w:rPr>
          <w:b/>
          <w:bCs/>
          <w:sz w:val="24"/>
          <w:szCs w:val="24"/>
        </w:rPr>
        <w:t>bstract</w:t>
      </w:r>
    </w:p>
    <w:p w14:paraId="6F40203C" w14:textId="4C818CD9" w:rsidR="00FC6B49" w:rsidRPr="00C67DF7" w:rsidRDefault="00FC6B49" w:rsidP="00F516EA">
      <w:pPr>
        <w:bidi w:val="0"/>
        <w:jc w:val="both"/>
        <w:rPr>
          <w:sz w:val="24"/>
          <w:szCs w:val="24"/>
          <w:shd w:val="clear" w:color="auto" w:fill="FFFFFF"/>
        </w:rPr>
      </w:pPr>
      <w:r w:rsidRPr="003B09A8">
        <w:rPr>
          <w:b/>
          <w:bCs/>
          <w:sz w:val="24"/>
          <w:szCs w:val="24"/>
        </w:rPr>
        <w:t>Background:</w:t>
      </w:r>
      <w:r>
        <w:rPr>
          <w:sz w:val="28"/>
          <w:szCs w:val="28"/>
          <w:shd w:val="clear" w:color="auto" w:fill="FFFFFF"/>
        </w:rPr>
        <w:t xml:space="preserve"> </w:t>
      </w:r>
      <w:r w:rsidRPr="00C67DF7">
        <w:rPr>
          <w:sz w:val="24"/>
          <w:szCs w:val="24"/>
          <w:shd w:val="clear" w:color="auto" w:fill="FFFFFF"/>
          <w:lang w:eastAsia="zh-CN"/>
        </w:rPr>
        <w:t xml:space="preserve">Crohn’s disease (CD) is a chronic inflammatory bowel disease that affects children and adults. MRE is the </w:t>
      </w:r>
      <w:r w:rsidR="00DC3CA5" w:rsidRPr="00C67DF7">
        <w:rPr>
          <w:sz w:val="24"/>
          <w:szCs w:val="24"/>
          <w:shd w:val="clear" w:color="auto" w:fill="FFFFFF"/>
          <w:lang w:eastAsia="zh-CN"/>
        </w:rPr>
        <w:t>primary</w:t>
      </w:r>
      <w:r w:rsidRPr="00C67DF7">
        <w:rPr>
          <w:sz w:val="24"/>
          <w:szCs w:val="24"/>
          <w:shd w:val="clear" w:color="auto" w:fill="FFFFFF"/>
          <w:lang w:eastAsia="zh-CN"/>
        </w:rPr>
        <w:t xml:space="preserve"> imaging technique for assessment due to its non-invasive characteristics and absence of ionizing radiation. </w:t>
      </w:r>
      <w:r w:rsidR="00F516EA" w:rsidRPr="00C67DF7">
        <w:rPr>
          <w:sz w:val="24"/>
          <w:szCs w:val="24"/>
          <w:shd w:val="clear" w:color="auto" w:fill="FFFFFF"/>
          <w:lang w:eastAsia="zh-CN"/>
        </w:rPr>
        <w:t>MR enterography</w:t>
      </w:r>
      <w:r w:rsidRPr="00C67DF7">
        <w:rPr>
          <w:sz w:val="24"/>
          <w:szCs w:val="24"/>
          <w:shd w:val="clear" w:color="auto" w:fill="FFFFFF"/>
          <w:lang w:eastAsia="zh-CN"/>
        </w:rPr>
        <w:t xml:space="preserve"> can identify both mural and extramural manifestations of CD, serving as a crucial tool for radiologists and clinicians in disease management.</w:t>
      </w:r>
    </w:p>
    <w:p w14:paraId="0A21A3C6" w14:textId="77777777" w:rsidR="00FC6B49" w:rsidRPr="00C67DF7" w:rsidRDefault="00FC6B49" w:rsidP="003431C8">
      <w:pPr>
        <w:bidi w:val="0"/>
        <w:jc w:val="both"/>
        <w:rPr>
          <w:sz w:val="24"/>
          <w:szCs w:val="24"/>
          <w:shd w:val="clear" w:color="auto" w:fill="FFFFFF"/>
          <w:lang w:eastAsia="zh-CN"/>
        </w:rPr>
      </w:pPr>
      <w:r w:rsidRPr="003B09A8">
        <w:rPr>
          <w:b/>
          <w:bCs/>
          <w:sz w:val="24"/>
          <w:szCs w:val="24"/>
        </w:rPr>
        <w:t>Methods:</w:t>
      </w:r>
      <w:r>
        <w:t xml:space="preserve"> </w:t>
      </w:r>
      <w:r w:rsidRPr="00C67DF7">
        <w:rPr>
          <w:sz w:val="24"/>
          <w:szCs w:val="24"/>
          <w:shd w:val="clear" w:color="auto" w:fill="FFFFFF"/>
          <w:lang w:eastAsia="zh-CN"/>
        </w:rPr>
        <w:t xml:space="preserve">This cross-sectional study was conducted at outpatient clinics, the National Liver Institute, Menoufia University, and the Tropical Medicine Department at the Faculty of Medicine, Alexandria University, from January 2022 to December 2024. The study included 54 patients, aged 12 to 45 years, diagnosed with </w:t>
      </w:r>
      <w:r w:rsidR="00761AE4" w:rsidRPr="00C67DF7">
        <w:rPr>
          <w:sz w:val="24"/>
          <w:szCs w:val="24"/>
        </w:rPr>
        <w:t>Crohn’s</w:t>
      </w:r>
      <w:r w:rsidRPr="00C67DF7">
        <w:rPr>
          <w:sz w:val="24"/>
          <w:szCs w:val="24"/>
        </w:rPr>
        <w:t xml:space="preserve"> disease </w:t>
      </w:r>
      <w:r w:rsidR="003431C8" w:rsidRPr="00C67DF7">
        <w:rPr>
          <w:sz w:val="24"/>
          <w:szCs w:val="24"/>
          <w:shd w:val="clear" w:color="auto" w:fill="FFFFFF"/>
          <w:lang w:eastAsia="zh-CN"/>
        </w:rPr>
        <w:t>through colonoscopy findings</w:t>
      </w:r>
      <w:r w:rsidRPr="00C67DF7">
        <w:rPr>
          <w:sz w:val="24"/>
          <w:szCs w:val="24"/>
          <w:shd w:val="clear" w:color="auto" w:fill="FFFFFF"/>
          <w:lang w:eastAsia="zh-CN"/>
        </w:rPr>
        <w:t xml:space="preserve">. </w:t>
      </w:r>
    </w:p>
    <w:p w14:paraId="47948DB7" w14:textId="77777777" w:rsidR="00FC6B49" w:rsidRDefault="00FC6B49" w:rsidP="00FC6B49">
      <w:pPr>
        <w:pStyle w:val="ListParagraph"/>
        <w:bidi w:val="0"/>
        <w:spacing w:line="240" w:lineRule="auto"/>
        <w:ind w:left="0"/>
        <w:jc w:val="both"/>
        <w:rPr>
          <w:sz w:val="28"/>
          <w:szCs w:val="28"/>
          <w:lang w:eastAsia="zh-CN"/>
        </w:rPr>
      </w:pPr>
      <w:r w:rsidRPr="003B09A8">
        <w:rPr>
          <w:b/>
          <w:bCs/>
          <w:sz w:val="24"/>
          <w:szCs w:val="24"/>
        </w:rPr>
        <w:t>Results:</w:t>
      </w:r>
      <w:r>
        <w:rPr>
          <w:sz w:val="28"/>
          <w:szCs w:val="28"/>
          <w:shd w:val="clear" w:color="auto" w:fill="FFFFFF"/>
        </w:rPr>
        <w:t xml:space="preserve"> </w:t>
      </w:r>
      <w:r w:rsidRPr="00C67DF7">
        <w:rPr>
          <w:sz w:val="24"/>
          <w:szCs w:val="24"/>
          <w:shd w:val="clear" w:color="auto" w:fill="FFFFFF"/>
        </w:rPr>
        <w:t>All patients underwent MR enterography to evaluate various imaging features</w:t>
      </w:r>
      <w:r w:rsidRPr="00C67DF7">
        <w:rPr>
          <w:sz w:val="24"/>
          <w:szCs w:val="24"/>
        </w:rPr>
        <w:t xml:space="preserve"> during active or complicated disease stages. Active bowel inflammation was characterized by b</w:t>
      </w:r>
      <w:r w:rsidRPr="00C67DF7">
        <w:rPr>
          <w:sz w:val="24"/>
          <w:szCs w:val="24"/>
          <w:lang w:eastAsia="zh-CN"/>
        </w:rPr>
        <w:t>owel wall thickening in 46 patients (85%), bowel wall edema in 15 patients (27.8%), and mural wall hyperenhancement</w:t>
      </w:r>
      <w:r w:rsidRPr="00C67DF7">
        <w:rPr>
          <w:i/>
          <w:iCs/>
          <w:sz w:val="24"/>
          <w:szCs w:val="24"/>
          <w:lang w:eastAsia="zh-CN"/>
        </w:rPr>
        <w:t xml:space="preserve"> </w:t>
      </w:r>
      <w:r w:rsidRPr="00C67DF7">
        <w:rPr>
          <w:sz w:val="24"/>
          <w:szCs w:val="24"/>
          <w:lang w:eastAsia="zh-CN"/>
        </w:rPr>
        <w:t>in 43 patients (79.6%). Inflammatory mesenteric fat stranding was detected in 41 patients (75.9%), mesenteric lymphadenopathy in 29 patients (53.7%), and vascular engorgement within the affected mesentery in 39 patients (72.2%). Fistula formation is a characteristic of penetrating disease, comprising two types: intra-abdominal fistulas in 9 patients (16.7%) and perianal fistulas in 11 patients (20.4%). Chronic bowel wall inflammation, which may progress to fibrostenotic complications, was observed in only two patients (3.7%).</w:t>
      </w:r>
      <w:r>
        <w:rPr>
          <w:sz w:val="28"/>
          <w:szCs w:val="28"/>
          <w:lang w:eastAsia="zh-CN"/>
        </w:rPr>
        <w:t xml:space="preserve"> </w:t>
      </w:r>
    </w:p>
    <w:p w14:paraId="04397138" w14:textId="665D18C7" w:rsidR="00FC6B49" w:rsidRDefault="00FC6B49" w:rsidP="00AA5519">
      <w:pPr>
        <w:pStyle w:val="Default"/>
        <w:jc w:val="both"/>
        <w:rPr>
          <w:rFonts w:ascii="Times New Roman" w:hAnsi="Times New Roman" w:cs="Times New Roman"/>
          <w:b/>
          <w:bCs/>
          <w:sz w:val="28"/>
          <w:szCs w:val="28"/>
        </w:rPr>
      </w:pPr>
      <w:r w:rsidRPr="003B09A8">
        <w:rPr>
          <w:rFonts w:ascii="Times New Roman" w:hAnsi="Times New Roman" w:cs="Times New Roman"/>
          <w:b/>
          <w:bCs/>
          <w:color w:val="auto"/>
        </w:rPr>
        <w:lastRenderedPageBreak/>
        <w:t>Conclusion:</w:t>
      </w:r>
      <w:r>
        <w:rPr>
          <w:rFonts w:ascii="Times New Roman" w:hAnsi="Times New Roman" w:cs="Times New Roman"/>
          <w:color w:val="auto"/>
          <w:sz w:val="28"/>
          <w:szCs w:val="28"/>
          <w:shd w:val="clear" w:color="auto" w:fill="FFFFFF"/>
        </w:rPr>
        <w:t xml:space="preserve"> </w:t>
      </w:r>
      <w:r w:rsidRPr="00C67DF7">
        <w:rPr>
          <w:rFonts w:ascii="Times New Roman" w:hAnsi="Times New Roman" w:cs="Times New Roman"/>
          <w:color w:val="auto"/>
          <w:shd w:val="clear" w:color="auto" w:fill="FFFFFF"/>
          <w:lang w:eastAsia="zh-CN"/>
        </w:rPr>
        <w:t xml:space="preserve">MR enterography is a pivotal diagnostic tool in assessing the </w:t>
      </w:r>
      <w:r w:rsidR="00C67DF7">
        <w:rPr>
          <w:rFonts w:ascii="Times New Roman" w:hAnsi="Times New Roman" w:cs="Times New Roman"/>
          <w:color w:val="auto"/>
          <w:shd w:val="clear" w:color="auto" w:fill="FFFFFF"/>
          <w:lang w:eastAsia="zh-CN"/>
        </w:rPr>
        <w:t>typical</w:t>
      </w:r>
      <w:r w:rsidRPr="00C67DF7">
        <w:rPr>
          <w:rFonts w:ascii="Times New Roman" w:hAnsi="Times New Roman" w:cs="Times New Roman"/>
          <w:color w:val="auto"/>
          <w:shd w:val="clear" w:color="auto" w:fill="FFFFFF"/>
          <w:lang w:eastAsia="zh-CN"/>
        </w:rPr>
        <w:t xml:space="preserve"> imaging features of </w:t>
      </w:r>
      <w:r w:rsidR="00B92A3A" w:rsidRPr="00C67DF7">
        <w:rPr>
          <w:rFonts w:ascii="Times New Roman" w:hAnsi="Times New Roman" w:cs="Times New Roman"/>
          <w:color w:val="auto"/>
          <w:shd w:val="clear" w:color="auto" w:fill="FFFFFF"/>
          <w:lang w:eastAsia="zh-CN"/>
        </w:rPr>
        <w:t>Crohn’s</w:t>
      </w:r>
      <w:r w:rsidR="008A11FF" w:rsidRPr="00C67DF7">
        <w:rPr>
          <w:rFonts w:ascii="Times New Roman" w:hAnsi="Times New Roman" w:cs="Times New Roman"/>
          <w:color w:val="auto"/>
          <w:shd w:val="clear" w:color="auto" w:fill="FFFFFF"/>
          <w:lang w:eastAsia="zh-CN"/>
        </w:rPr>
        <w:t xml:space="preserve"> </w:t>
      </w:r>
      <w:r w:rsidRPr="00C67DF7">
        <w:rPr>
          <w:rFonts w:ascii="Times New Roman" w:hAnsi="Times New Roman" w:cs="Times New Roman"/>
          <w:color w:val="auto"/>
          <w:shd w:val="clear" w:color="auto" w:fill="FFFFFF"/>
          <w:lang w:eastAsia="zh-CN"/>
        </w:rPr>
        <w:t xml:space="preserve">disease and its associated complications. </w:t>
      </w:r>
    </w:p>
    <w:p w14:paraId="2AB9141D" w14:textId="69BC7914" w:rsidR="00FC6B49" w:rsidRPr="00C67DF7" w:rsidRDefault="00FC6B49" w:rsidP="00FC6B49">
      <w:pPr>
        <w:autoSpaceDE w:val="0"/>
        <w:autoSpaceDN w:val="0"/>
        <w:bidi w:val="0"/>
        <w:adjustRightInd w:val="0"/>
        <w:spacing w:after="0" w:line="240" w:lineRule="auto"/>
        <w:jc w:val="both"/>
        <w:rPr>
          <w:i/>
          <w:iCs/>
          <w:sz w:val="24"/>
          <w:szCs w:val="24"/>
          <w:shd w:val="clear" w:color="auto" w:fill="FFFFFF"/>
          <w:lang w:eastAsia="zh-CN"/>
        </w:rPr>
      </w:pPr>
      <w:r w:rsidRPr="003B09A8">
        <w:rPr>
          <w:b/>
          <w:bCs/>
          <w:i/>
          <w:iCs/>
          <w:sz w:val="24"/>
          <w:szCs w:val="24"/>
        </w:rPr>
        <w:t>Keywords:</w:t>
      </w:r>
      <w:r w:rsidRPr="00F8329A">
        <w:rPr>
          <w:b/>
          <w:bCs/>
          <w:i/>
          <w:iCs/>
          <w:sz w:val="28"/>
          <w:szCs w:val="28"/>
        </w:rPr>
        <w:t xml:space="preserve"> </w:t>
      </w:r>
      <w:r w:rsidRPr="00C67DF7">
        <w:rPr>
          <w:i/>
          <w:iCs/>
          <w:sz w:val="24"/>
          <w:szCs w:val="24"/>
          <w:shd w:val="clear" w:color="auto" w:fill="FFFFFF"/>
          <w:lang w:eastAsia="zh-CN"/>
        </w:rPr>
        <w:t>Crohn’s disease; Small bowel inflammation; MR enterography</w:t>
      </w:r>
      <w:r w:rsidR="00EE7D02">
        <w:rPr>
          <w:i/>
          <w:iCs/>
          <w:sz w:val="24"/>
          <w:szCs w:val="24"/>
          <w:shd w:val="clear" w:color="auto" w:fill="FFFFFF"/>
          <w:lang w:eastAsia="zh-CN"/>
        </w:rPr>
        <w:t>.</w:t>
      </w:r>
    </w:p>
    <w:p w14:paraId="6C7040DB" w14:textId="7812F396" w:rsidR="00FC6B49" w:rsidRPr="003B09A8" w:rsidRDefault="00DC3CA5" w:rsidP="00FC6B49">
      <w:pPr>
        <w:bidi w:val="0"/>
        <w:spacing w:before="120" w:after="0" w:line="360" w:lineRule="auto"/>
        <w:rPr>
          <w:rFonts w:eastAsia="Batang"/>
          <w:b/>
          <w:sz w:val="24"/>
          <w:szCs w:val="24"/>
          <w:lang w:eastAsia="ko-KR"/>
        </w:rPr>
      </w:pPr>
      <w:r w:rsidRPr="003B09A8">
        <w:rPr>
          <w:rFonts w:eastAsia="Batang"/>
          <w:b/>
          <w:sz w:val="24"/>
          <w:szCs w:val="24"/>
          <w:lang w:eastAsia="ko-KR"/>
        </w:rPr>
        <w:t>Introduction</w:t>
      </w:r>
      <w:r w:rsidR="00FC6B49" w:rsidRPr="003B09A8">
        <w:rPr>
          <w:rFonts w:eastAsia="Batang"/>
          <w:b/>
          <w:sz w:val="24"/>
          <w:szCs w:val="24"/>
          <w:lang w:eastAsia="ko-KR"/>
        </w:rPr>
        <w:t xml:space="preserve"> </w:t>
      </w:r>
    </w:p>
    <w:p w14:paraId="2974FB49" w14:textId="77777777" w:rsidR="00FC6B49" w:rsidRPr="00C67DF7" w:rsidRDefault="00FC6B49" w:rsidP="00FC6B49">
      <w:pPr>
        <w:bidi w:val="0"/>
        <w:spacing w:line="360" w:lineRule="auto"/>
        <w:ind w:firstLineChars="200" w:firstLine="480"/>
        <w:jc w:val="both"/>
        <w:rPr>
          <w:sz w:val="24"/>
          <w:szCs w:val="24"/>
          <w:lang w:eastAsia="zh-CN"/>
        </w:rPr>
      </w:pPr>
      <w:r w:rsidRPr="00C67DF7">
        <w:rPr>
          <w:sz w:val="24"/>
          <w:szCs w:val="24"/>
          <w:lang w:eastAsia="zh-CN"/>
        </w:rPr>
        <w:t xml:space="preserve">Crohn’s disease (CD) is an inflammatory bowel disease characterized by chronic relapsing/remitting immune-mediated conditions </w:t>
      </w:r>
      <w:r w:rsidRPr="00C67DF7">
        <w:rPr>
          <w:sz w:val="24"/>
          <w:szCs w:val="24"/>
          <w:shd w:val="clear" w:color="auto" w:fill="FFFFFE"/>
          <w:vertAlign w:val="superscript"/>
        </w:rPr>
        <w:t>(1)</w:t>
      </w:r>
      <w:r w:rsidRPr="00C67DF7">
        <w:rPr>
          <w:sz w:val="24"/>
          <w:szCs w:val="24"/>
        </w:rPr>
        <w:t xml:space="preserve">. It most commonly presents during the second and third decades of life, with approximately 25% of patients developing the disease during adolescence </w:t>
      </w:r>
      <w:r w:rsidRPr="00C67DF7">
        <w:rPr>
          <w:sz w:val="24"/>
          <w:szCs w:val="24"/>
          <w:shd w:val="clear" w:color="auto" w:fill="FFFFFE"/>
          <w:vertAlign w:val="superscript"/>
        </w:rPr>
        <w:t>(2,3)</w:t>
      </w:r>
      <w:r w:rsidRPr="00C67DF7">
        <w:rPr>
          <w:sz w:val="24"/>
          <w:szCs w:val="24"/>
          <w:lang w:eastAsia="zh-CN"/>
        </w:rPr>
        <w:t>. CD triggers an acute inflammatory response that impacts different segments of the alimentary tract, particularly the terminal ileum, potentially resulting in permanent injury</w:t>
      </w:r>
      <w:r w:rsidRPr="00C67DF7">
        <w:rPr>
          <w:sz w:val="24"/>
          <w:szCs w:val="24"/>
          <w:shd w:val="clear" w:color="auto" w:fill="FFFFFE"/>
          <w:vertAlign w:val="superscript"/>
        </w:rPr>
        <w:t xml:space="preserve"> (4)</w:t>
      </w:r>
      <w:r w:rsidRPr="00C67DF7">
        <w:rPr>
          <w:sz w:val="24"/>
          <w:szCs w:val="24"/>
          <w:lang w:eastAsia="zh-CN"/>
        </w:rPr>
        <w:t xml:space="preserve">. </w:t>
      </w:r>
    </w:p>
    <w:p w14:paraId="07D8DE63" w14:textId="7A010611" w:rsidR="00FC6B49" w:rsidRPr="00C57754" w:rsidRDefault="00FC6B49" w:rsidP="00FC6B49">
      <w:pPr>
        <w:autoSpaceDE w:val="0"/>
        <w:autoSpaceDN w:val="0"/>
        <w:bidi w:val="0"/>
        <w:adjustRightInd w:val="0"/>
        <w:spacing w:after="0" w:line="360" w:lineRule="auto"/>
        <w:ind w:firstLine="567"/>
        <w:jc w:val="both"/>
        <w:rPr>
          <w:sz w:val="24"/>
          <w:szCs w:val="24"/>
          <w:lang w:eastAsia="zh-CN"/>
        </w:rPr>
      </w:pPr>
      <w:r w:rsidRPr="00C57754">
        <w:rPr>
          <w:sz w:val="24"/>
          <w:szCs w:val="24"/>
          <w:lang w:eastAsia="zh-CN"/>
        </w:rPr>
        <w:t>Patients with CD commonly experience recurrent bowel motility, abdominal pain, and diarrhea, while other manifestations such as fever, nausea, and vomiting</w:t>
      </w:r>
      <w:r w:rsidR="0082759D">
        <w:rPr>
          <w:sz w:val="24"/>
          <w:szCs w:val="24"/>
          <w:lang w:eastAsia="zh-CN"/>
        </w:rPr>
        <w:t xml:space="preserve"> may occur</w:t>
      </w:r>
      <w:r w:rsidRPr="00C57754">
        <w:rPr>
          <w:sz w:val="24"/>
          <w:szCs w:val="24"/>
          <w:lang w:eastAsia="zh-CN"/>
        </w:rPr>
        <w:t xml:space="preserve">. Approximately 25% of affected patients may also present with symptoms, including uveitis, episcleritis, arthritis, or erythema nodosum </w:t>
      </w:r>
      <w:r w:rsidRPr="00C57754">
        <w:rPr>
          <w:sz w:val="24"/>
          <w:szCs w:val="24"/>
          <w:shd w:val="clear" w:color="auto" w:fill="FFFFFE"/>
          <w:vertAlign w:val="superscript"/>
        </w:rPr>
        <w:t>(5-7)</w:t>
      </w:r>
      <w:r w:rsidRPr="00C57754">
        <w:rPr>
          <w:sz w:val="24"/>
          <w:szCs w:val="24"/>
          <w:lang w:eastAsia="zh-CN"/>
        </w:rPr>
        <w:t>.</w:t>
      </w:r>
    </w:p>
    <w:p w14:paraId="25D83EA7" w14:textId="2EDB38AA" w:rsidR="00FC6B49" w:rsidRPr="00C57754" w:rsidRDefault="00FC6B49" w:rsidP="00FC6B49">
      <w:pPr>
        <w:bidi w:val="0"/>
        <w:spacing w:line="360" w:lineRule="auto"/>
        <w:ind w:firstLineChars="200" w:firstLine="480"/>
        <w:jc w:val="both"/>
        <w:rPr>
          <w:sz w:val="24"/>
          <w:szCs w:val="24"/>
          <w:lang w:eastAsia="zh-CN"/>
        </w:rPr>
      </w:pPr>
      <w:r w:rsidRPr="00C57754">
        <w:rPr>
          <w:sz w:val="24"/>
          <w:szCs w:val="24"/>
          <w:lang w:eastAsia="zh-CN"/>
        </w:rPr>
        <w:t xml:space="preserve">Actively inflamed bowel segments generally exhibit segmental mural wall thickening, intramural edema, and occasionally </w:t>
      </w:r>
      <w:proofErr w:type="spellStart"/>
      <w:r w:rsidRPr="00C57754">
        <w:rPr>
          <w:sz w:val="24"/>
          <w:szCs w:val="24"/>
          <w:lang w:eastAsia="zh-CN"/>
        </w:rPr>
        <w:t>microabscesses</w:t>
      </w:r>
      <w:proofErr w:type="spellEnd"/>
      <w:r w:rsidRPr="00C57754">
        <w:rPr>
          <w:sz w:val="24"/>
          <w:szCs w:val="24"/>
          <w:lang w:eastAsia="zh-CN"/>
        </w:rPr>
        <w:t xml:space="preserve"> along the mesenteric border </w:t>
      </w:r>
      <w:r w:rsidRPr="00C57754">
        <w:rPr>
          <w:sz w:val="24"/>
          <w:szCs w:val="24"/>
          <w:shd w:val="clear" w:color="auto" w:fill="FFFFFE"/>
          <w:vertAlign w:val="superscript"/>
        </w:rPr>
        <w:t>(8,9)</w:t>
      </w:r>
      <w:r w:rsidRPr="00C57754">
        <w:rPr>
          <w:sz w:val="24"/>
          <w:szCs w:val="24"/>
          <w:lang w:eastAsia="zh-CN"/>
        </w:rPr>
        <w:t>. Skip lesions</w:t>
      </w:r>
      <w:r w:rsidR="00337F9F">
        <w:rPr>
          <w:sz w:val="24"/>
          <w:szCs w:val="24"/>
          <w:lang w:eastAsia="zh-CN"/>
        </w:rPr>
        <w:t>, characterized by alternating inflamed and unaffected bowel loop segments,</w:t>
      </w:r>
      <w:r w:rsidRPr="00C57754">
        <w:rPr>
          <w:i/>
          <w:iCs/>
          <w:sz w:val="24"/>
          <w:szCs w:val="24"/>
          <w:lang w:eastAsia="zh-CN"/>
        </w:rPr>
        <w:t xml:space="preserve"> </w:t>
      </w:r>
      <w:r w:rsidRPr="00C57754">
        <w:rPr>
          <w:sz w:val="24"/>
          <w:szCs w:val="24"/>
          <w:lang w:eastAsia="zh-CN"/>
        </w:rPr>
        <w:t xml:space="preserve">are considered hallmark features of Crohn’s disease </w:t>
      </w:r>
      <w:r w:rsidRPr="00C57754">
        <w:rPr>
          <w:sz w:val="24"/>
          <w:szCs w:val="24"/>
          <w:shd w:val="clear" w:color="auto" w:fill="FFFFFE"/>
          <w:vertAlign w:val="superscript"/>
        </w:rPr>
        <w:t>(10)</w:t>
      </w:r>
      <w:r w:rsidRPr="00C57754">
        <w:rPr>
          <w:sz w:val="24"/>
          <w:szCs w:val="24"/>
          <w:lang w:eastAsia="zh-CN"/>
        </w:rPr>
        <w:t>.</w:t>
      </w:r>
    </w:p>
    <w:p w14:paraId="73E85977" w14:textId="4CF1AE92" w:rsidR="00FC6B49" w:rsidRPr="00C57754" w:rsidRDefault="0082759D" w:rsidP="00FC6B49">
      <w:pPr>
        <w:autoSpaceDE w:val="0"/>
        <w:autoSpaceDN w:val="0"/>
        <w:bidi w:val="0"/>
        <w:adjustRightInd w:val="0"/>
        <w:spacing w:after="0" w:line="360" w:lineRule="auto"/>
        <w:ind w:firstLine="567"/>
        <w:jc w:val="both"/>
        <w:rPr>
          <w:sz w:val="24"/>
          <w:szCs w:val="24"/>
          <w:lang w:eastAsia="zh-CN"/>
        </w:rPr>
      </w:pPr>
      <w:r>
        <w:rPr>
          <w:sz w:val="24"/>
          <w:szCs w:val="24"/>
          <w:lang w:eastAsia="zh-CN"/>
        </w:rPr>
        <w:t>A complicated</w:t>
      </w:r>
      <w:r w:rsidR="00FC6B49" w:rsidRPr="00C57754">
        <w:rPr>
          <w:sz w:val="24"/>
          <w:szCs w:val="24"/>
          <w:lang w:eastAsia="zh-CN"/>
        </w:rPr>
        <w:t xml:space="preserve"> CD is presented by the development of strictures, which are associated with symptoms of bowel obstruction, </w:t>
      </w:r>
      <w:r w:rsidR="00DC3CA5" w:rsidRPr="00C57754">
        <w:rPr>
          <w:sz w:val="24"/>
          <w:szCs w:val="24"/>
          <w:lang w:eastAsia="zh-CN"/>
        </w:rPr>
        <w:t>and</w:t>
      </w:r>
      <w:r w:rsidR="00FC6B49" w:rsidRPr="00C57754">
        <w:rPr>
          <w:sz w:val="24"/>
          <w:szCs w:val="24"/>
          <w:lang w:eastAsia="zh-CN"/>
        </w:rPr>
        <w:t xml:space="preserve"> penetrating disease, which manifests as abscess formation and fistulas </w:t>
      </w:r>
      <w:r w:rsidR="00FC6B49" w:rsidRPr="00C57754">
        <w:rPr>
          <w:sz w:val="24"/>
          <w:szCs w:val="24"/>
          <w:shd w:val="clear" w:color="auto" w:fill="FFFFFE"/>
          <w:vertAlign w:val="superscript"/>
        </w:rPr>
        <w:t>(11)</w:t>
      </w:r>
      <w:r w:rsidR="00FC6B49" w:rsidRPr="00C57754">
        <w:rPr>
          <w:sz w:val="24"/>
          <w:szCs w:val="24"/>
          <w:lang w:eastAsia="zh-CN"/>
        </w:rPr>
        <w:t xml:space="preserve">. CD is a chronic condition affecting various parts of the gastrointestinal tract over time. Therefore, the initial management strategy typically involves anti-inflammatory medications, whereas surgical intervention is recommended for cases resistant to </w:t>
      </w:r>
      <w:r w:rsidR="00C509B1">
        <w:rPr>
          <w:sz w:val="24"/>
          <w:szCs w:val="24"/>
          <w:lang w:eastAsia="zh-CN"/>
        </w:rPr>
        <w:t>drugs</w:t>
      </w:r>
      <w:r w:rsidR="00FC6B49" w:rsidRPr="00C57754">
        <w:rPr>
          <w:sz w:val="24"/>
          <w:szCs w:val="24"/>
          <w:lang w:eastAsia="zh-CN"/>
        </w:rPr>
        <w:t xml:space="preserve"> or present complications </w:t>
      </w:r>
      <w:r w:rsidR="00FC6B49" w:rsidRPr="00C57754">
        <w:rPr>
          <w:sz w:val="24"/>
          <w:szCs w:val="24"/>
          <w:shd w:val="clear" w:color="auto" w:fill="FFFFFE"/>
          <w:vertAlign w:val="superscript"/>
        </w:rPr>
        <w:t>(12-14)</w:t>
      </w:r>
      <w:r w:rsidR="00FC6B49" w:rsidRPr="00C57754">
        <w:rPr>
          <w:sz w:val="24"/>
          <w:szCs w:val="24"/>
          <w:lang w:eastAsia="zh-CN"/>
        </w:rPr>
        <w:t>.</w:t>
      </w:r>
    </w:p>
    <w:p w14:paraId="33BD3167" w14:textId="2184DDA3" w:rsidR="00FC6B49" w:rsidRPr="00C57754" w:rsidRDefault="00FC6B49" w:rsidP="007A0429">
      <w:pPr>
        <w:autoSpaceDE w:val="0"/>
        <w:autoSpaceDN w:val="0"/>
        <w:bidi w:val="0"/>
        <w:adjustRightInd w:val="0"/>
        <w:spacing w:after="0" w:line="360" w:lineRule="auto"/>
        <w:ind w:firstLine="567"/>
        <w:jc w:val="both"/>
        <w:rPr>
          <w:sz w:val="24"/>
          <w:szCs w:val="24"/>
          <w:lang w:eastAsia="zh-CN"/>
        </w:rPr>
      </w:pPr>
      <w:r w:rsidRPr="00C57754">
        <w:rPr>
          <w:sz w:val="24"/>
          <w:szCs w:val="24"/>
          <w:lang w:eastAsia="zh-CN"/>
        </w:rPr>
        <w:t xml:space="preserve">The role of imaging in </w:t>
      </w:r>
      <w:r w:rsidR="007A0429" w:rsidRPr="00C57754">
        <w:rPr>
          <w:sz w:val="24"/>
          <w:szCs w:val="24"/>
          <w:lang w:eastAsia="zh-CN"/>
        </w:rPr>
        <w:t>Crohn’s</w:t>
      </w:r>
      <w:r w:rsidRPr="00C57754">
        <w:rPr>
          <w:sz w:val="24"/>
          <w:szCs w:val="24"/>
          <w:lang w:eastAsia="zh-CN"/>
        </w:rPr>
        <w:t xml:space="preserve"> disease stems from the need to assess bowel segments that are not accessible through optical endoscopy. Generally, barium studies have been utilized to </w:t>
      </w:r>
      <w:r w:rsidR="0082759D">
        <w:rPr>
          <w:sz w:val="24"/>
          <w:szCs w:val="24"/>
          <w:lang w:eastAsia="zh-CN"/>
        </w:rPr>
        <w:t>determine</w:t>
      </w:r>
      <w:r w:rsidRPr="00C57754">
        <w:rPr>
          <w:sz w:val="24"/>
          <w:szCs w:val="24"/>
          <w:lang w:eastAsia="zh-CN"/>
        </w:rPr>
        <w:t xml:space="preserve"> the upper and lower alimentary tract. However, their use has diminished due to limited diagnostic ability, especially in evaluating extramural manifestations</w:t>
      </w:r>
      <w:r w:rsidRPr="00C57754">
        <w:rPr>
          <w:sz w:val="24"/>
          <w:szCs w:val="24"/>
          <w:shd w:val="clear" w:color="auto" w:fill="FFFFFE"/>
          <w:vertAlign w:val="superscript"/>
        </w:rPr>
        <w:t xml:space="preserve"> (15, 16)</w:t>
      </w:r>
      <w:r w:rsidRPr="00C57754">
        <w:rPr>
          <w:sz w:val="24"/>
          <w:szCs w:val="24"/>
          <w:lang w:eastAsia="zh-CN"/>
        </w:rPr>
        <w:t>.</w:t>
      </w:r>
    </w:p>
    <w:p w14:paraId="7C1D09F7" w14:textId="7558E100" w:rsidR="00FC6B49" w:rsidRPr="00C57754" w:rsidRDefault="00FC6B49" w:rsidP="00FC6B49">
      <w:pPr>
        <w:autoSpaceDE w:val="0"/>
        <w:autoSpaceDN w:val="0"/>
        <w:bidi w:val="0"/>
        <w:adjustRightInd w:val="0"/>
        <w:spacing w:after="0" w:line="360" w:lineRule="auto"/>
        <w:ind w:firstLine="567"/>
        <w:jc w:val="both"/>
        <w:rPr>
          <w:sz w:val="24"/>
          <w:szCs w:val="24"/>
          <w:lang w:eastAsia="zh-CN"/>
        </w:rPr>
      </w:pPr>
      <w:r w:rsidRPr="00C57754">
        <w:rPr>
          <w:sz w:val="24"/>
          <w:szCs w:val="24"/>
          <w:lang w:eastAsia="zh-CN"/>
        </w:rPr>
        <w:t>CT enterography (CTE) is a cross-sectional imaging approach to assess the SB loops by administering neutral oral contrast followed by intravenous contrast during the enteric phase</w:t>
      </w:r>
      <w:r w:rsidR="00C509B1">
        <w:rPr>
          <w:sz w:val="24"/>
          <w:szCs w:val="24"/>
          <w:lang w:eastAsia="zh-CN"/>
        </w:rPr>
        <w:t xml:space="preserve"> </w:t>
      </w:r>
      <w:r w:rsidRPr="00C57754">
        <w:rPr>
          <w:sz w:val="24"/>
          <w:szCs w:val="24"/>
          <w:shd w:val="clear" w:color="auto" w:fill="FFFFFE"/>
          <w:vertAlign w:val="superscript"/>
        </w:rPr>
        <w:t>(17,18)</w:t>
      </w:r>
      <w:r w:rsidRPr="00C57754">
        <w:rPr>
          <w:sz w:val="24"/>
          <w:szCs w:val="24"/>
          <w:lang w:eastAsia="zh-CN"/>
        </w:rPr>
        <w:t xml:space="preserve">. CTE is considered a valuable imaging modality for </w:t>
      </w:r>
      <w:r w:rsidR="0082759D">
        <w:rPr>
          <w:sz w:val="24"/>
          <w:szCs w:val="24"/>
          <w:lang w:eastAsia="zh-CN"/>
        </w:rPr>
        <w:t>evaluating</w:t>
      </w:r>
      <w:r w:rsidRPr="00C57754">
        <w:rPr>
          <w:sz w:val="24"/>
          <w:szCs w:val="24"/>
          <w:lang w:eastAsia="zh-CN"/>
        </w:rPr>
        <w:t xml:space="preserve"> CD due to its wide use in urgent situations, rapidity, and ability to </w:t>
      </w:r>
      <w:r w:rsidR="0082759D">
        <w:rPr>
          <w:sz w:val="24"/>
          <w:szCs w:val="24"/>
          <w:lang w:eastAsia="zh-CN"/>
        </w:rPr>
        <w:t>assess</w:t>
      </w:r>
      <w:r w:rsidRPr="00C57754">
        <w:rPr>
          <w:sz w:val="24"/>
          <w:szCs w:val="24"/>
          <w:lang w:eastAsia="zh-CN"/>
        </w:rPr>
        <w:t xml:space="preserve"> mural and extramural manifestations of CD </w:t>
      </w:r>
      <w:r w:rsidRPr="00C57754">
        <w:rPr>
          <w:sz w:val="24"/>
          <w:szCs w:val="24"/>
          <w:shd w:val="clear" w:color="auto" w:fill="FFFFFE"/>
          <w:vertAlign w:val="superscript"/>
        </w:rPr>
        <w:t>(19, 20)</w:t>
      </w:r>
      <w:r w:rsidRPr="00C57754">
        <w:rPr>
          <w:sz w:val="24"/>
          <w:szCs w:val="24"/>
          <w:lang w:eastAsia="zh-CN"/>
        </w:rPr>
        <w:t xml:space="preserve">. However, the potential ionizing radiation risks associated with CT scanning should be considered, particularly in pediatric patients and long-term follow-up cases </w:t>
      </w:r>
      <w:r w:rsidRPr="00C57754">
        <w:rPr>
          <w:sz w:val="24"/>
          <w:szCs w:val="24"/>
          <w:shd w:val="clear" w:color="auto" w:fill="FFFFFE"/>
          <w:vertAlign w:val="superscript"/>
        </w:rPr>
        <w:t>(21)</w:t>
      </w:r>
      <w:r w:rsidRPr="00C57754">
        <w:rPr>
          <w:sz w:val="24"/>
          <w:szCs w:val="24"/>
          <w:lang w:eastAsia="zh-CN"/>
        </w:rPr>
        <w:t>.</w:t>
      </w:r>
    </w:p>
    <w:p w14:paraId="011448DD" w14:textId="0AEF4C99" w:rsidR="00FC6B49" w:rsidRPr="00C57754" w:rsidRDefault="00FC6B49" w:rsidP="00FC6B49">
      <w:pPr>
        <w:autoSpaceDE w:val="0"/>
        <w:autoSpaceDN w:val="0"/>
        <w:bidi w:val="0"/>
        <w:adjustRightInd w:val="0"/>
        <w:spacing w:after="0" w:line="360" w:lineRule="auto"/>
        <w:ind w:firstLine="567"/>
        <w:jc w:val="both"/>
        <w:rPr>
          <w:sz w:val="24"/>
          <w:szCs w:val="24"/>
          <w:lang w:eastAsia="zh-CN"/>
        </w:rPr>
      </w:pPr>
      <w:r w:rsidRPr="00C57754">
        <w:rPr>
          <w:sz w:val="24"/>
          <w:szCs w:val="24"/>
          <w:lang w:eastAsia="zh-CN"/>
        </w:rPr>
        <w:t xml:space="preserve">MR enterography (MRE) was established as an alternative for CTE to image </w:t>
      </w:r>
      <w:r w:rsidR="00DC3CA5" w:rsidRPr="00C57754">
        <w:rPr>
          <w:sz w:val="24"/>
          <w:szCs w:val="24"/>
          <w:lang w:eastAsia="zh-CN"/>
        </w:rPr>
        <w:t xml:space="preserve">the </w:t>
      </w:r>
      <w:r w:rsidRPr="00C57754">
        <w:rPr>
          <w:sz w:val="24"/>
          <w:szCs w:val="24"/>
          <w:lang w:eastAsia="zh-CN"/>
        </w:rPr>
        <w:t xml:space="preserve">small bowel in pediatric and adult patients with CD </w:t>
      </w:r>
      <w:r w:rsidRPr="00C57754">
        <w:rPr>
          <w:sz w:val="24"/>
          <w:szCs w:val="24"/>
          <w:shd w:val="clear" w:color="auto" w:fill="FFFFFE"/>
          <w:vertAlign w:val="superscript"/>
        </w:rPr>
        <w:t>(22, 23)</w:t>
      </w:r>
      <w:r w:rsidRPr="00C57754">
        <w:rPr>
          <w:sz w:val="24"/>
          <w:szCs w:val="24"/>
          <w:lang w:eastAsia="zh-CN"/>
        </w:rPr>
        <w:t xml:space="preserve">. MRE offers high tissue contrast, enabling the accurate detection of submucosal wall edema while providing multiparametric data and functional insights without ionizing radiation, making it particularly suitable for teenagers with Crohn’s disease </w:t>
      </w:r>
      <w:r w:rsidRPr="00C57754">
        <w:rPr>
          <w:sz w:val="24"/>
          <w:szCs w:val="24"/>
          <w:shd w:val="clear" w:color="auto" w:fill="FFFFFE"/>
          <w:vertAlign w:val="superscript"/>
        </w:rPr>
        <w:t>(24-29)</w:t>
      </w:r>
      <w:r w:rsidRPr="00C57754">
        <w:rPr>
          <w:sz w:val="24"/>
          <w:szCs w:val="24"/>
          <w:lang w:eastAsia="zh-CN"/>
        </w:rPr>
        <w:t xml:space="preserve">. </w:t>
      </w:r>
    </w:p>
    <w:p w14:paraId="023BEAC8" w14:textId="20A896E2" w:rsidR="00FC6B49" w:rsidRPr="00C57754" w:rsidRDefault="00FC6B49" w:rsidP="00FC6B49">
      <w:pPr>
        <w:autoSpaceDE w:val="0"/>
        <w:autoSpaceDN w:val="0"/>
        <w:bidi w:val="0"/>
        <w:adjustRightInd w:val="0"/>
        <w:spacing w:after="0" w:line="360" w:lineRule="auto"/>
        <w:ind w:firstLine="567"/>
        <w:jc w:val="both"/>
        <w:rPr>
          <w:sz w:val="24"/>
          <w:szCs w:val="24"/>
          <w:lang w:eastAsia="zh-CN"/>
        </w:rPr>
      </w:pPr>
      <w:r w:rsidRPr="00C57754">
        <w:rPr>
          <w:sz w:val="24"/>
          <w:szCs w:val="24"/>
          <w:lang w:eastAsia="zh-CN"/>
        </w:rPr>
        <w:t xml:space="preserve">Additionally, MRE can assess </w:t>
      </w:r>
      <w:r w:rsidR="00F8329A" w:rsidRPr="00C57754">
        <w:rPr>
          <w:sz w:val="24"/>
          <w:szCs w:val="24"/>
          <w:lang w:eastAsia="zh-CN"/>
        </w:rPr>
        <w:t>inaccessible SB segments</w:t>
      </w:r>
      <w:r w:rsidRPr="00C57754">
        <w:rPr>
          <w:sz w:val="24"/>
          <w:szCs w:val="24"/>
          <w:lang w:eastAsia="zh-CN"/>
        </w:rPr>
        <w:t xml:space="preserve"> via ileocolonoscopy, rule out complications such as abscesses and strictures requiring urgent intervention, and assess active disease </w:t>
      </w:r>
      <w:r w:rsidRPr="00C57754">
        <w:rPr>
          <w:sz w:val="24"/>
          <w:szCs w:val="24"/>
          <w:shd w:val="clear" w:color="auto" w:fill="FFFFFE"/>
          <w:vertAlign w:val="superscript"/>
        </w:rPr>
        <w:t>(30-34)</w:t>
      </w:r>
      <w:r w:rsidRPr="00C57754">
        <w:rPr>
          <w:sz w:val="24"/>
          <w:szCs w:val="24"/>
          <w:lang w:eastAsia="zh-CN"/>
        </w:rPr>
        <w:t>.</w:t>
      </w:r>
    </w:p>
    <w:p w14:paraId="4FAA9961" w14:textId="5E5718F2" w:rsidR="00FC6B49" w:rsidRPr="00C57754" w:rsidRDefault="00FC6B49" w:rsidP="00FC6B49">
      <w:pPr>
        <w:bidi w:val="0"/>
        <w:spacing w:line="360" w:lineRule="auto"/>
        <w:ind w:left="360"/>
        <w:jc w:val="both"/>
        <w:rPr>
          <w:sz w:val="24"/>
          <w:szCs w:val="24"/>
          <w:lang w:eastAsia="zh-CN"/>
        </w:rPr>
      </w:pPr>
      <w:r w:rsidRPr="00C57754">
        <w:rPr>
          <w:sz w:val="24"/>
          <w:szCs w:val="24"/>
          <w:lang w:eastAsia="zh-CN"/>
        </w:rPr>
        <w:t xml:space="preserve">This study aimed to demonstrate the feasibility and utility of MR enterography in detecting complications in pediatric and adult populations with Crohn’s disease, </w:t>
      </w:r>
      <w:r w:rsidR="00F8329A" w:rsidRPr="00C57754">
        <w:rPr>
          <w:sz w:val="24"/>
          <w:szCs w:val="24"/>
          <w:lang w:eastAsia="zh-CN"/>
        </w:rPr>
        <w:t>aid clinicians in determining treatment options, and provide an overview of MR imaging in Crohn’s</w:t>
      </w:r>
      <w:r w:rsidRPr="00C57754">
        <w:rPr>
          <w:sz w:val="24"/>
          <w:szCs w:val="24"/>
          <w:lang w:eastAsia="zh-CN"/>
        </w:rPr>
        <w:t xml:space="preserve"> disease.</w:t>
      </w:r>
    </w:p>
    <w:p w14:paraId="64C7DFF3" w14:textId="3EE22ABE" w:rsidR="00FC6B49" w:rsidRPr="00C57754" w:rsidRDefault="00C67DF7" w:rsidP="00FC6B49">
      <w:pPr>
        <w:autoSpaceDE w:val="0"/>
        <w:autoSpaceDN w:val="0"/>
        <w:bidi w:val="0"/>
        <w:adjustRightInd w:val="0"/>
        <w:spacing w:after="0" w:line="360" w:lineRule="auto"/>
        <w:jc w:val="both"/>
        <w:rPr>
          <w:b/>
          <w:bCs/>
          <w:sz w:val="24"/>
          <w:szCs w:val="24"/>
        </w:rPr>
      </w:pPr>
      <w:r w:rsidRPr="00C57754">
        <w:rPr>
          <w:b/>
          <w:bCs/>
          <w:sz w:val="24"/>
          <w:szCs w:val="24"/>
        </w:rPr>
        <w:t xml:space="preserve">Patients and </w:t>
      </w:r>
      <w:r w:rsidR="00FC6B49" w:rsidRPr="00C57754">
        <w:rPr>
          <w:b/>
          <w:bCs/>
          <w:sz w:val="24"/>
          <w:szCs w:val="24"/>
        </w:rPr>
        <w:t>M</w:t>
      </w:r>
      <w:r w:rsidR="00EE7D02" w:rsidRPr="00C57754">
        <w:rPr>
          <w:b/>
          <w:bCs/>
          <w:sz w:val="24"/>
          <w:szCs w:val="24"/>
        </w:rPr>
        <w:t>ethods</w:t>
      </w:r>
    </w:p>
    <w:p w14:paraId="62E76CE1" w14:textId="77777777" w:rsidR="00FC6B49" w:rsidRPr="00C57754" w:rsidRDefault="00FC6B49" w:rsidP="00FC6B49">
      <w:pPr>
        <w:pStyle w:val="ListParagraph"/>
        <w:bidi w:val="0"/>
        <w:spacing w:line="360" w:lineRule="auto"/>
        <w:ind w:left="0"/>
        <w:jc w:val="both"/>
        <w:rPr>
          <w:b/>
          <w:bCs/>
          <w:sz w:val="24"/>
          <w:szCs w:val="24"/>
        </w:rPr>
      </w:pPr>
      <w:bookmarkStart w:id="2" w:name="_Hlk128995256"/>
      <w:r w:rsidRPr="00C57754">
        <w:rPr>
          <w:b/>
          <w:bCs/>
          <w:sz w:val="24"/>
          <w:szCs w:val="24"/>
          <w:lang w:eastAsia="zh-CN"/>
        </w:rPr>
        <w:t>Patient Enrollment</w:t>
      </w:r>
    </w:p>
    <w:p w14:paraId="6348DA63" w14:textId="09C131EA" w:rsidR="00FC6B49" w:rsidRPr="00C67DF7" w:rsidRDefault="00FC6B49" w:rsidP="00FC6B49">
      <w:pPr>
        <w:pStyle w:val="NormalWeb"/>
        <w:shd w:val="clear" w:color="auto" w:fill="FFFFFF"/>
        <w:spacing w:line="360" w:lineRule="auto"/>
        <w:jc w:val="both"/>
        <w:rPr>
          <w:lang w:eastAsia="zh-CN"/>
        </w:rPr>
      </w:pPr>
      <w:r w:rsidRPr="00C67DF7">
        <w:rPr>
          <w:lang w:eastAsia="zh-CN"/>
        </w:rPr>
        <w:t xml:space="preserve">All cases included were diagnosed with Crohn’s disease and were scheduled for MR enterography due to symptom exacerbation and/or complications. Scanning was conducted following informed consent from our patients between January 2022 and December 2024. Informed consent was obtained from a parent for individuals under 18. Exclusion criteria included MRI-incompatible metallic implants and patients with impaired renal function. </w:t>
      </w:r>
    </w:p>
    <w:p w14:paraId="7CEF0252" w14:textId="73D7E05C" w:rsidR="00FC6B49" w:rsidRPr="00C67DF7" w:rsidRDefault="00FC6B49" w:rsidP="00FC6B49">
      <w:pPr>
        <w:pStyle w:val="NormalWeb"/>
        <w:shd w:val="clear" w:color="auto" w:fill="FFFFFF"/>
        <w:spacing w:line="360" w:lineRule="auto"/>
        <w:jc w:val="both"/>
        <w:rPr>
          <w:lang w:eastAsia="zh-CN"/>
        </w:rPr>
      </w:pPr>
      <w:r w:rsidRPr="00C67DF7">
        <w:rPr>
          <w:lang w:eastAsia="zh-CN"/>
        </w:rPr>
        <w:t>Ethics approval and consent to participate were obtained, with all participants’ legal guardians signing informed consent following a comprehensive overview of the study’s objectives. The National Liver Institute’s local ethical scientific committee approved the study procedures (Registration number: NLI IRB 00014014/FWA00034015).</w:t>
      </w:r>
    </w:p>
    <w:p w14:paraId="7838F561" w14:textId="54DDEAA5" w:rsidR="00FC6B49" w:rsidRPr="00C67DF7" w:rsidRDefault="00FC6B49" w:rsidP="008A3FB6">
      <w:pPr>
        <w:pStyle w:val="NormalWeb"/>
        <w:shd w:val="clear" w:color="auto" w:fill="FFFFFF"/>
        <w:spacing w:line="360" w:lineRule="auto"/>
        <w:jc w:val="both"/>
        <w:rPr>
          <w:lang w:eastAsia="zh-CN"/>
        </w:rPr>
      </w:pPr>
      <w:r w:rsidRPr="00C67DF7">
        <w:rPr>
          <w:lang w:eastAsia="zh-CN"/>
        </w:rPr>
        <w:t xml:space="preserve">Clinical information such as age, sex, and presenting complaints, as well as a family history of similar illnesses, </w:t>
      </w:r>
      <w:r w:rsidR="00F8329A" w:rsidRPr="00C67DF7">
        <w:rPr>
          <w:lang w:eastAsia="zh-CN"/>
        </w:rPr>
        <w:t>was</w:t>
      </w:r>
      <w:r w:rsidRPr="00C67DF7">
        <w:rPr>
          <w:lang w:eastAsia="zh-CN"/>
        </w:rPr>
        <w:t xml:space="preserve"> collected from patients. Laboratory data and ultrasonographic data were retrieved from patients’ medical records. Colonoscopy with terminal ileum intubation was performed using PENTAX video scopes (A Division of PENTAX of America, Inc., Montvale, NJ, USA) in the endoscopy unit, National Liver Institute</w:t>
      </w:r>
      <w:r w:rsidR="00337F9F">
        <w:rPr>
          <w:lang w:eastAsia="zh-CN"/>
        </w:rPr>
        <w:t>,</w:t>
      </w:r>
      <w:r w:rsidRPr="00C67DF7">
        <w:rPr>
          <w:lang w:eastAsia="zh-CN"/>
        </w:rPr>
        <w:t xml:space="preserve"> and Tropical Medicine Department, Faculty of Medicine at Alexandria University. </w:t>
      </w:r>
      <w:r w:rsidR="008A3FB6" w:rsidRPr="00C67DF7">
        <w:rPr>
          <w:lang w:eastAsia="zh-CN"/>
        </w:rPr>
        <w:t xml:space="preserve">The biopsies were taken from the terminal </w:t>
      </w:r>
      <w:r w:rsidR="00337F9F">
        <w:rPr>
          <w:lang w:eastAsia="zh-CN"/>
        </w:rPr>
        <w:t>ileum</w:t>
      </w:r>
      <w:r w:rsidR="008A3FB6" w:rsidRPr="00C67DF7">
        <w:rPr>
          <w:lang w:eastAsia="zh-CN"/>
        </w:rPr>
        <w:t xml:space="preserve"> and colonic mucosa</w:t>
      </w:r>
      <w:r w:rsidR="00C509B1">
        <w:rPr>
          <w:lang w:eastAsia="zh-CN"/>
        </w:rPr>
        <w:t>,</w:t>
      </w:r>
      <w:r w:rsidR="008A3FB6" w:rsidRPr="00C67DF7">
        <w:rPr>
          <w:lang w:eastAsia="zh-CN"/>
        </w:rPr>
        <w:t xml:space="preserve"> followed by histopathological examination. </w:t>
      </w:r>
      <w:r w:rsidRPr="00C67DF7">
        <w:rPr>
          <w:lang w:eastAsia="zh-CN"/>
        </w:rPr>
        <w:t xml:space="preserve">The procedure was conducted under sedation after confirming </w:t>
      </w:r>
      <w:r w:rsidR="00C509B1">
        <w:rPr>
          <w:lang w:eastAsia="zh-CN"/>
        </w:rPr>
        <w:t>standard</w:t>
      </w:r>
      <w:r w:rsidRPr="00C67DF7">
        <w:rPr>
          <w:lang w:eastAsia="zh-CN"/>
        </w:rPr>
        <w:t xml:space="preserve"> coagulation profiles, platelet counts, and adequate bowel preparation according to protocol.</w:t>
      </w:r>
    </w:p>
    <w:p w14:paraId="69A487E4" w14:textId="77777777" w:rsidR="00FC6B49" w:rsidRPr="003B09A8" w:rsidRDefault="00FC6B49" w:rsidP="00FC6B49">
      <w:pPr>
        <w:pStyle w:val="ListParagraph"/>
        <w:bidi w:val="0"/>
        <w:spacing w:line="360" w:lineRule="auto"/>
        <w:ind w:left="0"/>
        <w:jc w:val="both"/>
        <w:rPr>
          <w:b/>
          <w:bCs/>
          <w:sz w:val="24"/>
          <w:szCs w:val="24"/>
        </w:rPr>
      </w:pPr>
      <w:r w:rsidRPr="003B09A8">
        <w:rPr>
          <w:b/>
          <w:bCs/>
          <w:sz w:val="24"/>
          <w:szCs w:val="24"/>
          <w:lang w:eastAsia="zh-CN"/>
        </w:rPr>
        <w:t>MR Enterography Technique</w:t>
      </w:r>
    </w:p>
    <w:p w14:paraId="67FE2000" w14:textId="541B29D3" w:rsidR="00FC6B49" w:rsidRPr="00C67DF7" w:rsidRDefault="00FC6B49" w:rsidP="00FC6B49">
      <w:pPr>
        <w:pStyle w:val="ListParagraph"/>
        <w:bidi w:val="0"/>
        <w:spacing w:line="360" w:lineRule="auto"/>
        <w:ind w:left="0" w:firstLine="567"/>
        <w:jc w:val="both"/>
        <w:rPr>
          <w:sz w:val="24"/>
          <w:szCs w:val="24"/>
          <w:lang w:eastAsia="zh-CN"/>
        </w:rPr>
      </w:pPr>
      <w:r w:rsidRPr="00C67DF7">
        <w:rPr>
          <w:sz w:val="24"/>
          <w:szCs w:val="24"/>
          <w:lang w:eastAsia="zh-CN"/>
        </w:rPr>
        <w:t xml:space="preserve">MRI examinations were </w:t>
      </w:r>
      <w:r w:rsidR="00F8329A" w:rsidRPr="00C67DF7">
        <w:rPr>
          <w:sz w:val="24"/>
          <w:szCs w:val="24"/>
          <w:lang w:eastAsia="zh-CN"/>
        </w:rPr>
        <w:t>conducted</w:t>
      </w:r>
      <w:r w:rsidRPr="00C67DF7">
        <w:rPr>
          <w:sz w:val="24"/>
          <w:szCs w:val="24"/>
          <w:lang w:eastAsia="zh-CN"/>
        </w:rPr>
        <w:t xml:space="preserve"> on a 1.5 T system (GE, Optima 450W, 32 channels) using a body phased-array coil. </w:t>
      </w:r>
      <w:r w:rsidR="00F8329A" w:rsidRPr="00C67DF7">
        <w:rPr>
          <w:sz w:val="24"/>
          <w:szCs w:val="24"/>
          <w:lang w:eastAsia="zh-CN"/>
        </w:rPr>
        <w:t>Before</w:t>
      </w:r>
      <w:r w:rsidRPr="00C67DF7">
        <w:rPr>
          <w:sz w:val="24"/>
          <w:szCs w:val="24"/>
          <w:lang w:eastAsia="zh-CN"/>
        </w:rPr>
        <w:t xml:space="preserve"> the examination, patients fasted for 4–6 hours. In adult patients, approximately 1–2 L of a mixed oral contrast solution (comprising mannitol, methylcellulose, and polyethylene glycol) was ingested to obtain adequate bowel distention. In pediatric patients</w:t>
      </w:r>
      <w:r w:rsidRPr="00C67DF7">
        <w:rPr>
          <w:i/>
          <w:iCs/>
          <w:sz w:val="24"/>
          <w:szCs w:val="24"/>
          <w:lang w:eastAsia="zh-CN"/>
        </w:rPr>
        <w:t>,</w:t>
      </w:r>
      <w:r w:rsidRPr="00C67DF7">
        <w:rPr>
          <w:sz w:val="24"/>
          <w:szCs w:val="24"/>
          <w:lang w:eastAsia="zh-CN"/>
        </w:rPr>
        <w:t xml:space="preserve"> less oral contrast volume was used and adjusted according to the patient’s weight. Mannitol is considered a biphasic agent, exhibiting low signal intensity on T1-WIs and high signal intensity on T2-WIs. The oral contrast intake was administered over 40-60 minutes at regular intervals before commencing the procedure. </w:t>
      </w:r>
    </w:p>
    <w:p w14:paraId="1B1E889A" w14:textId="328E4E09" w:rsidR="00FC6B49" w:rsidRPr="00C67DF7" w:rsidRDefault="00FC6B49" w:rsidP="00FC6B49">
      <w:pPr>
        <w:pStyle w:val="ListParagraph"/>
        <w:bidi w:val="0"/>
        <w:spacing w:line="360" w:lineRule="auto"/>
        <w:ind w:left="0" w:firstLine="567"/>
        <w:jc w:val="both"/>
        <w:rPr>
          <w:sz w:val="24"/>
          <w:szCs w:val="24"/>
          <w:lang w:eastAsia="zh-CN"/>
        </w:rPr>
      </w:pPr>
      <w:r w:rsidRPr="00C67DF7">
        <w:rPr>
          <w:sz w:val="24"/>
          <w:szCs w:val="24"/>
          <w:lang w:eastAsia="zh-CN"/>
        </w:rPr>
        <w:t xml:space="preserve">Patients were imaged in prone and supine positions (the prone position is especially recommended when an abdominal stoma is present), as the prone position provides better bowel distention, reduced peristalsis, and a shorter scan time. Spasmolytic agents, such as hyoscine </w:t>
      </w:r>
      <w:proofErr w:type="spellStart"/>
      <w:r w:rsidRPr="00C67DF7">
        <w:rPr>
          <w:sz w:val="24"/>
          <w:szCs w:val="24"/>
          <w:lang w:eastAsia="zh-CN"/>
        </w:rPr>
        <w:t>butylbromide</w:t>
      </w:r>
      <w:proofErr w:type="spellEnd"/>
      <w:r w:rsidRPr="00C67DF7">
        <w:rPr>
          <w:sz w:val="24"/>
          <w:szCs w:val="24"/>
          <w:lang w:eastAsia="zh-CN"/>
        </w:rPr>
        <w:t xml:space="preserve">, were administered </w:t>
      </w:r>
      <w:r w:rsidR="00F8329A" w:rsidRPr="00C67DF7">
        <w:rPr>
          <w:sz w:val="24"/>
          <w:szCs w:val="24"/>
          <w:lang w:eastAsia="zh-CN"/>
        </w:rPr>
        <w:t>before</w:t>
      </w:r>
      <w:r w:rsidRPr="00C67DF7">
        <w:rPr>
          <w:sz w:val="24"/>
          <w:szCs w:val="24"/>
          <w:lang w:eastAsia="zh-CN"/>
        </w:rPr>
        <w:t xml:space="preserve"> imaging to minimize bowel peristalsis and reduce motility artifacts.</w:t>
      </w:r>
    </w:p>
    <w:p w14:paraId="7D6B454C" w14:textId="0D2B469F" w:rsidR="00FC6B49" w:rsidRPr="00C67DF7" w:rsidRDefault="00FC6B49" w:rsidP="00FC6B49">
      <w:pPr>
        <w:pStyle w:val="ListParagraph"/>
        <w:bidi w:val="0"/>
        <w:spacing w:line="360" w:lineRule="auto"/>
        <w:ind w:left="0" w:firstLineChars="200" w:firstLine="480"/>
        <w:jc w:val="both"/>
        <w:rPr>
          <w:sz w:val="24"/>
          <w:szCs w:val="24"/>
          <w:lang w:eastAsia="zh-CN"/>
        </w:rPr>
      </w:pPr>
      <w:r w:rsidRPr="00C67DF7">
        <w:rPr>
          <w:sz w:val="24"/>
          <w:szCs w:val="24"/>
          <w:lang w:eastAsia="zh-CN"/>
        </w:rPr>
        <w:t>Standard MRE protocols included a balanced steady-state free precession (</w:t>
      </w:r>
      <w:proofErr w:type="spellStart"/>
      <w:r w:rsidRPr="00C67DF7">
        <w:rPr>
          <w:sz w:val="24"/>
          <w:szCs w:val="24"/>
          <w:lang w:eastAsia="zh-CN"/>
        </w:rPr>
        <w:t>bSSFP</w:t>
      </w:r>
      <w:proofErr w:type="spellEnd"/>
      <w:r w:rsidRPr="00C67DF7">
        <w:rPr>
          <w:sz w:val="24"/>
          <w:szCs w:val="24"/>
          <w:lang w:eastAsia="zh-CN"/>
        </w:rPr>
        <w:t xml:space="preserve">) sequence with single-shot T2-weighted images in the coronal plane. Additionally, axial T2 fat-suppressed images and coronal multiphase 3D T1 fat-suppressed post-contrast images were obtained following IV gadopentetate </w:t>
      </w:r>
      <w:proofErr w:type="spellStart"/>
      <w:r w:rsidRPr="00C67DF7">
        <w:rPr>
          <w:sz w:val="24"/>
          <w:szCs w:val="24"/>
          <w:lang w:eastAsia="zh-CN"/>
        </w:rPr>
        <w:t>dimeglumine</w:t>
      </w:r>
      <w:proofErr w:type="spellEnd"/>
      <w:r w:rsidRPr="00C67DF7">
        <w:rPr>
          <w:sz w:val="24"/>
          <w:szCs w:val="24"/>
          <w:lang w:eastAsia="zh-CN"/>
        </w:rPr>
        <w:t xml:space="preserve"> (Gd-DTPA) administration. Cine motility imaging must be conducted </w:t>
      </w:r>
      <w:r w:rsidR="00F8329A" w:rsidRPr="00C67DF7">
        <w:rPr>
          <w:sz w:val="24"/>
          <w:szCs w:val="24"/>
          <w:lang w:eastAsia="zh-CN"/>
        </w:rPr>
        <w:t>before</w:t>
      </w:r>
      <w:r w:rsidRPr="00C67DF7">
        <w:rPr>
          <w:sz w:val="24"/>
          <w:szCs w:val="24"/>
          <w:lang w:eastAsia="zh-CN"/>
        </w:rPr>
        <w:t xml:space="preserve"> </w:t>
      </w:r>
      <w:r w:rsidR="00F8329A" w:rsidRPr="00C67DF7">
        <w:rPr>
          <w:sz w:val="24"/>
          <w:szCs w:val="24"/>
          <w:lang w:eastAsia="zh-CN"/>
        </w:rPr>
        <w:t>administering</w:t>
      </w:r>
      <w:r w:rsidRPr="00C67DF7">
        <w:rPr>
          <w:sz w:val="24"/>
          <w:szCs w:val="24"/>
          <w:lang w:eastAsia="zh-CN"/>
        </w:rPr>
        <w:t xml:space="preserve"> a spasmolytic agent </w:t>
      </w:r>
      <w:r w:rsidR="00F8329A" w:rsidRPr="00C67DF7">
        <w:rPr>
          <w:sz w:val="24"/>
          <w:szCs w:val="24"/>
          <w:lang w:eastAsia="zh-CN"/>
        </w:rPr>
        <w:t>to assess bowel peristalsis accurately</w:t>
      </w:r>
      <w:r w:rsidRPr="00C67DF7">
        <w:rPr>
          <w:sz w:val="24"/>
          <w:szCs w:val="24"/>
          <w:lang w:eastAsia="zh-CN"/>
        </w:rPr>
        <w:t>.</w:t>
      </w:r>
    </w:p>
    <w:p w14:paraId="174E6E25" w14:textId="681BF705" w:rsidR="00FC6B49" w:rsidRPr="00C67DF7" w:rsidRDefault="00FC6B49" w:rsidP="00FC6B49">
      <w:pPr>
        <w:pStyle w:val="ListParagraph"/>
        <w:bidi w:val="0"/>
        <w:spacing w:line="360" w:lineRule="auto"/>
        <w:ind w:left="0" w:firstLineChars="200" w:firstLine="480"/>
        <w:jc w:val="both"/>
        <w:rPr>
          <w:sz w:val="24"/>
          <w:szCs w:val="24"/>
          <w:lang w:eastAsia="zh-CN"/>
        </w:rPr>
      </w:pPr>
      <w:r w:rsidRPr="00C67DF7">
        <w:rPr>
          <w:sz w:val="24"/>
          <w:szCs w:val="24"/>
          <w:lang w:eastAsia="zh-CN"/>
        </w:rPr>
        <w:t xml:space="preserve">Diffusion-weighted imaging (DWI) has recently been incorporated into the MRE protocol to identify active bowel wall inflammation and complicated extraluminal collections. The DWI sequence does not require a </w:t>
      </w:r>
      <w:r w:rsidR="004741AE" w:rsidRPr="00C67DF7">
        <w:rPr>
          <w:sz w:val="24"/>
          <w:szCs w:val="24"/>
          <w:lang w:eastAsia="zh-CN"/>
        </w:rPr>
        <w:t>breath-hold</w:t>
      </w:r>
      <w:r w:rsidRPr="00C67DF7">
        <w:rPr>
          <w:sz w:val="24"/>
          <w:szCs w:val="24"/>
          <w:lang w:eastAsia="zh-CN"/>
        </w:rPr>
        <w:t xml:space="preserve"> technique. </w:t>
      </w:r>
    </w:p>
    <w:p w14:paraId="36E44CE5" w14:textId="77777777" w:rsidR="00FC6B49" w:rsidRPr="00C67DF7" w:rsidRDefault="00FC6B49" w:rsidP="00FC6B49">
      <w:pPr>
        <w:pStyle w:val="ListParagraph"/>
        <w:bidi w:val="0"/>
        <w:spacing w:line="360" w:lineRule="auto"/>
        <w:ind w:left="0" w:firstLineChars="200" w:firstLine="480"/>
        <w:jc w:val="both"/>
        <w:rPr>
          <w:sz w:val="24"/>
          <w:szCs w:val="24"/>
          <w:lang w:eastAsia="zh-CN"/>
        </w:rPr>
      </w:pPr>
      <w:r w:rsidRPr="00C67DF7">
        <w:rPr>
          <w:sz w:val="24"/>
          <w:szCs w:val="24"/>
          <w:lang w:eastAsia="zh-CN"/>
        </w:rPr>
        <w:t>The pelvic MR protocol evaluates perianal disease by obtaining high-spatial resolution FS and non-FS T2-weighted, FS contrast-enhanced T1-weighted, and DWI images.</w:t>
      </w:r>
    </w:p>
    <w:p w14:paraId="546CF566" w14:textId="122AE817" w:rsidR="00FC6B49" w:rsidRPr="003B09A8" w:rsidRDefault="00337F9F" w:rsidP="00FC6B49">
      <w:pPr>
        <w:pStyle w:val="ListParagraph"/>
        <w:bidi w:val="0"/>
        <w:spacing w:line="360" w:lineRule="auto"/>
        <w:ind w:left="0"/>
        <w:jc w:val="both"/>
        <w:rPr>
          <w:b/>
          <w:bCs/>
          <w:sz w:val="24"/>
          <w:szCs w:val="24"/>
        </w:rPr>
      </w:pPr>
      <w:r>
        <w:rPr>
          <w:b/>
          <w:bCs/>
          <w:sz w:val="24"/>
          <w:szCs w:val="24"/>
        </w:rPr>
        <w:t>Image</w:t>
      </w:r>
      <w:r w:rsidR="00FC6B49" w:rsidRPr="003B09A8">
        <w:rPr>
          <w:b/>
          <w:bCs/>
          <w:sz w:val="24"/>
          <w:szCs w:val="24"/>
        </w:rPr>
        <w:t xml:space="preserve"> Data Analysis</w:t>
      </w:r>
    </w:p>
    <w:p w14:paraId="730F1D26" w14:textId="77777777" w:rsidR="00FC6B49" w:rsidRPr="00C67DF7" w:rsidRDefault="00FC6B49" w:rsidP="00FC6B49">
      <w:pPr>
        <w:pStyle w:val="ListParagraph"/>
        <w:bidi w:val="0"/>
        <w:spacing w:line="360" w:lineRule="auto"/>
        <w:ind w:left="0" w:firstLineChars="200" w:firstLine="480"/>
        <w:jc w:val="both"/>
        <w:rPr>
          <w:b/>
          <w:bCs/>
          <w:i/>
          <w:iCs/>
          <w:sz w:val="24"/>
          <w:szCs w:val="24"/>
          <w:lang w:eastAsia="zh-CN"/>
        </w:rPr>
      </w:pPr>
      <w:r w:rsidRPr="00C67DF7">
        <w:rPr>
          <w:sz w:val="24"/>
          <w:szCs w:val="24"/>
          <w:lang w:eastAsia="zh-CN"/>
        </w:rPr>
        <w:t>We examined the imaging characteristics of Crohn's disease from the uncomplicated acute phase to the acute phase with complications. Pathologic involvement of the small bowel loops and associated mesentery is observed, accompanied by signs of inflammation.</w:t>
      </w:r>
    </w:p>
    <w:p w14:paraId="25DE2581" w14:textId="77777777" w:rsidR="00FC6B49" w:rsidRPr="00C67DF7" w:rsidRDefault="00FC6B49" w:rsidP="004741AE">
      <w:pPr>
        <w:pStyle w:val="ListParagraph"/>
        <w:bidi w:val="0"/>
        <w:spacing w:line="360" w:lineRule="auto"/>
        <w:ind w:left="0" w:firstLineChars="200" w:firstLine="480"/>
        <w:jc w:val="both"/>
        <w:rPr>
          <w:sz w:val="24"/>
          <w:szCs w:val="24"/>
          <w:lang w:eastAsia="zh-CN"/>
        </w:rPr>
      </w:pPr>
      <w:r w:rsidRPr="00C67DF7">
        <w:rPr>
          <w:sz w:val="24"/>
          <w:szCs w:val="24"/>
          <w:lang w:eastAsia="zh-CN"/>
        </w:rPr>
        <w:t>The affected bowel loop exhibits active inflammation characterized by increased wall thickening, intramural edema, segmental hyperenhancement, reduced bowel motility, and sometimes ulceration.</w:t>
      </w:r>
    </w:p>
    <w:p w14:paraId="56519284" w14:textId="6A0607A9" w:rsidR="00FC6B49" w:rsidRPr="00C67DF7" w:rsidRDefault="00FC6B49" w:rsidP="00FC6B49">
      <w:pPr>
        <w:pStyle w:val="ListParagraph"/>
        <w:bidi w:val="0"/>
        <w:spacing w:line="360" w:lineRule="auto"/>
        <w:ind w:left="0" w:firstLineChars="200" w:firstLine="480"/>
        <w:jc w:val="both"/>
        <w:rPr>
          <w:sz w:val="24"/>
          <w:szCs w:val="24"/>
          <w:lang w:eastAsia="zh-CN"/>
        </w:rPr>
      </w:pPr>
      <w:r w:rsidRPr="00C67DF7">
        <w:rPr>
          <w:sz w:val="24"/>
          <w:szCs w:val="24"/>
          <w:lang w:eastAsia="zh-CN"/>
        </w:rPr>
        <w:t xml:space="preserve">Segmental mural hyper-enhancement is defined as an increase in mural signal intensity observed on contrast-enhanced images of an uncontracted small bowel segment, compared to a </w:t>
      </w:r>
      <w:r w:rsidR="00F8329A" w:rsidRPr="00C67DF7">
        <w:rPr>
          <w:sz w:val="24"/>
          <w:szCs w:val="24"/>
          <w:lang w:eastAsia="zh-CN"/>
        </w:rPr>
        <w:t>standard</w:t>
      </w:r>
      <w:r w:rsidRPr="00C67DF7">
        <w:rPr>
          <w:sz w:val="24"/>
          <w:szCs w:val="24"/>
          <w:lang w:eastAsia="zh-CN"/>
        </w:rPr>
        <w:t xml:space="preserve"> bowel loop. It may present as asymmetrical, stratified, or homogeneous. The asymmetrical mural hyper-enhancement of the affected loop and significant involvement of its mesenteric border </w:t>
      </w:r>
      <w:r w:rsidR="00F8329A" w:rsidRPr="00C67DF7">
        <w:rPr>
          <w:sz w:val="24"/>
          <w:szCs w:val="24"/>
          <w:lang w:eastAsia="zh-CN"/>
        </w:rPr>
        <w:t>are specific imaging features</w:t>
      </w:r>
      <w:r w:rsidRPr="00C67DF7">
        <w:rPr>
          <w:sz w:val="24"/>
          <w:szCs w:val="24"/>
          <w:lang w:eastAsia="zh-CN"/>
        </w:rPr>
        <w:t xml:space="preserve"> of small bowel CD. Stratified mural hyperenhancement is observed when the submucosa is affected by edematous or inflammatory changes (demonstrated by high T2 signal) along with an enhanced endoluminal mucosa, forming a bilaminar pattern; a trilaminar pattern is noted when an additional contrast-enhancing serosal layer is present. Homogeneous, symmetrical mural hyperenhancement, which manifests as uniform enhancement of the entire intestinal wall, is not specific to CD and may </w:t>
      </w:r>
      <w:r w:rsidR="00F8329A" w:rsidRPr="00C67DF7">
        <w:rPr>
          <w:sz w:val="24"/>
          <w:szCs w:val="24"/>
          <w:lang w:eastAsia="zh-CN"/>
        </w:rPr>
        <w:t>indicate</w:t>
      </w:r>
      <w:r w:rsidRPr="00C67DF7">
        <w:rPr>
          <w:sz w:val="24"/>
          <w:szCs w:val="24"/>
          <w:lang w:eastAsia="zh-CN"/>
        </w:rPr>
        <w:t xml:space="preserve"> other pathologies. </w:t>
      </w:r>
    </w:p>
    <w:p w14:paraId="126EA4D4" w14:textId="0C450159" w:rsidR="00FC6B49" w:rsidRPr="00C67DF7" w:rsidRDefault="00FC6B49" w:rsidP="00FC6B49">
      <w:pPr>
        <w:pStyle w:val="ListParagraph"/>
        <w:bidi w:val="0"/>
        <w:spacing w:line="360" w:lineRule="auto"/>
        <w:ind w:left="0" w:firstLineChars="200" w:firstLine="480"/>
        <w:jc w:val="both"/>
        <w:rPr>
          <w:sz w:val="24"/>
          <w:szCs w:val="24"/>
          <w:lang w:eastAsia="zh-CN"/>
        </w:rPr>
      </w:pPr>
      <w:r w:rsidRPr="00C67DF7">
        <w:rPr>
          <w:sz w:val="24"/>
          <w:szCs w:val="24"/>
          <w:lang w:eastAsia="zh-CN"/>
        </w:rPr>
        <w:t xml:space="preserve">Bowel wall enhancement can be assessed during scanning: the enteric phase (45–50 seconds post IV contrast injection) and the portal venous phase (60–70 seconds post IV contrast injection). An adequately distended bowel loop (at least 2 cm in </w:t>
      </w:r>
      <w:r w:rsidR="00F8329A" w:rsidRPr="00C67DF7">
        <w:rPr>
          <w:sz w:val="24"/>
          <w:szCs w:val="24"/>
          <w:lang w:eastAsia="zh-CN"/>
        </w:rPr>
        <w:t>caliber</w:t>
      </w:r>
      <w:r w:rsidRPr="00C67DF7">
        <w:rPr>
          <w:sz w:val="24"/>
          <w:szCs w:val="24"/>
          <w:lang w:eastAsia="zh-CN"/>
        </w:rPr>
        <w:t>) is needed to assess increased bowel wall thickness with wall measurement in the maximum thickness. Mild (4-5 mm), moderate (6-9 mm)</w:t>
      </w:r>
      <w:r w:rsidR="00F8329A" w:rsidRPr="00C67DF7">
        <w:rPr>
          <w:sz w:val="24"/>
          <w:szCs w:val="24"/>
          <w:lang w:eastAsia="zh-CN"/>
        </w:rPr>
        <w:t>,</w:t>
      </w:r>
      <w:r w:rsidRPr="00C67DF7">
        <w:rPr>
          <w:sz w:val="24"/>
          <w:szCs w:val="24"/>
          <w:lang w:eastAsia="zh-CN"/>
        </w:rPr>
        <w:t xml:space="preserve"> or severe (≥10 mm) bowel wall thickness can be </w:t>
      </w:r>
      <w:r w:rsidR="00F8329A" w:rsidRPr="00C67DF7">
        <w:rPr>
          <w:sz w:val="24"/>
          <w:szCs w:val="24"/>
          <w:lang w:eastAsia="zh-CN"/>
        </w:rPr>
        <w:t>assessed</w:t>
      </w:r>
      <w:r w:rsidRPr="00C67DF7">
        <w:rPr>
          <w:sz w:val="24"/>
          <w:szCs w:val="24"/>
          <w:lang w:eastAsia="zh-CN"/>
        </w:rPr>
        <w:t>. A neoplastic lesion may be considered when bowel wall thickening is more than 15 mm, especially with uneven thickening.</w:t>
      </w:r>
    </w:p>
    <w:p w14:paraId="39B60872" w14:textId="77777777" w:rsidR="00FC6B49" w:rsidRPr="00C67DF7" w:rsidRDefault="00FC6B49" w:rsidP="00FC6B49">
      <w:pPr>
        <w:pStyle w:val="ListParagraph"/>
        <w:bidi w:val="0"/>
        <w:spacing w:line="360" w:lineRule="auto"/>
        <w:ind w:left="0" w:firstLineChars="200" w:firstLine="480"/>
        <w:jc w:val="both"/>
        <w:rPr>
          <w:sz w:val="24"/>
          <w:szCs w:val="24"/>
          <w:lang w:eastAsia="zh-CN"/>
        </w:rPr>
      </w:pPr>
      <w:r w:rsidRPr="00C67DF7">
        <w:rPr>
          <w:sz w:val="24"/>
          <w:szCs w:val="24"/>
          <w:lang w:eastAsia="zh-CN"/>
        </w:rPr>
        <w:t xml:space="preserve">On FS T2-WI images, intramural bowel wall edema can be identified as a hyperintense signal intensity. Due to previous intestinal inflammation, intramural fat also displays high T2 signal intensity but differs from edema by a signal drop in fat-suppressed sequences. </w:t>
      </w:r>
    </w:p>
    <w:p w14:paraId="176ED66F" w14:textId="75625DAA" w:rsidR="00FC6B49" w:rsidRPr="00C67DF7" w:rsidRDefault="00FC6B49" w:rsidP="00FC6B49">
      <w:pPr>
        <w:pStyle w:val="ListParagraph"/>
        <w:bidi w:val="0"/>
        <w:spacing w:line="360" w:lineRule="auto"/>
        <w:ind w:left="0" w:firstLineChars="200" w:firstLine="480"/>
        <w:jc w:val="both"/>
        <w:rPr>
          <w:sz w:val="24"/>
          <w:szCs w:val="24"/>
          <w:lang w:eastAsia="zh-CN"/>
        </w:rPr>
      </w:pPr>
      <w:r w:rsidRPr="00C67DF7">
        <w:rPr>
          <w:sz w:val="24"/>
          <w:szCs w:val="24"/>
          <w:lang w:eastAsia="zh-CN"/>
        </w:rPr>
        <w:t>Ulceration of the bowel wall mucosa affected by active CD</w:t>
      </w:r>
      <w:r w:rsidR="00337F9F">
        <w:rPr>
          <w:sz w:val="24"/>
          <w:szCs w:val="24"/>
          <w:lang w:eastAsia="zh-CN"/>
        </w:rPr>
        <w:t xml:space="preserve"> is</w:t>
      </w:r>
      <w:r w:rsidRPr="00C67DF7">
        <w:rPr>
          <w:sz w:val="24"/>
          <w:szCs w:val="24"/>
          <w:lang w:eastAsia="zh-CN"/>
        </w:rPr>
        <w:t xml:space="preserve"> seen as a high T2 nidus, with a </w:t>
      </w:r>
      <w:r w:rsidR="00337F9F">
        <w:rPr>
          <w:sz w:val="24"/>
          <w:szCs w:val="24"/>
          <w:lang w:eastAsia="zh-CN"/>
        </w:rPr>
        <w:t>moderate signal intensity surrounding rim</w:t>
      </w:r>
      <w:r w:rsidRPr="00C67DF7">
        <w:rPr>
          <w:sz w:val="24"/>
          <w:szCs w:val="24"/>
          <w:lang w:eastAsia="zh-CN"/>
        </w:rPr>
        <w:t>. Deep and transmural ulcerations may be seen with severe bowel inflammation. The typical “cobblestone” manifestation results from confluent mucosal ulcerations combined with protruding edematous mucosa.</w:t>
      </w:r>
    </w:p>
    <w:p w14:paraId="12250BB6" w14:textId="2F5D2617" w:rsidR="00FC6B49" w:rsidRPr="00C67DF7" w:rsidRDefault="00FC6B49" w:rsidP="00FC6B49">
      <w:pPr>
        <w:pStyle w:val="ListParagraph"/>
        <w:bidi w:val="0"/>
        <w:spacing w:line="360" w:lineRule="auto"/>
        <w:ind w:left="0" w:firstLineChars="200" w:firstLine="480"/>
        <w:jc w:val="both"/>
        <w:rPr>
          <w:sz w:val="24"/>
          <w:szCs w:val="24"/>
          <w:lang w:eastAsia="zh-CN"/>
        </w:rPr>
      </w:pPr>
      <w:r w:rsidRPr="00C67DF7">
        <w:rPr>
          <w:sz w:val="24"/>
          <w:szCs w:val="24"/>
          <w:lang w:eastAsia="zh-CN"/>
        </w:rPr>
        <w:t xml:space="preserve">Cine MRE can detect diminished bowel motility in the diseased bowel loop, thus helping to differentiate </w:t>
      </w:r>
      <w:r w:rsidR="00337F9F">
        <w:rPr>
          <w:sz w:val="24"/>
          <w:szCs w:val="24"/>
          <w:lang w:eastAsia="zh-CN"/>
        </w:rPr>
        <w:t xml:space="preserve">an </w:t>
      </w:r>
      <w:proofErr w:type="spellStart"/>
      <w:r w:rsidR="00337F9F">
        <w:rPr>
          <w:sz w:val="24"/>
          <w:szCs w:val="24"/>
          <w:lang w:eastAsia="zh-CN"/>
        </w:rPr>
        <w:t>undistended</w:t>
      </w:r>
      <w:proofErr w:type="spellEnd"/>
      <w:r w:rsidR="00337F9F">
        <w:rPr>
          <w:sz w:val="24"/>
          <w:szCs w:val="24"/>
          <w:lang w:eastAsia="zh-CN"/>
        </w:rPr>
        <w:t xml:space="preserve"> from an </w:t>
      </w:r>
      <w:r w:rsidRPr="00C67DF7">
        <w:rPr>
          <w:sz w:val="24"/>
          <w:szCs w:val="24"/>
          <w:lang w:eastAsia="zh-CN"/>
        </w:rPr>
        <w:t>inflamed bowel. Inflammatory bowel stenosis should unwrap on cine imaging, while the fibrotic bowel narrowing remains constant with pre-stenotic dilatation. Establishing the nature of bowel stenosis is of significant therapeutic concern, as an inflammatory bowel stenosis may respond to anti-inflammatory therapy</w:t>
      </w:r>
      <w:r w:rsidR="00F8329A" w:rsidRPr="00C67DF7">
        <w:rPr>
          <w:sz w:val="24"/>
          <w:szCs w:val="24"/>
          <w:lang w:eastAsia="zh-CN"/>
        </w:rPr>
        <w:t>. In contrast,</w:t>
      </w:r>
      <w:r w:rsidRPr="00C67DF7">
        <w:rPr>
          <w:sz w:val="24"/>
          <w:szCs w:val="24"/>
          <w:lang w:eastAsia="zh-CN"/>
        </w:rPr>
        <w:t xml:space="preserve"> a fibrostenotic bowel stricture will most likely require surgical intervention.</w:t>
      </w:r>
    </w:p>
    <w:p w14:paraId="323EFF1D" w14:textId="7A1446C6" w:rsidR="00FC6B49" w:rsidRPr="00C67DF7" w:rsidRDefault="00FC6B49" w:rsidP="00FC6B49">
      <w:pPr>
        <w:pStyle w:val="ListParagraph"/>
        <w:bidi w:val="0"/>
        <w:spacing w:line="360" w:lineRule="auto"/>
        <w:ind w:left="0" w:firstLineChars="200" w:firstLine="480"/>
        <w:jc w:val="both"/>
        <w:rPr>
          <w:sz w:val="24"/>
          <w:szCs w:val="24"/>
          <w:lang w:eastAsia="zh-CN"/>
        </w:rPr>
      </w:pPr>
      <w:r w:rsidRPr="00C67DF7">
        <w:rPr>
          <w:sz w:val="24"/>
          <w:szCs w:val="24"/>
          <w:lang w:eastAsia="zh-CN"/>
        </w:rPr>
        <w:t xml:space="preserve">In CD, the active inflammation of the bowel wall can display restricted diffusion, with high signal intensity on DWI and corresponding low signal intensity on apparent diffusion coefficient (ADC) maps. However, diffusion restriction is a </w:t>
      </w:r>
      <w:r w:rsidR="00337F9F">
        <w:rPr>
          <w:sz w:val="24"/>
          <w:szCs w:val="24"/>
          <w:lang w:eastAsia="zh-CN"/>
        </w:rPr>
        <w:t>nonspecific</w:t>
      </w:r>
      <w:r w:rsidRPr="00C67DF7">
        <w:rPr>
          <w:sz w:val="24"/>
          <w:szCs w:val="24"/>
          <w:lang w:eastAsia="zh-CN"/>
        </w:rPr>
        <w:t xml:space="preserve"> sign for CD, particularly if the loops are not </w:t>
      </w:r>
      <w:r w:rsidR="00F8329A" w:rsidRPr="00C67DF7">
        <w:rPr>
          <w:sz w:val="24"/>
          <w:szCs w:val="24"/>
          <w:lang w:eastAsia="zh-CN"/>
        </w:rPr>
        <w:t>adequately</w:t>
      </w:r>
      <w:r w:rsidRPr="00C67DF7">
        <w:rPr>
          <w:sz w:val="24"/>
          <w:szCs w:val="24"/>
          <w:lang w:eastAsia="zh-CN"/>
        </w:rPr>
        <w:t xml:space="preserve"> distended.</w:t>
      </w:r>
    </w:p>
    <w:p w14:paraId="35CDC5A4" w14:textId="49ECEB14" w:rsidR="00FC6B49" w:rsidRPr="00C67DF7" w:rsidRDefault="00FC6B49" w:rsidP="00FC6B49">
      <w:pPr>
        <w:pStyle w:val="ListParagraph"/>
        <w:bidi w:val="0"/>
        <w:spacing w:line="360" w:lineRule="auto"/>
        <w:ind w:left="0" w:firstLineChars="200" w:firstLine="480"/>
        <w:jc w:val="both"/>
        <w:rPr>
          <w:sz w:val="24"/>
          <w:szCs w:val="24"/>
          <w:lang w:eastAsia="zh-CN"/>
        </w:rPr>
      </w:pPr>
      <w:r w:rsidRPr="00C67DF7">
        <w:rPr>
          <w:sz w:val="24"/>
          <w:szCs w:val="24"/>
          <w:lang w:eastAsia="zh-CN"/>
        </w:rPr>
        <w:t>Regarding mesenteric involvement,</w:t>
      </w:r>
      <w:r w:rsidRPr="00C67DF7">
        <w:rPr>
          <w:i/>
          <w:iCs/>
          <w:sz w:val="24"/>
          <w:szCs w:val="24"/>
          <w:lang w:eastAsia="zh-CN"/>
        </w:rPr>
        <w:t xml:space="preserve"> </w:t>
      </w:r>
      <w:r w:rsidRPr="00C67DF7">
        <w:rPr>
          <w:sz w:val="24"/>
          <w:szCs w:val="24"/>
          <w:lang w:eastAsia="zh-CN"/>
        </w:rPr>
        <w:t>the mesentery is affected in cases with advanced bowel inflammation.</w:t>
      </w:r>
      <w:r w:rsidRPr="00C67DF7">
        <w:rPr>
          <w:i/>
          <w:iCs/>
          <w:sz w:val="24"/>
          <w:szCs w:val="24"/>
          <w:lang w:eastAsia="zh-CN"/>
        </w:rPr>
        <w:t xml:space="preserve"> </w:t>
      </w:r>
      <w:r w:rsidRPr="00C67DF7">
        <w:rPr>
          <w:sz w:val="24"/>
          <w:szCs w:val="24"/>
          <w:lang w:eastAsia="zh-CN"/>
        </w:rPr>
        <w:t xml:space="preserve">Typically, the mesentery may show edematous and inflammatory changes, vascular engorgement, fibrofatty proliferation, and enlarged mesenteric lymph nodes. </w:t>
      </w:r>
      <w:proofErr w:type="spellStart"/>
      <w:r w:rsidRPr="00C67DF7">
        <w:rPr>
          <w:sz w:val="24"/>
          <w:szCs w:val="24"/>
          <w:lang w:eastAsia="zh-CN"/>
        </w:rPr>
        <w:t>Perienteric</w:t>
      </w:r>
      <w:proofErr w:type="spellEnd"/>
      <w:r w:rsidRPr="00C67DF7">
        <w:rPr>
          <w:sz w:val="24"/>
          <w:szCs w:val="24"/>
          <w:lang w:eastAsia="zh-CN"/>
        </w:rPr>
        <w:t xml:space="preserve"> inflammation, also defined as “fat stranding,” represents an extension of the transmural bowel inflammation and is seen as an increased signal in T2-WI and DWI in the mesenteric fat. Mesenteric vascular engorgement is established by dilating the </w:t>
      </w:r>
      <w:r w:rsidR="0098317A">
        <w:rPr>
          <w:sz w:val="24"/>
          <w:szCs w:val="24"/>
          <w:lang w:eastAsia="zh-CN"/>
        </w:rPr>
        <w:t xml:space="preserve">feeding </w:t>
      </w:r>
      <w:r w:rsidRPr="00C67DF7">
        <w:rPr>
          <w:sz w:val="24"/>
          <w:szCs w:val="24"/>
          <w:lang w:eastAsia="zh-CN"/>
        </w:rPr>
        <w:t>vessels</w:t>
      </w:r>
      <w:r w:rsidR="00C509B1">
        <w:rPr>
          <w:sz w:val="24"/>
          <w:szCs w:val="24"/>
          <w:lang w:eastAsia="zh-CN"/>
        </w:rPr>
        <w:t>, draining</w:t>
      </w:r>
      <w:r w:rsidR="00F8329A" w:rsidRPr="00C67DF7">
        <w:rPr>
          <w:sz w:val="24"/>
          <w:szCs w:val="24"/>
          <w:lang w:eastAsia="zh-CN"/>
        </w:rPr>
        <w:t xml:space="preserve"> an inflamed intestinal loop,</w:t>
      </w:r>
      <w:r w:rsidRPr="00C67DF7">
        <w:rPr>
          <w:sz w:val="24"/>
          <w:szCs w:val="24"/>
          <w:lang w:eastAsia="zh-CN"/>
        </w:rPr>
        <w:t xml:space="preserve"> and extending perpendicular to the bowel wall, giving the comb sign. It can be seen in current intestinal inflammation as well as </w:t>
      </w:r>
      <w:r w:rsidR="0098317A">
        <w:rPr>
          <w:sz w:val="24"/>
          <w:szCs w:val="24"/>
          <w:lang w:eastAsia="zh-CN"/>
        </w:rPr>
        <w:t>in</w:t>
      </w:r>
      <w:r w:rsidRPr="00C67DF7">
        <w:rPr>
          <w:sz w:val="24"/>
          <w:szCs w:val="24"/>
          <w:lang w:eastAsia="zh-CN"/>
        </w:rPr>
        <w:t xml:space="preserve"> previous inflammation.</w:t>
      </w:r>
    </w:p>
    <w:p w14:paraId="3223F0B5" w14:textId="44DE6E5E" w:rsidR="00FC6B49" w:rsidRPr="00C67DF7" w:rsidRDefault="00FC6B49" w:rsidP="00FC6B49">
      <w:pPr>
        <w:pStyle w:val="ListParagraph"/>
        <w:bidi w:val="0"/>
        <w:spacing w:line="360" w:lineRule="auto"/>
        <w:ind w:left="0" w:firstLineChars="200" w:firstLine="480"/>
        <w:jc w:val="both"/>
        <w:rPr>
          <w:sz w:val="24"/>
          <w:szCs w:val="24"/>
          <w:lang w:eastAsia="zh-CN"/>
        </w:rPr>
      </w:pPr>
      <w:r w:rsidRPr="00C67DF7">
        <w:rPr>
          <w:sz w:val="24"/>
          <w:szCs w:val="24"/>
          <w:lang w:eastAsia="zh-CN"/>
        </w:rPr>
        <w:t xml:space="preserve">Fibrofatty proliferation, </w:t>
      </w:r>
      <w:r w:rsidR="00F8329A" w:rsidRPr="00C67DF7">
        <w:rPr>
          <w:sz w:val="24"/>
          <w:szCs w:val="24"/>
          <w:lang w:eastAsia="zh-CN"/>
        </w:rPr>
        <w:t>or</w:t>
      </w:r>
      <w:r w:rsidRPr="00C67DF7">
        <w:rPr>
          <w:sz w:val="24"/>
          <w:szCs w:val="24"/>
          <w:lang w:eastAsia="zh-CN"/>
        </w:rPr>
        <w:t xml:space="preserve"> “creeping fat,” results from acute inflammation, especially with repeated attacks. It can be detected on the mesenteric side or </w:t>
      </w:r>
      <w:r w:rsidR="00F8329A" w:rsidRPr="00C67DF7">
        <w:rPr>
          <w:sz w:val="24"/>
          <w:szCs w:val="24"/>
          <w:lang w:eastAsia="zh-CN"/>
        </w:rPr>
        <w:t>circumferentially</w:t>
      </w:r>
      <w:r w:rsidRPr="00C67DF7">
        <w:rPr>
          <w:sz w:val="24"/>
          <w:szCs w:val="24"/>
          <w:lang w:eastAsia="zh-CN"/>
        </w:rPr>
        <w:t xml:space="preserve"> and visualized as slightly decreased signal intensity on T1-WIs compared to normal fat due to the inflow of fluid and inflammatory cells.</w:t>
      </w:r>
    </w:p>
    <w:p w14:paraId="27D61836" w14:textId="62855113" w:rsidR="00FC6B49" w:rsidRPr="00C67DF7" w:rsidRDefault="00FC6B49" w:rsidP="00FC6B49">
      <w:pPr>
        <w:pStyle w:val="ListParagraph"/>
        <w:bidi w:val="0"/>
        <w:spacing w:line="360" w:lineRule="auto"/>
        <w:ind w:left="0" w:firstLineChars="200" w:firstLine="480"/>
        <w:jc w:val="both"/>
        <w:rPr>
          <w:sz w:val="24"/>
          <w:szCs w:val="24"/>
          <w:lang w:eastAsia="zh-CN"/>
        </w:rPr>
      </w:pPr>
      <w:r w:rsidRPr="00C67DF7">
        <w:rPr>
          <w:sz w:val="24"/>
          <w:szCs w:val="24"/>
          <w:lang w:eastAsia="zh-CN"/>
        </w:rPr>
        <w:t xml:space="preserve">Mesenteric lymphadenopathy is usually of reactive origin and </w:t>
      </w:r>
      <w:r w:rsidR="00F8329A" w:rsidRPr="00C67DF7">
        <w:rPr>
          <w:sz w:val="24"/>
          <w:szCs w:val="24"/>
          <w:lang w:eastAsia="zh-CN"/>
        </w:rPr>
        <w:t>is seen in the mesenteric fat during acute inflammation. It is</w:t>
      </w:r>
      <w:r w:rsidRPr="00C67DF7">
        <w:rPr>
          <w:sz w:val="24"/>
          <w:szCs w:val="24"/>
          <w:lang w:eastAsia="zh-CN"/>
        </w:rPr>
        <w:t xml:space="preserve"> presented by enlarged</w:t>
      </w:r>
      <w:r w:rsidR="00F8329A" w:rsidRPr="00C67DF7">
        <w:rPr>
          <w:sz w:val="24"/>
          <w:szCs w:val="24"/>
          <w:lang w:eastAsia="zh-CN"/>
        </w:rPr>
        <w:t>,</w:t>
      </w:r>
      <w:r w:rsidRPr="00C67DF7">
        <w:rPr>
          <w:sz w:val="24"/>
          <w:szCs w:val="24"/>
          <w:lang w:eastAsia="zh-CN"/>
        </w:rPr>
        <w:t xml:space="preserve"> enhanced mesenteric lymph nodes (up to 1-1.5 cm in the short axis).</w:t>
      </w:r>
    </w:p>
    <w:p w14:paraId="5B6B9BE5" w14:textId="6A3FF3AD" w:rsidR="00FC6B49" w:rsidRPr="00C67DF7" w:rsidRDefault="00FC6B49" w:rsidP="00604F09">
      <w:pPr>
        <w:pStyle w:val="ListParagraph"/>
        <w:bidi w:val="0"/>
        <w:spacing w:line="360" w:lineRule="auto"/>
        <w:ind w:left="0" w:firstLineChars="200" w:firstLine="480"/>
        <w:jc w:val="both"/>
        <w:rPr>
          <w:sz w:val="24"/>
          <w:szCs w:val="24"/>
          <w:lang w:eastAsia="zh-CN"/>
        </w:rPr>
      </w:pPr>
      <w:r w:rsidRPr="00C67DF7">
        <w:rPr>
          <w:sz w:val="24"/>
          <w:szCs w:val="24"/>
          <w:lang w:eastAsia="zh-CN"/>
        </w:rPr>
        <w:t>Regarding the perianal disease,</w:t>
      </w:r>
      <w:r w:rsidRPr="00C67DF7">
        <w:rPr>
          <w:b/>
          <w:bCs/>
          <w:i/>
          <w:iCs/>
          <w:sz w:val="24"/>
          <w:szCs w:val="24"/>
          <w:lang w:eastAsia="zh-CN"/>
        </w:rPr>
        <w:t xml:space="preserve"> </w:t>
      </w:r>
      <w:r w:rsidRPr="00C67DF7">
        <w:rPr>
          <w:sz w:val="24"/>
          <w:szCs w:val="24"/>
          <w:lang w:eastAsia="zh-CN"/>
        </w:rPr>
        <w:t xml:space="preserve">active perianal inflammation is frequent in </w:t>
      </w:r>
      <w:r w:rsidR="00604F09" w:rsidRPr="00C67DF7">
        <w:rPr>
          <w:sz w:val="24"/>
          <w:szCs w:val="24"/>
          <w:lang w:eastAsia="zh-CN"/>
        </w:rPr>
        <w:t>Crohn’s</w:t>
      </w:r>
      <w:r w:rsidRPr="00C67DF7">
        <w:rPr>
          <w:sz w:val="24"/>
          <w:szCs w:val="24"/>
          <w:lang w:eastAsia="zh-CN"/>
        </w:rPr>
        <w:t xml:space="preserve"> disease. </w:t>
      </w:r>
      <w:r w:rsidR="00B54B23" w:rsidRPr="00C67DF7">
        <w:rPr>
          <w:sz w:val="24"/>
          <w:szCs w:val="24"/>
          <w:lang w:eastAsia="zh-CN"/>
        </w:rPr>
        <w:t>The perianal</w:t>
      </w:r>
      <w:r w:rsidRPr="00C67DF7">
        <w:rPr>
          <w:sz w:val="24"/>
          <w:szCs w:val="24"/>
          <w:lang w:eastAsia="zh-CN"/>
        </w:rPr>
        <w:t xml:space="preserve"> </w:t>
      </w:r>
      <w:r w:rsidR="00C57754" w:rsidRPr="00C67DF7">
        <w:rPr>
          <w:sz w:val="24"/>
          <w:szCs w:val="24"/>
          <w:lang w:eastAsia="zh-CN"/>
        </w:rPr>
        <w:t>fistula</w:t>
      </w:r>
      <w:r w:rsidR="00C57754">
        <w:rPr>
          <w:sz w:val="24"/>
          <w:szCs w:val="24"/>
          <w:lang w:eastAsia="zh-CN"/>
        </w:rPr>
        <w:t xml:space="preserve"> is</w:t>
      </w:r>
      <w:r w:rsidRPr="00C67DF7">
        <w:rPr>
          <w:sz w:val="24"/>
          <w:szCs w:val="24"/>
          <w:lang w:eastAsia="zh-CN"/>
        </w:rPr>
        <w:t xml:space="preserve"> usually following active inflammation with mucosal ulceration in the rectal or anal canal, extending to the perianal skin surface. </w:t>
      </w:r>
      <w:r w:rsidR="004741AE" w:rsidRPr="00C67DF7">
        <w:rPr>
          <w:sz w:val="24"/>
          <w:szCs w:val="24"/>
          <w:lang w:eastAsia="zh-CN"/>
        </w:rPr>
        <w:t>As fistula management varies, it is essential to specify the type of fistula (simple or complex) and whether there is an associated abscess</w:t>
      </w:r>
      <w:r w:rsidRPr="00C67DF7">
        <w:rPr>
          <w:sz w:val="24"/>
          <w:szCs w:val="24"/>
          <w:lang w:eastAsia="zh-CN"/>
        </w:rPr>
        <w:t>.</w:t>
      </w:r>
    </w:p>
    <w:p w14:paraId="4A487695" w14:textId="77777777" w:rsidR="00FC6B49" w:rsidRPr="00DC00E1" w:rsidRDefault="00FC6B49" w:rsidP="00604F09">
      <w:pPr>
        <w:pStyle w:val="ListParagraph"/>
        <w:bidi w:val="0"/>
        <w:spacing w:line="360" w:lineRule="auto"/>
        <w:ind w:left="0"/>
        <w:jc w:val="both"/>
        <w:rPr>
          <w:b/>
          <w:bCs/>
          <w:sz w:val="24"/>
          <w:szCs w:val="24"/>
          <w:lang w:eastAsia="zh-CN"/>
        </w:rPr>
      </w:pPr>
      <w:r w:rsidRPr="00DC00E1">
        <w:rPr>
          <w:b/>
          <w:bCs/>
          <w:sz w:val="24"/>
          <w:szCs w:val="24"/>
          <w:lang w:eastAsia="zh-CN"/>
        </w:rPr>
        <w:t xml:space="preserve">Penetrating </w:t>
      </w:r>
      <w:r w:rsidR="00604F09" w:rsidRPr="00DC00E1">
        <w:rPr>
          <w:b/>
          <w:bCs/>
          <w:sz w:val="24"/>
          <w:szCs w:val="24"/>
          <w:lang w:eastAsia="zh-CN"/>
        </w:rPr>
        <w:t>Crohn’</w:t>
      </w:r>
      <w:r w:rsidRPr="00DC00E1">
        <w:rPr>
          <w:b/>
          <w:bCs/>
          <w:sz w:val="24"/>
          <w:szCs w:val="24"/>
          <w:lang w:eastAsia="zh-CN"/>
        </w:rPr>
        <w:t>s disease and complications</w:t>
      </w:r>
    </w:p>
    <w:p w14:paraId="58FA1C87" w14:textId="4832090D" w:rsidR="00FC6B49" w:rsidRPr="00C67DF7" w:rsidRDefault="00FC6B49" w:rsidP="00FC6B49">
      <w:pPr>
        <w:pStyle w:val="ListParagraph"/>
        <w:bidi w:val="0"/>
        <w:spacing w:line="360" w:lineRule="auto"/>
        <w:ind w:left="0" w:firstLineChars="200" w:firstLine="480"/>
        <w:jc w:val="both"/>
        <w:rPr>
          <w:sz w:val="24"/>
          <w:szCs w:val="24"/>
          <w:lang w:eastAsia="zh-CN"/>
        </w:rPr>
      </w:pPr>
      <w:r w:rsidRPr="00C67DF7">
        <w:rPr>
          <w:sz w:val="24"/>
          <w:szCs w:val="24"/>
          <w:lang w:eastAsia="zh-CN"/>
        </w:rPr>
        <w:t xml:space="preserve">Penetrating CD involves the sinus tract, </w:t>
      </w:r>
      <w:r w:rsidR="002820D3">
        <w:rPr>
          <w:sz w:val="24"/>
          <w:szCs w:val="24"/>
          <w:lang w:eastAsia="zh-CN"/>
        </w:rPr>
        <w:t>complex/straightforward</w:t>
      </w:r>
      <w:r w:rsidRPr="00C67DF7">
        <w:rPr>
          <w:sz w:val="24"/>
          <w:szCs w:val="24"/>
          <w:lang w:eastAsia="zh-CN"/>
        </w:rPr>
        <w:t xml:space="preserve"> fistula, abscess, and free perforation. These findings can be found in about 30% of the affected cases. </w:t>
      </w:r>
      <w:r w:rsidR="004741AE" w:rsidRPr="00C67DF7">
        <w:rPr>
          <w:sz w:val="24"/>
          <w:szCs w:val="24"/>
          <w:lang w:eastAsia="zh-CN"/>
        </w:rPr>
        <w:t>Determining whether there is penetrating CD is significant</w:t>
      </w:r>
      <w:r w:rsidRPr="00C67DF7">
        <w:rPr>
          <w:sz w:val="24"/>
          <w:szCs w:val="24"/>
          <w:lang w:eastAsia="zh-CN"/>
        </w:rPr>
        <w:t>, as it may need antibiotic therapy and/or drainage before giving biologic medications.</w:t>
      </w:r>
    </w:p>
    <w:p w14:paraId="0E253E30" w14:textId="1ED5EFC7" w:rsidR="00FC6B49" w:rsidRPr="00C67DF7" w:rsidRDefault="00FC6B49" w:rsidP="00FC6B49">
      <w:pPr>
        <w:pStyle w:val="ListParagraph"/>
        <w:bidi w:val="0"/>
        <w:spacing w:line="360" w:lineRule="auto"/>
        <w:ind w:left="0" w:firstLineChars="200" w:firstLine="480"/>
        <w:jc w:val="both"/>
        <w:rPr>
          <w:sz w:val="24"/>
          <w:szCs w:val="24"/>
          <w:lang w:eastAsia="zh-CN"/>
        </w:rPr>
      </w:pPr>
      <w:r w:rsidRPr="00DC00E1">
        <w:rPr>
          <w:sz w:val="24"/>
          <w:szCs w:val="24"/>
          <w:lang w:eastAsia="zh-CN"/>
        </w:rPr>
        <w:t>A sinus tract</w:t>
      </w:r>
      <w:r w:rsidRPr="00C67DF7">
        <w:rPr>
          <w:sz w:val="24"/>
          <w:szCs w:val="24"/>
          <w:lang w:eastAsia="zh-CN"/>
        </w:rPr>
        <w:t xml:space="preserve"> is a </w:t>
      </w:r>
      <w:r w:rsidR="004741AE" w:rsidRPr="00C67DF7">
        <w:rPr>
          <w:sz w:val="24"/>
          <w:szCs w:val="24"/>
          <w:lang w:eastAsia="zh-CN"/>
        </w:rPr>
        <w:t>blind-ending tract extending from the intestinal lumen and beyond the serosa into the adjacent fatty tissue but not reaching the nearby organs or skin. On T2-weighted images, it appears as a hyperintense blind-ending tract</w:t>
      </w:r>
      <w:r w:rsidRPr="00C67DF7">
        <w:rPr>
          <w:sz w:val="24"/>
          <w:szCs w:val="24"/>
          <w:lang w:eastAsia="zh-CN"/>
        </w:rPr>
        <w:t>.</w:t>
      </w:r>
    </w:p>
    <w:p w14:paraId="45CF746E" w14:textId="1E1F09A9" w:rsidR="00FC6B49" w:rsidRPr="00C67DF7" w:rsidRDefault="00FC6B49" w:rsidP="00FC6B49">
      <w:pPr>
        <w:pStyle w:val="ListParagraph"/>
        <w:bidi w:val="0"/>
        <w:spacing w:line="360" w:lineRule="auto"/>
        <w:ind w:left="0" w:firstLineChars="200" w:firstLine="480"/>
        <w:jc w:val="both"/>
        <w:rPr>
          <w:sz w:val="24"/>
          <w:szCs w:val="24"/>
          <w:lang w:eastAsia="zh-CN"/>
        </w:rPr>
      </w:pPr>
      <w:r w:rsidRPr="00C67DF7">
        <w:rPr>
          <w:i/>
          <w:iCs/>
          <w:sz w:val="24"/>
          <w:szCs w:val="24"/>
          <w:lang w:eastAsia="zh-CN"/>
        </w:rPr>
        <w:t>A CD-</w:t>
      </w:r>
      <w:r w:rsidRPr="00C67DF7">
        <w:rPr>
          <w:sz w:val="24"/>
          <w:szCs w:val="24"/>
          <w:lang w:eastAsia="zh-CN"/>
        </w:rPr>
        <w:t>related fistula is a tract that communicates the affected intestinal lumen to another epithelial surface and is named according to its connected structure, such as an enteroenteric, enterocolic (penetrates a bowel loop), enterovesical (into the urinary bladder)</w:t>
      </w:r>
      <w:r w:rsidR="00F8329A" w:rsidRPr="00C67DF7">
        <w:rPr>
          <w:sz w:val="24"/>
          <w:szCs w:val="24"/>
          <w:lang w:eastAsia="zh-CN"/>
        </w:rPr>
        <w:t>,</w:t>
      </w:r>
      <w:r w:rsidRPr="00C67DF7">
        <w:rPr>
          <w:sz w:val="24"/>
          <w:szCs w:val="24"/>
          <w:lang w:eastAsia="zh-CN"/>
        </w:rPr>
        <w:t xml:space="preserve"> or enterocutaneous fistula (into the skin). It displays a T2 hyperintense signal due to the presence of internal fluid with peripheral rim enhancement and enhanced surrounding soft tissues on postcontrast T1</w:t>
      </w:r>
      <w:r w:rsidRPr="00C67DF7">
        <w:rPr>
          <w:sz w:val="24"/>
          <w:szCs w:val="24"/>
          <w:lang w:eastAsia="zh-CN"/>
        </w:rPr>
        <w:noBreakHyphen/>
        <w:t>WIs during the active stage. Chronic fistula lacks internal T2 hyperintensity due to scarring and fibrous tissue formation.</w:t>
      </w:r>
    </w:p>
    <w:p w14:paraId="42B27441" w14:textId="2887994A" w:rsidR="00FC6B49" w:rsidRPr="00C67DF7" w:rsidRDefault="00FC6B49" w:rsidP="00FC6B49">
      <w:pPr>
        <w:pStyle w:val="ListParagraph"/>
        <w:bidi w:val="0"/>
        <w:spacing w:line="360" w:lineRule="auto"/>
        <w:ind w:left="0" w:firstLineChars="200" w:firstLine="480"/>
        <w:jc w:val="both"/>
        <w:rPr>
          <w:sz w:val="24"/>
          <w:szCs w:val="24"/>
          <w:lang w:eastAsia="zh-CN"/>
        </w:rPr>
      </w:pPr>
      <w:r w:rsidRPr="00C67DF7">
        <w:rPr>
          <w:sz w:val="24"/>
          <w:szCs w:val="24"/>
          <w:lang w:eastAsia="zh-CN"/>
        </w:rPr>
        <w:t>A simple fistula represents a single tract, whereas a complex fistula results from more than one fistulous tract. The stellate appearance of fistulas, with spiculated margins</w:t>
      </w:r>
      <w:r w:rsidR="00F8329A" w:rsidRPr="00C67DF7">
        <w:rPr>
          <w:sz w:val="24"/>
          <w:szCs w:val="24"/>
          <w:lang w:eastAsia="zh-CN"/>
        </w:rPr>
        <w:t>,</w:t>
      </w:r>
      <w:r w:rsidRPr="00C67DF7">
        <w:rPr>
          <w:sz w:val="24"/>
          <w:szCs w:val="24"/>
          <w:lang w:eastAsia="zh-CN"/>
        </w:rPr>
        <w:t xml:space="preserve"> is likely due to a desmoplastic reaction in the surrounding mesenteric tissue.</w:t>
      </w:r>
    </w:p>
    <w:p w14:paraId="5322C8B7" w14:textId="77777777" w:rsidR="00FC6B49" w:rsidRPr="00C67DF7" w:rsidRDefault="00FC6B49" w:rsidP="00FC6B49">
      <w:pPr>
        <w:pStyle w:val="ListParagraph"/>
        <w:bidi w:val="0"/>
        <w:spacing w:line="360" w:lineRule="auto"/>
        <w:ind w:left="0" w:firstLineChars="200" w:firstLine="480"/>
        <w:jc w:val="both"/>
        <w:rPr>
          <w:sz w:val="24"/>
          <w:szCs w:val="24"/>
          <w:lang w:eastAsia="zh-CN"/>
        </w:rPr>
      </w:pPr>
      <w:r w:rsidRPr="00C67DF7">
        <w:rPr>
          <w:sz w:val="24"/>
          <w:szCs w:val="24"/>
          <w:lang w:eastAsia="zh-CN"/>
        </w:rPr>
        <w:t>An abscess is a fluid collection within a thickened enhanced wall (on contrast-enhanced MRE) with or without internal gas foci. Abscesses usually display central restricted diffusion on DWI/ADC imaging, allowing for the assessment of patients who cannot administer IV contrast. Abscesses can occur in the mesentery, peritoneal cavity, retroperitoneum, perirectal, and/or perianal region.</w:t>
      </w:r>
    </w:p>
    <w:p w14:paraId="787AEBEB" w14:textId="306A46A0" w:rsidR="00FC6B49" w:rsidRPr="00C67DF7" w:rsidRDefault="00FC6B49" w:rsidP="00FC6B49">
      <w:pPr>
        <w:pStyle w:val="ListParagraph"/>
        <w:bidi w:val="0"/>
        <w:spacing w:line="360" w:lineRule="auto"/>
        <w:ind w:left="0" w:firstLineChars="200" w:firstLine="480"/>
        <w:jc w:val="both"/>
        <w:rPr>
          <w:sz w:val="24"/>
          <w:szCs w:val="24"/>
          <w:lang w:eastAsia="zh-CN"/>
        </w:rPr>
      </w:pPr>
      <w:r w:rsidRPr="00C67DF7">
        <w:rPr>
          <w:sz w:val="24"/>
          <w:szCs w:val="24"/>
          <w:lang w:eastAsia="zh-CN"/>
        </w:rPr>
        <w:t xml:space="preserve">Free perforation is a rare complication in penetrating Crohn’s disease. It is characterized by free intraperitoneal air and needs surgical assessment to confirm </w:t>
      </w:r>
      <w:r w:rsidR="00F8329A" w:rsidRPr="00C67DF7">
        <w:rPr>
          <w:sz w:val="24"/>
          <w:szCs w:val="24"/>
          <w:lang w:eastAsia="zh-CN"/>
        </w:rPr>
        <w:t xml:space="preserve">the </w:t>
      </w:r>
      <w:r w:rsidRPr="00C67DF7">
        <w:rPr>
          <w:sz w:val="24"/>
          <w:szCs w:val="24"/>
          <w:lang w:eastAsia="zh-CN"/>
        </w:rPr>
        <w:t>diagnosis.</w:t>
      </w:r>
    </w:p>
    <w:p w14:paraId="1EB9959A" w14:textId="140D5E70" w:rsidR="00FC6B49" w:rsidRPr="00C67DF7" w:rsidRDefault="00FC6B49" w:rsidP="00FC6B49">
      <w:pPr>
        <w:pStyle w:val="ListParagraph"/>
        <w:bidi w:val="0"/>
        <w:spacing w:line="360" w:lineRule="auto"/>
        <w:ind w:left="0" w:firstLineChars="200" w:firstLine="480"/>
        <w:jc w:val="both"/>
        <w:rPr>
          <w:sz w:val="24"/>
          <w:szCs w:val="24"/>
          <w:lang w:eastAsia="zh-CN"/>
        </w:rPr>
      </w:pPr>
      <w:r w:rsidRPr="00C67DF7">
        <w:rPr>
          <w:sz w:val="24"/>
          <w:szCs w:val="24"/>
          <w:lang w:eastAsia="zh-CN"/>
        </w:rPr>
        <w:t xml:space="preserve">Eventually, the inflammatory bowel disease may be associated with an increased risk of mesenteric venous thrombosis. Thrombosis may occur during acute inflammation, which is related to the inflamed intestinal loops. Identifying whether the thrombosis is acute or chronic is essential to determine the patient’s need for anticoagulant therapy. Acute thrombosis is associated with a distended vein by </w:t>
      </w:r>
      <w:r w:rsidR="00337F9F">
        <w:rPr>
          <w:sz w:val="24"/>
          <w:szCs w:val="24"/>
          <w:lang w:eastAsia="zh-CN"/>
        </w:rPr>
        <w:t xml:space="preserve">an </w:t>
      </w:r>
      <w:r w:rsidRPr="00C67DF7">
        <w:rPr>
          <w:sz w:val="24"/>
          <w:szCs w:val="24"/>
          <w:lang w:eastAsia="zh-CN"/>
        </w:rPr>
        <w:t>endoluminal thrombus. In chronic thrombosis, the mesenteric veins may be narrowed or discontinued with difficult assessment, while the collateral mesenteric vessels that occur in chronic cases are evident due to ectasia.</w:t>
      </w:r>
    </w:p>
    <w:p w14:paraId="50ACF8E8" w14:textId="77777777" w:rsidR="00FC6B49" w:rsidRPr="003B09A8" w:rsidRDefault="00FC6B49" w:rsidP="00FC6B49">
      <w:pPr>
        <w:bidi w:val="0"/>
        <w:spacing w:before="120" w:line="360" w:lineRule="auto"/>
        <w:rPr>
          <w:b/>
          <w:sz w:val="24"/>
          <w:szCs w:val="24"/>
        </w:rPr>
      </w:pPr>
      <w:r w:rsidRPr="003B09A8">
        <w:rPr>
          <w:b/>
          <w:sz w:val="24"/>
          <w:szCs w:val="24"/>
        </w:rPr>
        <w:t>Pitfalls</w:t>
      </w:r>
    </w:p>
    <w:p w14:paraId="16D5AC75" w14:textId="55FD27B9" w:rsidR="00FC6B49" w:rsidRPr="00C67DF7" w:rsidRDefault="00FC6B49" w:rsidP="00FC6B49">
      <w:pPr>
        <w:pStyle w:val="ListParagraph"/>
        <w:tabs>
          <w:tab w:val="right" w:pos="426"/>
        </w:tabs>
        <w:bidi w:val="0"/>
        <w:spacing w:after="0" w:line="360" w:lineRule="auto"/>
        <w:ind w:left="0" w:firstLine="567"/>
        <w:jc w:val="both"/>
        <w:rPr>
          <w:sz w:val="24"/>
          <w:szCs w:val="24"/>
          <w:lang w:eastAsia="zh-CN"/>
        </w:rPr>
      </w:pPr>
      <w:r w:rsidRPr="00C67DF7">
        <w:rPr>
          <w:sz w:val="24"/>
          <w:szCs w:val="24"/>
          <w:lang w:eastAsia="zh-CN"/>
        </w:rPr>
        <w:t xml:space="preserve">However, MRE may be more acceptable to patients than intubation. Inadequate bowel loop distention can be countered frequently </w:t>
      </w:r>
      <w:r w:rsidR="00337F9F">
        <w:rPr>
          <w:sz w:val="24"/>
          <w:szCs w:val="24"/>
          <w:lang w:eastAsia="zh-CN"/>
        </w:rPr>
        <w:t>by</w:t>
      </w:r>
      <w:r w:rsidRPr="00C67DF7">
        <w:rPr>
          <w:sz w:val="24"/>
          <w:szCs w:val="24"/>
          <w:lang w:eastAsia="zh-CN"/>
        </w:rPr>
        <w:t xml:space="preserve"> an inability to identify partial bowel strictures. Early mural wall changes of CD may be missed in areas of collapsed bowel loops.  Food debris within the bowel lumen may mimic filling defects or polyps; a low-residue diet and fasting before scanning help eliminate these artifacts. Preceding surgery, especially stricturoplasty, may simulate fibrotic strictures or sharp margins of neoplastic lesions. A survey of these segments in the three imaging planes aids differentiation</w:t>
      </w:r>
      <w:r w:rsidR="004605B8" w:rsidRPr="00C67DF7">
        <w:rPr>
          <w:sz w:val="24"/>
          <w:szCs w:val="24"/>
          <w:lang w:eastAsia="zh-CN"/>
        </w:rPr>
        <w:t>,</w:t>
      </w:r>
      <w:r w:rsidRPr="00C67DF7">
        <w:rPr>
          <w:sz w:val="24"/>
          <w:szCs w:val="24"/>
          <w:lang w:eastAsia="zh-CN"/>
        </w:rPr>
        <w:t xml:space="preserve"> as a lobulated or bi- or trifoliate appearance could be observed in stricturoplasty surgery.</w:t>
      </w:r>
    </w:p>
    <w:p w14:paraId="75BB1251" w14:textId="77777777" w:rsidR="00FC6B49" w:rsidRPr="00B618DB" w:rsidRDefault="00FC6B49" w:rsidP="00EC2173">
      <w:pPr>
        <w:pStyle w:val="ListParagraph"/>
        <w:bidi w:val="0"/>
        <w:spacing w:line="360" w:lineRule="auto"/>
        <w:ind w:left="0"/>
        <w:jc w:val="both"/>
        <w:rPr>
          <w:b/>
          <w:bCs/>
        </w:rPr>
      </w:pPr>
      <w:r w:rsidRPr="00B618DB">
        <w:rPr>
          <w:b/>
          <w:bCs/>
        </w:rPr>
        <w:t>Statistical Analysis</w:t>
      </w:r>
    </w:p>
    <w:p w14:paraId="24BA980D" w14:textId="4150ED2F" w:rsidR="00FC6B49" w:rsidRPr="00C67DF7" w:rsidRDefault="00FC6B49" w:rsidP="00FC6B49">
      <w:pPr>
        <w:pStyle w:val="ListParagraph"/>
        <w:bidi w:val="0"/>
        <w:spacing w:line="360" w:lineRule="auto"/>
        <w:ind w:left="0" w:firstLine="567"/>
        <w:jc w:val="both"/>
        <w:rPr>
          <w:sz w:val="24"/>
          <w:szCs w:val="24"/>
        </w:rPr>
      </w:pPr>
      <w:r w:rsidRPr="00C67DF7">
        <w:rPr>
          <w:sz w:val="24"/>
          <w:szCs w:val="24"/>
        </w:rPr>
        <w:t xml:space="preserve">Data were fed to the computer and analyzed using </w:t>
      </w:r>
      <w:r w:rsidR="004605B8" w:rsidRPr="00C67DF7">
        <w:rPr>
          <w:sz w:val="24"/>
          <w:szCs w:val="24"/>
        </w:rPr>
        <w:t xml:space="preserve">the </w:t>
      </w:r>
      <w:r w:rsidRPr="00C67DF7">
        <w:rPr>
          <w:sz w:val="24"/>
          <w:szCs w:val="24"/>
        </w:rPr>
        <w:t>IBM SPSS software package version 20.0. (Armonk, NY: IBM Corp). Categorical data were represented as numbers and percentages. The different MRE findings in Crohn’s disease were presented as the patients’ percentages</w:t>
      </w:r>
      <w:r w:rsidR="00337F9F">
        <w:rPr>
          <w:sz w:val="24"/>
          <w:szCs w:val="24"/>
        </w:rPr>
        <w:t>,</w:t>
      </w:r>
      <w:r w:rsidRPr="00C67DF7">
        <w:rPr>
          <w:sz w:val="24"/>
          <w:szCs w:val="24"/>
        </w:rPr>
        <w:t xml:space="preserve"> showing each abnormality.</w:t>
      </w:r>
    </w:p>
    <w:bookmarkEnd w:id="2"/>
    <w:p w14:paraId="2567F07C" w14:textId="31B6ECE1" w:rsidR="00FC6B49" w:rsidRPr="003B09A8" w:rsidRDefault="00FC6B49" w:rsidP="00FC6B49">
      <w:pPr>
        <w:autoSpaceDE w:val="0"/>
        <w:autoSpaceDN w:val="0"/>
        <w:bidi w:val="0"/>
        <w:adjustRightInd w:val="0"/>
        <w:spacing w:after="0" w:line="360" w:lineRule="auto"/>
        <w:jc w:val="both"/>
        <w:rPr>
          <w:b/>
          <w:bCs/>
          <w:sz w:val="24"/>
          <w:szCs w:val="24"/>
        </w:rPr>
      </w:pPr>
      <w:r w:rsidRPr="003B09A8">
        <w:rPr>
          <w:b/>
          <w:bCs/>
          <w:sz w:val="24"/>
          <w:szCs w:val="24"/>
        </w:rPr>
        <w:t>R</w:t>
      </w:r>
      <w:r w:rsidR="00C509B1" w:rsidRPr="003B09A8">
        <w:rPr>
          <w:b/>
          <w:bCs/>
          <w:sz w:val="24"/>
          <w:szCs w:val="24"/>
        </w:rPr>
        <w:t>esults</w:t>
      </w:r>
    </w:p>
    <w:p w14:paraId="1F817CA5" w14:textId="77777777" w:rsidR="00FC6B49" w:rsidRPr="00C509B1" w:rsidRDefault="00FC6B49" w:rsidP="00FC6B49">
      <w:pPr>
        <w:pStyle w:val="ListParagraph"/>
        <w:bidi w:val="0"/>
        <w:spacing w:line="360" w:lineRule="auto"/>
        <w:ind w:left="0"/>
        <w:jc w:val="both"/>
        <w:rPr>
          <w:b/>
          <w:bCs/>
          <w:sz w:val="24"/>
          <w:szCs w:val="24"/>
          <w:lang w:eastAsia="zh-CN"/>
        </w:rPr>
      </w:pPr>
      <w:r w:rsidRPr="00C509B1">
        <w:rPr>
          <w:b/>
          <w:bCs/>
          <w:sz w:val="24"/>
          <w:szCs w:val="24"/>
          <w:lang w:eastAsia="zh-CN"/>
        </w:rPr>
        <w:t>Patient characteristics</w:t>
      </w:r>
    </w:p>
    <w:p w14:paraId="4597973D" w14:textId="7A318126" w:rsidR="00FC6B49" w:rsidRDefault="0082759D" w:rsidP="00EC2173">
      <w:pPr>
        <w:pStyle w:val="ListParagraph"/>
        <w:bidi w:val="0"/>
        <w:spacing w:line="360" w:lineRule="auto"/>
        <w:ind w:left="0" w:firstLine="567"/>
        <w:jc w:val="both"/>
        <w:rPr>
          <w:b/>
          <w:bCs/>
          <w:sz w:val="24"/>
          <w:szCs w:val="24"/>
        </w:rPr>
      </w:pPr>
      <w:r>
        <w:rPr>
          <w:sz w:val="24"/>
          <w:szCs w:val="24"/>
        </w:rPr>
        <w:t>Fifty-four</w:t>
      </w:r>
      <w:r w:rsidR="00FC6B49" w:rsidRPr="00C67DF7">
        <w:rPr>
          <w:sz w:val="24"/>
          <w:szCs w:val="24"/>
        </w:rPr>
        <w:t xml:space="preserve"> patients with </w:t>
      </w:r>
      <w:r w:rsidR="004605B8" w:rsidRPr="00C67DF7">
        <w:rPr>
          <w:sz w:val="24"/>
          <w:szCs w:val="24"/>
        </w:rPr>
        <w:t>proven Crohn’s disease were included in this study</w:t>
      </w:r>
      <w:r>
        <w:rPr>
          <w:sz w:val="24"/>
          <w:szCs w:val="24"/>
        </w:rPr>
        <w:t>, and they</w:t>
      </w:r>
      <w:r w:rsidR="004605B8" w:rsidRPr="00C67DF7">
        <w:rPr>
          <w:sz w:val="24"/>
          <w:szCs w:val="24"/>
        </w:rPr>
        <w:t xml:space="preserve"> underwent MR enterography to assess the different imaging features during the </w:t>
      </w:r>
      <w:r w:rsidR="00FC6B49" w:rsidRPr="00C67DF7">
        <w:rPr>
          <w:sz w:val="24"/>
          <w:szCs w:val="24"/>
        </w:rPr>
        <w:t xml:space="preserve">active or complicated disease stage. Our study included two groups regarding </w:t>
      </w:r>
      <w:r w:rsidR="004605B8" w:rsidRPr="00C67DF7">
        <w:rPr>
          <w:sz w:val="24"/>
          <w:szCs w:val="24"/>
        </w:rPr>
        <w:t>age</w:t>
      </w:r>
      <w:r w:rsidR="004605B8" w:rsidRPr="00C67DF7">
        <w:rPr>
          <w:i/>
          <w:iCs/>
          <w:sz w:val="24"/>
          <w:szCs w:val="24"/>
        </w:rPr>
        <w:t>:</w:t>
      </w:r>
      <w:r w:rsidR="00FC6B49" w:rsidRPr="00C67DF7">
        <w:rPr>
          <w:sz w:val="24"/>
          <w:szCs w:val="24"/>
        </w:rPr>
        <w:t xml:space="preserve"> </w:t>
      </w:r>
      <w:r w:rsidR="004605B8" w:rsidRPr="00C67DF7">
        <w:rPr>
          <w:sz w:val="24"/>
          <w:szCs w:val="24"/>
        </w:rPr>
        <w:t>the adult</w:t>
      </w:r>
      <w:r w:rsidR="00FC6B49" w:rsidRPr="00C67DF7">
        <w:rPr>
          <w:sz w:val="24"/>
          <w:szCs w:val="24"/>
        </w:rPr>
        <w:t xml:space="preserve"> group (from &gt;18 to 45 years, representing about 38 subjects, 70.4%) and </w:t>
      </w:r>
      <w:r w:rsidR="004605B8" w:rsidRPr="00C67DF7">
        <w:rPr>
          <w:sz w:val="24"/>
          <w:szCs w:val="24"/>
        </w:rPr>
        <w:t xml:space="preserve">the </w:t>
      </w:r>
      <w:r w:rsidR="00FC6B49" w:rsidRPr="00C67DF7">
        <w:rPr>
          <w:sz w:val="24"/>
          <w:szCs w:val="24"/>
        </w:rPr>
        <w:t>pediatric age group (from 12 to 18 years, representing about 16 subjects, 29.6%).</w:t>
      </w:r>
      <w:r w:rsidR="00FC6B49" w:rsidRPr="00C67DF7">
        <w:rPr>
          <w:b/>
          <w:bCs/>
          <w:sz w:val="24"/>
          <w:szCs w:val="24"/>
        </w:rPr>
        <w:t xml:space="preserve"> </w:t>
      </w:r>
      <w:r w:rsidR="00FC6B49" w:rsidRPr="00C67DF7">
        <w:rPr>
          <w:sz w:val="24"/>
          <w:szCs w:val="24"/>
        </w:rPr>
        <w:t xml:space="preserve">Regarding the gender, 29 female subjects &amp; 9 male subjects </w:t>
      </w:r>
      <w:r w:rsidR="004605B8" w:rsidRPr="00C67DF7">
        <w:rPr>
          <w:sz w:val="24"/>
          <w:szCs w:val="24"/>
        </w:rPr>
        <w:t>were within the adult group, while the pediatric group included 11 &amp; 5 adolescent girls and boys,</w:t>
      </w:r>
      <w:r w:rsidR="00FC6B49" w:rsidRPr="00C67DF7">
        <w:rPr>
          <w:sz w:val="24"/>
          <w:szCs w:val="24"/>
        </w:rPr>
        <w:t xml:space="preserve"> respectively.</w:t>
      </w:r>
      <w:r w:rsidR="00FC6B49" w:rsidRPr="00C67DF7">
        <w:rPr>
          <w:b/>
          <w:bCs/>
          <w:sz w:val="24"/>
          <w:szCs w:val="24"/>
        </w:rPr>
        <w:t xml:space="preserve"> (Fig</w:t>
      </w:r>
      <w:r w:rsidR="003E401A">
        <w:rPr>
          <w:b/>
          <w:bCs/>
          <w:sz w:val="24"/>
          <w:szCs w:val="24"/>
        </w:rPr>
        <w:t>.</w:t>
      </w:r>
      <w:r w:rsidR="00FC6B49" w:rsidRPr="00C67DF7">
        <w:rPr>
          <w:b/>
          <w:bCs/>
          <w:sz w:val="24"/>
          <w:szCs w:val="24"/>
        </w:rPr>
        <w:t xml:space="preserve"> 1)</w:t>
      </w:r>
      <w:r w:rsidR="00431941">
        <w:rPr>
          <w:b/>
          <w:bCs/>
          <w:sz w:val="24"/>
          <w:szCs w:val="24"/>
        </w:rPr>
        <w:t>.</w:t>
      </w:r>
    </w:p>
    <w:p w14:paraId="57C1B1EE" w14:textId="77777777" w:rsidR="00431941" w:rsidRDefault="00431941" w:rsidP="00431941">
      <w:pPr>
        <w:pStyle w:val="ListParagraph"/>
        <w:keepNext/>
        <w:bidi w:val="0"/>
        <w:spacing w:line="360" w:lineRule="auto"/>
        <w:ind w:left="0" w:firstLine="567"/>
        <w:jc w:val="both"/>
      </w:pPr>
      <w:r>
        <w:rPr>
          <w:noProof/>
        </w:rPr>
        <w:drawing>
          <wp:inline distT="0" distB="0" distL="0" distR="0" wp14:anchorId="071FD2DF" wp14:editId="725C1DE0">
            <wp:extent cx="4333875" cy="2600325"/>
            <wp:effectExtent l="0" t="0" r="9525" b="9525"/>
            <wp:docPr id="8" name="Picture 1" descr="Fig 1.  Distribution of the studied cases (n = 54) according to age range (12-18 and &gt;18-45 years 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descr="Fig 1.  Distribution of the studied cases (n = 54) according to age range (12-18 and &gt;18-45 years old)."/>
                    <pic:cNvPicPr>
                      <a:picLocks noChangeAspect="1"/>
                    </pic:cNvPicPr>
                  </pic:nvPicPr>
                  <pic:blipFill>
                    <a:blip r:embed="rId7" cstate="print">
                      <a:extLst>
                        <a:ext uri="{28A0092B-C50C-407E-A947-70E740481C1C}">
                          <a14:useLocalDpi xmlns:a14="http://schemas.microsoft.com/office/drawing/2010/main" val="0"/>
                        </a:ext>
                      </a:extLst>
                    </a:blip>
                    <a:srcRect l="12522" t="2810" r="7231" b="20461"/>
                    <a:stretch>
                      <a:fillRect/>
                    </a:stretch>
                  </pic:blipFill>
                  <pic:spPr>
                    <a:xfrm>
                      <a:off x="0" y="0"/>
                      <a:ext cx="4333875" cy="2600325"/>
                    </a:xfrm>
                    <a:prstGeom prst="rect">
                      <a:avLst/>
                    </a:prstGeom>
                    <a:noFill/>
                    <a:ln>
                      <a:noFill/>
                    </a:ln>
                  </pic:spPr>
                </pic:pic>
              </a:graphicData>
            </a:graphic>
          </wp:inline>
        </w:drawing>
      </w:r>
    </w:p>
    <w:p w14:paraId="431C8126" w14:textId="1F294C5E" w:rsidR="00431941" w:rsidRPr="00431941" w:rsidRDefault="00431941" w:rsidP="00BC1119">
      <w:pPr>
        <w:pStyle w:val="Caption"/>
        <w:bidi w:val="0"/>
      </w:pPr>
      <w:r>
        <w:t xml:space="preserve">Fig </w:t>
      </w:r>
      <w:r>
        <w:fldChar w:fldCharType="begin"/>
      </w:r>
      <w:r>
        <w:instrText xml:space="preserve"> SEQ Figure \* ARABIC </w:instrText>
      </w:r>
      <w:r>
        <w:fldChar w:fldCharType="separate"/>
      </w:r>
      <w:r w:rsidR="001B6C2C">
        <w:rPr>
          <w:noProof/>
        </w:rPr>
        <w:t>1</w:t>
      </w:r>
      <w:r>
        <w:fldChar w:fldCharType="end"/>
      </w:r>
      <w:r>
        <w:t xml:space="preserve">. </w:t>
      </w:r>
      <w:r w:rsidRPr="00431941">
        <w:t xml:space="preserve"> Distribution of the studied cases (n = 54) according to age range (12-18 and &gt;18-45 years old).</w:t>
      </w:r>
    </w:p>
    <w:p w14:paraId="6391DC12" w14:textId="77777777" w:rsidR="00FC6B49" w:rsidRPr="00C509B1" w:rsidRDefault="00FC6B49" w:rsidP="00FC6B49">
      <w:pPr>
        <w:pStyle w:val="ListParagraph"/>
        <w:bidi w:val="0"/>
        <w:spacing w:line="360" w:lineRule="auto"/>
        <w:ind w:left="0"/>
        <w:jc w:val="both"/>
        <w:rPr>
          <w:b/>
          <w:bCs/>
          <w:sz w:val="24"/>
          <w:szCs w:val="24"/>
        </w:rPr>
      </w:pPr>
      <w:r w:rsidRPr="00C509B1">
        <w:rPr>
          <w:b/>
          <w:bCs/>
          <w:sz w:val="24"/>
          <w:szCs w:val="24"/>
          <w:lang w:eastAsia="zh-CN"/>
        </w:rPr>
        <w:t>MR Enterography features of Crohn’s disease (CD)</w:t>
      </w:r>
    </w:p>
    <w:p w14:paraId="52247EF6" w14:textId="122459CC" w:rsidR="00431941" w:rsidRDefault="00FC6B49" w:rsidP="00FC6B49">
      <w:pPr>
        <w:pStyle w:val="ListParagraph"/>
        <w:bidi w:val="0"/>
        <w:spacing w:line="360" w:lineRule="auto"/>
        <w:ind w:left="0" w:firstLine="567"/>
        <w:jc w:val="both"/>
        <w:rPr>
          <w:sz w:val="24"/>
          <w:szCs w:val="24"/>
          <w:lang w:eastAsia="zh-CN"/>
        </w:rPr>
      </w:pPr>
      <w:r w:rsidRPr="00C67DF7">
        <w:rPr>
          <w:sz w:val="24"/>
          <w:szCs w:val="24"/>
        </w:rPr>
        <w:t>We analyzed our patients using MR enterography, and an active bowel inflammation or complicated disease was diagnosed</w:t>
      </w:r>
      <w:r w:rsidRPr="00C67DF7">
        <w:rPr>
          <w:sz w:val="24"/>
          <w:szCs w:val="24"/>
          <w:lang w:eastAsia="zh-CN"/>
        </w:rPr>
        <w:t>.</w:t>
      </w:r>
    </w:p>
    <w:p w14:paraId="7C88472A" w14:textId="2406292A" w:rsidR="00431941" w:rsidRPr="00431941" w:rsidRDefault="00431941" w:rsidP="005907DA">
      <w:pPr>
        <w:pStyle w:val="Caption"/>
        <w:keepNext/>
        <w:bidi w:val="0"/>
        <w:jc w:val="both"/>
        <w:rPr>
          <w:b/>
          <w:bCs/>
        </w:rPr>
      </w:pPr>
      <w:r>
        <w:t xml:space="preserve">Tab </w:t>
      </w:r>
      <w:r>
        <w:fldChar w:fldCharType="begin"/>
      </w:r>
      <w:r>
        <w:instrText xml:space="preserve"> SEQ Table \* ARABIC </w:instrText>
      </w:r>
      <w:r>
        <w:fldChar w:fldCharType="separate"/>
      </w:r>
      <w:r w:rsidR="001B6C2C">
        <w:rPr>
          <w:noProof/>
        </w:rPr>
        <w:t>1</w:t>
      </w:r>
      <w:r>
        <w:fldChar w:fldCharType="end"/>
      </w:r>
      <w:r>
        <w:t xml:space="preserve">. </w:t>
      </w:r>
      <w:r w:rsidRPr="00431941">
        <w:rPr>
          <w:b/>
          <w:bCs/>
        </w:rPr>
        <w:t xml:space="preserve"> Different MR imaging features associated with </w:t>
      </w:r>
      <w:r>
        <w:rPr>
          <w:b/>
          <w:bCs/>
        </w:rPr>
        <w:t>Crohn’s</w:t>
      </w:r>
      <w:r w:rsidRPr="00431941">
        <w:rPr>
          <w:b/>
          <w:bCs/>
        </w:rPr>
        <w:t xml:space="preserve"> disease in</w:t>
      </w:r>
      <w:r>
        <w:rPr>
          <w:b/>
          <w:bCs/>
        </w:rPr>
        <w:t xml:space="preserve"> </w:t>
      </w:r>
      <w:r w:rsidR="00337F9F">
        <w:rPr>
          <w:b/>
          <w:bCs/>
        </w:rPr>
        <w:t xml:space="preserve">the </w:t>
      </w:r>
      <w:r w:rsidRPr="00431941">
        <w:rPr>
          <w:b/>
          <w:bCs/>
        </w:rPr>
        <w:t>studied cases (n = 54)</w:t>
      </w:r>
      <w:r w:rsidR="005907DA">
        <w:rPr>
          <w:b/>
          <w:bCs/>
        </w:rPr>
        <w:t>.</w:t>
      </w:r>
    </w:p>
    <w:tbl>
      <w:tblPr>
        <w:tblStyle w:val="TableGrid"/>
        <w:tblW w:w="5000" w:type="pct"/>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Caption w:val="Table 1.  Different MR imaging features associated with Crohn’s disease in our studied cases (n = 54):"/>
      </w:tblPr>
      <w:tblGrid>
        <w:gridCol w:w="5700"/>
        <w:gridCol w:w="2606"/>
      </w:tblGrid>
      <w:tr w:rsidR="00431941" w:rsidRPr="00431941" w14:paraId="2FE39CD8" w14:textId="77777777" w:rsidTr="00431941">
        <w:tc>
          <w:tcPr>
            <w:tcW w:w="3431" w:type="pct"/>
            <w:tcBorders>
              <w:bottom w:val="single" w:sz="4" w:space="0" w:color="auto"/>
            </w:tcBorders>
            <w:vAlign w:val="center"/>
          </w:tcPr>
          <w:p w14:paraId="67A375B2" w14:textId="77777777" w:rsidR="00431941" w:rsidRPr="00431941" w:rsidRDefault="00431941" w:rsidP="00431941">
            <w:pPr>
              <w:bidi w:val="0"/>
              <w:ind w:firstLineChars="400" w:firstLine="964"/>
              <w:jc w:val="both"/>
              <w:rPr>
                <w:rFonts w:eastAsiaTheme="minorHAnsi"/>
                <w:b/>
                <w:bCs/>
                <w:sz w:val="24"/>
                <w:szCs w:val="24"/>
              </w:rPr>
            </w:pPr>
            <w:r w:rsidRPr="00431941">
              <w:rPr>
                <w:rFonts w:eastAsiaTheme="minorHAnsi"/>
                <w:b/>
                <w:bCs/>
                <w:sz w:val="24"/>
                <w:szCs w:val="24"/>
              </w:rPr>
              <w:t>MRI features</w:t>
            </w:r>
          </w:p>
        </w:tc>
        <w:tc>
          <w:tcPr>
            <w:tcW w:w="1569" w:type="pct"/>
            <w:tcBorders>
              <w:bottom w:val="single" w:sz="4" w:space="0" w:color="auto"/>
            </w:tcBorders>
            <w:vAlign w:val="center"/>
          </w:tcPr>
          <w:p w14:paraId="04E7137F" w14:textId="77777777" w:rsidR="00431941" w:rsidRPr="00431941" w:rsidRDefault="00431941" w:rsidP="00431941">
            <w:pPr>
              <w:bidi w:val="0"/>
              <w:jc w:val="center"/>
              <w:rPr>
                <w:rFonts w:eastAsiaTheme="minorHAnsi"/>
                <w:b/>
                <w:bCs/>
                <w:sz w:val="24"/>
                <w:szCs w:val="24"/>
              </w:rPr>
            </w:pPr>
            <w:r w:rsidRPr="00431941">
              <w:rPr>
                <w:rFonts w:eastAsiaTheme="minorHAnsi"/>
                <w:b/>
                <w:bCs/>
                <w:sz w:val="24"/>
                <w:szCs w:val="24"/>
              </w:rPr>
              <w:t>No./Total (%)</w:t>
            </w:r>
          </w:p>
        </w:tc>
      </w:tr>
      <w:tr w:rsidR="00431941" w:rsidRPr="00431941" w14:paraId="021CF10F" w14:textId="77777777" w:rsidTr="00431941">
        <w:tc>
          <w:tcPr>
            <w:tcW w:w="3431" w:type="pct"/>
            <w:vAlign w:val="center"/>
          </w:tcPr>
          <w:p w14:paraId="4A04DCAA" w14:textId="77777777" w:rsidR="00431941" w:rsidRPr="00431941" w:rsidRDefault="00431941" w:rsidP="00431941">
            <w:pPr>
              <w:bidi w:val="0"/>
              <w:ind w:left="284"/>
              <w:rPr>
                <w:rFonts w:eastAsiaTheme="minorHAnsi"/>
              </w:rPr>
            </w:pPr>
            <w:r w:rsidRPr="00431941">
              <w:rPr>
                <w:rFonts w:eastAsiaTheme="minorHAnsi"/>
                <w:b/>
                <w:bCs/>
              </w:rPr>
              <w:t>Wall thickening</w:t>
            </w:r>
          </w:p>
        </w:tc>
        <w:tc>
          <w:tcPr>
            <w:tcW w:w="1569" w:type="pct"/>
            <w:vAlign w:val="center"/>
          </w:tcPr>
          <w:p w14:paraId="37924990" w14:textId="77777777" w:rsidR="00431941" w:rsidRPr="00431941" w:rsidRDefault="00431941" w:rsidP="00431941">
            <w:pPr>
              <w:bidi w:val="0"/>
              <w:jc w:val="center"/>
              <w:rPr>
                <w:rFonts w:eastAsiaTheme="minorHAnsi"/>
              </w:rPr>
            </w:pPr>
            <w:r w:rsidRPr="00431941">
              <w:rPr>
                <w:rFonts w:eastAsiaTheme="minorHAnsi"/>
              </w:rPr>
              <w:t>46 (85%)</w:t>
            </w:r>
          </w:p>
        </w:tc>
      </w:tr>
      <w:tr w:rsidR="00431941" w:rsidRPr="00431941" w14:paraId="5F80C4B0" w14:textId="77777777" w:rsidTr="00431941">
        <w:tc>
          <w:tcPr>
            <w:tcW w:w="3431" w:type="pct"/>
            <w:vAlign w:val="center"/>
          </w:tcPr>
          <w:p w14:paraId="2B587476" w14:textId="31F0748C" w:rsidR="00431941" w:rsidRPr="00431941" w:rsidRDefault="00431941" w:rsidP="00431941">
            <w:pPr>
              <w:bidi w:val="0"/>
              <w:ind w:left="482"/>
              <w:rPr>
                <w:rFonts w:eastAsiaTheme="minorHAnsi"/>
              </w:rPr>
            </w:pPr>
            <w:r w:rsidRPr="00431941">
              <w:rPr>
                <w:rFonts w:eastAsiaTheme="minorHAnsi"/>
              </w:rPr>
              <w:t>Mild (4-5 mm)</w:t>
            </w:r>
          </w:p>
        </w:tc>
        <w:tc>
          <w:tcPr>
            <w:tcW w:w="1569" w:type="pct"/>
            <w:vAlign w:val="center"/>
          </w:tcPr>
          <w:p w14:paraId="7B78AC8E" w14:textId="77777777" w:rsidR="00431941" w:rsidRPr="00431941" w:rsidRDefault="00431941" w:rsidP="00431941">
            <w:pPr>
              <w:bidi w:val="0"/>
              <w:jc w:val="center"/>
              <w:rPr>
                <w:rFonts w:eastAsiaTheme="minorHAnsi"/>
              </w:rPr>
            </w:pPr>
            <w:r w:rsidRPr="00431941">
              <w:rPr>
                <w:rFonts w:eastAsiaTheme="minorHAnsi"/>
              </w:rPr>
              <w:t>19 (35.2%)</w:t>
            </w:r>
          </w:p>
        </w:tc>
      </w:tr>
      <w:tr w:rsidR="00431941" w:rsidRPr="00431941" w14:paraId="39FF0ADF" w14:textId="77777777" w:rsidTr="00431941">
        <w:tc>
          <w:tcPr>
            <w:tcW w:w="3431" w:type="pct"/>
            <w:vAlign w:val="center"/>
          </w:tcPr>
          <w:p w14:paraId="6A066C93" w14:textId="77777777" w:rsidR="00431941" w:rsidRPr="00431941" w:rsidRDefault="00431941" w:rsidP="00431941">
            <w:pPr>
              <w:bidi w:val="0"/>
              <w:ind w:left="482"/>
              <w:rPr>
                <w:rFonts w:eastAsiaTheme="minorHAnsi"/>
              </w:rPr>
            </w:pPr>
            <w:r w:rsidRPr="00431941">
              <w:rPr>
                <w:rFonts w:eastAsiaTheme="minorHAnsi"/>
              </w:rPr>
              <w:t>Moderate (6-9 mm)</w:t>
            </w:r>
          </w:p>
        </w:tc>
        <w:tc>
          <w:tcPr>
            <w:tcW w:w="1569" w:type="pct"/>
            <w:vAlign w:val="center"/>
          </w:tcPr>
          <w:p w14:paraId="13803F09" w14:textId="77777777" w:rsidR="00431941" w:rsidRPr="00431941" w:rsidRDefault="00431941" w:rsidP="00431941">
            <w:pPr>
              <w:bidi w:val="0"/>
              <w:jc w:val="center"/>
              <w:rPr>
                <w:rFonts w:eastAsiaTheme="minorHAnsi"/>
              </w:rPr>
            </w:pPr>
            <w:r w:rsidRPr="00431941">
              <w:rPr>
                <w:rFonts w:eastAsiaTheme="minorHAnsi"/>
              </w:rPr>
              <w:t>15 (27.8%)</w:t>
            </w:r>
          </w:p>
        </w:tc>
      </w:tr>
      <w:tr w:rsidR="00431941" w:rsidRPr="00431941" w14:paraId="5BCB8BBB" w14:textId="77777777" w:rsidTr="00431941">
        <w:tc>
          <w:tcPr>
            <w:tcW w:w="3431" w:type="pct"/>
            <w:vAlign w:val="center"/>
          </w:tcPr>
          <w:p w14:paraId="0850D53F" w14:textId="5E2E5144" w:rsidR="00431941" w:rsidRPr="00431941" w:rsidRDefault="00431941" w:rsidP="00431941">
            <w:pPr>
              <w:bidi w:val="0"/>
              <w:ind w:left="482"/>
              <w:rPr>
                <w:rFonts w:eastAsiaTheme="minorHAnsi"/>
              </w:rPr>
            </w:pPr>
            <w:r w:rsidRPr="00431941">
              <w:rPr>
                <w:rFonts w:eastAsiaTheme="minorHAnsi"/>
              </w:rPr>
              <w:t>Severe (≥10 mm)</w:t>
            </w:r>
          </w:p>
        </w:tc>
        <w:tc>
          <w:tcPr>
            <w:tcW w:w="1569" w:type="pct"/>
            <w:vAlign w:val="center"/>
          </w:tcPr>
          <w:p w14:paraId="20118943" w14:textId="77777777" w:rsidR="00431941" w:rsidRPr="00431941" w:rsidRDefault="00431941" w:rsidP="00431941">
            <w:pPr>
              <w:bidi w:val="0"/>
              <w:jc w:val="center"/>
              <w:rPr>
                <w:rFonts w:eastAsiaTheme="minorHAnsi"/>
              </w:rPr>
            </w:pPr>
            <w:r w:rsidRPr="00431941">
              <w:rPr>
                <w:rFonts w:eastAsiaTheme="minorHAnsi"/>
              </w:rPr>
              <w:t>12 (22.2%)</w:t>
            </w:r>
          </w:p>
        </w:tc>
      </w:tr>
      <w:tr w:rsidR="00431941" w:rsidRPr="00431941" w14:paraId="461659D0" w14:textId="77777777" w:rsidTr="00431941">
        <w:tc>
          <w:tcPr>
            <w:tcW w:w="3431" w:type="pct"/>
          </w:tcPr>
          <w:p w14:paraId="2ABC6E36" w14:textId="77777777" w:rsidR="00431941" w:rsidRPr="00431941" w:rsidRDefault="00431941" w:rsidP="00431941">
            <w:pPr>
              <w:bidi w:val="0"/>
              <w:ind w:left="284"/>
              <w:rPr>
                <w:rFonts w:eastAsiaTheme="minorHAnsi"/>
                <w:b/>
                <w:bCs/>
              </w:rPr>
            </w:pPr>
            <w:r w:rsidRPr="00431941">
              <w:rPr>
                <w:rFonts w:eastAsiaTheme="minorHAnsi"/>
                <w:b/>
                <w:bCs/>
              </w:rPr>
              <w:t>Intramural edema</w:t>
            </w:r>
          </w:p>
        </w:tc>
        <w:tc>
          <w:tcPr>
            <w:tcW w:w="1569" w:type="pct"/>
            <w:vAlign w:val="center"/>
          </w:tcPr>
          <w:p w14:paraId="19DCC8F7" w14:textId="77777777" w:rsidR="00431941" w:rsidRPr="00431941" w:rsidRDefault="00431941" w:rsidP="00431941">
            <w:pPr>
              <w:bidi w:val="0"/>
              <w:jc w:val="center"/>
              <w:rPr>
                <w:rFonts w:eastAsiaTheme="minorHAnsi"/>
              </w:rPr>
            </w:pPr>
            <w:r w:rsidRPr="00431941">
              <w:rPr>
                <w:rFonts w:eastAsiaTheme="minorHAnsi"/>
              </w:rPr>
              <w:t>15 (27.8%)</w:t>
            </w:r>
          </w:p>
        </w:tc>
      </w:tr>
      <w:tr w:rsidR="00431941" w:rsidRPr="00431941" w14:paraId="3636F109" w14:textId="77777777" w:rsidTr="00431941">
        <w:tc>
          <w:tcPr>
            <w:tcW w:w="3431" w:type="pct"/>
          </w:tcPr>
          <w:p w14:paraId="62804F3C" w14:textId="77777777" w:rsidR="00431941" w:rsidRPr="00431941" w:rsidRDefault="00431941" w:rsidP="00431941">
            <w:pPr>
              <w:bidi w:val="0"/>
              <w:ind w:left="284"/>
              <w:rPr>
                <w:rFonts w:eastAsiaTheme="minorHAnsi"/>
                <w:b/>
                <w:bCs/>
              </w:rPr>
            </w:pPr>
            <w:r w:rsidRPr="00431941">
              <w:rPr>
                <w:rFonts w:eastAsiaTheme="minorHAnsi"/>
                <w:b/>
                <w:bCs/>
              </w:rPr>
              <w:t>Mural wall hyperenhancement</w:t>
            </w:r>
          </w:p>
        </w:tc>
        <w:tc>
          <w:tcPr>
            <w:tcW w:w="1569" w:type="pct"/>
            <w:vAlign w:val="center"/>
          </w:tcPr>
          <w:p w14:paraId="6F6CA65B" w14:textId="77777777" w:rsidR="00431941" w:rsidRPr="00431941" w:rsidRDefault="00431941" w:rsidP="00431941">
            <w:pPr>
              <w:bidi w:val="0"/>
              <w:jc w:val="center"/>
              <w:rPr>
                <w:rFonts w:eastAsiaTheme="minorHAnsi"/>
              </w:rPr>
            </w:pPr>
            <w:r w:rsidRPr="00431941">
              <w:rPr>
                <w:rFonts w:eastAsiaTheme="minorHAnsi"/>
              </w:rPr>
              <w:t>43 (</w:t>
            </w:r>
            <w:r w:rsidRPr="00431941">
              <w:rPr>
                <w:rFonts w:eastAsiaTheme="minorHAnsi"/>
                <w:color w:val="000000"/>
              </w:rPr>
              <w:t>79.6%</w:t>
            </w:r>
            <w:r w:rsidRPr="00431941">
              <w:rPr>
                <w:rFonts w:eastAsiaTheme="minorHAnsi"/>
              </w:rPr>
              <w:t>)</w:t>
            </w:r>
          </w:p>
        </w:tc>
      </w:tr>
      <w:tr w:rsidR="00431941" w:rsidRPr="00431941" w14:paraId="46105973" w14:textId="77777777" w:rsidTr="00431941">
        <w:tc>
          <w:tcPr>
            <w:tcW w:w="3431" w:type="pct"/>
          </w:tcPr>
          <w:p w14:paraId="74C9C966" w14:textId="77777777" w:rsidR="00431941" w:rsidRPr="00431941" w:rsidRDefault="00431941" w:rsidP="00431941">
            <w:pPr>
              <w:bidi w:val="0"/>
              <w:ind w:left="482"/>
              <w:rPr>
                <w:rFonts w:eastAsiaTheme="minorHAnsi"/>
              </w:rPr>
            </w:pPr>
            <w:r w:rsidRPr="00431941">
              <w:rPr>
                <w:rFonts w:eastAsiaTheme="minorHAnsi"/>
              </w:rPr>
              <w:t>Symmetrical</w:t>
            </w:r>
          </w:p>
        </w:tc>
        <w:tc>
          <w:tcPr>
            <w:tcW w:w="1569" w:type="pct"/>
            <w:vAlign w:val="center"/>
          </w:tcPr>
          <w:p w14:paraId="7C4033CE" w14:textId="77777777" w:rsidR="00431941" w:rsidRPr="00431941" w:rsidRDefault="00431941" w:rsidP="00431941">
            <w:pPr>
              <w:bidi w:val="0"/>
              <w:jc w:val="center"/>
              <w:rPr>
                <w:rFonts w:eastAsiaTheme="minorHAnsi"/>
              </w:rPr>
            </w:pPr>
            <w:r w:rsidRPr="00431941">
              <w:rPr>
                <w:rFonts w:eastAsiaTheme="minorHAnsi"/>
              </w:rPr>
              <w:t>33 (</w:t>
            </w:r>
            <w:r w:rsidRPr="00431941">
              <w:rPr>
                <w:rFonts w:eastAsiaTheme="minorHAnsi"/>
                <w:color w:val="000000"/>
              </w:rPr>
              <w:t>61.1%</w:t>
            </w:r>
            <w:r w:rsidRPr="00431941">
              <w:rPr>
                <w:rFonts w:eastAsiaTheme="minorHAnsi"/>
              </w:rPr>
              <w:t>)</w:t>
            </w:r>
          </w:p>
        </w:tc>
      </w:tr>
      <w:tr w:rsidR="00431941" w:rsidRPr="00431941" w14:paraId="5AA6D1C5" w14:textId="77777777" w:rsidTr="00431941">
        <w:tc>
          <w:tcPr>
            <w:tcW w:w="3431" w:type="pct"/>
          </w:tcPr>
          <w:p w14:paraId="7C44751A" w14:textId="77777777" w:rsidR="00431941" w:rsidRPr="00431941" w:rsidRDefault="00431941" w:rsidP="00431941">
            <w:pPr>
              <w:bidi w:val="0"/>
              <w:ind w:left="482"/>
              <w:rPr>
                <w:rFonts w:eastAsiaTheme="minorHAnsi"/>
              </w:rPr>
            </w:pPr>
            <w:r w:rsidRPr="00431941">
              <w:rPr>
                <w:rFonts w:eastAsiaTheme="minorHAnsi"/>
              </w:rPr>
              <w:t>Asymmetrical</w:t>
            </w:r>
          </w:p>
        </w:tc>
        <w:tc>
          <w:tcPr>
            <w:tcW w:w="1569" w:type="pct"/>
            <w:vAlign w:val="center"/>
          </w:tcPr>
          <w:p w14:paraId="694D6EF6" w14:textId="77777777" w:rsidR="00431941" w:rsidRPr="00431941" w:rsidRDefault="00431941" w:rsidP="00431941">
            <w:pPr>
              <w:bidi w:val="0"/>
              <w:jc w:val="center"/>
              <w:rPr>
                <w:rFonts w:eastAsiaTheme="minorHAnsi"/>
              </w:rPr>
            </w:pPr>
            <w:r w:rsidRPr="00431941">
              <w:rPr>
                <w:rFonts w:eastAsiaTheme="minorHAnsi"/>
              </w:rPr>
              <w:t>10 (</w:t>
            </w:r>
            <w:r w:rsidRPr="00431941">
              <w:rPr>
                <w:rFonts w:eastAsiaTheme="minorHAnsi"/>
                <w:color w:val="000000"/>
              </w:rPr>
              <w:t>18.5</w:t>
            </w:r>
            <w:r w:rsidRPr="00431941">
              <w:rPr>
                <w:rFonts w:eastAsiaTheme="minorHAnsi"/>
              </w:rPr>
              <w:t>%)</w:t>
            </w:r>
          </w:p>
        </w:tc>
      </w:tr>
      <w:tr w:rsidR="00431941" w:rsidRPr="00431941" w14:paraId="5AE7E896" w14:textId="77777777" w:rsidTr="00431941">
        <w:tc>
          <w:tcPr>
            <w:tcW w:w="3431" w:type="pct"/>
          </w:tcPr>
          <w:p w14:paraId="4CCA5CD0" w14:textId="77777777" w:rsidR="00431941" w:rsidRPr="00431941" w:rsidRDefault="00431941" w:rsidP="00431941">
            <w:pPr>
              <w:bidi w:val="0"/>
              <w:ind w:left="284"/>
              <w:rPr>
                <w:rFonts w:eastAsiaTheme="minorHAnsi"/>
                <w:b/>
                <w:bCs/>
              </w:rPr>
            </w:pPr>
            <w:r w:rsidRPr="00431941">
              <w:rPr>
                <w:rFonts w:eastAsiaTheme="minorHAnsi"/>
                <w:b/>
                <w:bCs/>
              </w:rPr>
              <w:t>Mucosal ulceration</w:t>
            </w:r>
          </w:p>
        </w:tc>
        <w:tc>
          <w:tcPr>
            <w:tcW w:w="1569" w:type="pct"/>
            <w:vAlign w:val="center"/>
          </w:tcPr>
          <w:p w14:paraId="0A578722" w14:textId="77777777" w:rsidR="00431941" w:rsidRPr="00431941" w:rsidRDefault="00431941" w:rsidP="00431941">
            <w:pPr>
              <w:bidi w:val="0"/>
              <w:jc w:val="center"/>
              <w:rPr>
                <w:rFonts w:eastAsiaTheme="minorHAnsi"/>
              </w:rPr>
            </w:pPr>
            <w:r w:rsidRPr="00431941">
              <w:rPr>
                <w:rFonts w:eastAsiaTheme="minorHAnsi"/>
              </w:rPr>
              <w:t>3 (5.6%)</w:t>
            </w:r>
          </w:p>
        </w:tc>
      </w:tr>
      <w:tr w:rsidR="00431941" w:rsidRPr="00431941" w14:paraId="4AEC4DCC" w14:textId="77777777" w:rsidTr="00431941">
        <w:tc>
          <w:tcPr>
            <w:tcW w:w="3431" w:type="pct"/>
          </w:tcPr>
          <w:p w14:paraId="0DD2960A" w14:textId="77777777" w:rsidR="00431941" w:rsidRPr="00431941" w:rsidRDefault="00431941" w:rsidP="00431941">
            <w:pPr>
              <w:bidi w:val="0"/>
              <w:ind w:left="284"/>
              <w:rPr>
                <w:rFonts w:eastAsiaTheme="minorHAnsi"/>
                <w:b/>
                <w:bCs/>
              </w:rPr>
            </w:pPr>
            <w:r w:rsidRPr="00431941">
              <w:rPr>
                <w:rFonts w:eastAsiaTheme="minorHAnsi"/>
                <w:b/>
                <w:bCs/>
              </w:rPr>
              <w:t>Reduced bowel motility</w:t>
            </w:r>
          </w:p>
        </w:tc>
        <w:tc>
          <w:tcPr>
            <w:tcW w:w="1569" w:type="pct"/>
            <w:vAlign w:val="center"/>
          </w:tcPr>
          <w:p w14:paraId="62D2C56A" w14:textId="77777777" w:rsidR="00431941" w:rsidRPr="00431941" w:rsidRDefault="00431941" w:rsidP="00431941">
            <w:pPr>
              <w:bidi w:val="0"/>
              <w:jc w:val="center"/>
              <w:rPr>
                <w:rFonts w:eastAsiaTheme="minorHAnsi"/>
              </w:rPr>
            </w:pPr>
            <w:r w:rsidRPr="00431941">
              <w:rPr>
                <w:rFonts w:eastAsiaTheme="minorHAnsi"/>
              </w:rPr>
              <w:t>44 (81.5%)</w:t>
            </w:r>
          </w:p>
        </w:tc>
      </w:tr>
      <w:tr w:rsidR="00431941" w:rsidRPr="00431941" w14:paraId="695D278E" w14:textId="77777777" w:rsidTr="00431941">
        <w:tc>
          <w:tcPr>
            <w:tcW w:w="3431" w:type="pct"/>
          </w:tcPr>
          <w:p w14:paraId="6671603A" w14:textId="77777777" w:rsidR="00431941" w:rsidRPr="00431941" w:rsidRDefault="00431941" w:rsidP="00431941">
            <w:pPr>
              <w:bidi w:val="0"/>
              <w:ind w:left="284"/>
              <w:rPr>
                <w:rFonts w:eastAsiaTheme="minorHAnsi"/>
                <w:b/>
                <w:bCs/>
              </w:rPr>
            </w:pPr>
            <w:r w:rsidRPr="00431941">
              <w:rPr>
                <w:rFonts w:eastAsiaTheme="minorHAnsi"/>
                <w:b/>
                <w:bCs/>
              </w:rPr>
              <w:t>Diffusion restriction</w:t>
            </w:r>
          </w:p>
        </w:tc>
        <w:tc>
          <w:tcPr>
            <w:tcW w:w="1569" w:type="pct"/>
            <w:vAlign w:val="center"/>
          </w:tcPr>
          <w:p w14:paraId="26857819" w14:textId="77777777" w:rsidR="00431941" w:rsidRPr="00431941" w:rsidRDefault="00431941" w:rsidP="00431941">
            <w:pPr>
              <w:bidi w:val="0"/>
              <w:jc w:val="center"/>
              <w:rPr>
                <w:rFonts w:eastAsiaTheme="minorHAnsi"/>
              </w:rPr>
            </w:pPr>
            <w:r w:rsidRPr="00431941">
              <w:rPr>
                <w:rFonts w:eastAsiaTheme="minorHAnsi"/>
              </w:rPr>
              <w:t>34 (63.0%)</w:t>
            </w:r>
          </w:p>
        </w:tc>
      </w:tr>
      <w:tr w:rsidR="00431941" w:rsidRPr="00431941" w14:paraId="797866DC" w14:textId="77777777" w:rsidTr="00431941">
        <w:tc>
          <w:tcPr>
            <w:tcW w:w="3431" w:type="pct"/>
          </w:tcPr>
          <w:p w14:paraId="35C34F93" w14:textId="1088E20B" w:rsidR="00431941" w:rsidRPr="00431941" w:rsidRDefault="003B09A8" w:rsidP="00431941">
            <w:pPr>
              <w:bidi w:val="0"/>
              <w:ind w:left="284"/>
              <w:rPr>
                <w:rFonts w:eastAsiaTheme="minorHAnsi"/>
                <w:b/>
                <w:bCs/>
              </w:rPr>
            </w:pPr>
            <w:r w:rsidRPr="00431941">
              <w:rPr>
                <w:rFonts w:eastAsiaTheme="minorHAnsi"/>
                <w:b/>
                <w:bCs/>
              </w:rPr>
              <w:t>Mesenteric</w:t>
            </w:r>
            <w:r w:rsidR="00431941" w:rsidRPr="00431941">
              <w:rPr>
                <w:rFonts w:eastAsiaTheme="minorHAnsi"/>
                <w:b/>
                <w:bCs/>
              </w:rPr>
              <w:t xml:space="preserve"> involvement</w:t>
            </w:r>
          </w:p>
        </w:tc>
        <w:tc>
          <w:tcPr>
            <w:tcW w:w="1569" w:type="pct"/>
            <w:vAlign w:val="center"/>
          </w:tcPr>
          <w:p w14:paraId="20D07DD7" w14:textId="77777777" w:rsidR="00431941" w:rsidRPr="00431941" w:rsidRDefault="00431941" w:rsidP="00431941">
            <w:pPr>
              <w:bidi w:val="0"/>
              <w:jc w:val="center"/>
              <w:rPr>
                <w:rFonts w:eastAsiaTheme="minorHAnsi"/>
              </w:rPr>
            </w:pPr>
            <w:r w:rsidRPr="00431941">
              <w:rPr>
                <w:rFonts w:eastAsiaTheme="minorHAnsi"/>
              </w:rPr>
              <w:t>41 (</w:t>
            </w:r>
            <w:r w:rsidRPr="00431941">
              <w:rPr>
                <w:rFonts w:eastAsiaTheme="minorHAnsi"/>
                <w:color w:val="000000"/>
              </w:rPr>
              <w:t>75.9%</w:t>
            </w:r>
            <w:r w:rsidRPr="00431941">
              <w:rPr>
                <w:rFonts w:eastAsiaTheme="minorHAnsi"/>
              </w:rPr>
              <w:t>)</w:t>
            </w:r>
          </w:p>
        </w:tc>
      </w:tr>
      <w:tr w:rsidR="00431941" w:rsidRPr="00431941" w14:paraId="0F2C7BBB" w14:textId="77777777" w:rsidTr="00431941">
        <w:tc>
          <w:tcPr>
            <w:tcW w:w="3431" w:type="pct"/>
          </w:tcPr>
          <w:p w14:paraId="1B0F0A3F" w14:textId="186BC60A" w:rsidR="00431941" w:rsidRPr="00431941" w:rsidRDefault="003B09A8" w:rsidP="00431941">
            <w:pPr>
              <w:bidi w:val="0"/>
              <w:ind w:left="482"/>
              <w:rPr>
                <w:rFonts w:eastAsiaTheme="minorHAnsi"/>
              </w:rPr>
            </w:pPr>
            <w:r w:rsidRPr="00431941">
              <w:rPr>
                <w:rFonts w:eastAsiaTheme="minorHAnsi"/>
              </w:rPr>
              <w:t>Mesenteric</w:t>
            </w:r>
            <w:r w:rsidR="00431941" w:rsidRPr="00431941">
              <w:rPr>
                <w:rFonts w:eastAsiaTheme="minorHAnsi"/>
              </w:rPr>
              <w:t xml:space="preserve"> inflammation with fat stranding</w:t>
            </w:r>
          </w:p>
        </w:tc>
        <w:tc>
          <w:tcPr>
            <w:tcW w:w="1569" w:type="pct"/>
            <w:vAlign w:val="center"/>
          </w:tcPr>
          <w:p w14:paraId="2B08E456" w14:textId="77777777" w:rsidR="00431941" w:rsidRPr="00431941" w:rsidRDefault="00431941" w:rsidP="00431941">
            <w:pPr>
              <w:bidi w:val="0"/>
              <w:jc w:val="center"/>
              <w:rPr>
                <w:rFonts w:eastAsiaTheme="minorHAnsi"/>
              </w:rPr>
            </w:pPr>
            <w:r w:rsidRPr="00431941">
              <w:rPr>
                <w:rFonts w:eastAsiaTheme="minorHAnsi"/>
              </w:rPr>
              <w:t>41 (75.9%)</w:t>
            </w:r>
          </w:p>
        </w:tc>
      </w:tr>
      <w:tr w:rsidR="00431941" w:rsidRPr="00431941" w14:paraId="57BE2F39" w14:textId="77777777" w:rsidTr="00431941">
        <w:tc>
          <w:tcPr>
            <w:tcW w:w="3431" w:type="pct"/>
          </w:tcPr>
          <w:p w14:paraId="38936929" w14:textId="77777777" w:rsidR="00431941" w:rsidRPr="00431941" w:rsidRDefault="00431941" w:rsidP="00431941">
            <w:pPr>
              <w:bidi w:val="0"/>
              <w:ind w:left="482"/>
              <w:rPr>
                <w:rFonts w:eastAsiaTheme="minorHAnsi"/>
              </w:rPr>
            </w:pPr>
            <w:r w:rsidRPr="00431941">
              <w:rPr>
                <w:rFonts w:eastAsiaTheme="minorHAnsi"/>
              </w:rPr>
              <w:t>Fibrofatty proliferation</w:t>
            </w:r>
          </w:p>
        </w:tc>
        <w:tc>
          <w:tcPr>
            <w:tcW w:w="1569" w:type="pct"/>
            <w:vAlign w:val="center"/>
          </w:tcPr>
          <w:p w14:paraId="0A361487" w14:textId="77777777" w:rsidR="00431941" w:rsidRPr="00431941" w:rsidRDefault="00431941" w:rsidP="00431941">
            <w:pPr>
              <w:bidi w:val="0"/>
              <w:jc w:val="center"/>
              <w:rPr>
                <w:rFonts w:eastAsiaTheme="minorHAnsi"/>
              </w:rPr>
            </w:pPr>
            <w:r w:rsidRPr="00431941">
              <w:rPr>
                <w:rFonts w:eastAsiaTheme="minorHAnsi"/>
              </w:rPr>
              <w:t>17 (31.5%)</w:t>
            </w:r>
          </w:p>
        </w:tc>
      </w:tr>
      <w:tr w:rsidR="00431941" w:rsidRPr="00431941" w14:paraId="72DD5746" w14:textId="77777777" w:rsidTr="00431941">
        <w:tc>
          <w:tcPr>
            <w:tcW w:w="3431" w:type="pct"/>
          </w:tcPr>
          <w:p w14:paraId="36266FAE" w14:textId="2F893DAE" w:rsidR="00431941" w:rsidRPr="00431941" w:rsidRDefault="003B09A8" w:rsidP="00431941">
            <w:pPr>
              <w:bidi w:val="0"/>
              <w:ind w:left="482"/>
              <w:rPr>
                <w:rFonts w:eastAsiaTheme="minorHAnsi"/>
              </w:rPr>
            </w:pPr>
            <w:r w:rsidRPr="00431941">
              <w:rPr>
                <w:rFonts w:eastAsiaTheme="minorHAnsi"/>
              </w:rPr>
              <w:t>Mesenteric</w:t>
            </w:r>
            <w:r w:rsidR="00431941" w:rsidRPr="00431941">
              <w:rPr>
                <w:rFonts w:eastAsiaTheme="minorHAnsi"/>
              </w:rPr>
              <w:t xml:space="preserve"> lymphadenopathy</w:t>
            </w:r>
          </w:p>
        </w:tc>
        <w:tc>
          <w:tcPr>
            <w:tcW w:w="1569" w:type="pct"/>
            <w:vAlign w:val="center"/>
          </w:tcPr>
          <w:p w14:paraId="7B97351B" w14:textId="77777777" w:rsidR="00431941" w:rsidRPr="00431941" w:rsidRDefault="00431941" w:rsidP="00431941">
            <w:pPr>
              <w:bidi w:val="0"/>
              <w:jc w:val="center"/>
              <w:rPr>
                <w:rFonts w:eastAsiaTheme="minorHAnsi"/>
              </w:rPr>
            </w:pPr>
            <w:r w:rsidRPr="00431941">
              <w:rPr>
                <w:rFonts w:eastAsiaTheme="minorHAnsi"/>
              </w:rPr>
              <w:t>29 (53.7%)</w:t>
            </w:r>
          </w:p>
        </w:tc>
      </w:tr>
      <w:tr w:rsidR="00431941" w:rsidRPr="00431941" w14:paraId="59FCE04F" w14:textId="77777777" w:rsidTr="00431941">
        <w:tc>
          <w:tcPr>
            <w:tcW w:w="3431" w:type="pct"/>
          </w:tcPr>
          <w:p w14:paraId="306A0C0C" w14:textId="729B9587" w:rsidR="00431941" w:rsidRPr="00431941" w:rsidRDefault="003B09A8" w:rsidP="00431941">
            <w:pPr>
              <w:bidi w:val="0"/>
              <w:ind w:left="482"/>
              <w:rPr>
                <w:rFonts w:eastAsiaTheme="minorHAnsi"/>
              </w:rPr>
            </w:pPr>
            <w:r w:rsidRPr="00431941">
              <w:rPr>
                <w:rFonts w:eastAsiaTheme="minorHAnsi"/>
              </w:rPr>
              <w:t>Mesenteric</w:t>
            </w:r>
            <w:r w:rsidR="00431941" w:rsidRPr="00431941">
              <w:rPr>
                <w:rFonts w:eastAsiaTheme="minorHAnsi"/>
              </w:rPr>
              <w:t xml:space="preserve"> vascular engorgement</w:t>
            </w:r>
          </w:p>
        </w:tc>
        <w:tc>
          <w:tcPr>
            <w:tcW w:w="1569" w:type="pct"/>
            <w:vAlign w:val="center"/>
          </w:tcPr>
          <w:p w14:paraId="6F5CE653" w14:textId="77777777" w:rsidR="00431941" w:rsidRPr="00431941" w:rsidRDefault="00431941" w:rsidP="00431941">
            <w:pPr>
              <w:bidi w:val="0"/>
              <w:jc w:val="center"/>
              <w:rPr>
                <w:rFonts w:eastAsiaTheme="minorHAnsi"/>
              </w:rPr>
            </w:pPr>
            <w:r w:rsidRPr="00431941">
              <w:rPr>
                <w:rFonts w:eastAsiaTheme="minorHAnsi"/>
              </w:rPr>
              <w:t>39 (72.2%)</w:t>
            </w:r>
          </w:p>
        </w:tc>
      </w:tr>
      <w:tr w:rsidR="00431941" w:rsidRPr="00431941" w14:paraId="59D97DD9" w14:textId="77777777" w:rsidTr="00431941">
        <w:tc>
          <w:tcPr>
            <w:tcW w:w="3431" w:type="pct"/>
          </w:tcPr>
          <w:p w14:paraId="55360EBD" w14:textId="71984011" w:rsidR="00431941" w:rsidRPr="00431941" w:rsidRDefault="00431941" w:rsidP="00431941">
            <w:pPr>
              <w:bidi w:val="0"/>
              <w:ind w:left="482"/>
              <w:rPr>
                <w:rFonts w:eastAsiaTheme="minorHAnsi"/>
              </w:rPr>
            </w:pPr>
            <w:r w:rsidRPr="00431941">
              <w:rPr>
                <w:rFonts w:eastAsiaTheme="minorHAnsi"/>
              </w:rPr>
              <w:t xml:space="preserve">Thrombosed </w:t>
            </w:r>
            <w:r w:rsidR="0082759D">
              <w:rPr>
                <w:rFonts w:eastAsiaTheme="minorHAnsi"/>
              </w:rPr>
              <w:t>mesenteric</w:t>
            </w:r>
            <w:r w:rsidRPr="00431941">
              <w:rPr>
                <w:rFonts w:eastAsiaTheme="minorHAnsi"/>
              </w:rPr>
              <w:t xml:space="preserve"> veins</w:t>
            </w:r>
          </w:p>
        </w:tc>
        <w:tc>
          <w:tcPr>
            <w:tcW w:w="1569" w:type="pct"/>
            <w:vAlign w:val="center"/>
          </w:tcPr>
          <w:p w14:paraId="15E052E9" w14:textId="77777777" w:rsidR="00431941" w:rsidRPr="00431941" w:rsidRDefault="00431941" w:rsidP="00431941">
            <w:pPr>
              <w:bidi w:val="0"/>
              <w:jc w:val="center"/>
              <w:rPr>
                <w:rFonts w:eastAsiaTheme="minorHAnsi"/>
              </w:rPr>
            </w:pPr>
            <w:r w:rsidRPr="00431941">
              <w:rPr>
                <w:rFonts w:eastAsiaTheme="minorHAnsi"/>
              </w:rPr>
              <w:t>8 (14.8%)</w:t>
            </w:r>
          </w:p>
        </w:tc>
      </w:tr>
      <w:tr w:rsidR="00431941" w:rsidRPr="00431941" w14:paraId="72C45701" w14:textId="77777777" w:rsidTr="00431941">
        <w:tc>
          <w:tcPr>
            <w:tcW w:w="3431" w:type="pct"/>
          </w:tcPr>
          <w:p w14:paraId="07BDD96F" w14:textId="2F274958" w:rsidR="00431941" w:rsidRPr="00431941" w:rsidRDefault="00431941" w:rsidP="00431941">
            <w:pPr>
              <w:bidi w:val="0"/>
              <w:rPr>
                <w:rFonts w:eastAsiaTheme="minorHAnsi"/>
                <w:b/>
                <w:bCs/>
              </w:rPr>
            </w:pPr>
            <w:r w:rsidRPr="00431941">
              <w:rPr>
                <w:rFonts w:eastAsiaTheme="minorHAnsi"/>
                <w:b/>
                <w:bCs/>
              </w:rPr>
              <w:t>Complicated/Penetrating Cro</w:t>
            </w:r>
            <w:r w:rsidR="005A0DC6">
              <w:rPr>
                <w:rFonts w:eastAsiaTheme="minorHAnsi"/>
                <w:b/>
                <w:bCs/>
              </w:rPr>
              <w:t>h</w:t>
            </w:r>
            <w:r w:rsidRPr="00431941">
              <w:rPr>
                <w:rFonts w:eastAsiaTheme="minorHAnsi"/>
                <w:b/>
                <w:bCs/>
              </w:rPr>
              <w:t>n’s disease</w:t>
            </w:r>
          </w:p>
        </w:tc>
        <w:tc>
          <w:tcPr>
            <w:tcW w:w="1569" w:type="pct"/>
            <w:shd w:val="clear" w:color="auto" w:fill="auto"/>
            <w:vAlign w:val="center"/>
          </w:tcPr>
          <w:p w14:paraId="194B2482" w14:textId="77777777" w:rsidR="00431941" w:rsidRPr="00431941" w:rsidRDefault="00431941" w:rsidP="00431941">
            <w:pPr>
              <w:bidi w:val="0"/>
              <w:jc w:val="center"/>
              <w:rPr>
                <w:rFonts w:eastAsiaTheme="minorHAnsi"/>
              </w:rPr>
            </w:pPr>
          </w:p>
        </w:tc>
      </w:tr>
      <w:tr w:rsidR="00431941" w:rsidRPr="00431941" w14:paraId="5046F003" w14:textId="77777777" w:rsidTr="00431941">
        <w:tc>
          <w:tcPr>
            <w:tcW w:w="3431" w:type="pct"/>
          </w:tcPr>
          <w:p w14:paraId="714AC203" w14:textId="77777777" w:rsidR="00431941" w:rsidRPr="00431941" w:rsidRDefault="00431941" w:rsidP="00431941">
            <w:pPr>
              <w:bidi w:val="0"/>
              <w:ind w:left="284"/>
              <w:rPr>
                <w:rFonts w:eastAsiaTheme="minorHAnsi"/>
              </w:rPr>
            </w:pPr>
            <w:r w:rsidRPr="00431941">
              <w:rPr>
                <w:rFonts w:eastAsiaTheme="minorHAnsi"/>
              </w:rPr>
              <w:t>Sinus tract</w:t>
            </w:r>
          </w:p>
        </w:tc>
        <w:tc>
          <w:tcPr>
            <w:tcW w:w="1569" w:type="pct"/>
            <w:vAlign w:val="center"/>
          </w:tcPr>
          <w:p w14:paraId="5C01E8A5" w14:textId="77777777" w:rsidR="00431941" w:rsidRPr="00431941" w:rsidRDefault="00431941" w:rsidP="00431941">
            <w:pPr>
              <w:bidi w:val="0"/>
              <w:jc w:val="center"/>
              <w:rPr>
                <w:rFonts w:eastAsiaTheme="minorHAnsi"/>
              </w:rPr>
            </w:pPr>
            <w:r w:rsidRPr="00431941">
              <w:rPr>
                <w:rFonts w:eastAsiaTheme="minorHAnsi"/>
              </w:rPr>
              <w:t>3 (5.6%)</w:t>
            </w:r>
          </w:p>
        </w:tc>
      </w:tr>
      <w:tr w:rsidR="00431941" w:rsidRPr="00431941" w14:paraId="43985D41" w14:textId="77777777" w:rsidTr="00431941">
        <w:tc>
          <w:tcPr>
            <w:tcW w:w="3431" w:type="pct"/>
          </w:tcPr>
          <w:p w14:paraId="4C727669" w14:textId="77777777" w:rsidR="00431941" w:rsidRPr="00431941" w:rsidRDefault="00431941" w:rsidP="00431941">
            <w:pPr>
              <w:bidi w:val="0"/>
              <w:ind w:left="284"/>
              <w:rPr>
                <w:rFonts w:eastAsiaTheme="minorHAnsi"/>
              </w:rPr>
            </w:pPr>
            <w:r w:rsidRPr="00431941">
              <w:rPr>
                <w:rFonts w:eastAsiaTheme="minorHAnsi"/>
              </w:rPr>
              <w:t>Fistula</w:t>
            </w:r>
          </w:p>
        </w:tc>
        <w:tc>
          <w:tcPr>
            <w:tcW w:w="1569" w:type="pct"/>
            <w:vAlign w:val="center"/>
          </w:tcPr>
          <w:p w14:paraId="5E357362" w14:textId="77777777" w:rsidR="00431941" w:rsidRPr="00431941" w:rsidRDefault="00431941" w:rsidP="00431941">
            <w:pPr>
              <w:bidi w:val="0"/>
              <w:jc w:val="center"/>
              <w:rPr>
                <w:rFonts w:eastAsiaTheme="minorHAnsi"/>
              </w:rPr>
            </w:pPr>
            <w:r w:rsidRPr="00431941">
              <w:rPr>
                <w:rFonts w:eastAsiaTheme="minorHAnsi"/>
              </w:rPr>
              <w:t>9 (16.7%)</w:t>
            </w:r>
          </w:p>
        </w:tc>
      </w:tr>
      <w:tr w:rsidR="00431941" w:rsidRPr="00431941" w14:paraId="741BA87A" w14:textId="77777777" w:rsidTr="00431941">
        <w:tc>
          <w:tcPr>
            <w:tcW w:w="3431" w:type="pct"/>
          </w:tcPr>
          <w:p w14:paraId="473E5A9C" w14:textId="77777777" w:rsidR="00431941" w:rsidRPr="00431941" w:rsidRDefault="00431941" w:rsidP="00431941">
            <w:pPr>
              <w:bidi w:val="0"/>
              <w:ind w:left="482"/>
              <w:rPr>
                <w:rFonts w:eastAsiaTheme="minorHAnsi"/>
                <w:i/>
                <w:iCs/>
              </w:rPr>
            </w:pPr>
            <w:r w:rsidRPr="00431941">
              <w:rPr>
                <w:rFonts w:eastAsiaTheme="minorHAnsi"/>
                <w:i/>
                <w:iCs/>
              </w:rPr>
              <w:t xml:space="preserve">Simple Fistula </w:t>
            </w:r>
          </w:p>
        </w:tc>
        <w:tc>
          <w:tcPr>
            <w:tcW w:w="1569" w:type="pct"/>
            <w:vAlign w:val="center"/>
          </w:tcPr>
          <w:p w14:paraId="3E26DDE6" w14:textId="77777777" w:rsidR="00431941" w:rsidRPr="00431941" w:rsidRDefault="00431941" w:rsidP="00431941">
            <w:pPr>
              <w:bidi w:val="0"/>
              <w:jc w:val="center"/>
              <w:rPr>
                <w:rFonts w:eastAsiaTheme="minorHAnsi"/>
              </w:rPr>
            </w:pPr>
            <w:r w:rsidRPr="00431941">
              <w:rPr>
                <w:rFonts w:eastAsiaTheme="minorHAnsi"/>
              </w:rPr>
              <w:t>8 (</w:t>
            </w:r>
            <w:r w:rsidRPr="00431941">
              <w:rPr>
                <w:rFonts w:eastAsiaTheme="minorHAnsi"/>
                <w:color w:val="000000"/>
              </w:rPr>
              <w:t>14.8%</w:t>
            </w:r>
            <w:r w:rsidRPr="00431941">
              <w:rPr>
                <w:rFonts w:eastAsiaTheme="minorHAnsi"/>
              </w:rPr>
              <w:t>)</w:t>
            </w:r>
          </w:p>
        </w:tc>
      </w:tr>
      <w:tr w:rsidR="00431941" w:rsidRPr="00431941" w14:paraId="14A5CD70" w14:textId="77777777" w:rsidTr="00431941">
        <w:tc>
          <w:tcPr>
            <w:tcW w:w="3431" w:type="pct"/>
          </w:tcPr>
          <w:p w14:paraId="641B4E0C" w14:textId="77777777" w:rsidR="00431941" w:rsidRPr="00431941" w:rsidRDefault="00431941" w:rsidP="00431941">
            <w:pPr>
              <w:bidi w:val="0"/>
              <w:ind w:left="482"/>
              <w:rPr>
                <w:rFonts w:eastAsiaTheme="minorHAnsi"/>
                <w:i/>
                <w:iCs/>
              </w:rPr>
            </w:pPr>
            <w:r w:rsidRPr="00431941">
              <w:rPr>
                <w:rFonts w:eastAsiaTheme="minorHAnsi"/>
                <w:i/>
                <w:iCs/>
              </w:rPr>
              <w:t>Complex Fistula</w:t>
            </w:r>
          </w:p>
        </w:tc>
        <w:tc>
          <w:tcPr>
            <w:tcW w:w="1569" w:type="pct"/>
            <w:vAlign w:val="center"/>
          </w:tcPr>
          <w:p w14:paraId="068E1AC6" w14:textId="77777777" w:rsidR="00431941" w:rsidRPr="00431941" w:rsidRDefault="00431941" w:rsidP="00431941">
            <w:pPr>
              <w:bidi w:val="0"/>
              <w:jc w:val="center"/>
              <w:rPr>
                <w:rFonts w:eastAsiaTheme="minorHAnsi"/>
              </w:rPr>
            </w:pPr>
            <w:r w:rsidRPr="00431941">
              <w:rPr>
                <w:rFonts w:eastAsiaTheme="minorHAnsi"/>
              </w:rPr>
              <w:t>1 (1.9%)</w:t>
            </w:r>
          </w:p>
        </w:tc>
      </w:tr>
      <w:tr w:rsidR="00431941" w:rsidRPr="00431941" w14:paraId="12EEF7E3" w14:textId="77777777" w:rsidTr="00431941">
        <w:tc>
          <w:tcPr>
            <w:tcW w:w="3431" w:type="pct"/>
          </w:tcPr>
          <w:p w14:paraId="37C6FB4F" w14:textId="77777777" w:rsidR="00431941" w:rsidRPr="00431941" w:rsidRDefault="00431941" w:rsidP="00431941">
            <w:pPr>
              <w:bidi w:val="0"/>
              <w:ind w:left="284"/>
              <w:rPr>
                <w:rFonts w:eastAsiaTheme="minorHAnsi"/>
              </w:rPr>
            </w:pPr>
            <w:r w:rsidRPr="00431941">
              <w:rPr>
                <w:rFonts w:eastAsiaTheme="minorHAnsi"/>
              </w:rPr>
              <w:t>Abscess</w:t>
            </w:r>
          </w:p>
        </w:tc>
        <w:tc>
          <w:tcPr>
            <w:tcW w:w="1569" w:type="pct"/>
            <w:vAlign w:val="center"/>
          </w:tcPr>
          <w:p w14:paraId="67A3D353" w14:textId="77777777" w:rsidR="00431941" w:rsidRPr="00431941" w:rsidRDefault="00431941" w:rsidP="00431941">
            <w:pPr>
              <w:bidi w:val="0"/>
              <w:jc w:val="center"/>
              <w:rPr>
                <w:rFonts w:eastAsiaTheme="minorHAnsi"/>
              </w:rPr>
            </w:pPr>
            <w:r w:rsidRPr="00431941">
              <w:rPr>
                <w:rFonts w:eastAsiaTheme="minorHAnsi"/>
              </w:rPr>
              <w:t>6 (11.1%)</w:t>
            </w:r>
          </w:p>
        </w:tc>
      </w:tr>
      <w:tr w:rsidR="00431941" w:rsidRPr="00431941" w14:paraId="19E5334B" w14:textId="77777777" w:rsidTr="00431941">
        <w:tc>
          <w:tcPr>
            <w:tcW w:w="3431" w:type="pct"/>
          </w:tcPr>
          <w:p w14:paraId="74A8860B" w14:textId="77777777" w:rsidR="00431941" w:rsidRPr="00431941" w:rsidRDefault="00431941" w:rsidP="00431941">
            <w:pPr>
              <w:bidi w:val="0"/>
              <w:ind w:left="284"/>
              <w:rPr>
                <w:rFonts w:eastAsiaTheme="minorHAnsi"/>
              </w:rPr>
            </w:pPr>
            <w:r w:rsidRPr="00431941">
              <w:rPr>
                <w:rFonts w:eastAsiaTheme="minorHAnsi"/>
              </w:rPr>
              <w:t>Free bowel perforation</w:t>
            </w:r>
          </w:p>
        </w:tc>
        <w:tc>
          <w:tcPr>
            <w:tcW w:w="1569" w:type="pct"/>
            <w:vAlign w:val="center"/>
          </w:tcPr>
          <w:p w14:paraId="002B5840" w14:textId="77777777" w:rsidR="00431941" w:rsidRPr="00431941" w:rsidRDefault="00431941" w:rsidP="00431941">
            <w:pPr>
              <w:bidi w:val="0"/>
              <w:jc w:val="center"/>
              <w:rPr>
                <w:rFonts w:eastAsiaTheme="minorHAnsi"/>
              </w:rPr>
            </w:pPr>
            <w:r w:rsidRPr="00431941">
              <w:rPr>
                <w:rFonts w:eastAsiaTheme="minorHAnsi"/>
              </w:rPr>
              <w:t>0 (0.0%)</w:t>
            </w:r>
          </w:p>
        </w:tc>
      </w:tr>
      <w:tr w:rsidR="00431941" w:rsidRPr="00431941" w14:paraId="05D57EAB" w14:textId="77777777" w:rsidTr="00431941">
        <w:tc>
          <w:tcPr>
            <w:tcW w:w="3431" w:type="pct"/>
          </w:tcPr>
          <w:p w14:paraId="08ED85E3" w14:textId="77777777" w:rsidR="00431941" w:rsidRPr="00431941" w:rsidRDefault="00431941" w:rsidP="00431941">
            <w:pPr>
              <w:bidi w:val="0"/>
              <w:ind w:left="284"/>
              <w:rPr>
                <w:rFonts w:eastAsiaTheme="minorHAnsi"/>
              </w:rPr>
            </w:pPr>
            <w:r w:rsidRPr="00431941">
              <w:rPr>
                <w:rFonts w:eastAsiaTheme="minorHAnsi"/>
              </w:rPr>
              <w:t>Perianal disease</w:t>
            </w:r>
          </w:p>
        </w:tc>
        <w:tc>
          <w:tcPr>
            <w:tcW w:w="1569" w:type="pct"/>
            <w:vAlign w:val="center"/>
          </w:tcPr>
          <w:p w14:paraId="1B361BCE" w14:textId="77777777" w:rsidR="00431941" w:rsidRPr="00431941" w:rsidRDefault="00431941" w:rsidP="00431941">
            <w:pPr>
              <w:bidi w:val="0"/>
              <w:jc w:val="center"/>
              <w:rPr>
                <w:rFonts w:eastAsiaTheme="minorHAnsi"/>
              </w:rPr>
            </w:pPr>
            <w:r w:rsidRPr="00431941">
              <w:rPr>
                <w:rFonts w:eastAsiaTheme="minorHAnsi"/>
              </w:rPr>
              <w:t>11 (20.4%)</w:t>
            </w:r>
          </w:p>
        </w:tc>
      </w:tr>
      <w:tr w:rsidR="00431941" w:rsidRPr="00431941" w14:paraId="23E7F812" w14:textId="77777777" w:rsidTr="00431941">
        <w:tc>
          <w:tcPr>
            <w:tcW w:w="3431" w:type="pct"/>
          </w:tcPr>
          <w:p w14:paraId="6A692116" w14:textId="77777777" w:rsidR="00431941" w:rsidRPr="00431941" w:rsidRDefault="00431941" w:rsidP="00431941">
            <w:pPr>
              <w:bidi w:val="0"/>
              <w:ind w:left="284"/>
              <w:rPr>
                <w:rFonts w:eastAsiaTheme="minorHAnsi"/>
              </w:rPr>
            </w:pPr>
            <w:r w:rsidRPr="00431941">
              <w:rPr>
                <w:rFonts w:eastAsiaTheme="minorHAnsi"/>
              </w:rPr>
              <w:t>Bowel stenosis</w:t>
            </w:r>
          </w:p>
        </w:tc>
        <w:tc>
          <w:tcPr>
            <w:tcW w:w="1569" w:type="pct"/>
            <w:vAlign w:val="center"/>
          </w:tcPr>
          <w:p w14:paraId="5E274752" w14:textId="77777777" w:rsidR="00431941" w:rsidRPr="00431941" w:rsidRDefault="00431941" w:rsidP="00431941">
            <w:pPr>
              <w:bidi w:val="0"/>
              <w:jc w:val="center"/>
              <w:rPr>
                <w:rFonts w:eastAsiaTheme="minorHAnsi"/>
              </w:rPr>
            </w:pPr>
            <w:r w:rsidRPr="00431941">
              <w:rPr>
                <w:rFonts w:eastAsiaTheme="minorHAnsi"/>
              </w:rPr>
              <w:t>14 (25.9%)</w:t>
            </w:r>
          </w:p>
        </w:tc>
      </w:tr>
    </w:tbl>
    <w:p w14:paraId="069ABD65" w14:textId="77777777" w:rsidR="00431941" w:rsidRDefault="00431941" w:rsidP="00337F9F">
      <w:pPr>
        <w:pStyle w:val="ListParagraph"/>
        <w:bidi w:val="0"/>
        <w:spacing w:line="360" w:lineRule="auto"/>
        <w:ind w:left="0" w:firstLine="567"/>
        <w:rPr>
          <w:sz w:val="24"/>
          <w:szCs w:val="24"/>
          <w:lang w:eastAsia="zh-CN"/>
        </w:rPr>
      </w:pPr>
    </w:p>
    <w:p w14:paraId="6DB4815E" w14:textId="1D4D4AF7" w:rsidR="00FC6B49" w:rsidRDefault="00FC6B49" w:rsidP="00431941">
      <w:pPr>
        <w:pStyle w:val="ListParagraph"/>
        <w:bidi w:val="0"/>
        <w:spacing w:line="360" w:lineRule="auto"/>
        <w:ind w:left="0" w:firstLine="567"/>
        <w:jc w:val="both"/>
        <w:rPr>
          <w:sz w:val="24"/>
          <w:szCs w:val="24"/>
          <w:lang w:eastAsia="zh-CN"/>
        </w:rPr>
      </w:pPr>
      <w:r w:rsidRPr="00C67DF7">
        <w:rPr>
          <w:sz w:val="24"/>
          <w:szCs w:val="24"/>
          <w:lang w:eastAsia="zh-CN"/>
        </w:rPr>
        <w:t xml:space="preserve">Assessment of extra-intestinal CD manifestations and following </w:t>
      </w:r>
      <w:r w:rsidR="004605B8" w:rsidRPr="00C67DF7">
        <w:rPr>
          <w:sz w:val="24"/>
          <w:szCs w:val="24"/>
          <w:lang w:eastAsia="zh-CN"/>
        </w:rPr>
        <w:t>their progression was</w:t>
      </w:r>
      <w:r w:rsidRPr="00C67DF7">
        <w:rPr>
          <w:sz w:val="24"/>
          <w:szCs w:val="24"/>
          <w:lang w:eastAsia="zh-CN"/>
        </w:rPr>
        <w:t xml:space="preserve"> also done. A systematic overview of the available patients </w:t>
      </w:r>
      <w:r w:rsidRPr="00C67DF7">
        <w:rPr>
          <w:b/>
          <w:bCs/>
          <w:sz w:val="24"/>
          <w:szCs w:val="24"/>
          <w:lang w:eastAsia="zh-CN"/>
        </w:rPr>
        <w:t>(Tab 1)</w:t>
      </w:r>
      <w:r w:rsidRPr="00C67DF7">
        <w:rPr>
          <w:sz w:val="24"/>
          <w:szCs w:val="24"/>
          <w:lang w:eastAsia="zh-CN"/>
        </w:rPr>
        <w:t xml:space="preserve"> was obtained as follows: </w:t>
      </w:r>
      <w:r w:rsidRPr="00C67DF7">
        <w:rPr>
          <w:i/>
          <w:iCs/>
          <w:sz w:val="24"/>
          <w:szCs w:val="24"/>
          <w:lang w:eastAsia="zh-CN"/>
        </w:rPr>
        <w:t>Bowel wall thickening</w:t>
      </w:r>
      <w:r w:rsidRPr="00C67DF7">
        <w:rPr>
          <w:sz w:val="24"/>
          <w:szCs w:val="24"/>
          <w:lang w:eastAsia="zh-CN"/>
        </w:rPr>
        <w:t xml:space="preserve"> was considered a sign of active inflammation in about 46 out of 54 patients (85%) and graded into mild (35.2%), moderate (27.8%) and severe (22.2%) thickening as increasing wall thickness associated with increasing disease severity. </w:t>
      </w:r>
      <w:r w:rsidRPr="00C67DF7">
        <w:rPr>
          <w:i/>
          <w:iCs/>
          <w:sz w:val="24"/>
          <w:szCs w:val="24"/>
          <w:lang w:eastAsia="zh-CN"/>
        </w:rPr>
        <w:t>Bowel wall edema</w:t>
      </w:r>
      <w:r w:rsidRPr="00C67DF7">
        <w:rPr>
          <w:sz w:val="24"/>
          <w:szCs w:val="24"/>
          <w:lang w:eastAsia="zh-CN"/>
        </w:rPr>
        <w:t xml:space="preserve"> was another criterion of active inflammation, found in 15 out of 54 patients (27.8%). Severe inflammatory bowel wall thickening with intramural edema was associated with subsequent luminal narrowing, representing active inflammatory bowel stenosis </w:t>
      </w:r>
      <w:r w:rsidRPr="00C67DF7">
        <w:rPr>
          <w:b/>
          <w:bCs/>
          <w:sz w:val="24"/>
          <w:szCs w:val="24"/>
          <w:lang w:eastAsia="zh-CN"/>
        </w:rPr>
        <w:t>(</w:t>
      </w:r>
      <w:r w:rsidR="00A87E7F" w:rsidRPr="00C67DF7">
        <w:rPr>
          <w:b/>
          <w:bCs/>
          <w:sz w:val="24"/>
          <w:szCs w:val="24"/>
          <w:lang w:eastAsia="zh-CN"/>
        </w:rPr>
        <w:t xml:space="preserve">Fig. 2) </w:t>
      </w:r>
      <w:r w:rsidR="00A87E7F" w:rsidRPr="00C509B1">
        <w:rPr>
          <w:sz w:val="24"/>
          <w:szCs w:val="24"/>
          <w:lang w:eastAsia="zh-CN"/>
        </w:rPr>
        <w:t>in CD,</w:t>
      </w:r>
      <w:r w:rsidRPr="00C67DF7">
        <w:rPr>
          <w:sz w:val="24"/>
          <w:szCs w:val="24"/>
          <w:lang w:eastAsia="zh-CN"/>
        </w:rPr>
        <w:t xml:space="preserve"> detected in about 12 patients (22.2%) in our studied cases.</w:t>
      </w:r>
    </w:p>
    <w:p w14:paraId="6297ED1E" w14:textId="77777777" w:rsidR="00AE717B" w:rsidRDefault="00AE717B" w:rsidP="00AE717B">
      <w:pPr>
        <w:pStyle w:val="ListParagraph"/>
        <w:keepNext/>
        <w:bidi w:val="0"/>
        <w:spacing w:line="360" w:lineRule="auto"/>
        <w:ind w:left="0" w:firstLine="567"/>
        <w:jc w:val="both"/>
      </w:pPr>
      <w:r w:rsidRPr="00AE717B">
        <w:rPr>
          <w:b/>
          <w:bCs/>
          <w:noProof/>
          <w:sz w:val="24"/>
          <w:szCs w:val="24"/>
          <w:lang w:eastAsia="zh-CN"/>
        </w:rPr>
        <w:drawing>
          <wp:inline distT="0" distB="0" distL="0" distR="0" wp14:anchorId="4521CDFB" wp14:editId="219C1870">
            <wp:extent cx="5274310" cy="3079115"/>
            <wp:effectExtent l="0" t="0" r="2540" b="6985"/>
            <wp:docPr id="1551143757" name="Picture 1" descr="Figure 2. Active inflammatory stricture in a patient with Crohn’s disease. Axial T1W Fat Sat post-contrast showing severe mural wall thickening and enhancement (white arrow) affecting distal ileal loops. Skip lesion is noted in the adjacent bowel loop (grey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143757" name="Picture 1" descr="Figure 2. Active inflammatory stricture in a patient with Crohn’s disease. Axial T1W Fat Sat post-contrast showing severe mural wall thickening and enhancement (white arrow) affecting distal ileal loops. Skip lesion is noted in the adjacent bowel loop (grey arrow).."/>
                    <pic:cNvPicPr/>
                  </pic:nvPicPr>
                  <pic:blipFill>
                    <a:blip r:embed="rId8"/>
                    <a:stretch>
                      <a:fillRect/>
                    </a:stretch>
                  </pic:blipFill>
                  <pic:spPr>
                    <a:xfrm>
                      <a:off x="0" y="0"/>
                      <a:ext cx="5274310" cy="3079115"/>
                    </a:xfrm>
                    <a:prstGeom prst="rect">
                      <a:avLst/>
                    </a:prstGeom>
                  </pic:spPr>
                </pic:pic>
              </a:graphicData>
            </a:graphic>
          </wp:inline>
        </w:drawing>
      </w:r>
    </w:p>
    <w:p w14:paraId="7672FD9B" w14:textId="1A28F75B" w:rsidR="00AE717B" w:rsidRPr="00AE717B" w:rsidRDefault="00AE717B" w:rsidP="00AE717B">
      <w:pPr>
        <w:pStyle w:val="Caption"/>
        <w:bidi w:val="0"/>
        <w:jc w:val="both"/>
      </w:pPr>
      <w:r>
        <w:t xml:space="preserve">Fig </w:t>
      </w:r>
      <w:r>
        <w:fldChar w:fldCharType="begin"/>
      </w:r>
      <w:r>
        <w:instrText xml:space="preserve"> SEQ Figure \* ARABIC </w:instrText>
      </w:r>
      <w:r>
        <w:fldChar w:fldCharType="separate"/>
      </w:r>
      <w:r w:rsidR="001B6C2C">
        <w:rPr>
          <w:noProof/>
        </w:rPr>
        <w:t>2</w:t>
      </w:r>
      <w:r>
        <w:fldChar w:fldCharType="end"/>
      </w:r>
      <w:r>
        <w:t xml:space="preserve">. </w:t>
      </w:r>
      <w:r w:rsidRPr="00AE717B">
        <w:t xml:space="preserve">Active inflammatory stricture in a patient with Crohn’s disease. Axial T1W Fat Sat post-contrast showing severe mural wall thickening and enhancement </w:t>
      </w:r>
      <w:r w:rsidRPr="00AE717B">
        <w:rPr>
          <w:b/>
          <w:bCs/>
        </w:rPr>
        <w:t>(</w:t>
      </w:r>
      <w:r w:rsidR="00D96769">
        <w:rPr>
          <w:b/>
          <w:bCs/>
        </w:rPr>
        <w:t>W</w:t>
      </w:r>
      <w:r w:rsidRPr="00AE717B">
        <w:rPr>
          <w:b/>
          <w:bCs/>
        </w:rPr>
        <w:t>hite arrow)</w:t>
      </w:r>
      <w:r w:rsidRPr="00AE717B">
        <w:t xml:space="preserve"> affecting distal ileal loops. Skip lesion is noted in the adjacent bowel loop </w:t>
      </w:r>
      <w:r w:rsidRPr="00AE717B">
        <w:rPr>
          <w:b/>
          <w:bCs/>
        </w:rPr>
        <w:t>(</w:t>
      </w:r>
      <w:r w:rsidR="00D96769">
        <w:rPr>
          <w:b/>
          <w:bCs/>
        </w:rPr>
        <w:t>G</w:t>
      </w:r>
      <w:r w:rsidRPr="00AE717B">
        <w:rPr>
          <w:b/>
          <w:bCs/>
        </w:rPr>
        <w:t>rey arrow).</w:t>
      </w:r>
    </w:p>
    <w:p w14:paraId="79C0DF3E" w14:textId="34780DA2" w:rsidR="009251FD" w:rsidRDefault="009251FD" w:rsidP="00AE717B">
      <w:pPr>
        <w:pStyle w:val="Caption"/>
        <w:bidi w:val="0"/>
        <w:jc w:val="both"/>
      </w:pPr>
    </w:p>
    <w:p w14:paraId="40D3E364" w14:textId="28E2C096" w:rsidR="00FC6B49" w:rsidRPr="00C67DF7" w:rsidRDefault="00FC6B49" w:rsidP="00FC6B49">
      <w:pPr>
        <w:pStyle w:val="ListParagraph"/>
        <w:bidi w:val="0"/>
        <w:spacing w:line="360" w:lineRule="auto"/>
        <w:ind w:left="0" w:firstLine="567"/>
        <w:jc w:val="both"/>
        <w:rPr>
          <w:sz w:val="24"/>
          <w:szCs w:val="24"/>
          <w:lang w:eastAsia="zh-CN"/>
        </w:rPr>
      </w:pPr>
      <w:r w:rsidRPr="00C67DF7">
        <w:rPr>
          <w:sz w:val="24"/>
          <w:szCs w:val="24"/>
          <w:lang w:eastAsia="zh-CN"/>
        </w:rPr>
        <w:t>Mural wall hyperenhancement</w:t>
      </w:r>
      <w:r w:rsidRPr="00C67DF7">
        <w:rPr>
          <w:i/>
          <w:iCs/>
          <w:sz w:val="24"/>
          <w:szCs w:val="24"/>
          <w:lang w:eastAsia="zh-CN"/>
        </w:rPr>
        <w:t xml:space="preserve"> </w:t>
      </w:r>
      <w:r w:rsidRPr="00C67DF7">
        <w:rPr>
          <w:sz w:val="24"/>
          <w:szCs w:val="24"/>
          <w:lang w:eastAsia="zh-CN"/>
        </w:rPr>
        <w:t>was a specific sign of active inflammation on dynamic contrast-enhanced images</w:t>
      </w:r>
      <w:r w:rsidR="00A87E7F" w:rsidRPr="00C67DF7">
        <w:rPr>
          <w:sz w:val="24"/>
          <w:szCs w:val="24"/>
          <w:lang w:eastAsia="zh-CN"/>
        </w:rPr>
        <w:t>. It</w:t>
      </w:r>
      <w:r w:rsidRPr="00C67DF7">
        <w:rPr>
          <w:sz w:val="24"/>
          <w:szCs w:val="24"/>
          <w:lang w:eastAsia="zh-CN"/>
        </w:rPr>
        <w:t xml:space="preserve"> was detected in 43 out of 54 patients (79.6%); it </w:t>
      </w:r>
      <w:r w:rsidR="004605B8" w:rsidRPr="00C67DF7">
        <w:rPr>
          <w:sz w:val="24"/>
          <w:szCs w:val="24"/>
          <w:lang w:eastAsia="zh-CN"/>
        </w:rPr>
        <w:t>was seen as symmetrical in 61.1% and asymmetrical in 18.5% of</w:t>
      </w:r>
      <w:r w:rsidRPr="00C67DF7">
        <w:rPr>
          <w:sz w:val="24"/>
          <w:szCs w:val="24"/>
          <w:lang w:eastAsia="zh-CN"/>
        </w:rPr>
        <w:t xml:space="preserve"> the total patients. Active inflammatory bowel wall also displayed restricted diffusion (on DWI/ADC imaging) in 34 patients (63%) and reduced bowel </w:t>
      </w:r>
      <w:r w:rsidR="004605B8" w:rsidRPr="00C67DF7">
        <w:rPr>
          <w:sz w:val="24"/>
          <w:szCs w:val="24"/>
          <w:lang w:eastAsia="zh-CN"/>
        </w:rPr>
        <w:t>peristalsis</w:t>
      </w:r>
      <w:r w:rsidRPr="00C67DF7">
        <w:rPr>
          <w:sz w:val="24"/>
          <w:szCs w:val="24"/>
          <w:lang w:eastAsia="zh-CN"/>
        </w:rPr>
        <w:t xml:space="preserve"> (on cine MRE) in 44 patients (81.5%).</w:t>
      </w:r>
    </w:p>
    <w:p w14:paraId="1BC75111" w14:textId="7EF1C463" w:rsidR="00FC6B49" w:rsidRDefault="00FC6B49" w:rsidP="00FC6B49">
      <w:pPr>
        <w:pStyle w:val="ListParagraph"/>
        <w:bidi w:val="0"/>
        <w:spacing w:line="360" w:lineRule="auto"/>
        <w:ind w:left="0" w:firstLine="567"/>
        <w:jc w:val="both"/>
        <w:rPr>
          <w:sz w:val="24"/>
          <w:szCs w:val="24"/>
          <w:lang w:eastAsia="zh-CN"/>
        </w:rPr>
      </w:pPr>
      <w:r w:rsidRPr="00C67DF7">
        <w:rPr>
          <w:sz w:val="24"/>
          <w:szCs w:val="24"/>
          <w:lang w:eastAsia="zh-CN"/>
        </w:rPr>
        <w:t xml:space="preserve">Mucosal ulceration is an uncommon MRE finding of active </w:t>
      </w:r>
      <w:r w:rsidR="004605B8" w:rsidRPr="00C67DF7">
        <w:rPr>
          <w:sz w:val="24"/>
          <w:szCs w:val="24"/>
          <w:lang w:eastAsia="zh-CN"/>
        </w:rPr>
        <w:t>Crohn’s</w:t>
      </w:r>
      <w:r w:rsidRPr="00C67DF7">
        <w:rPr>
          <w:sz w:val="24"/>
          <w:szCs w:val="24"/>
          <w:lang w:eastAsia="zh-CN"/>
        </w:rPr>
        <w:t xml:space="preserve"> disease</w:t>
      </w:r>
      <w:r w:rsidR="004605B8" w:rsidRPr="00C67DF7">
        <w:rPr>
          <w:sz w:val="24"/>
          <w:szCs w:val="24"/>
          <w:lang w:eastAsia="zh-CN"/>
        </w:rPr>
        <w:t xml:space="preserve">. It requires adequate bowel distention for definitive detection. It was present in only 3 of 54 </w:t>
      </w:r>
      <w:r w:rsidRPr="00C67DF7">
        <w:rPr>
          <w:sz w:val="24"/>
          <w:szCs w:val="24"/>
          <w:lang w:eastAsia="zh-CN"/>
        </w:rPr>
        <w:t>patients (5.6%).</w:t>
      </w:r>
    </w:p>
    <w:p w14:paraId="162AB599" w14:textId="77777777" w:rsidR="00722A94" w:rsidRDefault="00722A94" w:rsidP="00722A94">
      <w:pPr>
        <w:pStyle w:val="ListParagraph"/>
        <w:keepNext/>
        <w:bidi w:val="0"/>
        <w:spacing w:line="360" w:lineRule="auto"/>
        <w:ind w:left="0" w:firstLine="567"/>
        <w:jc w:val="both"/>
      </w:pPr>
      <w:r w:rsidRPr="00722A94">
        <w:rPr>
          <w:noProof/>
          <w:sz w:val="24"/>
          <w:szCs w:val="24"/>
          <w:lang w:eastAsia="zh-CN"/>
        </w:rPr>
        <w:drawing>
          <wp:inline distT="0" distB="0" distL="0" distR="0" wp14:anchorId="6561146B" wp14:editId="02BF0C52">
            <wp:extent cx="3831606" cy="4572000"/>
            <wp:effectExtent l="0" t="0" r="0" b="0"/>
            <wp:docPr id="385616591" name="Picture 1" descr="Figure 3. Fibrofatty proliferation in a patient with Crohn’s disease. Coronal T2W shows eccentric fibrofatty proliferation (white arrows) adjacent to a thick-walled small bowel segment (black arrow) with mild lumen narrowing and upstream dila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616591" name="Picture 1" descr="Figure 3. Fibrofatty proliferation in a patient with Crohn’s disease. Coronal T2W shows eccentric fibrofatty proliferation (white arrows) adjacent to a thick-walled small bowel segment (black arrow) with mild lumen narrowing and upstream dilatation. "/>
                    <pic:cNvPicPr/>
                  </pic:nvPicPr>
                  <pic:blipFill>
                    <a:blip r:embed="rId9"/>
                    <a:stretch>
                      <a:fillRect/>
                    </a:stretch>
                  </pic:blipFill>
                  <pic:spPr>
                    <a:xfrm>
                      <a:off x="0" y="0"/>
                      <a:ext cx="3831606" cy="4572000"/>
                    </a:xfrm>
                    <a:prstGeom prst="rect">
                      <a:avLst/>
                    </a:prstGeom>
                  </pic:spPr>
                </pic:pic>
              </a:graphicData>
            </a:graphic>
          </wp:inline>
        </w:drawing>
      </w:r>
    </w:p>
    <w:p w14:paraId="6E96564A" w14:textId="76E6F474" w:rsidR="00722A94" w:rsidRPr="00722A94" w:rsidRDefault="00722A94" w:rsidP="003B09A8">
      <w:pPr>
        <w:pStyle w:val="Caption"/>
        <w:bidi w:val="0"/>
      </w:pPr>
      <w:r>
        <w:t xml:space="preserve">Fig </w:t>
      </w:r>
      <w:r>
        <w:fldChar w:fldCharType="begin"/>
      </w:r>
      <w:r>
        <w:instrText xml:space="preserve"> SEQ Figure \* ARABIC </w:instrText>
      </w:r>
      <w:r>
        <w:fldChar w:fldCharType="separate"/>
      </w:r>
      <w:r w:rsidR="001B6C2C">
        <w:rPr>
          <w:noProof/>
        </w:rPr>
        <w:t>3</w:t>
      </w:r>
      <w:r>
        <w:fldChar w:fldCharType="end"/>
      </w:r>
      <w:r>
        <w:t xml:space="preserve">. </w:t>
      </w:r>
      <w:r w:rsidRPr="00722A94">
        <w:t xml:space="preserve">Fibrofatty proliferation in a patient with Crohn’s disease. Coronal T2W </w:t>
      </w:r>
      <w:r>
        <w:t xml:space="preserve">shows eccentric fibrofatty proliferation (white arrows) adjacent to a thick-walled small bowel segment (black arrow) with mild lumen narrowing and </w:t>
      </w:r>
      <w:r w:rsidRPr="00722A94">
        <w:t>upstream dilatation</w:t>
      </w:r>
      <w:r>
        <w:t>.</w:t>
      </w:r>
      <w:r w:rsidRPr="00722A94">
        <w:t xml:space="preserve"> </w:t>
      </w:r>
    </w:p>
    <w:p w14:paraId="33700EF4" w14:textId="18794919" w:rsidR="00722A94" w:rsidRPr="00C67DF7" w:rsidRDefault="00722A94" w:rsidP="00722A94">
      <w:pPr>
        <w:pStyle w:val="Caption"/>
        <w:bidi w:val="0"/>
        <w:jc w:val="both"/>
        <w:rPr>
          <w:sz w:val="24"/>
          <w:szCs w:val="24"/>
          <w:lang w:eastAsia="zh-CN"/>
        </w:rPr>
      </w:pPr>
    </w:p>
    <w:p w14:paraId="487DB591" w14:textId="465BC35B" w:rsidR="00FC6B49" w:rsidRDefault="00FC6B49" w:rsidP="00FC6B49">
      <w:pPr>
        <w:pStyle w:val="ListParagraph"/>
        <w:bidi w:val="0"/>
        <w:spacing w:line="360" w:lineRule="auto"/>
        <w:ind w:left="0" w:firstLine="567"/>
        <w:jc w:val="both"/>
        <w:rPr>
          <w:sz w:val="24"/>
          <w:szCs w:val="24"/>
          <w:lang w:eastAsia="zh-CN"/>
        </w:rPr>
      </w:pPr>
      <w:r w:rsidRPr="00C67DF7">
        <w:rPr>
          <w:sz w:val="24"/>
          <w:szCs w:val="24"/>
          <w:lang w:eastAsia="zh-CN"/>
        </w:rPr>
        <w:t>Various mesenteric MR signs in the active disease stage have been delineated in our patients</w:t>
      </w:r>
      <w:r w:rsidR="004605B8" w:rsidRPr="00C67DF7">
        <w:rPr>
          <w:sz w:val="24"/>
          <w:szCs w:val="24"/>
          <w:lang w:eastAsia="zh-CN"/>
        </w:rPr>
        <w:t xml:space="preserve">, including inflammatory mesenteric fat stranding </w:t>
      </w:r>
      <w:r w:rsidR="004605B8" w:rsidRPr="00C67DF7">
        <w:rPr>
          <w:b/>
          <w:bCs/>
          <w:sz w:val="24"/>
          <w:szCs w:val="24"/>
          <w:lang w:eastAsia="zh-CN"/>
        </w:rPr>
        <w:t>(</w:t>
      </w:r>
      <w:r w:rsidR="00A87E7F" w:rsidRPr="00C67DF7">
        <w:rPr>
          <w:b/>
          <w:bCs/>
          <w:sz w:val="24"/>
          <w:szCs w:val="24"/>
          <w:lang w:eastAsia="zh-CN"/>
        </w:rPr>
        <w:t>Fig.</w:t>
      </w:r>
      <w:r w:rsidR="004605B8" w:rsidRPr="00C67DF7">
        <w:rPr>
          <w:b/>
          <w:bCs/>
          <w:sz w:val="24"/>
          <w:szCs w:val="24"/>
          <w:lang w:eastAsia="zh-CN"/>
        </w:rPr>
        <w:t xml:space="preserve"> 3)</w:t>
      </w:r>
      <w:r w:rsidR="004605B8" w:rsidRPr="00C67DF7">
        <w:rPr>
          <w:sz w:val="24"/>
          <w:szCs w:val="24"/>
          <w:lang w:eastAsia="zh-CN"/>
        </w:rPr>
        <w:t xml:space="preserve"> in 41/54 patients (75.9%), mesenteric lymphadenopathy in 29/54 patients (53.7%), and vascular engorgement within the affected mesentery in 39/54 patients (72.2%). Mesenteric venous thrombosis could also be</w:t>
      </w:r>
      <w:r w:rsidRPr="00C67DF7">
        <w:rPr>
          <w:sz w:val="24"/>
          <w:szCs w:val="24"/>
          <w:lang w:eastAsia="zh-CN"/>
        </w:rPr>
        <w:t xml:space="preserve"> detected in about </w:t>
      </w:r>
      <w:r w:rsidR="00A87E7F" w:rsidRPr="00C67DF7">
        <w:rPr>
          <w:sz w:val="24"/>
          <w:szCs w:val="24"/>
          <w:lang w:eastAsia="zh-CN"/>
        </w:rPr>
        <w:t>eight</w:t>
      </w:r>
      <w:r w:rsidRPr="00C67DF7">
        <w:rPr>
          <w:sz w:val="24"/>
          <w:szCs w:val="24"/>
          <w:lang w:eastAsia="zh-CN"/>
        </w:rPr>
        <w:t xml:space="preserve"> patients (14.8%) </w:t>
      </w:r>
      <w:r w:rsidRPr="00C67DF7">
        <w:rPr>
          <w:b/>
          <w:bCs/>
          <w:sz w:val="24"/>
          <w:szCs w:val="24"/>
          <w:lang w:eastAsia="zh-CN"/>
        </w:rPr>
        <w:t>(Fig</w:t>
      </w:r>
      <w:r w:rsidR="00A87E7F" w:rsidRPr="00C67DF7">
        <w:rPr>
          <w:b/>
          <w:bCs/>
          <w:sz w:val="24"/>
          <w:szCs w:val="24"/>
          <w:lang w:eastAsia="zh-CN"/>
        </w:rPr>
        <w:t>.</w:t>
      </w:r>
      <w:r w:rsidRPr="00C67DF7">
        <w:rPr>
          <w:b/>
          <w:bCs/>
          <w:sz w:val="24"/>
          <w:szCs w:val="24"/>
          <w:lang w:eastAsia="zh-CN"/>
        </w:rPr>
        <w:t xml:space="preserve"> 4)</w:t>
      </w:r>
      <w:r w:rsidRPr="00C67DF7">
        <w:rPr>
          <w:sz w:val="24"/>
          <w:szCs w:val="24"/>
          <w:lang w:eastAsia="zh-CN"/>
        </w:rPr>
        <w:t xml:space="preserve">. </w:t>
      </w:r>
    </w:p>
    <w:p w14:paraId="184F76A3" w14:textId="77777777" w:rsidR="00660B34" w:rsidRDefault="00660B34" w:rsidP="00660B34">
      <w:pPr>
        <w:pStyle w:val="ListParagraph"/>
        <w:keepNext/>
        <w:bidi w:val="0"/>
        <w:spacing w:line="360" w:lineRule="auto"/>
        <w:ind w:left="0" w:firstLine="567"/>
        <w:jc w:val="both"/>
      </w:pPr>
      <w:r w:rsidRPr="00660B34">
        <w:rPr>
          <w:b/>
          <w:bCs/>
          <w:noProof/>
          <w:sz w:val="24"/>
          <w:szCs w:val="24"/>
          <w:lang w:eastAsia="zh-CN"/>
        </w:rPr>
        <w:drawing>
          <wp:inline distT="0" distB="0" distL="0" distR="0" wp14:anchorId="3B3C9A0D" wp14:editId="47EAE95F">
            <wp:extent cx="3525588" cy="3657600"/>
            <wp:effectExtent l="0" t="0" r="0" b="0"/>
            <wp:docPr id="1379560481" name="Picture 1" descr="Fig 4. Chronic mesenteric venous occlusion in a patient with Crohn’s disease. Coronal T1W Fat Sat post-contrast showing chronic mesenteric occlusion of the right ilio-colic vein with multiple dilated mesenteric venous collaterals (white arrows). There is diffuse striated mural wall enhancement of the distal ileum (grey arrow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560481" name="Picture 1" descr="Fig 4. Chronic mesenteric venous occlusion in a patient with Crohn’s disease. Coronal T1W Fat Sat post-contrast showing chronic mesenteric occlusion of the right ilio-colic vein with multiple dilated mesenteric venous collaterals (white arrows). There is diffuse striated mural wall enhancement of the distal ileum (grey arrows). "/>
                    <pic:cNvPicPr/>
                  </pic:nvPicPr>
                  <pic:blipFill>
                    <a:blip r:embed="rId10"/>
                    <a:stretch>
                      <a:fillRect/>
                    </a:stretch>
                  </pic:blipFill>
                  <pic:spPr>
                    <a:xfrm>
                      <a:off x="0" y="0"/>
                      <a:ext cx="3525588" cy="3657600"/>
                    </a:xfrm>
                    <a:prstGeom prst="rect">
                      <a:avLst/>
                    </a:prstGeom>
                  </pic:spPr>
                </pic:pic>
              </a:graphicData>
            </a:graphic>
          </wp:inline>
        </w:drawing>
      </w:r>
    </w:p>
    <w:p w14:paraId="4720602D" w14:textId="37919869" w:rsidR="00660B34" w:rsidRPr="00C67DF7" w:rsidRDefault="00660B34" w:rsidP="00660B34">
      <w:pPr>
        <w:pStyle w:val="Caption"/>
        <w:bidi w:val="0"/>
        <w:jc w:val="both"/>
        <w:rPr>
          <w:b/>
          <w:bCs/>
          <w:sz w:val="24"/>
          <w:szCs w:val="24"/>
          <w:lang w:eastAsia="zh-CN"/>
        </w:rPr>
      </w:pPr>
      <w:r>
        <w:t xml:space="preserve">Fig </w:t>
      </w:r>
      <w:r>
        <w:fldChar w:fldCharType="begin"/>
      </w:r>
      <w:r>
        <w:instrText xml:space="preserve"> SEQ Figure \* ARABIC </w:instrText>
      </w:r>
      <w:r>
        <w:fldChar w:fldCharType="separate"/>
      </w:r>
      <w:r w:rsidR="001B6C2C">
        <w:rPr>
          <w:noProof/>
        </w:rPr>
        <w:t>4</w:t>
      </w:r>
      <w:r>
        <w:fldChar w:fldCharType="end"/>
      </w:r>
      <w:r>
        <w:t xml:space="preserve">. </w:t>
      </w:r>
      <w:r w:rsidRPr="00660B34">
        <w:t xml:space="preserve">Chronic mesenteric venous occlusion in a patient with Crohn’s disease. Coronal T1W Fat Sat post-contrast showing chronic mesenteric occlusion of the right ilio-colic vein with multiple dilated mesenteric venous collaterals </w:t>
      </w:r>
      <w:r w:rsidRPr="00660B34">
        <w:rPr>
          <w:b/>
          <w:bCs/>
        </w:rPr>
        <w:t>(white arrows)</w:t>
      </w:r>
      <w:r w:rsidRPr="00660B34">
        <w:t xml:space="preserve">. There is diffuse striated mural wall enhancement of the distal ileum </w:t>
      </w:r>
      <w:r w:rsidRPr="00660B34">
        <w:rPr>
          <w:b/>
          <w:bCs/>
        </w:rPr>
        <w:t>(</w:t>
      </w:r>
      <w:r w:rsidR="00FD2CEF">
        <w:rPr>
          <w:b/>
          <w:bCs/>
        </w:rPr>
        <w:t>grey</w:t>
      </w:r>
      <w:r w:rsidRPr="00660B34">
        <w:rPr>
          <w:b/>
          <w:bCs/>
        </w:rPr>
        <w:t xml:space="preserve"> arrows)</w:t>
      </w:r>
      <w:r w:rsidR="003B09A8">
        <w:rPr>
          <w:b/>
          <w:bCs/>
        </w:rPr>
        <w:t>.</w:t>
      </w:r>
      <w:r w:rsidRPr="00660B34">
        <w:rPr>
          <w:b/>
          <w:bCs/>
        </w:rPr>
        <w:t xml:space="preserve"> </w:t>
      </w:r>
    </w:p>
    <w:p w14:paraId="48776568" w14:textId="662E0FFF" w:rsidR="00146915" w:rsidRDefault="00FC6B49" w:rsidP="00FC6B49">
      <w:pPr>
        <w:pStyle w:val="ListParagraph"/>
        <w:bidi w:val="0"/>
        <w:spacing w:line="360" w:lineRule="auto"/>
        <w:ind w:left="0" w:firstLine="567"/>
        <w:jc w:val="both"/>
        <w:rPr>
          <w:sz w:val="24"/>
          <w:szCs w:val="24"/>
          <w:lang w:eastAsia="zh-CN"/>
        </w:rPr>
      </w:pPr>
      <w:r w:rsidRPr="00C67DF7">
        <w:rPr>
          <w:sz w:val="24"/>
          <w:szCs w:val="24"/>
          <w:lang w:eastAsia="zh-CN"/>
        </w:rPr>
        <w:t>Fistula formation has been reported in about 37% of our patients and is a feature of penetrating disease. Two types of fistulous disease are seen in our study</w:t>
      </w:r>
      <w:r w:rsidR="004605B8" w:rsidRPr="00C67DF7">
        <w:rPr>
          <w:sz w:val="24"/>
          <w:szCs w:val="24"/>
          <w:lang w:eastAsia="zh-CN"/>
        </w:rPr>
        <w:t>:</w:t>
      </w:r>
      <w:r w:rsidRPr="00C67DF7">
        <w:rPr>
          <w:sz w:val="24"/>
          <w:szCs w:val="24"/>
          <w:lang w:eastAsia="zh-CN"/>
        </w:rPr>
        <w:t xml:space="preserve"> intra-abdominal (in 9 patients, 16.7 %) and perianal fistula (in 11 patients, 20.4%) </w:t>
      </w:r>
      <w:r w:rsidRPr="00C67DF7">
        <w:rPr>
          <w:b/>
          <w:bCs/>
          <w:sz w:val="24"/>
          <w:szCs w:val="24"/>
          <w:lang w:eastAsia="zh-CN"/>
        </w:rPr>
        <w:t>(</w:t>
      </w:r>
      <w:r w:rsidR="004605B8" w:rsidRPr="00C67DF7">
        <w:rPr>
          <w:b/>
          <w:bCs/>
          <w:sz w:val="24"/>
          <w:szCs w:val="24"/>
          <w:lang w:eastAsia="zh-CN"/>
        </w:rPr>
        <w:t>Fig.</w:t>
      </w:r>
      <w:r w:rsidRPr="00C67DF7">
        <w:rPr>
          <w:b/>
          <w:bCs/>
          <w:sz w:val="24"/>
          <w:szCs w:val="24"/>
          <w:lang w:eastAsia="zh-CN"/>
        </w:rPr>
        <w:t xml:space="preserve"> 5)</w:t>
      </w:r>
      <w:r w:rsidRPr="00C67DF7">
        <w:rPr>
          <w:sz w:val="24"/>
          <w:szCs w:val="24"/>
          <w:lang w:eastAsia="zh-CN"/>
        </w:rPr>
        <w:t>.</w:t>
      </w:r>
    </w:p>
    <w:p w14:paraId="7D856622" w14:textId="77777777" w:rsidR="009F5C5C" w:rsidRDefault="009F5C5C" w:rsidP="009F5C5C">
      <w:pPr>
        <w:pStyle w:val="NormalWeb"/>
        <w:keepNext/>
      </w:pPr>
      <w:r>
        <w:rPr>
          <w:noProof/>
        </w:rPr>
        <w:drawing>
          <wp:inline distT="0" distB="0" distL="0" distR="0" wp14:anchorId="5FCDF142" wp14:editId="250A7551">
            <wp:extent cx="3748470" cy="4023360"/>
            <wp:effectExtent l="0" t="0" r="4445" b="0"/>
            <wp:docPr id="2" name="Picture 1" descr="A cl13-year-old female with Crohn’s disease and perianal disease. A&amp;B Coronal T2 Fat Sat.. C. Axial T1 Fat Sat post-contrast showing complex trans-sphincteric branching perianal fistula.  D. Clinical examination showing the perianal fist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cl13-year-old female with Crohn’s disease and perianal disease. A&amp;B Coronal T2 Fat Sat.. C. Axial T1 Fat Sat post-contrast showing complex trans-sphincteric branching perianal fistula.  D. Clinical examination showing the perianal fistul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48470" cy="4023360"/>
                    </a:xfrm>
                    <a:prstGeom prst="rect">
                      <a:avLst/>
                    </a:prstGeom>
                    <a:noFill/>
                    <a:ln>
                      <a:noFill/>
                    </a:ln>
                  </pic:spPr>
                </pic:pic>
              </a:graphicData>
            </a:graphic>
          </wp:inline>
        </w:drawing>
      </w:r>
    </w:p>
    <w:p w14:paraId="7289F04D" w14:textId="7A0B1078" w:rsidR="009F5C5C" w:rsidRPr="009F5C5C" w:rsidRDefault="009F5C5C" w:rsidP="00710208">
      <w:pPr>
        <w:pStyle w:val="Caption"/>
        <w:bidi w:val="0"/>
      </w:pPr>
      <w:r>
        <w:t xml:space="preserve">Fig </w:t>
      </w:r>
      <w:r>
        <w:fldChar w:fldCharType="begin"/>
      </w:r>
      <w:r>
        <w:instrText xml:space="preserve"> SEQ Figure \* ARABIC </w:instrText>
      </w:r>
      <w:r>
        <w:fldChar w:fldCharType="separate"/>
      </w:r>
      <w:r w:rsidR="001B6C2C">
        <w:rPr>
          <w:noProof/>
        </w:rPr>
        <w:t>5</w:t>
      </w:r>
      <w:r>
        <w:fldChar w:fldCharType="end"/>
      </w:r>
      <w:r>
        <w:t xml:space="preserve"> Shows a 13-year-old</w:t>
      </w:r>
      <w:r w:rsidRPr="009F5C5C">
        <w:t xml:space="preserve"> female with Crohn’s disease and perianal disease. </w:t>
      </w:r>
      <w:r w:rsidRPr="009F5C5C">
        <w:rPr>
          <w:b/>
          <w:bCs/>
        </w:rPr>
        <w:t xml:space="preserve">A&amp;B </w:t>
      </w:r>
      <w:r w:rsidRPr="009F5C5C">
        <w:t xml:space="preserve">Coronal T2 Fat </w:t>
      </w:r>
      <w:proofErr w:type="gramStart"/>
      <w:r w:rsidRPr="009F5C5C">
        <w:t>Sat.</w:t>
      </w:r>
      <w:r>
        <w:t>.</w:t>
      </w:r>
      <w:proofErr w:type="gramEnd"/>
      <w:r w:rsidRPr="009F5C5C">
        <w:t xml:space="preserve"> </w:t>
      </w:r>
      <w:r w:rsidRPr="009F5C5C">
        <w:rPr>
          <w:b/>
          <w:bCs/>
        </w:rPr>
        <w:t>C.</w:t>
      </w:r>
      <w:r w:rsidRPr="009F5C5C">
        <w:t xml:space="preserve"> Axial T1 Fat Sat post-contrast showing complex trans-sphincteric branching perianal fistula.  </w:t>
      </w:r>
      <w:r w:rsidRPr="009F5C5C">
        <w:rPr>
          <w:b/>
          <w:bCs/>
        </w:rPr>
        <w:t>D.</w:t>
      </w:r>
      <w:r w:rsidRPr="009F5C5C">
        <w:t xml:space="preserve"> Clinical examination showing the perianal fistula.</w:t>
      </w:r>
    </w:p>
    <w:p w14:paraId="19AB64F4" w14:textId="438AB48C" w:rsidR="00FC6B49" w:rsidRDefault="004605B8" w:rsidP="00146915">
      <w:pPr>
        <w:pStyle w:val="ListParagraph"/>
        <w:bidi w:val="0"/>
        <w:spacing w:line="360" w:lineRule="auto"/>
        <w:ind w:left="0" w:firstLine="567"/>
        <w:jc w:val="both"/>
        <w:rPr>
          <w:sz w:val="24"/>
          <w:szCs w:val="24"/>
          <w:lang w:eastAsia="zh-CN"/>
        </w:rPr>
      </w:pPr>
      <w:r w:rsidRPr="00C67DF7">
        <w:rPr>
          <w:sz w:val="24"/>
          <w:szCs w:val="24"/>
          <w:lang w:eastAsia="zh-CN"/>
        </w:rPr>
        <w:t>Simple</w:t>
      </w:r>
      <w:r w:rsidR="00FC6B49" w:rsidRPr="00C67DF7">
        <w:rPr>
          <w:sz w:val="24"/>
          <w:szCs w:val="24"/>
          <w:lang w:eastAsia="zh-CN"/>
        </w:rPr>
        <w:t xml:space="preserve"> fistula is the foremost intra-abdominal fistula</w:t>
      </w:r>
      <w:r w:rsidR="009F5C5C">
        <w:rPr>
          <w:sz w:val="24"/>
          <w:szCs w:val="24"/>
          <w:lang w:eastAsia="zh-CN"/>
        </w:rPr>
        <w:t>, as seen in 8 out of 9 patients (89%), with the remaining one being complex (Entero-entero-cutaneous fistula) (Fig. 6). Our study could also identify a sinus tract with a blind end</w:t>
      </w:r>
      <w:r w:rsidRPr="00C67DF7">
        <w:rPr>
          <w:sz w:val="24"/>
          <w:szCs w:val="24"/>
          <w:lang w:eastAsia="zh-CN"/>
        </w:rPr>
        <w:t xml:space="preserve"> </w:t>
      </w:r>
      <w:r w:rsidR="00FC6B49" w:rsidRPr="00C67DF7">
        <w:rPr>
          <w:sz w:val="24"/>
          <w:szCs w:val="24"/>
          <w:lang w:eastAsia="zh-CN"/>
        </w:rPr>
        <w:t>in three patients (5.6%).</w:t>
      </w:r>
    </w:p>
    <w:p w14:paraId="16FF5212" w14:textId="77777777" w:rsidR="00306116" w:rsidRDefault="00306116" w:rsidP="00306116">
      <w:pPr>
        <w:pStyle w:val="ListParagraph"/>
        <w:keepNext/>
        <w:bidi w:val="0"/>
        <w:spacing w:line="360" w:lineRule="auto"/>
        <w:ind w:left="0" w:firstLine="567"/>
        <w:jc w:val="both"/>
      </w:pPr>
      <w:r w:rsidRPr="00306116">
        <w:rPr>
          <w:noProof/>
          <w:sz w:val="24"/>
          <w:szCs w:val="24"/>
          <w:lang w:eastAsia="zh-CN"/>
        </w:rPr>
        <w:drawing>
          <wp:inline distT="0" distB="0" distL="0" distR="0" wp14:anchorId="54E6B484" wp14:editId="69E6B4F9">
            <wp:extent cx="3285515" cy="4389120"/>
            <wp:effectExtent l="0" t="0" r="0" b="0"/>
            <wp:docPr id="205614795" name="Picture 1" descr="Fig 6. Active Crohn’s disease, complicated by Complex (Entero-entero-cutaneous) fistula. A. Coronal T1 post-contrast Fat Sat, showing active inflammation, mild wall thickening and enhancement of the distal ileal loops, associated with mesenteric combing. B&amp;C. Coronal and axial T1 post-contrast Fat Sat showing complex entero-entero-cutaneous fistula. D. axial DWI showing diffusion restriction of the complex fist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14795" name="Picture 1" descr="Fig 6. Active Crohn’s disease, complicated by Complex (Entero-entero-cutaneous) fistula. A. Coronal T1 post-contrast Fat Sat, showing active inflammation, mild wall thickening and enhancement of the distal ileal loops, associated with mesenteric combing. B&amp;C. Coronal and axial T1 post-contrast Fat Sat showing complex entero-entero-cutaneous fistula. D. axial DWI showing diffusion restriction of the complex fistula."/>
                    <pic:cNvPicPr/>
                  </pic:nvPicPr>
                  <pic:blipFill>
                    <a:blip r:embed="rId12"/>
                    <a:stretch>
                      <a:fillRect/>
                    </a:stretch>
                  </pic:blipFill>
                  <pic:spPr>
                    <a:xfrm>
                      <a:off x="0" y="0"/>
                      <a:ext cx="3285515" cy="4389120"/>
                    </a:xfrm>
                    <a:prstGeom prst="rect">
                      <a:avLst/>
                    </a:prstGeom>
                  </pic:spPr>
                </pic:pic>
              </a:graphicData>
            </a:graphic>
          </wp:inline>
        </w:drawing>
      </w:r>
    </w:p>
    <w:p w14:paraId="4BC8AA6A" w14:textId="08F976B5" w:rsidR="00306116" w:rsidRPr="00306116" w:rsidRDefault="00306116" w:rsidP="00710208">
      <w:pPr>
        <w:pStyle w:val="Caption"/>
        <w:bidi w:val="0"/>
        <w:ind w:left="720"/>
      </w:pPr>
      <w:r>
        <w:t xml:space="preserve">Fig </w:t>
      </w:r>
      <w:r>
        <w:fldChar w:fldCharType="begin"/>
      </w:r>
      <w:r>
        <w:instrText xml:space="preserve"> SEQ Figure \* ARABIC </w:instrText>
      </w:r>
      <w:r>
        <w:fldChar w:fldCharType="separate"/>
      </w:r>
      <w:r w:rsidR="001B6C2C">
        <w:rPr>
          <w:noProof/>
        </w:rPr>
        <w:t>6</w:t>
      </w:r>
      <w:r>
        <w:fldChar w:fldCharType="end"/>
      </w:r>
      <w:r>
        <w:t xml:space="preserve">. </w:t>
      </w:r>
      <w:r w:rsidRPr="00306116">
        <w:t xml:space="preserve">Active Crohn’s disease, complicated by Complex (Entero-entero-cutaneous) fistula. </w:t>
      </w:r>
      <w:r w:rsidRPr="00306116">
        <w:rPr>
          <w:b/>
          <w:bCs/>
        </w:rPr>
        <w:t xml:space="preserve">A. </w:t>
      </w:r>
      <w:r w:rsidRPr="00306116">
        <w:t>Coronal T1 post-contrast Fat Sat, showing active inflammation, mild wall thickening</w:t>
      </w:r>
      <w:r w:rsidR="002820D3">
        <w:t>,</w:t>
      </w:r>
      <w:r w:rsidRPr="00306116">
        <w:t xml:space="preserve"> and enhancement of the distal ileal loops, associated with mesenteric combing. </w:t>
      </w:r>
      <w:r w:rsidRPr="00306116">
        <w:rPr>
          <w:b/>
          <w:bCs/>
        </w:rPr>
        <w:t>B&amp;C.</w:t>
      </w:r>
      <w:r w:rsidRPr="00306116">
        <w:t xml:space="preserve"> Coronal and axial T1 post-contrast Fat Sat showing complex entero-entero-cutaneous fistula. </w:t>
      </w:r>
      <w:r w:rsidRPr="00306116">
        <w:rPr>
          <w:b/>
          <w:bCs/>
        </w:rPr>
        <w:t xml:space="preserve">D. </w:t>
      </w:r>
      <w:r w:rsidRPr="00306116">
        <w:t>axial DWI showing diffusion restriction of the complex fistula.</w:t>
      </w:r>
    </w:p>
    <w:p w14:paraId="09F3FAFA" w14:textId="6C3E8624" w:rsidR="00306116" w:rsidRPr="00C67DF7" w:rsidRDefault="00306116" w:rsidP="00306116">
      <w:pPr>
        <w:pStyle w:val="Caption"/>
        <w:bidi w:val="0"/>
        <w:jc w:val="both"/>
        <w:rPr>
          <w:sz w:val="24"/>
          <w:szCs w:val="24"/>
          <w:lang w:eastAsia="zh-CN"/>
        </w:rPr>
      </w:pPr>
    </w:p>
    <w:p w14:paraId="5F4C9FFB" w14:textId="037512E6" w:rsidR="00FC6B49" w:rsidRPr="00C67DF7" w:rsidRDefault="00FC6B49" w:rsidP="00FC6B49">
      <w:pPr>
        <w:pStyle w:val="ListParagraph"/>
        <w:bidi w:val="0"/>
        <w:spacing w:line="360" w:lineRule="auto"/>
        <w:ind w:left="0" w:firstLine="567"/>
        <w:jc w:val="both"/>
        <w:rPr>
          <w:sz w:val="24"/>
          <w:szCs w:val="24"/>
          <w:lang w:eastAsia="zh-CN"/>
        </w:rPr>
      </w:pPr>
      <w:r w:rsidRPr="00C67DF7">
        <w:rPr>
          <w:sz w:val="24"/>
          <w:szCs w:val="24"/>
          <w:lang w:eastAsia="zh-CN"/>
        </w:rPr>
        <w:t xml:space="preserve">Other regional complications of CD </w:t>
      </w:r>
      <w:r w:rsidR="009F6D96" w:rsidRPr="00C67DF7">
        <w:rPr>
          <w:sz w:val="24"/>
          <w:szCs w:val="24"/>
          <w:lang w:eastAsia="zh-CN"/>
        </w:rPr>
        <w:t>include abscess formation, which was detected in about six patients (11.1 %). This is</w:t>
      </w:r>
      <w:r w:rsidRPr="00C67DF7">
        <w:rPr>
          <w:sz w:val="24"/>
          <w:szCs w:val="24"/>
          <w:lang w:eastAsia="zh-CN"/>
        </w:rPr>
        <w:t xml:space="preserve"> characterized by inhomogeneous content and an enhancing peripheral lesion edge.</w:t>
      </w:r>
    </w:p>
    <w:p w14:paraId="19A25AFE" w14:textId="1795B27D" w:rsidR="00FC6B49" w:rsidRPr="00C67DF7" w:rsidRDefault="004605B8" w:rsidP="00FC6B49">
      <w:pPr>
        <w:pStyle w:val="ListParagraph"/>
        <w:bidi w:val="0"/>
        <w:spacing w:line="360" w:lineRule="auto"/>
        <w:ind w:left="0" w:firstLine="567"/>
        <w:jc w:val="both"/>
        <w:rPr>
          <w:b/>
          <w:bCs/>
          <w:sz w:val="24"/>
          <w:szCs w:val="24"/>
          <w:lang w:eastAsia="zh-CN"/>
        </w:rPr>
      </w:pPr>
      <w:r w:rsidRPr="00C67DF7">
        <w:rPr>
          <w:sz w:val="24"/>
          <w:szCs w:val="24"/>
          <w:lang w:eastAsia="zh-CN"/>
        </w:rPr>
        <w:t xml:space="preserve">Chronic bowel wall inflammation with long-term intestinal injury is likely to progress to </w:t>
      </w:r>
      <w:r w:rsidR="009F6D96" w:rsidRPr="00C67DF7">
        <w:rPr>
          <w:sz w:val="24"/>
          <w:szCs w:val="24"/>
          <w:lang w:eastAsia="zh-CN"/>
        </w:rPr>
        <w:t>fibrostenotic</w:t>
      </w:r>
      <w:r w:rsidRPr="00C67DF7">
        <w:rPr>
          <w:sz w:val="24"/>
          <w:szCs w:val="24"/>
          <w:lang w:eastAsia="zh-CN"/>
        </w:rPr>
        <w:t xml:space="preserve"> complications (bowel stricture with luminal obstruction), which are seen in only two patients (3.7%). The chronic disease stage was identified by submucosal fat deposition, which can be differentiated from submucosal edema on T2-weighted images by reduced fat signal on the </w:t>
      </w:r>
      <w:r w:rsidR="00FC6B49" w:rsidRPr="00C67DF7">
        <w:rPr>
          <w:sz w:val="24"/>
          <w:szCs w:val="24"/>
          <w:lang w:eastAsia="zh-CN"/>
        </w:rPr>
        <w:t>fat saturation sequence.</w:t>
      </w:r>
    </w:p>
    <w:p w14:paraId="048990F4" w14:textId="2AECD1EB" w:rsidR="00FC6B49" w:rsidRPr="00710208" w:rsidRDefault="00FC6B49" w:rsidP="00FC6B49">
      <w:pPr>
        <w:bidi w:val="0"/>
        <w:spacing w:before="120" w:line="360" w:lineRule="auto"/>
        <w:rPr>
          <w:b/>
          <w:sz w:val="24"/>
          <w:szCs w:val="24"/>
        </w:rPr>
      </w:pPr>
      <w:r w:rsidRPr="00710208">
        <w:rPr>
          <w:b/>
          <w:sz w:val="24"/>
          <w:szCs w:val="24"/>
        </w:rPr>
        <w:t>D</w:t>
      </w:r>
      <w:r w:rsidR="003E401A" w:rsidRPr="00710208">
        <w:rPr>
          <w:b/>
          <w:sz w:val="24"/>
          <w:szCs w:val="24"/>
        </w:rPr>
        <w:t>iscussion</w:t>
      </w:r>
    </w:p>
    <w:p w14:paraId="2C8A897A" w14:textId="29E206FC" w:rsidR="00FC6B49" w:rsidRPr="00C67DF7" w:rsidRDefault="00FC6B49" w:rsidP="00FC6B49">
      <w:pPr>
        <w:pStyle w:val="ListParagraph"/>
        <w:tabs>
          <w:tab w:val="right" w:pos="426"/>
        </w:tabs>
        <w:bidi w:val="0"/>
        <w:spacing w:after="0" w:line="360" w:lineRule="auto"/>
        <w:ind w:left="0" w:firstLine="567"/>
        <w:jc w:val="both"/>
        <w:rPr>
          <w:sz w:val="24"/>
          <w:szCs w:val="24"/>
          <w:lang w:eastAsia="zh-CN"/>
        </w:rPr>
      </w:pPr>
      <w:r w:rsidRPr="00C67DF7">
        <w:rPr>
          <w:sz w:val="24"/>
          <w:szCs w:val="24"/>
          <w:lang w:eastAsia="zh-CN"/>
        </w:rPr>
        <w:t xml:space="preserve">This survey defined MR enterography as a potential imaging technique for </w:t>
      </w:r>
      <w:r w:rsidR="004605B8" w:rsidRPr="00C67DF7">
        <w:rPr>
          <w:sz w:val="24"/>
          <w:szCs w:val="24"/>
          <w:lang w:eastAsia="zh-CN"/>
        </w:rPr>
        <w:t xml:space="preserve">assessing Crohn’s disease. Generally, barium fluoroscopy and enteroscopy </w:t>
      </w:r>
      <w:r w:rsidR="009F6D96" w:rsidRPr="00C67DF7">
        <w:rPr>
          <w:sz w:val="24"/>
          <w:szCs w:val="24"/>
          <w:lang w:eastAsia="zh-CN"/>
        </w:rPr>
        <w:t>are the traditional methods of detecting</w:t>
      </w:r>
      <w:r w:rsidR="004605B8" w:rsidRPr="00C67DF7">
        <w:rPr>
          <w:sz w:val="24"/>
          <w:szCs w:val="24"/>
          <w:lang w:eastAsia="zh-CN"/>
        </w:rPr>
        <w:t xml:space="preserve"> abnormal bowel findings in </w:t>
      </w:r>
      <w:r w:rsidR="009F6D96" w:rsidRPr="00C67DF7">
        <w:rPr>
          <w:sz w:val="24"/>
          <w:szCs w:val="24"/>
          <w:lang w:eastAsia="zh-CN"/>
        </w:rPr>
        <w:t>Crohn’s disease patients</w:t>
      </w:r>
      <w:r w:rsidR="004605B8" w:rsidRPr="00C67DF7">
        <w:rPr>
          <w:sz w:val="24"/>
          <w:szCs w:val="24"/>
          <w:lang w:eastAsia="zh-CN"/>
        </w:rPr>
        <w:t>. However, neither tool is sensitive for detecting extramural complications, which need to be ruled out in patients with acute exacerbated attacks</w:t>
      </w:r>
      <w:r w:rsidRPr="00C67DF7">
        <w:rPr>
          <w:sz w:val="24"/>
          <w:szCs w:val="24"/>
          <w:lang w:eastAsia="zh-CN"/>
        </w:rPr>
        <w:t xml:space="preserve">. Nowadays, CT has become the initial imaging tool to assess Crohn’s disease as it can estimate both mural and extramural manifestations of the involved bowel loops </w:t>
      </w:r>
      <w:r w:rsidRPr="00C67DF7">
        <w:rPr>
          <w:sz w:val="24"/>
          <w:szCs w:val="24"/>
          <w:shd w:val="clear" w:color="auto" w:fill="FFFFFE"/>
          <w:vertAlign w:val="superscript"/>
        </w:rPr>
        <w:t>(35)</w:t>
      </w:r>
      <w:r w:rsidRPr="00C67DF7">
        <w:rPr>
          <w:sz w:val="24"/>
          <w:szCs w:val="24"/>
          <w:lang w:eastAsia="zh-CN"/>
        </w:rPr>
        <w:t>.</w:t>
      </w:r>
    </w:p>
    <w:p w14:paraId="59C8E6EF" w14:textId="151508E6" w:rsidR="00FC6B49" w:rsidRPr="00C67DF7" w:rsidRDefault="00FC6B49" w:rsidP="00FC6B49">
      <w:pPr>
        <w:pStyle w:val="ListParagraph"/>
        <w:tabs>
          <w:tab w:val="right" w:pos="426"/>
        </w:tabs>
        <w:bidi w:val="0"/>
        <w:spacing w:after="0" w:line="360" w:lineRule="auto"/>
        <w:ind w:left="0" w:firstLine="567"/>
        <w:jc w:val="both"/>
        <w:rPr>
          <w:sz w:val="24"/>
          <w:szCs w:val="24"/>
          <w:lang w:eastAsia="zh-CN"/>
        </w:rPr>
      </w:pPr>
      <w:r w:rsidRPr="00C67DF7">
        <w:rPr>
          <w:sz w:val="24"/>
          <w:szCs w:val="24"/>
          <w:lang w:eastAsia="zh-CN"/>
        </w:rPr>
        <w:t>Additionally, CT imaging has common accessibility, multiplanar capability</w:t>
      </w:r>
      <w:r w:rsidR="004605B8" w:rsidRPr="00C67DF7">
        <w:rPr>
          <w:sz w:val="24"/>
          <w:szCs w:val="24"/>
          <w:lang w:eastAsia="zh-CN"/>
        </w:rPr>
        <w:t xml:space="preserve">, and fast image acquisition </w:t>
      </w:r>
      <w:r w:rsidR="004605B8" w:rsidRPr="00C67DF7">
        <w:rPr>
          <w:sz w:val="24"/>
          <w:szCs w:val="24"/>
          <w:vertAlign w:val="superscript"/>
          <w:lang w:eastAsia="zh-CN"/>
        </w:rPr>
        <w:t>(36)</w:t>
      </w:r>
      <w:r w:rsidR="004605B8" w:rsidRPr="00C67DF7">
        <w:rPr>
          <w:sz w:val="24"/>
          <w:szCs w:val="24"/>
          <w:lang w:eastAsia="zh-CN"/>
        </w:rPr>
        <w:t xml:space="preserve">. Recent concerns have focused on the ionizing radiation risk associated with CT imaging, especially Crohn’s disease, which could be discovered during childhood and </w:t>
      </w:r>
      <w:r w:rsidR="009F6D96" w:rsidRPr="00C67DF7">
        <w:rPr>
          <w:sz w:val="24"/>
          <w:szCs w:val="24"/>
          <w:lang w:eastAsia="zh-CN"/>
        </w:rPr>
        <w:t>require</w:t>
      </w:r>
      <w:r w:rsidRPr="00C67DF7">
        <w:rPr>
          <w:sz w:val="24"/>
          <w:szCs w:val="24"/>
          <w:lang w:eastAsia="zh-CN"/>
        </w:rPr>
        <w:t xml:space="preserve"> repeated follow-up during the disease process. So, MR imaging likely provides </w:t>
      </w:r>
      <w:r w:rsidR="003E401A" w:rsidRPr="00C67DF7">
        <w:rPr>
          <w:sz w:val="24"/>
          <w:szCs w:val="24"/>
          <w:lang w:eastAsia="zh-CN"/>
        </w:rPr>
        <w:t>diagnostic</w:t>
      </w:r>
      <w:r w:rsidRPr="00C67DF7">
        <w:rPr>
          <w:sz w:val="24"/>
          <w:szCs w:val="24"/>
          <w:lang w:eastAsia="zh-CN"/>
        </w:rPr>
        <w:t xml:space="preserve"> CT values without the risk of ionizing radiation</w:t>
      </w:r>
      <w:r w:rsidRPr="00C67DF7">
        <w:rPr>
          <w:sz w:val="24"/>
          <w:szCs w:val="24"/>
          <w:shd w:val="clear" w:color="auto" w:fill="FFFFFE"/>
          <w:vertAlign w:val="superscript"/>
        </w:rPr>
        <w:t xml:space="preserve"> (37)</w:t>
      </w:r>
      <w:r w:rsidRPr="00C67DF7">
        <w:rPr>
          <w:sz w:val="24"/>
          <w:szCs w:val="24"/>
          <w:lang w:eastAsia="zh-CN"/>
        </w:rPr>
        <w:t xml:space="preserve">. </w:t>
      </w:r>
    </w:p>
    <w:p w14:paraId="0B5041F5" w14:textId="2D162262" w:rsidR="00FC6B49" w:rsidRPr="00C67DF7" w:rsidRDefault="00C509B1" w:rsidP="00FC6B49">
      <w:pPr>
        <w:pStyle w:val="ListParagraph"/>
        <w:tabs>
          <w:tab w:val="right" w:pos="426"/>
        </w:tabs>
        <w:bidi w:val="0"/>
        <w:spacing w:after="0" w:line="360" w:lineRule="auto"/>
        <w:ind w:left="0" w:firstLine="567"/>
        <w:jc w:val="both"/>
        <w:rPr>
          <w:b/>
          <w:bCs/>
          <w:sz w:val="24"/>
          <w:szCs w:val="24"/>
          <w:lang w:eastAsia="zh-CN"/>
        </w:rPr>
      </w:pPr>
      <w:r>
        <w:rPr>
          <w:sz w:val="24"/>
          <w:szCs w:val="24"/>
          <w:lang w:eastAsia="zh-CN"/>
        </w:rPr>
        <w:t>The target individuals accepted the MRE protocol applied in our research well</w:t>
      </w:r>
      <w:r w:rsidR="009F6D96" w:rsidRPr="00C67DF7">
        <w:rPr>
          <w:sz w:val="24"/>
          <w:szCs w:val="24"/>
          <w:lang w:eastAsia="zh-CN"/>
        </w:rPr>
        <w:t>. The scan time extended from 40 to 60 minutes, and no people were ruled out due to an inability to finish the scanning. We noted that some of the subjects involved</w:t>
      </w:r>
      <w:r w:rsidR="004605B8" w:rsidRPr="00C67DF7">
        <w:rPr>
          <w:sz w:val="24"/>
          <w:szCs w:val="24"/>
          <w:lang w:eastAsia="zh-CN"/>
        </w:rPr>
        <w:t xml:space="preserve"> in our study </w:t>
      </w:r>
      <w:r>
        <w:rPr>
          <w:sz w:val="24"/>
          <w:szCs w:val="24"/>
          <w:lang w:eastAsia="zh-CN"/>
        </w:rPr>
        <w:t>could not</w:t>
      </w:r>
      <w:r w:rsidR="00FC6B49" w:rsidRPr="00C67DF7">
        <w:rPr>
          <w:sz w:val="24"/>
          <w:szCs w:val="24"/>
          <w:lang w:eastAsia="zh-CN"/>
        </w:rPr>
        <w:t xml:space="preserve"> swallow the needed oral contrast volume. So, adding sugar-free fruit-flavored components to the used oral preparation appreciably improved subject compliance.</w:t>
      </w:r>
    </w:p>
    <w:p w14:paraId="20FF1365" w14:textId="271EACA6" w:rsidR="00FC6B49" w:rsidRPr="00C67DF7" w:rsidRDefault="00FC6B49" w:rsidP="00FC6B49">
      <w:pPr>
        <w:pStyle w:val="ListParagraph"/>
        <w:tabs>
          <w:tab w:val="right" w:pos="426"/>
        </w:tabs>
        <w:bidi w:val="0"/>
        <w:spacing w:after="0" w:line="360" w:lineRule="auto"/>
        <w:ind w:left="0" w:firstLine="567"/>
        <w:jc w:val="both"/>
        <w:rPr>
          <w:sz w:val="24"/>
          <w:szCs w:val="24"/>
          <w:lang w:eastAsia="zh-CN"/>
        </w:rPr>
      </w:pPr>
      <w:r w:rsidRPr="00C67DF7">
        <w:rPr>
          <w:sz w:val="24"/>
          <w:szCs w:val="24"/>
          <w:lang w:eastAsia="zh-CN"/>
        </w:rPr>
        <w:t>As far as we know, this research is to estimate MR enterography as the prime imaging tool in assessing Crohn’s disease, especially in pediatrics. A 2004 survey</w:t>
      </w:r>
      <w:r w:rsidR="00C509B1">
        <w:rPr>
          <w:sz w:val="24"/>
          <w:szCs w:val="24"/>
          <w:lang w:eastAsia="zh-CN"/>
        </w:rPr>
        <w:t xml:space="preserve"> </w:t>
      </w:r>
      <w:r w:rsidRPr="00C67DF7">
        <w:rPr>
          <w:sz w:val="24"/>
          <w:szCs w:val="24"/>
          <w:shd w:val="clear" w:color="auto" w:fill="FFFFFE"/>
          <w:vertAlign w:val="superscript"/>
        </w:rPr>
        <w:t xml:space="preserve">(38) </w:t>
      </w:r>
      <w:r w:rsidRPr="00C67DF7">
        <w:rPr>
          <w:sz w:val="24"/>
          <w:szCs w:val="24"/>
          <w:lang w:eastAsia="zh-CN"/>
        </w:rPr>
        <w:t>established high sensitivity and specificity of contrast-enhanced MRI in pediatric patients with inflammatory bowel disease (IBD) with ability to discriminate Crohn’s disease from ulcerative colitis, whereas a 2009 survey</w:t>
      </w:r>
      <w:r w:rsidR="00C509B1">
        <w:rPr>
          <w:sz w:val="24"/>
          <w:szCs w:val="24"/>
          <w:lang w:eastAsia="zh-CN"/>
        </w:rPr>
        <w:t xml:space="preserve"> </w:t>
      </w:r>
      <w:r w:rsidRPr="00C67DF7">
        <w:rPr>
          <w:sz w:val="24"/>
          <w:szCs w:val="24"/>
          <w:shd w:val="clear" w:color="auto" w:fill="FFFFFE"/>
          <w:vertAlign w:val="superscript"/>
        </w:rPr>
        <w:t xml:space="preserve">(39) </w:t>
      </w:r>
      <w:r w:rsidRPr="00C67DF7">
        <w:rPr>
          <w:sz w:val="24"/>
          <w:szCs w:val="24"/>
          <w:lang w:eastAsia="zh-CN"/>
        </w:rPr>
        <w:t>of MRE in pediatrics with IBD revealed a relation between unusual small-bowel wall enhancement and serum C-reactive protein measures. Both exhibited MRE to be practical in pediatric subjects with IBD.</w:t>
      </w:r>
    </w:p>
    <w:p w14:paraId="7497D6CA" w14:textId="4531E6BD" w:rsidR="00FC6B49" w:rsidRPr="00C67DF7" w:rsidRDefault="00FC6B49" w:rsidP="00FC6B49">
      <w:pPr>
        <w:pStyle w:val="ListParagraph"/>
        <w:tabs>
          <w:tab w:val="right" w:pos="426"/>
        </w:tabs>
        <w:bidi w:val="0"/>
        <w:spacing w:after="0" w:line="360" w:lineRule="auto"/>
        <w:ind w:left="0" w:firstLine="567"/>
        <w:jc w:val="both"/>
        <w:rPr>
          <w:sz w:val="24"/>
          <w:szCs w:val="24"/>
          <w:lang w:eastAsia="zh-CN"/>
        </w:rPr>
      </w:pPr>
      <w:r w:rsidRPr="00C67DF7">
        <w:rPr>
          <w:sz w:val="24"/>
          <w:szCs w:val="24"/>
          <w:lang w:eastAsia="zh-CN"/>
        </w:rPr>
        <w:t xml:space="preserve">MR enterography </w:t>
      </w:r>
      <w:r w:rsidR="004605B8" w:rsidRPr="00C67DF7">
        <w:rPr>
          <w:sz w:val="24"/>
          <w:szCs w:val="24"/>
          <w:lang w:eastAsia="zh-CN"/>
        </w:rPr>
        <w:t>can distinguish active from non-active bowel inflammation, a significant status during follow-up scanning of CD patients receiving medical treatment. This differentiation is severe in the new approach of biologic therapies, selecting specific inflammatory molecules, such as tumor necrosis factorα, which are more effective</w:t>
      </w:r>
      <w:r w:rsidRPr="00C67DF7">
        <w:rPr>
          <w:sz w:val="24"/>
          <w:szCs w:val="24"/>
          <w:lang w:eastAsia="zh-CN"/>
        </w:rPr>
        <w:t xml:space="preserve"> in the active inflammatory </w:t>
      </w:r>
      <w:r w:rsidR="004605B8" w:rsidRPr="00C67DF7">
        <w:rPr>
          <w:sz w:val="24"/>
          <w:szCs w:val="24"/>
          <w:lang w:eastAsia="zh-CN"/>
        </w:rPr>
        <w:t>stage</w:t>
      </w:r>
      <w:r w:rsidR="004605B8" w:rsidRPr="00C67DF7">
        <w:rPr>
          <w:sz w:val="24"/>
          <w:szCs w:val="24"/>
          <w:shd w:val="clear" w:color="auto" w:fill="FFFFFE"/>
          <w:vertAlign w:val="superscript"/>
        </w:rPr>
        <w:t xml:space="preserve"> (</w:t>
      </w:r>
      <w:r w:rsidRPr="00C67DF7">
        <w:rPr>
          <w:sz w:val="24"/>
          <w:szCs w:val="24"/>
          <w:shd w:val="clear" w:color="auto" w:fill="FFFFFE"/>
          <w:vertAlign w:val="superscript"/>
        </w:rPr>
        <w:t>40,41)</w:t>
      </w:r>
      <w:r w:rsidRPr="00C67DF7">
        <w:rPr>
          <w:sz w:val="24"/>
          <w:szCs w:val="24"/>
          <w:lang w:eastAsia="zh-CN"/>
        </w:rPr>
        <w:t>.</w:t>
      </w:r>
    </w:p>
    <w:p w14:paraId="00180011" w14:textId="5D42EA05" w:rsidR="00FC6B49" w:rsidRPr="00C67DF7" w:rsidRDefault="00FC6B49" w:rsidP="00FC6B49">
      <w:pPr>
        <w:pStyle w:val="ListParagraph"/>
        <w:tabs>
          <w:tab w:val="right" w:pos="426"/>
        </w:tabs>
        <w:bidi w:val="0"/>
        <w:spacing w:after="0" w:line="360" w:lineRule="auto"/>
        <w:ind w:left="0" w:firstLine="567"/>
        <w:jc w:val="both"/>
        <w:rPr>
          <w:sz w:val="24"/>
          <w:szCs w:val="24"/>
          <w:lang w:eastAsia="zh-CN"/>
        </w:rPr>
      </w:pPr>
      <w:r w:rsidRPr="00C67DF7">
        <w:rPr>
          <w:sz w:val="24"/>
          <w:szCs w:val="24"/>
          <w:lang w:eastAsia="zh-CN"/>
        </w:rPr>
        <w:t>The ability of MRE to reveal mural wall fibrosis in the affected bowel loop is also appreciated in our work, which is a characteristic sign of fibrostenotic strictures with subsequent bowel obstruction that often need surgical management</w:t>
      </w:r>
      <w:r w:rsidR="00647201">
        <w:rPr>
          <w:sz w:val="24"/>
          <w:szCs w:val="24"/>
          <w:lang w:eastAsia="zh-CN"/>
        </w:rPr>
        <w:t xml:space="preserve"> </w:t>
      </w:r>
      <w:r w:rsidRPr="00C67DF7">
        <w:rPr>
          <w:sz w:val="24"/>
          <w:szCs w:val="24"/>
          <w:shd w:val="clear" w:color="auto" w:fill="FFFFFE"/>
          <w:vertAlign w:val="superscript"/>
        </w:rPr>
        <w:t>(42)</w:t>
      </w:r>
      <w:r w:rsidRPr="00C67DF7">
        <w:rPr>
          <w:sz w:val="24"/>
          <w:szCs w:val="24"/>
          <w:lang w:eastAsia="zh-CN"/>
        </w:rPr>
        <w:t>. In our study,</w:t>
      </w:r>
      <w:r w:rsidRPr="00C67DF7">
        <w:rPr>
          <w:i/>
          <w:iCs/>
          <w:sz w:val="24"/>
          <w:szCs w:val="24"/>
          <w:lang w:eastAsia="zh-CN"/>
        </w:rPr>
        <w:t xml:space="preserve"> </w:t>
      </w:r>
      <w:r w:rsidRPr="00C67DF7">
        <w:rPr>
          <w:sz w:val="24"/>
          <w:szCs w:val="24"/>
          <w:lang w:eastAsia="zh-CN"/>
        </w:rPr>
        <w:t>bowel stenosis was recognized in about 14 patients</w:t>
      </w:r>
      <w:r w:rsidR="004605B8" w:rsidRPr="00C67DF7">
        <w:rPr>
          <w:sz w:val="24"/>
          <w:szCs w:val="24"/>
          <w:lang w:eastAsia="zh-CN"/>
        </w:rPr>
        <w:t>, as the active inflammatory bowel stenosis was seen in 12 patients with severe submucosal edema (T2 hyperintensity),</w:t>
      </w:r>
      <w:r w:rsidRPr="00C67DF7">
        <w:rPr>
          <w:sz w:val="24"/>
          <w:szCs w:val="24"/>
          <w:lang w:eastAsia="zh-CN"/>
        </w:rPr>
        <w:t xml:space="preserve"> and the last two patients were likely fibrostenotic in nature with submucosal fat deposition (loss of signal on fat saturation sequence). Gee </w:t>
      </w:r>
      <w:r w:rsidR="004605B8" w:rsidRPr="00C67DF7">
        <w:rPr>
          <w:sz w:val="24"/>
          <w:szCs w:val="24"/>
          <w:lang w:eastAsia="zh-CN"/>
        </w:rPr>
        <w:t>et al</w:t>
      </w:r>
      <w:r w:rsidR="004605B8" w:rsidRPr="00C67DF7">
        <w:rPr>
          <w:i/>
          <w:iCs/>
          <w:sz w:val="24"/>
          <w:szCs w:val="24"/>
          <w:lang w:eastAsia="zh-CN"/>
        </w:rPr>
        <w:t>.</w:t>
      </w:r>
      <w:r w:rsidR="004605B8" w:rsidRPr="00C67DF7">
        <w:rPr>
          <w:sz w:val="24"/>
          <w:szCs w:val="24"/>
          <w:shd w:val="clear" w:color="auto" w:fill="FFFFFE"/>
          <w:vertAlign w:val="superscript"/>
        </w:rPr>
        <w:t xml:space="preserve"> (</w:t>
      </w:r>
      <w:r w:rsidRPr="00C67DF7">
        <w:rPr>
          <w:sz w:val="24"/>
          <w:szCs w:val="24"/>
          <w:shd w:val="clear" w:color="auto" w:fill="FFFFFE"/>
          <w:vertAlign w:val="superscript"/>
        </w:rPr>
        <w:t xml:space="preserve">40) </w:t>
      </w:r>
      <w:r w:rsidRPr="00C67DF7">
        <w:rPr>
          <w:sz w:val="24"/>
          <w:szCs w:val="24"/>
          <w:lang w:eastAsia="zh-CN"/>
        </w:rPr>
        <w:t>reported that the sensitivity (58.3%) and accuracy (64.9%) of MRE for identifying fibrosis were reduced compared with observing active inflammation. Their data likely showed that MRE missed mural wall fibrosis due to superimposed active bowel wall inflammation.</w:t>
      </w:r>
    </w:p>
    <w:p w14:paraId="33C7493E" w14:textId="0B4377C3" w:rsidR="00FC6B49" w:rsidRPr="00C67DF7" w:rsidRDefault="00FC6B49" w:rsidP="00FC6B49">
      <w:pPr>
        <w:pStyle w:val="ListParagraph"/>
        <w:tabs>
          <w:tab w:val="right" w:pos="426"/>
        </w:tabs>
        <w:bidi w:val="0"/>
        <w:spacing w:after="0" w:line="360" w:lineRule="auto"/>
        <w:ind w:left="0" w:firstLine="567"/>
        <w:jc w:val="both"/>
        <w:rPr>
          <w:sz w:val="24"/>
          <w:szCs w:val="24"/>
          <w:lang w:eastAsia="zh-CN"/>
        </w:rPr>
      </w:pPr>
      <w:r w:rsidRPr="00C67DF7">
        <w:rPr>
          <w:sz w:val="24"/>
          <w:szCs w:val="24"/>
          <w:lang w:eastAsia="zh-CN"/>
        </w:rPr>
        <w:t>The facility of MR enterography to discriminate chronic fibrosis from fibrosis with concurrent active inflammation is clinically significant. It implies that MRE can aid patients with CD, especially teenagers with obstructing bowel stenosis</w:t>
      </w:r>
      <w:r w:rsidR="004605B8" w:rsidRPr="00C67DF7">
        <w:rPr>
          <w:sz w:val="24"/>
          <w:szCs w:val="24"/>
          <w:lang w:eastAsia="zh-CN"/>
        </w:rPr>
        <w:t xml:space="preserve">, to receive medical treatment first </w:t>
      </w:r>
      <w:r w:rsidRPr="00C67DF7">
        <w:rPr>
          <w:sz w:val="24"/>
          <w:szCs w:val="24"/>
          <w:lang w:eastAsia="zh-CN"/>
        </w:rPr>
        <w:t xml:space="preserve">(with associated active condition) before surgical management </w:t>
      </w:r>
      <w:r w:rsidRPr="00C67DF7">
        <w:rPr>
          <w:sz w:val="24"/>
          <w:szCs w:val="24"/>
          <w:shd w:val="clear" w:color="auto" w:fill="FFFFFE"/>
          <w:vertAlign w:val="superscript"/>
        </w:rPr>
        <w:t>(43)</w:t>
      </w:r>
      <w:r w:rsidRPr="00C67DF7">
        <w:rPr>
          <w:sz w:val="24"/>
          <w:szCs w:val="24"/>
          <w:lang w:eastAsia="zh-CN"/>
        </w:rPr>
        <w:t>.</w:t>
      </w:r>
    </w:p>
    <w:p w14:paraId="7F51AAC9" w14:textId="37A9AA25" w:rsidR="00FC6B49" w:rsidRPr="00C67DF7" w:rsidRDefault="00FC6B49" w:rsidP="00FC6B49">
      <w:pPr>
        <w:pStyle w:val="ListParagraph"/>
        <w:tabs>
          <w:tab w:val="right" w:pos="426"/>
        </w:tabs>
        <w:bidi w:val="0"/>
        <w:spacing w:after="0" w:line="360" w:lineRule="auto"/>
        <w:ind w:left="0" w:firstLine="567"/>
        <w:jc w:val="both"/>
        <w:rPr>
          <w:sz w:val="24"/>
          <w:szCs w:val="24"/>
          <w:lang w:eastAsia="zh-CN"/>
        </w:rPr>
      </w:pPr>
      <w:r w:rsidRPr="00C67DF7">
        <w:rPr>
          <w:sz w:val="24"/>
          <w:szCs w:val="24"/>
          <w:lang w:eastAsia="zh-CN"/>
        </w:rPr>
        <w:t xml:space="preserve">If the results of MR imaging affect clinician management, this is a remarkable aspect. Mendoza </w:t>
      </w:r>
      <w:r w:rsidR="004605B8" w:rsidRPr="00C67DF7">
        <w:rPr>
          <w:sz w:val="24"/>
          <w:szCs w:val="24"/>
          <w:lang w:eastAsia="zh-CN"/>
        </w:rPr>
        <w:t>et al</w:t>
      </w:r>
      <w:r w:rsidR="004605B8" w:rsidRPr="00C67DF7">
        <w:rPr>
          <w:i/>
          <w:iCs/>
          <w:sz w:val="24"/>
          <w:szCs w:val="24"/>
          <w:lang w:eastAsia="zh-CN"/>
        </w:rPr>
        <w:t>.</w:t>
      </w:r>
      <w:r w:rsidR="004605B8" w:rsidRPr="00C67DF7">
        <w:rPr>
          <w:sz w:val="24"/>
          <w:szCs w:val="24"/>
          <w:shd w:val="clear" w:color="auto" w:fill="FFFFFE"/>
          <w:vertAlign w:val="superscript"/>
        </w:rPr>
        <w:t xml:space="preserve"> (</w:t>
      </w:r>
      <w:r w:rsidRPr="00C67DF7">
        <w:rPr>
          <w:sz w:val="24"/>
          <w:szCs w:val="24"/>
          <w:shd w:val="clear" w:color="auto" w:fill="FFFFFE"/>
          <w:vertAlign w:val="superscript"/>
        </w:rPr>
        <w:t>44)</w:t>
      </w:r>
      <w:r w:rsidRPr="00C67DF7">
        <w:rPr>
          <w:sz w:val="24"/>
          <w:szCs w:val="24"/>
          <w:lang w:eastAsia="zh-CN"/>
        </w:rPr>
        <w:t xml:space="preserve"> noticed that </w:t>
      </w:r>
      <w:r w:rsidR="002820D3">
        <w:rPr>
          <w:sz w:val="24"/>
          <w:szCs w:val="24"/>
          <w:lang w:eastAsia="zh-CN"/>
        </w:rPr>
        <w:t>MR-supported</w:t>
      </w:r>
      <w:r w:rsidRPr="00C67DF7">
        <w:rPr>
          <w:sz w:val="24"/>
          <w:szCs w:val="24"/>
          <w:lang w:eastAsia="zh-CN"/>
        </w:rPr>
        <w:t xml:space="preserve"> decision-making </w:t>
      </w:r>
      <w:r w:rsidR="005A0DC6">
        <w:rPr>
          <w:sz w:val="24"/>
          <w:szCs w:val="24"/>
          <w:lang w:eastAsia="zh-CN"/>
        </w:rPr>
        <w:t>involved</w:t>
      </w:r>
      <w:r w:rsidR="002820D3">
        <w:rPr>
          <w:sz w:val="24"/>
          <w:szCs w:val="24"/>
          <w:lang w:eastAsia="zh-CN"/>
        </w:rPr>
        <w:t xml:space="preserve"> more than 50% of patients</w:t>
      </w:r>
      <w:r w:rsidRPr="00C67DF7">
        <w:rPr>
          <w:sz w:val="24"/>
          <w:szCs w:val="24"/>
          <w:lang w:eastAsia="zh-CN"/>
        </w:rPr>
        <w:t xml:space="preserve">, especially when </w:t>
      </w:r>
      <w:r w:rsidR="004605B8" w:rsidRPr="00C67DF7">
        <w:rPr>
          <w:sz w:val="24"/>
          <w:szCs w:val="24"/>
          <w:lang w:eastAsia="zh-CN"/>
        </w:rPr>
        <w:t>applied to biological therapy and surgery</w:t>
      </w:r>
      <w:r w:rsidRPr="00C67DF7">
        <w:rPr>
          <w:sz w:val="24"/>
          <w:szCs w:val="24"/>
          <w:lang w:eastAsia="zh-CN"/>
        </w:rPr>
        <w:t xml:space="preserve">. </w:t>
      </w:r>
      <w:proofErr w:type="spellStart"/>
      <w:r w:rsidRPr="00C67DF7">
        <w:rPr>
          <w:sz w:val="24"/>
          <w:szCs w:val="24"/>
          <w:lang w:eastAsia="zh-CN"/>
        </w:rPr>
        <w:t>Messaris</w:t>
      </w:r>
      <w:proofErr w:type="spellEnd"/>
      <w:r w:rsidRPr="00C67DF7">
        <w:rPr>
          <w:sz w:val="24"/>
          <w:szCs w:val="24"/>
          <w:lang w:eastAsia="zh-CN"/>
        </w:rPr>
        <w:t xml:space="preserve"> </w:t>
      </w:r>
      <w:r w:rsidR="004605B8" w:rsidRPr="00C67DF7">
        <w:rPr>
          <w:sz w:val="24"/>
          <w:szCs w:val="24"/>
          <w:lang w:eastAsia="zh-CN"/>
        </w:rPr>
        <w:t>et al.</w:t>
      </w:r>
      <w:r w:rsidR="004605B8" w:rsidRPr="00C67DF7">
        <w:rPr>
          <w:sz w:val="24"/>
          <w:szCs w:val="24"/>
          <w:shd w:val="clear" w:color="auto" w:fill="FFFFFE"/>
          <w:vertAlign w:val="superscript"/>
        </w:rPr>
        <w:t xml:space="preserve"> (</w:t>
      </w:r>
      <w:r w:rsidRPr="00C67DF7">
        <w:rPr>
          <w:sz w:val="24"/>
          <w:szCs w:val="24"/>
          <w:shd w:val="clear" w:color="auto" w:fill="FFFFFE"/>
          <w:vertAlign w:val="superscript"/>
        </w:rPr>
        <w:t xml:space="preserve">45) </w:t>
      </w:r>
      <w:r w:rsidRPr="00C67DF7">
        <w:rPr>
          <w:sz w:val="24"/>
          <w:szCs w:val="24"/>
          <w:lang w:eastAsia="zh-CN"/>
        </w:rPr>
        <w:t xml:space="preserve">exhibited that 69% of patients </w:t>
      </w:r>
      <w:r w:rsidR="004605B8" w:rsidRPr="00C67DF7">
        <w:rPr>
          <w:sz w:val="24"/>
          <w:szCs w:val="24"/>
          <w:lang w:eastAsia="zh-CN"/>
        </w:rPr>
        <w:t>transferred</w:t>
      </w:r>
      <w:r w:rsidRPr="00C67DF7">
        <w:rPr>
          <w:sz w:val="24"/>
          <w:szCs w:val="24"/>
          <w:lang w:eastAsia="zh-CN"/>
        </w:rPr>
        <w:t xml:space="preserve"> to medical and/or surgical management after therapists were given MR findings. Similar studies have revealed that MR findings guide surgical procedures </w:t>
      </w:r>
      <w:r w:rsidR="004605B8" w:rsidRPr="00C67DF7">
        <w:rPr>
          <w:sz w:val="24"/>
          <w:szCs w:val="24"/>
          <w:lang w:eastAsia="zh-CN"/>
        </w:rPr>
        <w:t>for</w:t>
      </w:r>
      <w:r w:rsidRPr="00C67DF7">
        <w:rPr>
          <w:sz w:val="24"/>
          <w:szCs w:val="24"/>
          <w:lang w:eastAsia="zh-CN"/>
        </w:rPr>
        <w:t xml:space="preserve"> managing Crohn’s patients</w:t>
      </w:r>
      <w:r w:rsidRPr="00C67DF7">
        <w:rPr>
          <w:sz w:val="24"/>
          <w:szCs w:val="24"/>
          <w:shd w:val="clear" w:color="auto" w:fill="FFFFFE"/>
          <w:vertAlign w:val="superscript"/>
        </w:rPr>
        <w:t xml:space="preserve"> (46)</w:t>
      </w:r>
      <w:r w:rsidRPr="00C67DF7">
        <w:rPr>
          <w:sz w:val="24"/>
          <w:szCs w:val="24"/>
          <w:lang w:eastAsia="zh-CN"/>
        </w:rPr>
        <w:t xml:space="preserve">. </w:t>
      </w:r>
    </w:p>
    <w:p w14:paraId="7B11D1A2" w14:textId="77777777" w:rsidR="00FC6B49" w:rsidRPr="00C67DF7" w:rsidRDefault="00FC6B49" w:rsidP="00FC6B49">
      <w:pPr>
        <w:pStyle w:val="ListParagraph"/>
        <w:tabs>
          <w:tab w:val="right" w:pos="426"/>
        </w:tabs>
        <w:bidi w:val="0"/>
        <w:spacing w:after="0" w:line="360" w:lineRule="auto"/>
        <w:ind w:left="0" w:firstLine="567"/>
        <w:jc w:val="both"/>
        <w:rPr>
          <w:sz w:val="24"/>
          <w:szCs w:val="24"/>
          <w:lang w:eastAsia="zh-CN"/>
        </w:rPr>
      </w:pPr>
      <w:r w:rsidRPr="00C67DF7">
        <w:rPr>
          <w:sz w:val="24"/>
          <w:szCs w:val="24"/>
          <w:lang w:eastAsia="zh-CN"/>
        </w:rPr>
        <w:t>A limitation of this study is that anesthesia may be needed in the pediatric population due to a long scan time. Claustrophobia in some patients and the high cost of MR imaging were also encountered.</w:t>
      </w:r>
    </w:p>
    <w:p w14:paraId="212A87B3" w14:textId="266DB209" w:rsidR="00FC6B49" w:rsidRPr="00C67DF7" w:rsidRDefault="00FC6B49" w:rsidP="00710208">
      <w:pPr>
        <w:pStyle w:val="ListParagraph"/>
        <w:tabs>
          <w:tab w:val="right" w:pos="426"/>
        </w:tabs>
        <w:bidi w:val="0"/>
        <w:spacing w:after="0" w:line="360" w:lineRule="auto"/>
        <w:ind w:left="0" w:firstLine="567"/>
        <w:jc w:val="both"/>
        <w:rPr>
          <w:b/>
          <w:bCs/>
          <w:sz w:val="24"/>
          <w:szCs w:val="24"/>
          <w:u w:val="single"/>
        </w:rPr>
      </w:pPr>
      <w:r w:rsidRPr="00C509B1">
        <w:rPr>
          <w:sz w:val="24"/>
          <w:szCs w:val="24"/>
          <w:lang w:eastAsia="zh-CN"/>
        </w:rPr>
        <w:t>In conclusion,</w:t>
      </w:r>
      <w:r w:rsidRPr="00C67DF7">
        <w:rPr>
          <w:sz w:val="24"/>
          <w:szCs w:val="24"/>
          <w:lang w:eastAsia="zh-CN"/>
        </w:rPr>
        <w:t xml:space="preserve"> CD is a composite disease, and imaging plays a crucial role in describing it. Using ultrasound, CTE, and MRE, along with the last-mentioned modality, serves as the gold standard of our study, offering structural and functional information without the risk of ionizing radiation. </w:t>
      </w:r>
      <w:r w:rsidR="004605B8" w:rsidRPr="00C67DF7">
        <w:rPr>
          <w:sz w:val="24"/>
          <w:szCs w:val="24"/>
          <w:lang w:eastAsia="zh-CN"/>
        </w:rPr>
        <w:t>MRE must be achieved by a meticulous protocol with efficient patient preparation followed by specific dedicated sequences for a perfect evaluation</w:t>
      </w:r>
      <w:r w:rsidRPr="00C67DF7">
        <w:rPr>
          <w:sz w:val="24"/>
          <w:szCs w:val="24"/>
          <w:lang w:eastAsia="zh-CN"/>
        </w:rPr>
        <w:t>. The radiologist’s attempt must be directed to CD assessment by reporting its extension, the degree of activity</w:t>
      </w:r>
      <w:r w:rsidR="004605B8" w:rsidRPr="00C67DF7">
        <w:rPr>
          <w:sz w:val="24"/>
          <w:szCs w:val="24"/>
          <w:lang w:eastAsia="zh-CN"/>
        </w:rPr>
        <w:t>,</w:t>
      </w:r>
      <w:r w:rsidRPr="00C67DF7">
        <w:rPr>
          <w:sz w:val="24"/>
          <w:szCs w:val="24"/>
          <w:lang w:eastAsia="zh-CN"/>
        </w:rPr>
        <w:t xml:space="preserve"> and the potential complications, identifying the most accurate medical and/or surgical management for each patient.</w:t>
      </w:r>
    </w:p>
    <w:p w14:paraId="77A4A13C" w14:textId="0106BB7F" w:rsidR="00FC6B49" w:rsidRPr="00C67DF7" w:rsidRDefault="002820D3" w:rsidP="00FC6B49">
      <w:pPr>
        <w:bidi w:val="0"/>
        <w:spacing w:line="360" w:lineRule="auto"/>
        <w:jc w:val="lowKashida"/>
        <w:rPr>
          <w:sz w:val="24"/>
          <w:szCs w:val="24"/>
        </w:rPr>
      </w:pPr>
      <w:r>
        <w:rPr>
          <w:b/>
          <w:bCs/>
          <w:sz w:val="24"/>
          <w:szCs w:val="24"/>
        </w:rPr>
        <w:t>L</w:t>
      </w:r>
      <w:r w:rsidRPr="00C67DF7">
        <w:rPr>
          <w:b/>
          <w:bCs/>
          <w:sz w:val="24"/>
          <w:szCs w:val="24"/>
        </w:rPr>
        <w:t>ist of abbreviations</w:t>
      </w:r>
    </w:p>
    <w:p w14:paraId="01CA7861" w14:textId="7B139DC4" w:rsidR="00FC6B49" w:rsidRPr="00C67DF7" w:rsidRDefault="00FC6B49" w:rsidP="00EC2173">
      <w:pPr>
        <w:bidi w:val="0"/>
        <w:spacing w:line="360" w:lineRule="auto"/>
        <w:jc w:val="both"/>
        <w:rPr>
          <w:sz w:val="24"/>
          <w:szCs w:val="24"/>
        </w:rPr>
      </w:pPr>
      <w:r w:rsidRPr="00C67DF7">
        <w:rPr>
          <w:b/>
          <w:bCs/>
          <w:sz w:val="24"/>
          <w:szCs w:val="24"/>
          <w:shd w:val="clear" w:color="auto" w:fill="FFFFFF"/>
          <w:lang w:eastAsia="zh-CN"/>
        </w:rPr>
        <w:t>MRE:</w:t>
      </w:r>
      <w:r w:rsidRPr="00C67DF7">
        <w:rPr>
          <w:sz w:val="24"/>
          <w:szCs w:val="24"/>
          <w:shd w:val="clear" w:color="auto" w:fill="FFFFFF"/>
        </w:rPr>
        <w:t xml:space="preserve"> Magnetic resonance enterography. </w:t>
      </w:r>
      <w:r w:rsidRPr="00C67DF7">
        <w:rPr>
          <w:b/>
          <w:bCs/>
          <w:sz w:val="24"/>
          <w:szCs w:val="24"/>
          <w:shd w:val="clear" w:color="auto" w:fill="FFFFFF"/>
          <w:lang w:eastAsia="zh-CN"/>
        </w:rPr>
        <w:t>CD</w:t>
      </w:r>
      <w:r w:rsidRPr="00C67DF7">
        <w:rPr>
          <w:b/>
          <w:bCs/>
          <w:sz w:val="24"/>
          <w:szCs w:val="24"/>
          <w:shd w:val="clear" w:color="auto" w:fill="FFFFFF"/>
        </w:rPr>
        <w:t>:</w:t>
      </w:r>
      <w:r w:rsidRPr="00C67DF7">
        <w:rPr>
          <w:sz w:val="24"/>
          <w:szCs w:val="24"/>
          <w:shd w:val="clear" w:color="auto" w:fill="FFFFFF"/>
        </w:rPr>
        <w:t xml:space="preserve"> </w:t>
      </w:r>
      <w:r w:rsidR="00EC2173" w:rsidRPr="00C67DF7">
        <w:rPr>
          <w:sz w:val="24"/>
          <w:szCs w:val="24"/>
          <w:shd w:val="clear" w:color="auto" w:fill="FFFFFF"/>
        </w:rPr>
        <w:t xml:space="preserve">Crohn’s </w:t>
      </w:r>
      <w:r w:rsidRPr="00C67DF7">
        <w:rPr>
          <w:sz w:val="24"/>
          <w:szCs w:val="24"/>
          <w:shd w:val="clear" w:color="auto" w:fill="FFFFFF"/>
        </w:rPr>
        <w:t xml:space="preserve">disease. </w:t>
      </w:r>
      <w:r w:rsidRPr="00C67DF7">
        <w:rPr>
          <w:b/>
          <w:bCs/>
          <w:sz w:val="24"/>
          <w:szCs w:val="24"/>
          <w:lang w:eastAsia="zh-CN"/>
        </w:rPr>
        <w:t>CTE</w:t>
      </w:r>
      <w:r w:rsidRPr="00C67DF7">
        <w:rPr>
          <w:b/>
          <w:bCs/>
          <w:sz w:val="24"/>
          <w:szCs w:val="24"/>
          <w:shd w:val="clear" w:color="auto" w:fill="FFFFFF"/>
        </w:rPr>
        <w:t>:</w:t>
      </w:r>
      <w:r w:rsidRPr="00C67DF7">
        <w:rPr>
          <w:b/>
          <w:bCs/>
          <w:sz w:val="24"/>
          <w:szCs w:val="24"/>
          <w:lang w:bidi="ar-EG"/>
        </w:rPr>
        <w:t xml:space="preserve"> </w:t>
      </w:r>
      <w:r w:rsidRPr="00C67DF7">
        <w:rPr>
          <w:sz w:val="24"/>
          <w:szCs w:val="24"/>
          <w:lang w:bidi="ar-EG"/>
        </w:rPr>
        <w:t xml:space="preserve">Computed tomography enterography. </w:t>
      </w:r>
      <w:r w:rsidRPr="00C67DF7">
        <w:rPr>
          <w:b/>
          <w:bCs/>
          <w:sz w:val="24"/>
          <w:szCs w:val="24"/>
          <w:lang w:bidi="ar-EG"/>
        </w:rPr>
        <w:t>SB:</w:t>
      </w:r>
      <w:r w:rsidRPr="00C67DF7">
        <w:rPr>
          <w:sz w:val="24"/>
          <w:szCs w:val="24"/>
          <w:lang w:bidi="ar-EG"/>
        </w:rPr>
        <w:t xml:space="preserve"> Small bowel. </w:t>
      </w:r>
      <w:proofErr w:type="spellStart"/>
      <w:r w:rsidRPr="00C67DF7">
        <w:rPr>
          <w:b/>
          <w:bCs/>
          <w:sz w:val="24"/>
          <w:szCs w:val="24"/>
          <w:lang w:eastAsia="zh-CN"/>
        </w:rPr>
        <w:t>bSSFP</w:t>
      </w:r>
      <w:proofErr w:type="spellEnd"/>
      <w:r w:rsidRPr="00C67DF7">
        <w:rPr>
          <w:b/>
          <w:bCs/>
          <w:sz w:val="24"/>
          <w:szCs w:val="24"/>
          <w:lang w:eastAsia="zh-CN"/>
        </w:rPr>
        <w:t>:</w:t>
      </w:r>
      <w:r w:rsidRPr="00C67DF7">
        <w:rPr>
          <w:sz w:val="24"/>
          <w:szCs w:val="24"/>
          <w:lang w:eastAsia="zh-CN"/>
        </w:rPr>
        <w:t xml:space="preserve"> balanced steady-state free precession. </w:t>
      </w:r>
      <w:r w:rsidRPr="00C67DF7">
        <w:rPr>
          <w:b/>
          <w:bCs/>
          <w:sz w:val="24"/>
          <w:szCs w:val="24"/>
          <w:lang w:eastAsia="zh-CN"/>
        </w:rPr>
        <w:t xml:space="preserve">3D: </w:t>
      </w:r>
      <w:r w:rsidRPr="00C67DF7">
        <w:rPr>
          <w:sz w:val="24"/>
          <w:szCs w:val="24"/>
          <w:lang w:eastAsia="zh-CN"/>
        </w:rPr>
        <w:t xml:space="preserve">Three-dimensional. </w:t>
      </w:r>
      <w:r w:rsidRPr="00C67DF7">
        <w:rPr>
          <w:b/>
          <w:bCs/>
          <w:sz w:val="24"/>
          <w:szCs w:val="24"/>
          <w:lang w:eastAsia="zh-CN"/>
        </w:rPr>
        <w:t xml:space="preserve">Gd-DTPA; </w:t>
      </w:r>
      <w:r w:rsidRPr="00C67DF7">
        <w:rPr>
          <w:sz w:val="24"/>
          <w:szCs w:val="24"/>
          <w:lang w:eastAsia="zh-CN"/>
        </w:rPr>
        <w:t xml:space="preserve">Gadopentetate </w:t>
      </w:r>
      <w:proofErr w:type="spellStart"/>
      <w:r w:rsidRPr="00C67DF7">
        <w:rPr>
          <w:sz w:val="24"/>
          <w:szCs w:val="24"/>
          <w:lang w:eastAsia="zh-CN"/>
        </w:rPr>
        <w:t>dimeglumine</w:t>
      </w:r>
      <w:proofErr w:type="spellEnd"/>
      <w:r w:rsidRPr="00C67DF7">
        <w:rPr>
          <w:sz w:val="24"/>
          <w:szCs w:val="24"/>
          <w:lang w:eastAsia="zh-CN"/>
        </w:rPr>
        <w:t xml:space="preserve">. </w:t>
      </w:r>
      <w:r w:rsidRPr="00C67DF7">
        <w:rPr>
          <w:b/>
          <w:bCs/>
          <w:sz w:val="24"/>
          <w:szCs w:val="24"/>
        </w:rPr>
        <w:t>DWI:</w:t>
      </w:r>
      <w:r w:rsidRPr="00C67DF7">
        <w:rPr>
          <w:sz w:val="24"/>
          <w:szCs w:val="24"/>
        </w:rPr>
        <w:t xml:space="preserve"> </w:t>
      </w:r>
      <w:r w:rsidR="00337F9F">
        <w:rPr>
          <w:sz w:val="24"/>
          <w:szCs w:val="24"/>
        </w:rPr>
        <w:t>Diffusion-weighted</w:t>
      </w:r>
      <w:r w:rsidRPr="00C67DF7">
        <w:rPr>
          <w:sz w:val="24"/>
          <w:szCs w:val="24"/>
        </w:rPr>
        <w:t xml:space="preserve"> imaging. </w:t>
      </w:r>
      <w:r w:rsidRPr="00C67DF7">
        <w:rPr>
          <w:b/>
          <w:bCs/>
          <w:sz w:val="24"/>
          <w:szCs w:val="24"/>
        </w:rPr>
        <w:t>ADC:</w:t>
      </w:r>
      <w:r w:rsidRPr="00C67DF7">
        <w:rPr>
          <w:sz w:val="24"/>
          <w:szCs w:val="24"/>
        </w:rPr>
        <w:t xml:space="preserve"> Apparent diffusion coefficient. </w:t>
      </w:r>
      <w:r w:rsidRPr="00C67DF7">
        <w:rPr>
          <w:b/>
          <w:bCs/>
          <w:sz w:val="24"/>
          <w:szCs w:val="24"/>
          <w:lang w:bidi="ar-EG"/>
        </w:rPr>
        <w:t>SPSS:</w:t>
      </w:r>
      <w:r w:rsidRPr="00C67DF7">
        <w:rPr>
          <w:sz w:val="24"/>
          <w:szCs w:val="24"/>
        </w:rPr>
        <w:t xml:space="preserve"> Statistical Package for Social Science.</w:t>
      </w:r>
    </w:p>
    <w:p w14:paraId="6CD91B11" w14:textId="77777777" w:rsidR="006E1B31" w:rsidRPr="006E1B31" w:rsidRDefault="006E1B31" w:rsidP="006E1B31">
      <w:pPr>
        <w:shd w:val="clear" w:color="auto" w:fill="FFFFFF"/>
        <w:bidi w:val="0"/>
        <w:spacing w:after="0" w:line="240" w:lineRule="auto"/>
        <w:rPr>
          <w:rFonts w:ascii="Arial" w:eastAsia="Times New Roman" w:hAnsi="Arial" w:cs="Arial"/>
          <w:b/>
          <w:bCs/>
          <w:color w:val="000000"/>
          <w:sz w:val="24"/>
          <w:szCs w:val="24"/>
        </w:rPr>
      </w:pPr>
      <w:r w:rsidRPr="006E1B31">
        <w:rPr>
          <w:rFonts w:ascii="Arial" w:eastAsia="Times New Roman" w:hAnsi="Arial" w:cs="Arial"/>
          <w:b/>
          <w:bCs/>
          <w:color w:val="000000"/>
          <w:sz w:val="24"/>
          <w:szCs w:val="24"/>
        </w:rPr>
        <w:t>Footnotes.</w:t>
      </w:r>
    </w:p>
    <w:p w14:paraId="5FF03DA1" w14:textId="5953C0C9" w:rsidR="006E1B31" w:rsidRPr="006E1B31" w:rsidRDefault="006E1B31" w:rsidP="006E1B31">
      <w:pPr>
        <w:shd w:val="clear" w:color="auto" w:fill="FFFFFF"/>
        <w:bidi w:val="0"/>
        <w:spacing w:after="0" w:line="240" w:lineRule="auto"/>
        <w:rPr>
          <w:rFonts w:ascii="Arial" w:eastAsia="Times New Roman" w:hAnsi="Arial" w:cs="Arial"/>
          <w:color w:val="000000"/>
        </w:rPr>
      </w:pPr>
      <w:bookmarkStart w:id="3" w:name="_Hlk175576913"/>
      <w:r w:rsidRPr="006E1B31">
        <w:rPr>
          <w:rFonts w:ascii="Arial" w:eastAsia="Times New Roman" w:hAnsi="Arial" w:cs="Arial"/>
          <w:color w:val="000000"/>
        </w:rPr>
        <w:t xml:space="preserve">Ahmed </w:t>
      </w:r>
      <w:bookmarkEnd w:id="3"/>
      <w:r w:rsidR="004D2BE3" w:rsidRPr="00710208">
        <w:rPr>
          <w:rFonts w:ascii="Arial" w:eastAsia="Times New Roman" w:hAnsi="Arial" w:cs="Arial"/>
          <w:color w:val="000000"/>
        </w:rPr>
        <w:t>Fathy</w:t>
      </w:r>
      <w:r w:rsidRPr="006E1B31">
        <w:rPr>
          <w:rFonts w:ascii="Arial" w:eastAsia="Times New Roman" w:hAnsi="Arial" w:cs="Arial"/>
          <w:color w:val="000000"/>
        </w:rPr>
        <w:t xml:space="preserve"> (Professor of internal medicine, gastroenterology, and hepatology unit), </w:t>
      </w:r>
      <w:r w:rsidR="004D2BE3" w:rsidRPr="00710208">
        <w:rPr>
          <w:rFonts w:ascii="Arial" w:eastAsia="Times New Roman" w:hAnsi="Arial" w:cs="Arial"/>
          <w:color w:val="000000"/>
        </w:rPr>
        <w:t>Mohamed Emara</w:t>
      </w:r>
      <w:r w:rsidRPr="006E1B31">
        <w:rPr>
          <w:rFonts w:ascii="Arial" w:eastAsia="Times New Roman" w:hAnsi="Arial" w:cs="Arial"/>
          <w:color w:val="000000"/>
        </w:rPr>
        <w:t xml:space="preserve"> (professor of </w:t>
      </w:r>
      <w:r w:rsidR="004D2BE3" w:rsidRPr="00710208">
        <w:rPr>
          <w:rFonts w:ascii="Arial" w:eastAsia="Times New Roman" w:hAnsi="Arial" w:cs="Arial"/>
          <w:color w:val="000000"/>
        </w:rPr>
        <w:t xml:space="preserve">gastroenterology, hepatology, and infectious diseases), Emad Emara (assistant professor of radiology), and Amany Mohamed (professor of family medicine, biostatistician) </w:t>
      </w:r>
      <w:r w:rsidRPr="006E1B31">
        <w:rPr>
          <w:rFonts w:ascii="Arial" w:eastAsia="Times New Roman" w:hAnsi="Arial" w:cs="Arial"/>
          <w:color w:val="000000"/>
        </w:rPr>
        <w:t>were the peer reviewers.</w:t>
      </w:r>
    </w:p>
    <w:p w14:paraId="1E793D68" w14:textId="77777777" w:rsidR="006E1B31" w:rsidRPr="006E1B31" w:rsidRDefault="006E1B31" w:rsidP="006E1B31">
      <w:pPr>
        <w:shd w:val="clear" w:color="auto" w:fill="FFFFFF"/>
        <w:bidi w:val="0"/>
        <w:spacing w:after="0" w:line="240" w:lineRule="auto"/>
        <w:rPr>
          <w:rFonts w:ascii="Arial" w:eastAsia="Times New Roman" w:hAnsi="Arial" w:cs="Arial"/>
          <w:color w:val="000000"/>
          <w:sz w:val="24"/>
          <w:szCs w:val="24"/>
        </w:rPr>
      </w:pPr>
      <w:r w:rsidRPr="006E1B31">
        <w:rPr>
          <w:rFonts w:ascii="Arial" w:eastAsia="Times New Roman" w:hAnsi="Arial" w:cs="Arial"/>
          <w:b/>
          <w:bCs/>
          <w:color w:val="000000"/>
          <w:sz w:val="24"/>
          <w:szCs w:val="24"/>
        </w:rPr>
        <w:t>E- Editor:</w:t>
      </w:r>
      <w:r w:rsidRPr="006E1B31">
        <w:rPr>
          <w:rFonts w:ascii="Arial" w:eastAsia="Times New Roman" w:hAnsi="Arial" w:cs="Arial"/>
          <w:color w:val="000000"/>
          <w:sz w:val="24"/>
          <w:szCs w:val="24"/>
        </w:rPr>
        <w:t xml:space="preserve"> Salem Youssef Mohamed, Osama Ahmed Khalil, Amany Mohammed.</w:t>
      </w:r>
    </w:p>
    <w:p w14:paraId="2C35722F" w14:textId="77777777" w:rsidR="006E1B31" w:rsidRPr="006E1B31" w:rsidRDefault="006E1B31" w:rsidP="006E1B31">
      <w:pPr>
        <w:shd w:val="clear" w:color="auto" w:fill="FFFFFF"/>
        <w:bidi w:val="0"/>
        <w:spacing w:after="0" w:line="240" w:lineRule="auto"/>
        <w:rPr>
          <w:rFonts w:ascii="Arial" w:eastAsia="Times New Roman" w:hAnsi="Arial" w:cs="Arial"/>
          <w:color w:val="000000"/>
          <w:sz w:val="24"/>
          <w:szCs w:val="24"/>
        </w:rPr>
      </w:pPr>
      <w:r w:rsidRPr="006E1B31">
        <w:rPr>
          <w:rFonts w:ascii="Arial" w:eastAsia="Times New Roman" w:hAnsi="Arial" w:cs="Arial"/>
          <w:b/>
          <w:bCs/>
          <w:color w:val="000000"/>
          <w:sz w:val="24"/>
          <w:szCs w:val="24"/>
        </w:rPr>
        <w:t>Copyright ©.</w:t>
      </w:r>
      <w:r w:rsidRPr="006E1B31">
        <w:rPr>
          <w:rFonts w:ascii="Arial" w:eastAsia="Times New Roman" w:hAnsi="Arial" w:cs="Arial"/>
          <w:color w:val="000000"/>
          <w:sz w:val="24"/>
          <w:szCs w:val="24"/>
        </w:rPr>
        <w:t xml:space="preserve"> This open-access article is distributed under the Creative Commons Attribution License (CC BY). It may be used, distributed, or reproduced in other forums, provided the original author(s) and the copyright owner(s) are credited. The original publication in this journal must be cited according to accepted academic practice. </w:t>
      </w:r>
    </w:p>
    <w:p w14:paraId="196A3FC8" w14:textId="77777777" w:rsidR="006E1B31" w:rsidRPr="006E1B31" w:rsidRDefault="006E1B31" w:rsidP="006E1B31">
      <w:pPr>
        <w:shd w:val="clear" w:color="auto" w:fill="FFFFFF"/>
        <w:bidi w:val="0"/>
        <w:spacing w:after="0" w:line="240" w:lineRule="auto"/>
        <w:rPr>
          <w:rFonts w:ascii="Arial" w:eastAsia="Times New Roman" w:hAnsi="Arial" w:cs="Arial"/>
          <w:color w:val="000000"/>
          <w:sz w:val="24"/>
          <w:szCs w:val="24"/>
        </w:rPr>
      </w:pPr>
      <w:r w:rsidRPr="006E1B31">
        <w:rPr>
          <w:rFonts w:ascii="Arial" w:eastAsia="Times New Roman" w:hAnsi="Arial" w:cs="Arial"/>
          <w:b/>
          <w:bCs/>
          <w:color w:val="000000"/>
          <w:sz w:val="24"/>
          <w:szCs w:val="24"/>
        </w:rPr>
        <w:t>Disclaimer:</w:t>
      </w:r>
      <w:r w:rsidRPr="006E1B31">
        <w:rPr>
          <w:rFonts w:ascii="Arial" w:eastAsia="Times New Roman" w:hAnsi="Arial" w:cs="Arial"/>
          <w:color w:val="000000"/>
          <w:sz w:val="24"/>
          <w:szCs w:val="24"/>
        </w:rPr>
        <w:t xml:space="preserve"> The authors' claims in this article are solely their own and do not necessarily represent their affiliated organizations or those of the publisher, the editors, and the reviewers. Any product evaluated in this article or its manufacturer's claim is not guaranteed or endorsed by the publisher.</w:t>
      </w:r>
    </w:p>
    <w:p w14:paraId="1C1D92CE" w14:textId="77777777" w:rsidR="006E1B31" w:rsidRPr="006E1B31" w:rsidRDefault="006E1B31" w:rsidP="006E1B31">
      <w:pPr>
        <w:shd w:val="clear" w:color="auto" w:fill="FFFFFF"/>
        <w:bidi w:val="0"/>
        <w:spacing w:after="0" w:line="240" w:lineRule="auto"/>
        <w:rPr>
          <w:rFonts w:ascii="Arial" w:eastAsia="Times New Roman" w:hAnsi="Arial" w:cs="Arial"/>
          <w:b/>
          <w:color w:val="000000"/>
          <w:sz w:val="24"/>
          <w:szCs w:val="24"/>
        </w:rPr>
      </w:pPr>
      <w:r w:rsidRPr="006E1B31">
        <w:rPr>
          <w:rFonts w:ascii="Arial" w:eastAsia="Times New Roman" w:hAnsi="Arial" w:cs="Arial"/>
          <w:b/>
          <w:color w:val="000000"/>
          <w:sz w:val="24"/>
          <w:szCs w:val="24"/>
        </w:rPr>
        <w:t>Ethical approval:</w:t>
      </w:r>
      <w:r w:rsidRPr="006E1B31">
        <w:rPr>
          <w:rFonts w:ascii="Arial" w:eastAsia="Times New Roman" w:hAnsi="Arial" w:cs="Arial"/>
          <w:color w:val="000000"/>
          <w:sz w:val="24"/>
          <w:szCs w:val="24"/>
        </w:rPr>
        <w:t xml:space="preserve"> </w:t>
      </w:r>
    </w:p>
    <w:p w14:paraId="3595B6B0" w14:textId="5F96407A" w:rsidR="006E1B31" w:rsidRPr="006E1B31" w:rsidRDefault="004D2BE3" w:rsidP="004D2BE3">
      <w:pPr>
        <w:shd w:val="clear" w:color="auto" w:fill="FFFFFF"/>
        <w:bidi w:val="0"/>
        <w:spacing w:after="0" w:line="240" w:lineRule="auto"/>
        <w:rPr>
          <w:rFonts w:ascii="Arial" w:eastAsia="Times New Roman" w:hAnsi="Arial" w:cs="Arial"/>
          <w:color w:val="000000"/>
          <w:sz w:val="24"/>
          <w:szCs w:val="24"/>
        </w:rPr>
      </w:pPr>
      <w:r w:rsidRPr="004D2BE3">
        <w:rPr>
          <w:rFonts w:ascii="Arial" w:eastAsia="Times New Roman" w:hAnsi="Arial" w:cs="Arial"/>
          <w:color w:val="000000"/>
          <w:sz w:val="24"/>
          <w:szCs w:val="24"/>
        </w:rPr>
        <w:t>All procedures followed were by the ethical standards of the responsible committee on human experimentation (Institutional Review Board (IRB)) of National Liver Institute, Menoufia University, and with the Helsinki Declaration of 1964 and later versions. The committee’s reference number is NLI IRB 00014014/FWA00034015. Informed consent was obtained before commencing the study.</w:t>
      </w:r>
    </w:p>
    <w:p w14:paraId="4B8E4D36" w14:textId="77777777" w:rsidR="006E1B31" w:rsidRPr="006E1B31" w:rsidRDefault="006E1B31" w:rsidP="006E1B31">
      <w:pPr>
        <w:shd w:val="clear" w:color="auto" w:fill="FFFFFF"/>
        <w:bidi w:val="0"/>
        <w:spacing w:after="0" w:line="240" w:lineRule="auto"/>
        <w:rPr>
          <w:rFonts w:ascii="Arial" w:eastAsia="Times New Roman" w:hAnsi="Arial" w:cs="Arial"/>
          <w:b/>
          <w:color w:val="000000"/>
          <w:sz w:val="24"/>
          <w:szCs w:val="24"/>
          <w:lang w:val="en-GB"/>
        </w:rPr>
      </w:pPr>
      <w:r w:rsidRPr="006E1B31">
        <w:rPr>
          <w:rFonts w:ascii="Arial" w:eastAsia="Times New Roman" w:hAnsi="Arial" w:cs="Arial"/>
          <w:b/>
          <w:color w:val="000000"/>
          <w:sz w:val="24"/>
          <w:szCs w:val="24"/>
          <w:lang w:val="en-GB"/>
        </w:rPr>
        <w:t>Study protocol: </w:t>
      </w:r>
    </w:p>
    <w:p w14:paraId="2D34F134" w14:textId="77777777" w:rsidR="006E1B31" w:rsidRPr="006E1B31" w:rsidRDefault="006E1B31" w:rsidP="006E1B31">
      <w:pPr>
        <w:shd w:val="clear" w:color="auto" w:fill="FFFFFF"/>
        <w:bidi w:val="0"/>
        <w:spacing w:after="0" w:line="240" w:lineRule="auto"/>
        <w:rPr>
          <w:rFonts w:ascii="Arial" w:eastAsia="Times New Roman" w:hAnsi="Arial" w:cs="Arial"/>
          <w:color w:val="000000"/>
          <w:sz w:val="24"/>
          <w:szCs w:val="24"/>
          <w:lang w:val="en-GB"/>
        </w:rPr>
      </w:pPr>
      <w:r w:rsidRPr="006E1B31">
        <w:rPr>
          <w:rFonts w:ascii="Arial" w:eastAsia="Times New Roman" w:hAnsi="Arial" w:cs="Arial"/>
          <w:color w:val="000000"/>
          <w:sz w:val="24"/>
          <w:szCs w:val="24"/>
          <w:lang w:val="en-GB"/>
        </w:rPr>
        <w:t>In adherence to the principles outlined in the Helsinki Declaration, the study protocol was implemented with approval from the institutional review board. Before commencing the research, written consent was obtained to utilize their clinical information.</w:t>
      </w:r>
    </w:p>
    <w:p w14:paraId="63161089" w14:textId="77777777" w:rsidR="006E1B31" w:rsidRPr="006E1B31" w:rsidRDefault="006E1B31" w:rsidP="006E1B31">
      <w:pPr>
        <w:shd w:val="clear" w:color="auto" w:fill="FFFFFF"/>
        <w:bidi w:val="0"/>
        <w:spacing w:after="0" w:line="240" w:lineRule="auto"/>
        <w:rPr>
          <w:rFonts w:ascii="Arial" w:eastAsia="Times New Roman" w:hAnsi="Arial" w:cs="Arial"/>
          <w:color w:val="000000"/>
          <w:sz w:val="24"/>
          <w:szCs w:val="24"/>
        </w:rPr>
      </w:pPr>
      <w:r w:rsidRPr="006E1B31">
        <w:rPr>
          <w:rFonts w:ascii="Arial" w:eastAsia="Times New Roman" w:hAnsi="Arial" w:cs="Arial"/>
          <w:b/>
          <w:bCs/>
          <w:color w:val="000000"/>
          <w:sz w:val="24"/>
          <w:szCs w:val="24"/>
        </w:rPr>
        <w:t>Data and materials availability:</w:t>
      </w:r>
      <w:r w:rsidRPr="006E1B31">
        <w:rPr>
          <w:rFonts w:ascii="Arial" w:eastAsia="Times New Roman" w:hAnsi="Arial" w:cs="Arial"/>
          <w:color w:val="000000"/>
          <w:sz w:val="24"/>
          <w:szCs w:val="24"/>
        </w:rPr>
        <w:t xml:space="preserve"> The datasets used or analyzed during the current study are available from the corresponding author upon reasonable request.</w:t>
      </w:r>
    </w:p>
    <w:p w14:paraId="60853DE5" w14:textId="77777777" w:rsidR="006E1B31" w:rsidRPr="006E1B31" w:rsidRDefault="006E1B31" w:rsidP="006E1B31">
      <w:pPr>
        <w:shd w:val="clear" w:color="auto" w:fill="FFFFFF"/>
        <w:bidi w:val="0"/>
        <w:spacing w:after="0" w:line="240" w:lineRule="auto"/>
        <w:rPr>
          <w:rFonts w:ascii="Arial" w:eastAsia="Times New Roman" w:hAnsi="Arial" w:cs="Arial"/>
          <w:color w:val="000000"/>
          <w:sz w:val="24"/>
          <w:szCs w:val="24"/>
        </w:rPr>
      </w:pPr>
      <w:r w:rsidRPr="006E1B31">
        <w:rPr>
          <w:rFonts w:ascii="Arial" w:eastAsia="Times New Roman" w:hAnsi="Arial" w:cs="Arial"/>
          <w:b/>
          <w:bCs/>
          <w:color w:val="000000"/>
          <w:sz w:val="24"/>
          <w:szCs w:val="24"/>
        </w:rPr>
        <w:t>Competing interests</w:t>
      </w:r>
      <w:r w:rsidRPr="006E1B31">
        <w:rPr>
          <w:rFonts w:ascii="Arial" w:eastAsia="Times New Roman" w:hAnsi="Arial" w:cs="Arial"/>
          <w:color w:val="000000"/>
          <w:sz w:val="24"/>
          <w:szCs w:val="24"/>
        </w:rPr>
        <w:t>: The authors declare that they have no competing interests.</w:t>
      </w:r>
    </w:p>
    <w:p w14:paraId="72A46A22" w14:textId="339183E5" w:rsidR="006E1B31" w:rsidRPr="006E1B31" w:rsidRDefault="006E1B31" w:rsidP="006E1B31">
      <w:pPr>
        <w:shd w:val="clear" w:color="auto" w:fill="FFFFFF"/>
        <w:bidi w:val="0"/>
        <w:spacing w:after="0" w:line="240" w:lineRule="auto"/>
        <w:rPr>
          <w:rFonts w:ascii="Arial" w:eastAsia="Times New Roman" w:hAnsi="Arial" w:cs="Arial"/>
          <w:color w:val="000000"/>
          <w:sz w:val="24"/>
          <w:szCs w:val="24"/>
        </w:rPr>
      </w:pPr>
      <w:r w:rsidRPr="006E1B31">
        <w:rPr>
          <w:rFonts w:ascii="Arial" w:eastAsia="Times New Roman" w:hAnsi="Arial" w:cs="Arial"/>
          <w:b/>
          <w:bCs/>
          <w:color w:val="000000"/>
          <w:sz w:val="24"/>
          <w:szCs w:val="24"/>
        </w:rPr>
        <w:t>Funding</w:t>
      </w:r>
      <w:r w:rsidRPr="006E1B31">
        <w:rPr>
          <w:rFonts w:ascii="Arial" w:eastAsia="Times New Roman" w:hAnsi="Arial" w:cs="Arial"/>
          <w:color w:val="000000"/>
          <w:sz w:val="24"/>
          <w:szCs w:val="24"/>
        </w:rPr>
        <w:t xml:space="preserve">: This study had no funding from any </w:t>
      </w:r>
      <w:r w:rsidR="00337F9F">
        <w:rPr>
          <w:rFonts w:ascii="Arial" w:eastAsia="Times New Roman" w:hAnsi="Arial" w:cs="Arial"/>
          <w:color w:val="000000"/>
          <w:sz w:val="24"/>
          <w:szCs w:val="24"/>
        </w:rPr>
        <w:t>source</w:t>
      </w:r>
      <w:r w:rsidRPr="006E1B31">
        <w:rPr>
          <w:rFonts w:ascii="Arial" w:eastAsia="Times New Roman" w:hAnsi="Arial" w:cs="Arial"/>
          <w:color w:val="000000"/>
          <w:sz w:val="24"/>
          <w:szCs w:val="24"/>
        </w:rPr>
        <w:t>.</w:t>
      </w:r>
    </w:p>
    <w:p w14:paraId="2888826E" w14:textId="0892C5D2" w:rsidR="006E1B31" w:rsidRPr="006E1B31" w:rsidRDefault="006E1B31" w:rsidP="006E1B31">
      <w:pPr>
        <w:shd w:val="clear" w:color="auto" w:fill="FFFFFF"/>
        <w:bidi w:val="0"/>
        <w:spacing w:after="0" w:line="240" w:lineRule="auto"/>
        <w:rPr>
          <w:rFonts w:ascii="Arial" w:eastAsia="Times New Roman" w:hAnsi="Arial" w:cs="Arial"/>
          <w:color w:val="000000"/>
          <w:sz w:val="24"/>
          <w:szCs w:val="24"/>
        </w:rPr>
      </w:pPr>
      <w:r w:rsidRPr="006E1B31">
        <w:rPr>
          <w:rFonts w:ascii="Arial" w:eastAsia="Times New Roman" w:hAnsi="Arial" w:cs="Arial"/>
          <w:color w:val="000000"/>
          <w:sz w:val="24"/>
          <w:szCs w:val="24"/>
        </w:rPr>
        <w:t xml:space="preserve">This work was done according to the </w:t>
      </w:r>
      <w:r w:rsidR="00710208">
        <w:rPr>
          <w:rFonts w:ascii="Arial" w:eastAsia="Times New Roman" w:hAnsi="Arial" w:cs="Arial"/>
          <w:b/>
          <w:bCs/>
          <w:color w:val="000000"/>
          <w:sz w:val="24"/>
          <w:szCs w:val="24"/>
        </w:rPr>
        <w:t>STROBE</w:t>
      </w:r>
      <w:r w:rsidR="00710208" w:rsidRPr="006E1B31">
        <w:rPr>
          <w:rFonts w:ascii="Arial" w:eastAsia="Times New Roman" w:hAnsi="Arial" w:cs="Arial"/>
          <w:b/>
          <w:bCs/>
          <w:color w:val="000000"/>
          <w:sz w:val="24"/>
          <w:szCs w:val="24"/>
        </w:rPr>
        <w:t xml:space="preserve"> </w:t>
      </w:r>
      <w:r w:rsidRPr="006E1B31">
        <w:rPr>
          <w:rFonts w:ascii="Arial" w:eastAsia="Times New Roman" w:hAnsi="Arial" w:cs="Arial"/>
          <w:color w:val="000000"/>
          <w:sz w:val="24"/>
          <w:szCs w:val="24"/>
        </w:rPr>
        <w:t>guidelines.</w:t>
      </w:r>
      <w:bookmarkStart w:id="4" w:name="h11"/>
      <w:bookmarkEnd w:id="4"/>
    </w:p>
    <w:p w14:paraId="180074FA" w14:textId="77777777" w:rsidR="006E1B31" w:rsidRPr="006E1B31" w:rsidRDefault="006E1B31" w:rsidP="006E1B31">
      <w:pPr>
        <w:shd w:val="clear" w:color="auto" w:fill="FFFFFF"/>
        <w:bidi w:val="0"/>
        <w:spacing w:after="0" w:line="240" w:lineRule="auto"/>
        <w:rPr>
          <w:rFonts w:ascii="Arial" w:eastAsia="Times New Roman" w:hAnsi="Arial" w:cs="Arial"/>
          <w:b/>
          <w:bCs/>
          <w:color w:val="000000"/>
          <w:sz w:val="24"/>
          <w:szCs w:val="24"/>
        </w:rPr>
      </w:pPr>
      <w:r w:rsidRPr="006E1B31">
        <w:rPr>
          <w:rFonts w:ascii="Arial" w:eastAsia="Times New Roman" w:hAnsi="Arial" w:cs="Arial"/>
          <w:b/>
          <w:bCs/>
          <w:color w:val="000000"/>
          <w:sz w:val="24"/>
          <w:szCs w:val="24"/>
        </w:rPr>
        <w:t xml:space="preserve">Authors' contributions </w:t>
      </w:r>
    </w:p>
    <w:p w14:paraId="2CEAB8FA" w14:textId="1B24C602" w:rsidR="006E1B31" w:rsidRPr="006E1B31" w:rsidRDefault="004D2BE3" w:rsidP="004D2BE3">
      <w:pPr>
        <w:shd w:val="clear" w:color="auto" w:fill="FFFFFF"/>
        <w:bidi w:val="0"/>
        <w:spacing w:after="0" w:line="240" w:lineRule="auto"/>
        <w:rPr>
          <w:rFonts w:ascii="Arial" w:eastAsia="Times New Roman" w:hAnsi="Arial" w:cs="Arial"/>
          <w:color w:val="000000"/>
          <w:sz w:val="24"/>
          <w:szCs w:val="24"/>
        </w:rPr>
      </w:pPr>
      <w:r w:rsidRPr="004D2BE3">
        <w:rPr>
          <w:rFonts w:ascii="Arial" w:eastAsia="Times New Roman" w:hAnsi="Arial" w:cs="Arial"/>
          <w:color w:val="000000"/>
          <w:sz w:val="24"/>
          <w:szCs w:val="24"/>
        </w:rPr>
        <w:t>RAA, MAA, and RAM wrote the research, selected the research cases, prepared the figures for case demonstration, and reviewed the study. MSA, assess cases for initial diagnosis. HSE assesses case selection and carries out cases on the workstation. “All authors read and approved the final manuscript.”</w:t>
      </w:r>
    </w:p>
    <w:p w14:paraId="43C70A04" w14:textId="77777777" w:rsidR="006E1B31" w:rsidRPr="006E1B31" w:rsidRDefault="006E1B31" w:rsidP="006E1B31">
      <w:pPr>
        <w:shd w:val="clear" w:color="auto" w:fill="FFFFFF"/>
        <w:bidi w:val="0"/>
        <w:spacing w:after="0" w:line="240" w:lineRule="auto"/>
        <w:rPr>
          <w:rFonts w:ascii="Arial" w:eastAsia="Times New Roman" w:hAnsi="Arial" w:cs="Arial"/>
          <w:color w:val="000000"/>
          <w:sz w:val="24"/>
          <w:szCs w:val="24"/>
        </w:rPr>
      </w:pPr>
      <w:r w:rsidRPr="006E1B31">
        <w:rPr>
          <w:rFonts w:ascii="Arial" w:eastAsia="Times New Roman" w:hAnsi="Arial" w:cs="Arial"/>
          <w:b/>
          <w:bCs/>
          <w:color w:val="000000"/>
          <w:sz w:val="24"/>
          <w:szCs w:val="24"/>
          <w:lang w:val="en-GB"/>
        </w:rPr>
        <w:t>Acknowledgment</w:t>
      </w:r>
      <w:r w:rsidRPr="006E1B31">
        <w:rPr>
          <w:rFonts w:ascii="Arial" w:eastAsia="Times New Roman" w:hAnsi="Arial" w:cs="Arial"/>
          <w:color w:val="000000"/>
          <w:sz w:val="24"/>
          <w:szCs w:val="24"/>
          <w:lang w:val="en-GB"/>
        </w:rPr>
        <w:t xml:space="preserve">: </w:t>
      </w:r>
      <w:r w:rsidRPr="006E1B31">
        <w:rPr>
          <w:rFonts w:ascii="Arial" w:eastAsia="Times New Roman" w:hAnsi="Arial" w:cs="Arial"/>
          <w:color w:val="000000"/>
          <w:sz w:val="24"/>
          <w:szCs w:val="24"/>
        </w:rPr>
        <w:t>none.</w:t>
      </w:r>
    </w:p>
    <w:p w14:paraId="439E34EC" w14:textId="6B1B4249" w:rsidR="00FC6B49" w:rsidRPr="00C509B1" w:rsidRDefault="00FC6B49" w:rsidP="00FC6B49">
      <w:pPr>
        <w:bidi w:val="0"/>
        <w:rPr>
          <w:b/>
          <w:bCs/>
          <w:sz w:val="24"/>
          <w:szCs w:val="24"/>
          <w:rtl/>
          <w:lang w:bidi="ar-EG"/>
        </w:rPr>
      </w:pPr>
      <w:r w:rsidRPr="00C509B1">
        <w:rPr>
          <w:b/>
          <w:bCs/>
          <w:sz w:val="24"/>
          <w:szCs w:val="24"/>
        </w:rPr>
        <w:t>R</w:t>
      </w:r>
      <w:r w:rsidR="00647201" w:rsidRPr="00C509B1">
        <w:rPr>
          <w:b/>
          <w:bCs/>
          <w:sz w:val="24"/>
          <w:szCs w:val="24"/>
        </w:rPr>
        <w:t xml:space="preserve">eferences: </w:t>
      </w:r>
    </w:p>
    <w:p w14:paraId="27611056" w14:textId="77777777" w:rsidR="00FC6B49" w:rsidRPr="00C67DF7" w:rsidRDefault="00FC6B49" w:rsidP="00FC6B49">
      <w:pPr>
        <w:numPr>
          <w:ilvl w:val="0"/>
          <w:numId w:val="1"/>
        </w:numPr>
        <w:autoSpaceDE w:val="0"/>
        <w:autoSpaceDN w:val="0"/>
        <w:bidi w:val="0"/>
        <w:adjustRightInd w:val="0"/>
        <w:spacing w:before="240" w:after="0"/>
        <w:jc w:val="both"/>
        <w:rPr>
          <w:sz w:val="24"/>
          <w:szCs w:val="24"/>
          <w:lang w:eastAsia="zh-CN"/>
        </w:rPr>
      </w:pPr>
      <w:bookmarkStart w:id="5" w:name="_Hlk128995433"/>
      <w:r w:rsidRPr="00C67DF7">
        <w:rPr>
          <w:sz w:val="24"/>
          <w:szCs w:val="24"/>
          <w:lang w:eastAsia="zh-CN"/>
        </w:rPr>
        <w:t>Ananthakrishnan AN. (2015) Epidemiology and risk factors for IBD. Nat Rev Gastroenterol Hepatol; 12: 205-217</w:t>
      </w:r>
      <w:bookmarkEnd w:id="5"/>
      <w:r w:rsidRPr="00C67DF7">
        <w:rPr>
          <w:sz w:val="24"/>
          <w:szCs w:val="24"/>
          <w:lang w:eastAsia="zh-CN"/>
        </w:rPr>
        <w:t>.</w:t>
      </w:r>
    </w:p>
    <w:p w14:paraId="51BC7B79" w14:textId="77777777" w:rsidR="00FC6B49" w:rsidRPr="00C67DF7" w:rsidRDefault="00FC6B49" w:rsidP="00FC6B49">
      <w:pPr>
        <w:numPr>
          <w:ilvl w:val="0"/>
          <w:numId w:val="1"/>
        </w:numPr>
        <w:autoSpaceDE w:val="0"/>
        <w:autoSpaceDN w:val="0"/>
        <w:bidi w:val="0"/>
        <w:adjustRightInd w:val="0"/>
        <w:spacing w:before="240" w:after="0"/>
        <w:jc w:val="both"/>
        <w:rPr>
          <w:sz w:val="24"/>
          <w:szCs w:val="24"/>
          <w:lang w:eastAsia="zh-CN"/>
        </w:rPr>
      </w:pPr>
      <w:r w:rsidRPr="00C67DF7">
        <w:rPr>
          <w:sz w:val="24"/>
          <w:szCs w:val="24"/>
          <w:lang w:eastAsia="zh-CN"/>
        </w:rPr>
        <w:t>El-</w:t>
      </w:r>
      <w:proofErr w:type="spellStart"/>
      <w:r w:rsidRPr="00C67DF7">
        <w:rPr>
          <w:sz w:val="24"/>
          <w:szCs w:val="24"/>
          <w:lang w:eastAsia="zh-CN"/>
        </w:rPr>
        <w:t>Matary</w:t>
      </w:r>
      <w:proofErr w:type="spellEnd"/>
      <w:r w:rsidRPr="00C67DF7">
        <w:rPr>
          <w:sz w:val="24"/>
          <w:szCs w:val="24"/>
          <w:lang w:eastAsia="zh-CN"/>
        </w:rPr>
        <w:t xml:space="preserve"> W., Moroz SP., Bernstein CN. (2014) “Inflammatory bowel disease in children of Manitoba: 30 years’ experience of a tertiary center,” Journal of Pediatric Gastroenterology and Nutrition, vol. 59, no. 6, pp. 763–766.</w:t>
      </w:r>
    </w:p>
    <w:p w14:paraId="46D9AEB1" w14:textId="356E091B" w:rsidR="00FC6B49" w:rsidRPr="00C67DF7" w:rsidRDefault="00FC6B49" w:rsidP="00FC6B49">
      <w:pPr>
        <w:numPr>
          <w:ilvl w:val="0"/>
          <w:numId w:val="1"/>
        </w:numPr>
        <w:autoSpaceDE w:val="0"/>
        <w:autoSpaceDN w:val="0"/>
        <w:bidi w:val="0"/>
        <w:adjustRightInd w:val="0"/>
        <w:spacing w:before="240" w:after="0"/>
        <w:jc w:val="both"/>
        <w:rPr>
          <w:sz w:val="24"/>
          <w:szCs w:val="24"/>
          <w:lang w:eastAsia="zh-CN"/>
        </w:rPr>
      </w:pPr>
      <w:r w:rsidRPr="00C67DF7">
        <w:rPr>
          <w:sz w:val="24"/>
          <w:szCs w:val="24"/>
          <w:lang w:eastAsia="zh-CN"/>
        </w:rPr>
        <w:t>Flynn, S., Eisenstein, S. (2019)</w:t>
      </w:r>
      <w:r w:rsidR="004605B8" w:rsidRPr="00C67DF7">
        <w:rPr>
          <w:sz w:val="24"/>
          <w:szCs w:val="24"/>
          <w:lang w:eastAsia="zh-CN"/>
        </w:rPr>
        <w:t>.</w:t>
      </w:r>
      <w:r w:rsidRPr="00C67DF7">
        <w:rPr>
          <w:sz w:val="24"/>
          <w:szCs w:val="24"/>
          <w:lang w:eastAsia="zh-CN"/>
        </w:rPr>
        <w:t xml:space="preserve"> Inflammatory Bowel Disease Presentation and Diagnosis. Surg. Clin. N. Am., 99, 1051–1062.</w:t>
      </w:r>
    </w:p>
    <w:p w14:paraId="280F9F0F" w14:textId="77777777" w:rsidR="00FC6B49" w:rsidRPr="00C67DF7" w:rsidRDefault="00FC6B49" w:rsidP="00FC6B49">
      <w:pPr>
        <w:numPr>
          <w:ilvl w:val="0"/>
          <w:numId w:val="1"/>
        </w:numPr>
        <w:autoSpaceDE w:val="0"/>
        <w:autoSpaceDN w:val="0"/>
        <w:bidi w:val="0"/>
        <w:adjustRightInd w:val="0"/>
        <w:spacing w:before="240" w:after="0"/>
        <w:jc w:val="both"/>
        <w:rPr>
          <w:sz w:val="24"/>
          <w:szCs w:val="24"/>
        </w:rPr>
      </w:pPr>
      <w:r w:rsidRPr="00C67DF7">
        <w:rPr>
          <w:sz w:val="24"/>
          <w:szCs w:val="24"/>
          <w:lang w:eastAsia="zh-CN"/>
        </w:rPr>
        <w:t xml:space="preserve">Pariente B., </w:t>
      </w:r>
      <w:proofErr w:type="spellStart"/>
      <w:r w:rsidRPr="00C67DF7">
        <w:rPr>
          <w:sz w:val="24"/>
          <w:szCs w:val="24"/>
          <w:lang w:eastAsia="zh-CN"/>
        </w:rPr>
        <w:t>Peyrin-Biroulet</w:t>
      </w:r>
      <w:proofErr w:type="spellEnd"/>
      <w:r w:rsidRPr="00C67DF7">
        <w:rPr>
          <w:sz w:val="24"/>
          <w:szCs w:val="24"/>
          <w:lang w:eastAsia="zh-CN"/>
        </w:rPr>
        <w:t xml:space="preserve"> L., Cohen L., Zagdanski AM., Colombel JF. (2011) “Gastroenterology review and perspective: the role of cross-sectional imaging in evaluating bowel damage in Crohn disease,” American Journal of Roentgenology, vol. 197, no. 1, pp. 42–49.</w:t>
      </w:r>
    </w:p>
    <w:p w14:paraId="7A55C55B" w14:textId="77777777" w:rsidR="00FC6B49" w:rsidRPr="00C67DF7" w:rsidRDefault="00FC6B49" w:rsidP="00FC6B49">
      <w:pPr>
        <w:numPr>
          <w:ilvl w:val="0"/>
          <w:numId w:val="1"/>
        </w:numPr>
        <w:autoSpaceDE w:val="0"/>
        <w:autoSpaceDN w:val="0"/>
        <w:bidi w:val="0"/>
        <w:adjustRightInd w:val="0"/>
        <w:spacing w:before="240" w:after="0"/>
        <w:jc w:val="both"/>
        <w:rPr>
          <w:sz w:val="24"/>
          <w:szCs w:val="24"/>
        </w:rPr>
      </w:pPr>
      <w:r w:rsidRPr="00C67DF7">
        <w:rPr>
          <w:sz w:val="24"/>
          <w:szCs w:val="24"/>
          <w:lang w:eastAsia="zh-CN"/>
        </w:rPr>
        <w:t xml:space="preserve">Di Sabatino A., </w:t>
      </w:r>
      <w:proofErr w:type="spellStart"/>
      <w:r w:rsidRPr="00C67DF7">
        <w:rPr>
          <w:sz w:val="24"/>
          <w:szCs w:val="24"/>
          <w:lang w:eastAsia="zh-CN"/>
        </w:rPr>
        <w:t>Rovedatti</w:t>
      </w:r>
      <w:proofErr w:type="spellEnd"/>
      <w:r w:rsidRPr="00C67DF7">
        <w:rPr>
          <w:sz w:val="24"/>
          <w:szCs w:val="24"/>
          <w:lang w:eastAsia="zh-CN"/>
        </w:rPr>
        <w:t xml:space="preserve"> L., </w:t>
      </w:r>
      <w:proofErr w:type="spellStart"/>
      <w:r w:rsidRPr="00C67DF7">
        <w:rPr>
          <w:sz w:val="24"/>
          <w:szCs w:val="24"/>
          <w:lang w:eastAsia="zh-CN"/>
        </w:rPr>
        <w:t>Vidali</w:t>
      </w:r>
      <w:proofErr w:type="spellEnd"/>
      <w:r w:rsidRPr="00C67DF7">
        <w:rPr>
          <w:sz w:val="24"/>
          <w:szCs w:val="24"/>
          <w:lang w:eastAsia="zh-CN"/>
        </w:rPr>
        <w:t xml:space="preserve"> F., Macdonald TT., Corazza GR. (2013) Recent advances in understanding Crohn’s disease. Intern Emerg Med; 8: 101-113.</w:t>
      </w:r>
    </w:p>
    <w:p w14:paraId="47813C21" w14:textId="1DD0DDB4" w:rsidR="00FC6B49" w:rsidRPr="00C67DF7" w:rsidRDefault="00FC6B49" w:rsidP="00FC6B49">
      <w:pPr>
        <w:numPr>
          <w:ilvl w:val="0"/>
          <w:numId w:val="1"/>
        </w:numPr>
        <w:autoSpaceDE w:val="0"/>
        <w:autoSpaceDN w:val="0"/>
        <w:bidi w:val="0"/>
        <w:adjustRightInd w:val="0"/>
        <w:spacing w:before="240" w:after="0"/>
        <w:jc w:val="both"/>
        <w:rPr>
          <w:sz w:val="24"/>
          <w:szCs w:val="24"/>
          <w:lang w:eastAsia="zh-CN"/>
        </w:rPr>
      </w:pPr>
      <w:proofErr w:type="spellStart"/>
      <w:r w:rsidRPr="00C67DF7">
        <w:rPr>
          <w:sz w:val="24"/>
          <w:szCs w:val="24"/>
          <w:lang w:eastAsia="zh-CN"/>
        </w:rPr>
        <w:t>Laass</w:t>
      </w:r>
      <w:proofErr w:type="spellEnd"/>
      <w:r w:rsidRPr="00C67DF7">
        <w:rPr>
          <w:sz w:val="24"/>
          <w:szCs w:val="24"/>
          <w:lang w:eastAsia="zh-CN"/>
        </w:rPr>
        <w:t xml:space="preserve"> MW., Roggenbuck D., Conrad K. (2014) Diagnosis and classification of Crohn’s disease. </w:t>
      </w:r>
      <w:r w:rsidR="004605B8" w:rsidRPr="00C67DF7">
        <w:rPr>
          <w:sz w:val="24"/>
          <w:szCs w:val="24"/>
          <w:lang w:eastAsia="zh-CN"/>
        </w:rPr>
        <w:t>Autoimmune</w:t>
      </w:r>
      <w:r w:rsidRPr="00C67DF7">
        <w:rPr>
          <w:sz w:val="24"/>
          <w:szCs w:val="24"/>
          <w:lang w:eastAsia="zh-CN"/>
        </w:rPr>
        <w:t xml:space="preserve"> Rev.; 13: 467-471</w:t>
      </w:r>
    </w:p>
    <w:p w14:paraId="43EC926F" w14:textId="77777777" w:rsidR="00FC6B49" w:rsidRPr="00C67DF7" w:rsidRDefault="00FC6B49" w:rsidP="00FC6B49">
      <w:pPr>
        <w:numPr>
          <w:ilvl w:val="0"/>
          <w:numId w:val="1"/>
        </w:numPr>
        <w:autoSpaceDE w:val="0"/>
        <w:autoSpaceDN w:val="0"/>
        <w:bidi w:val="0"/>
        <w:adjustRightInd w:val="0"/>
        <w:spacing w:before="240" w:after="0"/>
        <w:jc w:val="both"/>
        <w:rPr>
          <w:sz w:val="24"/>
          <w:szCs w:val="24"/>
          <w:lang w:eastAsia="zh-CN"/>
        </w:rPr>
      </w:pPr>
      <w:proofErr w:type="spellStart"/>
      <w:r w:rsidRPr="00C67DF7">
        <w:rPr>
          <w:sz w:val="24"/>
          <w:szCs w:val="24"/>
          <w:lang w:eastAsia="zh-CN"/>
        </w:rPr>
        <w:t>Alzoghaibi</w:t>
      </w:r>
      <w:proofErr w:type="spellEnd"/>
      <w:r w:rsidRPr="00C67DF7">
        <w:rPr>
          <w:sz w:val="24"/>
          <w:szCs w:val="24"/>
          <w:lang w:eastAsia="zh-CN"/>
        </w:rPr>
        <w:t xml:space="preserve"> MA. (2005) Neutrophil expression and infiltration into Crohn’s intestine. Saudi J Gastroenterol; 11: 63-72</w:t>
      </w:r>
    </w:p>
    <w:p w14:paraId="65BA7AFF" w14:textId="77777777" w:rsidR="00FC6B49" w:rsidRPr="00C67DF7" w:rsidRDefault="00FC6B49" w:rsidP="00FC6B49">
      <w:pPr>
        <w:numPr>
          <w:ilvl w:val="0"/>
          <w:numId w:val="1"/>
        </w:numPr>
        <w:autoSpaceDE w:val="0"/>
        <w:autoSpaceDN w:val="0"/>
        <w:bidi w:val="0"/>
        <w:adjustRightInd w:val="0"/>
        <w:spacing w:before="240" w:after="0"/>
        <w:jc w:val="both"/>
        <w:rPr>
          <w:sz w:val="24"/>
          <w:szCs w:val="24"/>
          <w:lang w:eastAsia="zh-CN"/>
        </w:rPr>
      </w:pPr>
      <w:r w:rsidRPr="00C67DF7">
        <w:rPr>
          <w:sz w:val="24"/>
          <w:szCs w:val="24"/>
          <w:lang w:eastAsia="zh-CN"/>
        </w:rPr>
        <w:t>Baumgart DC. and Sandborn WJ. (2012) Crohn’s disease. Lancet; 380:1590-1605.</w:t>
      </w:r>
    </w:p>
    <w:p w14:paraId="3E0D7E33" w14:textId="77777777" w:rsidR="00FC6B49" w:rsidRPr="00C67DF7" w:rsidRDefault="00FC6B49" w:rsidP="00FC6B49">
      <w:pPr>
        <w:numPr>
          <w:ilvl w:val="0"/>
          <w:numId w:val="1"/>
        </w:numPr>
        <w:autoSpaceDE w:val="0"/>
        <w:autoSpaceDN w:val="0"/>
        <w:bidi w:val="0"/>
        <w:adjustRightInd w:val="0"/>
        <w:spacing w:before="240" w:after="0"/>
        <w:jc w:val="both"/>
        <w:rPr>
          <w:sz w:val="24"/>
          <w:szCs w:val="24"/>
          <w:lang w:eastAsia="zh-CN"/>
        </w:rPr>
      </w:pPr>
      <w:r w:rsidRPr="00C67DF7">
        <w:rPr>
          <w:sz w:val="24"/>
          <w:szCs w:val="24"/>
          <w:lang w:eastAsia="zh-CN"/>
        </w:rPr>
        <w:t xml:space="preserve">Gajendran M., Loganathan P., Catinella A.P., </w:t>
      </w:r>
      <w:proofErr w:type="spellStart"/>
      <w:r w:rsidRPr="00C67DF7">
        <w:rPr>
          <w:sz w:val="24"/>
          <w:szCs w:val="24"/>
          <w:lang w:eastAsia="zh-CN"/>
        </w:rPr>
        <w:t>Hashash</w:t>
      </w:r>
      <w:proofErr w:type="spellEnd"/>
      <w:r w:rsidRPr="00C67DF7">
        <w:rPr>
          <w:sz w:val="24"/>
          <w:szCs w:val="24"/>
          <w:lang w:eastAsia="zh-CN"/>
        </w:rPr>
        <w:t xml:space="preserve"> J.G. (2018) A comprehensive review and update on Crohn’s disease. Dis.-A-Mon. 2018, 64, 20–57.</w:t>
      </w:r>
    </w:p>
    <w:p w14:paraId="26AF4425" w14:textId="77777777" w:rsidR="00FC6B49" w:rsidRPr="00C67DF7" w:rsidRDefault="00FC6B49" w:rsidP="00FC6B49">
      <w:pPr>
        <w:numPr>
          <w:ilvl w:val="0"/>
          <w:numId w:val="1"/>
        </w:numPr>
        <w:autoSpaceDE w:val="0"/>
        <w:autoSpaceDN w:val="0"/>
        <w:bidi w:val="0"/>
        <w:adjustRightInd w:val="0"/>
        <w:spacing w:before="240" w:after="0"/>
        <w:jc w:val="both"/>
        <w:rPr>
          <w:sz w:val="24"/>
          <w:szCs w:val="24"/>
          <w:lang w:eastAsia="zh-CN"/>
        </w:rPr>
      </w:pPr>
      <w:r w:rsidRPr="00C67DF7">
        <w:rPr>
          <w:sz w:val="24"/>
          <w:szCs w:val="24"/>
          <w:lang w:eastAsia="zh-CN"/>
        </w:rPr>
        <w:t xml:space="preserve"> </w:t>
      </w:r>
      <w:proofErr w:type="spellStart"/>
      <w:r w:rsidRPr="00C67DF7">
        <w:rPr>
          <w:sz w:val="24"/>
          <w:szCs w:val="24"/>
          <w:lang w:eastAsia="zh-CN"/>
        </w:rPr>
        <w:t>Sawczenk</w:t>
      </w:r>
      <w:proofErr w:type="spellEnd"/>
      <w:r w:rsidRPr="00C67DF7">
        <w:rPr>
          <w:sz w:val="24"/>
          <w:szCs w:val="24"/>
          <w:lang w:eastAsia="zh-CN"/>
        </w:rPr>
        <w:t xml:space="preserve"> A., Sandhu B.K. (2003) Presenting features of inflammatory bowel disease in Great Britain and Ireland. Arch. Dis. Child, 88, 995–1000.</w:t>
      </w:r>
    </w:p>
    <w:p w14:paraId="2CD5FC36" w14:textId="5A999F14" w:rsidR="00FC6B49" w:rsidRPr="00C67DF7" w:rsidRDefault="00FC6B49" w:rsidP="00FC6B49">
      <w:pPr>
        <w:numPr>
          <w:ilvl w:val="0"/>
          <w:numId w:val="1"/>
        </w:numPr>
        <w:autoSpaceDE w:val="0"/>
        <w:autoSpaceDN w:val="0"/>
        <w:bidi w:val="0"/>
        <w:adjustRightInd w:val="0"/>
        <w:spacing w:before="240" w:after="0"/>
        <w:jc w:val="both"/>
        <w:rPr>
          <w:sz w:val="24"/>
          <w:szCs w:val="24"/>
          <w:lang w:eastAsia="zh-CN"/>
        </w:rPr>
      </w:pPr>
      <w:r w:rsidRPr="00C67DF7">
        <w:rPr>
          <w:sz w:val="24"/>
          <w:szCs w:val="24"/>
          <w:lang w:eastAsia="zh-CN"/>
        </w:rPr>
        <w:t xml:space="preserve"> </w:t>
      </w:r>
      <w:proofErr w:type="spellStart"/>
      <w:r w:rsidRPr="00C67DF7">
        <w:rPr>
          <w:sz w:val="24"/>
          <w:szCs w:val="24"/>
          <w:lang w:eastAsia="zh-CN"/>
        </w:rPr>
        <w:t>Peyrin-Biroulet</w:t>
      </w:r>
      <w:proofErr w:type="spellEnd"/>
      <w:r w:rsidRPr="00C67DF7">
        <w:rPr>
          <w:sz w:val="24"/>
          <w:szCs w:val="24"/>
          <w:lang w:eastAsia="zh-CN"/>
        </w:rPr>
        <w:t xml:space="preserve"> L., </w:t>
      </w:r>
      <w:proofErr w:type="spellStart"/>
      <w:r w:rsidRPr="00C67DF7">
        <w:rPr>
          <w:sz w:val="24"/>
          <w:szCs w:val="24"/>
          <w:lang w:eastAsia="zh-CN"/>
        </w:rPr>
        <w:t>Panés</w:t>
      </w:r>
      <w:proofErr w:type="spellEnd"/>
      <w:r w:rsidRPr="00C67DF7">
        <w:rPr>
          <w:sz w:val="24"/>
          <w:szCs w:val="24"/>
          <w:lang w:eastAsia="zh-CN"/>
        </w:rPr>
        <w:t xml:space="preserve"> J., Sandborn WJ. (2016) Defining disease severity in </w:t>
      </w:r>
      <w:r w:rsidR="004605B8" w:rsidRPr="00C67DF7">
        <w:rPr>
          <w:sz w:val="24"/>
          <w:szCs w:val="24"/>
          <w:lang w:eastAsia="zh-CN"/>
        </w:rPr>
        <w:t>inflammatory</w:t>
      </w:r>
      <w:r w:rsidRPr="00C67DF7">
        <w:rPr>
          <w:sz w:val="24"/>
          <w:szCs w:val="24"/>
          <w:lang w:eastAsia="zh-CN"/>
        </w:rPr>
        <w:t xml:space="preserve"> bowel diseases: current and future directions. Clin Gastroenterol Hepatol 14:348–354. </w:t>
      </w:r>
    </w:p>
    <w:p w14:paraId="28396302" w14:textId="693FBBD8" w:rsidR="00FC6B49" w:rsidRPr="00C67DF7" w:rsidRDefault="00FC6B49" w:rsidP="00FC6B49">
      <w:pPr>
        <w:numPr>
          <w:ilvl w:val="0"/>
          <w:numId w:val="1"/>
        </w:numPr>
        <w:autoSpaceDE w:val="0"/>
        <w:autoSpaceDN w:val="0"/>
        <w:bidi w:val="0"/>
        <w:adjustRightInd w:val="0"/>
        <w:spacing w:before="240" w:after="0"/>
        <w:jc w:val="both"/>
        <w:rPr>
          <w:sz w:val="24"/>
          <w:szCs w:val="24"/>
          <w:lang w:eastAsia="zh-CN"/>
        </w:rPr>
      </w:pPr>
      <w:r w:rsidRPr="00C67DF7">
        <w:rPr>
          <w:sz w:val="24"/>
          <w:szCs w:val="24"/>
          <w:lang w:eastAsia="zh-CN"/>
        </w:rPr>
        <w:t xml:space="preserve"> </w:t>
      </w:r>
      <w:proofErr w:type="spellStart"/>
      <w:r w:rsidRPr="00C67DF7">
        <w:rPr>
          <w:sz w:val="24"/>
          <w:szCs w:val="24"/>
          <w:lang w:eastAsia="zh-CN"/>
        </w:rPr>
        <w:t>Maaser</w:t>
      </w:r>
      <w:proofErr w:type="spellEnd"/>
      <w:r w:rsidRPr="00C67DF7">
        <w:rPr>
          <w:sz w:val="24"/>
          <w:szCs w:val="24"/>
          <w:lang w:eastAsia="zh-CN"/>
        </w:rPr>
        <w:t xml:space="preserve"> C., Sturm A., Vavricka SR., </w:t>
      </w:r>
      <w:proofErr w:type="spellStart"/>
      <w:r w:rsidRPr="00C67DF7">
        <w:rPr>
          <w:sz w:val="24"/>
          <w:szCs w:val="24"/>
          <w:lang w:eastAsia="zh-CN"/>
        </w:rPr>
        <w:t>Kucharzik</w:t>
      </w:r>
      <w:proofErr w:type="spellEnd"/>
      <w:r w:rsidRPr="00C67DF7">
        <w:rPr>
          <w:sz w:val="24"/>
          <w:szCs w:val="24"/>
          <w:lang w:eastAsia="zh-CN"/>
        </w:rPr>
        <w:t xml:space="preserve"> T., Fiorino G., Annese V., Calabrese E., Baumgart DC., </w:t>
      </w:r>
      <w:proofErr w:type="spellStart"/>
      <w:r w:rsidRPr="00C67DF7">
        <w:rPr>
          <w:sz w:val="24"/>
          <w:szCs w:val="24"/>
          <w:lang w:eastAsia="zh-CN"/>
        </w:rPr>
        <w:t>Bettenworth</w:t>
      </w:r>
      <w:proofErr w:type="spellEnd"/>
      <w:r w:rsidRPr="00C67DF7">
        <w:rPr>
          <w:sz w:val="24"/>
          <w:szCs w:val="24"/>
          <w:lang w:eastAsia="zh-CN"/>
        </w:rPr>
        <w:t xml:space="preserve"> D., </w:t>
      </w:r>
      <w:proofErr w:type="spellStart"/>
      <w:r w:rsidRPr="00C67DF7">
        <w:rPr>
          <w:sz w:val="24"/>
          <w:szCs w:val="24"/>
          <w:lang w:eastAsia="zh-CN"/>
        </w:rPr>
        <w:t>Borralho</w:t>
      </w:r>
      <w:proofErr w:type="spellEnd"/>
      <w:r w:rsidRPr="00C67DF7">
        <w:rPr>
          <w:sz w:val="24"/>
          <w:szCs w:val="24"/>
          <w:lang w:eastAsia="zh-CN"/>
        </w:rPr>
        <w:t xml:space="preserve"> Nunes P. (2018) ECCO-ESGAR Guideline for Diagnostic Assessment in IBD Part 1: Initial diagnosis, monitoring of known IBD, detection of complications. J. Crohn’s Colitis, 13, 144–</w:t>
      </w:r>
      <w:r w:rsidR="00A847C6">
        <w:rPr>
          <w:sz w:val="24"/>
          <w:szCs w:val="24"/>
          <w:lang w:eastAsia="zh-CN"/>
        </w:rPr>
        <w:t>164 K</w:t>
      </w:r>
      <w:r w:rsidRPr="00C67DF7">
        <w:rPr>
          <w:sz w:val="24"/>
          <w:szCs w:val="24"/>
          <w:lang w:eastAsia="zh-CN"/>
        </w:rPr>
        <w:t>.</w:t>
      </w:r>
    </w:p>
    <w:p w14:paraId="3C9810D4" w14:textId="77777777" w:rsidR="00FC6B49" w:rsidRPr="00C67DF7" w:rsidRDefault="00FC6B49" w:rsidP="00FC6B49">
      <w:pPr>
        <w:numPr>
          <w:ilvl w:val="0"/>
          <w:numId w:val="1"/>
        </w:numPr>
        <w:autoSpaceDE w:val="0"/>
        <w:autoSpaceDN w:val="0"/>
        <w:bidi w:val="0"/>
        <w:adjustRightInd w:val="0"/>
        <w:spacing w:before="240" w:after="0"/>
        <w:jc w:val="both"/>
        <w:rPr>
          <w:sz w:val="24"/>
          <w:szCs w:val="24"/>
          <w:lang w:eastAsia="zh-CN"/>
        </w:rPr>
      </w:pPr>
      <w:r w:rsidRPr="00C67DF7">
        <w:rPr>
          <w:sz w:val="24"/>
          <w:szCs w:val="24"/>
          <w:lang w:eastAsia="zh-CN"/>
        </w:rPr>
        <w:t xml:space="preserve"> Bentley E., Jenkins D., Campbell F., Warren B. (2002) How could pathologists improve the initial diagnosis of colitis? Evidence from an international workshop. J. Clin. </w:t>
      </w:r>
      <w:proofErr w:type="spellStart"/>
      <w:r w:rsidRPr="00C67DF7">
        <w:rPr>
          <w:sz w:val="24"/>
          <w:szCs w:val="24"/>
          <w:lang w:eastAsia="zh-CN"/>
        </w:rPr>
        <w:t>Pathol</w:t>
      </w:r>
      <w:proofErr w:type="spellEnd"/>
      <w:r w:rsidRPr="00C67DF7">
        <w:rPr>
          <w:sz w:val="24"/>
          <w:szCs w:val="24"/>
          <w:lang w:eastAsia="zh-CN"/>
        </w:rPr>
        <w:t>., 55, 955–960.</w:t>
      </w:r>
    </w:p>
    <w:p w14:paraId="30CA6B56" w14:textId="660AAAA3" w:rsidR="00FC6B49" w:rsidRPr="00C67DF7" w:rsidRDefault="00FC6B49" w:rsidP="00FC6B49">
      <w:pPr>
        <w:numPr>
          <w:ilvl w:val="0"/>
          <w:numId w:val="1"/>
        </w:numPr>
        <w:autoSpaceDE w:val="0"/>
        <w:autoSpaceDN w:val="0"/>
        <w:bidi w:val="0"/>
        <w:adjustRightInd w:val="0"/>
        <w:spacing w:before="240" w:after="0"/>
        <w:jc w:val="both"/>
        <w:rPr>
          <w:sz w:val="24"/>
          <w:szCs w:val="24"/>
          <w:lang w:eastAsia="zh-CN"/>
        </w:rPr>
      </w:pPr>
      <w:r w:rsidRPr="00C67DF7">
        <w:rPr>
          <w:sz w:val="24"/>
          <w:szCs w:val="24"/>
          <w:lang w:eastAsia="zh-CN"/>
        </w:rPr>
        <w:t xml:space="preserve"> Bickelhaupt S., </w:t>
      </w:r>
      <w:proofErr w:type="spellStart"/>
      <w:r w:rsidRPr="00C67DF7">
        <w:rPr>
          <w:sz w:val="24"/>
          <w:szCs w:val="24"/>
          <w:lang w:eastAsia="zh-CN"/>
        </w:rPr>
        <w:t>Pazahr</w:t>
      </w:r>
      <w:proofErr w:type="spellEnd"/>
      <w:r w:rsidRPr="00C67DF7">
        <w:rPr>
          <w:sz w:val="24"/>
          <w:szCs w:val="24"/>
          <w:lang w:eastAsia="zh-CN"/>
        </w:rPr>
        <w:t xml:space="preserve"> S., Chuck N., Blume I., Froehlich JM., Cattin R. (2013) Crohn’s disease: Small bowel motility impairment correlates with </w:t>
      </w:r>
      <w:r w:rsidR="0082759D">
        <w:rPr>
          <w:sz w:val="24"/>
          <w:szCs w:val="24"/>
          <w:lang w:eastAsia="zh-CN"/>
        </w:rPr>
        <w:t>inflammation-related</w:t>
      </w:r>
      <w:r w:rsidRPr="00C67DF7">
        <w:rPr>
          <w:sz w:val="24"/>
          <w:szCs w:val="24"/>
          <w:lang w:eastAsia="zh-CN"/>
        </w:rPr>
        <w:t xml:space="preserve"> markers C-reactive protein and calprotectin. </w:t>
      </w:r>
      <w:proofErr w:type="spellStart"/>
      <w:r w:rsidRPr="00C67DF7">
        <w:rPr>
          <w:sz w:val="24"/>
          <w:szCs w:val="24"/>
          <w:lang w:eastAsia="zh-CN"/>
        </w:rPr>
        <w:t>Neurogastroenterol</w:t>
      </w:r>
      <w:proofErr w:type="spellEnd"/>
      <w:r w:rsidRPr="00C67DF7">
        <w:rPr>
          <w:sz w:val="24"/>
          <w:szCs w:val="24"/>
          <w:lang w:eastAsia="zh-CN"/>
        </w:rPr>
        <w:t xml:space="preserve"> Motil; 25:467</w:t>
      </w:r>
      <w:r w:rsidR="006C2CF0">
        <w:rPr>
          <w:sz w:val="24"/>
          <w:szCs w:val="24"/>
          <w:lang w:eastAsia="zh-CN"/>
        </w:rPr>
        <w:t>-</w:t>
      </w:r>
      <w:r w:rsidRPr="00C67DF7">
        <w:rPr>
          <w:sz w:val="24"/>
          <w:szCs w:val="24"/>
          <w:lang w:eastAsia="zh-CN"/>
        </w:rPr>
        <w:t>73.</w:t>
      </w:r>
    </w:p>
    <w:p w14:paraId="60847F4F" w14:textId="77777777" w:rsidR="00FC6B49" w:rsidRPr="00C67DF7" w:rsidRDefault="00FC6B49" w:rsidP="00FC6B49">
      <w:pPr>
        <w:numPr>
          <w:ilvl w:val="0"/>
          <w:numId w:val="1"/>
        </w:numPr>
        <w:autoSpaceDE w:val="0"/>
        <w:autoSpaceDN w:val="0"/>
        <w:bidi w:val="0"/>
        <w:adjustRightInd w:val="0"/>
        <w:spacing w:before="240" w:after="0"/>
        <w:jc w:val="both"/>
        <w:rPr>
          <w:sz w:val="24"/>
          <w:szCs w:val="24"/>
          <w:lang w:eastAsia="zh-CN"/>
        </w:rPr>
      </w:pPr>
      <w:r w:rsidRPr="00C67DF7">
        <w:rPr>
          <w:sz w:val="24"/>
          <w:szCs w:val="24"/>
          <w:lang w:eastAsia="zh-CN"/>
        </w:rPr>
        <w:t xml:space="preserve"> </w:t>
      </w:r>
      <w:proofErr w:type="spellStart"/>
      <w:r w:rsidRPr="00C67DF7">
        <w:rPr>
          <w:sz w:val="24"/>
          <w:szCs w:val="24"/>
          <w:lang w:eastAsia="zh-CN"/>
        </w:rPr>
        <w:t>Anupindi</w:t>
      </w:r>
      <w:proofErr w:type="spellEnd"/>
      <w:r w:rsidRPr="00C67DF7">
        <w:rPr>
          <w:sz w:val="24"/>
          <w:szCs w:val="24"/>
          <w:lang w:eastAsia="zh-CN"/>
        </w:rPr>
        <w:t xml:space="preserve"> SA., Grossman AB., </w:t>
      </w:r>
      <w:proofErr w:type="spellStart"/>
      <w:r w:rsidRPr="00C67DF7">
        <w:rPr>
          <w:sz w:val="24"/>
          <w:szCs w:val="24"/>
          <w:lang w:eastAsia="zh-CN"/>
        </w:rPr>
        <w:t>Nimkin</w:t>
      </w:r>
      <w:proofErr w:type="spellEnd"/>
      <w:r w:rsidRPr="00C67DF7">
        <w:rPr>
          <w:sz w:val="24"/>
          <w:szCs w:val="24"/>
          <w:lang w:eastAsia="zh-CN"/>
        </w:rPr>
        <w:t xml:space="preserve"> K., Mamula P., Gee MS. (2014) “Imaging in the evaluation of the young patient with inflammatory bowel disease: what the gastroenterologist needs to know” Journal of Pediatric Gastroenterology and Nutrition, vol. 59, no. 4, pp. 429–439.</w:t>
      </w:r>
    </w:p>
    <w:p w14:paraId="5614D4F6" w14:textId="06C342F0"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r w:rsidRPr="00C67DF7">
        <w:rPr>
          <w:sz w:val="24"/>
          <w:szCs w:val="24"/>
          <w:lang w:eastAsia="zh-CN"/>
        </w:rPr>
        <w:t xml:space="preserve"> Li Y., Chen B., Gao X. (2019) Current diagnosis and management of Crohn’s disease in China: results from a multicenter </w:t>
      </w:r>
      <w:r w:rsidR="004605B8" w:rsidRPr="00C67DF7">
        <w:rPr>
          <w:sz w:val="24"/>
          <w:szCs w:val="24"/>
          <w:lang w:eastAsia="zh-CN"/>
        </w:rPr>
        <w:t>perspective</w:t>
      </w:r>
      <w:r w:rsidRPr="00C67DF7">
        <w:rPr>
          <w:sz w:val="24"/>
          <w:szCs w:val="24"/>
          <w:lang w:eastAsia="zh-CN"/>
        </w:rPr>
        <w:t xml:space="preserve"> disease registry. BMC Gastroenterol 19:2–14. </w:t>
      </w:r>
    </w:p>
    <w:p w14:paraId="783AC458" w14:textId="77777777"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r w:rsidRPr="00C67DF7">
        <w:rPr>
          <w:sz w:val="24"/>
          <w:szCs w:val="24"/>
          <w:lang w:eastAsia="zh-CN"/>
        </w:rPr>
        <w:t xml:space="preserve"> </w:t>
      </w:r>
      <w:proofErr w:type="spellStart"/>
      <w:r w:rsidRPr="00C67DF7">
        <w:rPr>
          <w:sz w:val="24"/>
          <w:szCs w:val="24"/>
          <w:lang w:eastAsia="zh-CN"/>
        </w:rPr>
        <w:t>Miglioretti</w:t>
      </w:r>
      <w:proofErr w:type="spellEnd"/>
      <w:r w:rsidRPr="00C67DF7">
        <w:rPr>
          <w:sz w:val="24"/>
          <w:szCs w:val="24"/>
          <w:lang w:eastAsia="zh-CN"/>
        </w:rPr>
        <w:t xml:space="preserve"> DL., Johnson E., Williams A. (2013) “The use of computed tomography in pediatrics and the associated radiation exposure and estimated cancer risk,” JAMA Pediatrics, vol. 167, no. 8, pp. 700–707.</w:t>
      </w:r>
    </w:p>
    <w:p w14:paraId="018B6227" w14:textId="33AE0F07"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r w:rsidRPr="00C67DF7">
        <w:rPr>
          <w:sz w:val="24"/>
          <w:szCs w:val="24"/>
          <w:lang w:eastAsia="zh-CN"/>
        </w:rPr>
        <w:t xml:space="preserve"> Baker ME., Hara AK., Platt JF. (2015) CT enterography for Crohn’s disease: optimal technique and imaging issues. </w:t>
      </w:r>
      <w:proofErr w:type="spellStart"/>
      <w:r w:rsidRPr="00C67DF7">
        <w:rPr>
          <w:sz w:val="24"/>
          <w:szCs w:val="24"/>
          <w:lang w:eastAsia="zh-CN"/>
        </w:rPr>
        <w:t>Abdom</w:t>
      </w:r>
      <w:proofErr w:type="spellEnd"/>
      <w:r w:rsidRPr="00C67DF7">
        <w:rPr>
          <w:sz w:val="24"/>
          <w:szCs w:val="24"/>
          <w:lang w:eastAsia="zh-CN"/>
        </w:rPr>
        <w:t xml:space="preserve"> </w:t>
      </w:r>
      <w:r w:rsidR="004605B8" w:rsidRPr="00C67DF7">
        <w:rPr>
          <w:sz w:val="24"/>
          <w:szCs w:val="24"/>
          <w:lang w:eastAsia="zh-CN"/>
        </w:rPr>
        <w:t>Imaging; 40:938</w:t>
      </w:r>
      <w:r w:rsidRPr="00C67DF7">
        <w:rPr>
          <w:sz w:val="24"/>
          <w:szCs w:val="24"/>
          <w:lang w:eastAsia="zh-CN"/>
        </w:rPr>
        <w:t>–952.</w:t>
      </w:r>
    </w:p>
    <w:p w14:paraId="5B412126" w14:textId="7BBFC11E"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r w:rsidRPr="00C67DF7">
        <w:rPr>
          <w:sz w:val="24"/>
          <w:szCs w:val="24"/>
          <w:lang w:eastAsia="zh-CN"/>
        </w:rPr>
        <w:t xml:space="preserve"> Deepak P., Fletcher JG., Fidler JL. (2016) Radiological response is associated with better long-term outcomes and is a potential treatment target in patients with small bowel Crohn’s disease. Am J </w:t>
      </w:r>
      <w:r w:rsidR="004605B8" w:rsidRPr="00C67DF7">
        <w:rPr>
          <w:sz w:val="24"/>
          <w:szCs w:val="24"/>
          <w:lang w:eastAsia="zh-CN"/>
        </w:rPr>
        <w:t>Gastroenterol; 111:997</w:t>
      </w:r>
      <w:r w:rsidRPr="00C67DF7">
        <w:rPr>
          <w:sz w:val="24"/>
          <w:szCs w:val="24"/>
          <w:lang w:eastAsia="zh-CN"/>
        </w:rPr>
        <w:t>–1006.</w:t>
      </w:r>
    </w:p>
    <w:p w14:paraId="6CA1845F" w14:textId="77777777"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r w:rsidRPr="00C67DF7">
        <w:rPr>
          <w:sz w:val="24"/>
          <w:szCs w:val="24"/>
          <w:lang w:eastAsia="zh-CN"/>
        </w:rPr>
        <w:t xml:space="preserve"> Desmond AN., O’Regan K., Curran C. (2008) “Crohn’s disease: factors associated with exposure to high levels of diagnostic radiation,” Gut, vol. 57, no. 11, pp. 1524–1529.</w:t>
      </w:r>
    </w:p>
    <w:p w14:paraId="0B602674" w14:textId="06608733" w:rsidR="00FC6B49" w:rsidRPr="00C67DF7" w:rsidRDefault="00FC6B49" w:rsidP="00FC6B49">
      <w:pPr>
        <w:numPr>
          <w:ilvl w:val="0"/>
          <w:numId w:val="1"/>
        </w:numPr>
        <w:autoSpaceDE w:val="0"/>
        <w:autoSpaceDN w:val="0"/>
        <w:bidi w:val="0"/>
        <w:adjustRightInd w:val="0"/>
        <w:spacing w:before="240" w:after="0"/>
        <w:jc w:val="both"/>
        <w:rPr>
          <w:sz w:val="24"/>
          <w:szCs w:val="24"/>
          <w:lang w:eastAsia="zh-CN"/>
        </w:rPr>
      </w:pPr>
      <w:r w:rsidRPr="00C67DF7">
        <w:rPr>
          <w:sz w:val="24"/>
          <w:szCs w:val="24"/>
          <w:lang w:eastAsia="zh-CN"/>
        </w:rPr>
        <w:t xml:space="preserve"> </w:t>
      </w:r>
      <w:proofErr w:type="spellStart"/>
      <w:r w:rsidRPr="00C67DF7">
        <w:rPr>
          <w:sz w:val="24"/>
          <w:szCs w:val="24"/>
          <w:lang w:eastAsia="zh-CN"/>
        </w:rPr>
        <w:t>Siddiki</w:t>
      </w:r>
      <w:proofErr w:type="spellEnd"/>
      <w:r w:rsidRPr="00C67DF7">
        <w:rPr>
          <w:sz w:val="24"/>
          <w:szCs w:val="24"/>
          <w:lang w:eastAsia="zh-CN"/>
        </w:rPr>
        <w:t xml:space="preserve"> HA., Fidler JL., Fletcher JG. (2009) “Prospective comparison of state-of-the-art MR enterography and CT enterography in small-bowel Crohn’s disease,”</w:t>
      </w:r>
      <w:r w:rsidR="004605B8" w:rsidRPr="00C67DF7">
        <w:rPr>
          <w:sz w:val="24"/>
          <w:szCs w:val="24"/>
          <w:lang w:eastAsia="zh-CN"/>
        </w:rPr>
        <w:t xml:space="preserve"> </w:t>
      </w:r>
      <w:r w:rsidRPr="00C67DF7">
        <w:rPr>
          <w:sz w:val="24"/>
          <w:szCs w:val="24"/>
          <w:lang w:eastAsia="zh-CN"/>
        </w:rPr>
        <w:t>American Journal of Roentgenology, vol. 193, no. 1, pp. 113–121.</w:t>
      </w:r>
    </w:p>
    <w:p w14:paraId="02AFE006" w14:textId="77777777" w:rsidR="00FC6B49" w:rsidRPr="00C67DF7" w:rsidRDefault="00FC6B49" w:rsidP="00FC6B49">
      <w:pPr>
        <w:numPr>
          <w:ilvl w:val="0"/>
          <w:numId w:val="1"/>
        </w:numPr>
        <w:autoSpaceDE w:val="0"/>
        <w:autoSpaceDN w:val="0"/>
        <w:bidi w:val="0"/>
        <w:adjustRightInd w:val="0"/>
        <w:spacing w:before="240" w:after="0"/>
        <w:jc w:val="both"/>
        <w:rPr>
          <w:sz w:val="24"/>
          <w:szCs w:val="24"/>
          <w:lang w:eastAsia="zh-CN"/>
        </w:rPr>
      </w:pPr>
      <w:r w:rsidRPr="00C67DF7">
        <w:rPr>
          <w:sz w:val="24"/>
          <w:szCs w:val="24"/>
          <w:lang w:eastAsia="zh-CN"/>
        </w:rPr>
        <w:t xml:space="preserve">Panes J., Bouzas R., Chaparro M. (2011) “Systematic review: the use of ultrasonography, computed tomography and magnetic resonance imaging for the diagnosis, assessment of activity and abdominal complications of Crohn’s disease,” Alimentary Pharmacology &amp; Therapeutics, vol. 34, no. 2, pp. 125–145. </w:t>
      </w:r>
    </w:p>
    <w:p w14:paraId="3031FC47" w14:textId="77777777" w:rsidR="00FC6B49" w:rsidRPr="00C67DF7" w:rsidRDefault="00FC6B49" w:rsidP="00FC6B49">
      <w:pPr>
        <w:numPr>
          <w:ilvl w:val="0"/>
          <w:numId w:val="1"/>
        </w:numPr>
        <w:autoSpaceDE w:val="0"/>
        <w:autoSpaceDN w:val="0"/>
        <w:bidi w:val="0"/>
        <w:adjustRightInd w:val="0"/>
        <w:spacing w:before="240" w:after="0"/>
        <w:jc w:val="both"/>
        <w:rPr>
          <w:sz w:val="24"/>
          <w:szCs w:val="24"/>
          <w:lang w:eastAsia="zh-CN"/>
        </w:rPr>
      </w:pPr>
      <w:r w:rsidRPr="00C67DF7">
        <w:rPr>
          <w:sz w:val="24"/>
          <w:szCs w:val="24"/>
          <w:lang w:eastAsia="zh-CN"/>
        </w:rPr>
        <w:t xml:space="preserve"> Qiu Y., Mao R., Chen BL. (2014) “Systematic review with meta-analysis: magnetic resonance enterography vs. Computed tomography enterography for evaluating disease activity in small bowel Crohn’s disease,” Alimentary Pharmacology and Therapeutics, vol. 40, no. 2, pp. 134–146.</w:t>
      </w:r>
    </w:p>
    <w:p w14:paraId="08A80F2F" w14:textId="77777777" w:rsidR="00FC6B49" w:rsidRPr="00C67DF7" w:rsidRDefault="00FC6B49" w:rsidP="00FC6B49">
      <w:pPr>
        <w:numPr>
          <w:ilvl w:val="0"/>
          <w:numId w:val="1"/>
        </w:numPr>
        <w:autoSpaceDE w:val="0"/>
        <w:autoSpaceDN w:val="0"/>
        <w:bidi w:val="0"/>
        <w:adjustRightInd w:val="0"/>
        <w:spacing w:before="240" w:after="0"/>
        <w:jc w:val="both"/>
        <w:rPr>
          <w:sz w:val="24"/>
          <w:szCs w:val="24"/>
          <w:lang w:eastAsia="zh-CN"/>
        </w:rPr>
      </w:pPr>
      <w:r w:rsidRPr="00C67DF7">
        <w:rPr>
          <w:sz w:val="24"/>
          <w:szCs w:val="24"/>
          <w:lang w:eastAsia="zh-CN"/>
        </w:rPr>
        <w:t xml:space="preserve"> Ram R., Sarver D., Pandey T., Guidry CL., </w:t>
      </w:r>
      <w:proofErr w:type="spellStart"/>
      <w:r w:rsidRPr="00C67DF7">
        <w:rPr>
          <w:sz w:val="24"/>
          <w:szCs w:val="24"/>
          <w:lang w:eastAsia="zh-CN"/>
        </w:rPr>
        <w:t>Jambhekar</w:t>
      </w:r>
      <w:proofErr w:type="spellEnd"/>
      <w:r w:rsidRPr="00C67DF7">
        <w:rPr>
          <w:sz w:val="24"/>
          <w:szCs w:val="24"/>
          <w:lang w:eastAsia="zh-CN"/>
        </w:rPr>
        <w:t xml:space="preserve"> KR. (2016) Magnetic resonance enterography: A stepwise interpretation approach and role of imaging in management of adult Crohn’s disease. Indian J </w:t>
      </w:r>
      <w:proofErr w:type="spellStart"/>
      <w:r w:rsidRPr="00C67DF7">
        <w:rPr>
          <w:sz w:val="24"/>
          <w:szCs w:val="24"/>
          <w:lang w:eastAsia="zh-CN"/>
        </w:rPr>
        <w:t>Radiol</w:t>
      </w:r>
      <w:proofErr w:type="spellEnd"/>
      <w:r w:rsidRPr="00C67DF7">
        <w:rPr>
          <w:sz w:val="24"/>
          <w:szCs w:val="24"/>
          <w:lang w:eastAsia="zh-CN"/>
        </w:rPr>
        <w:t xml:space="preserve"> Imaging; 26:173-84.</w:t>
      </w:r>
    </w:p>
    <w:p w14:paraId="325B2AF5" w14:textId="77777777" w:rsidR="00FC6B49" w:rsidRPr="00C67DF7" w:rsidRDefault="00FC6B49" w:rsidP="00FC6B49">
      <w:pPr>
        <w:numPr>
          <w:ilvl w:val="0"/>
          <w:numId w:val="1"/>
        </w:numPr>
        <w:autoSpaceDE w:val="0"/>
        <w:autoSpaceDN w:val="0"/>
        <w:bidi w:val="0"/>
        <w:adjustRightInd w:val="0"/>
        <w:spacing w:before="240" w:after="0"/>
        <w:jc w:val="both"/>
        <w:rPr>
          <w:sz w:val="24"/>
          <w:szCs w:val="24"/>
          <w:lang w:eastAsia="zh-CN"/>
        </w:rPr>
      </w:pPr>
      <w:r w:rsidRPr="00C67DF7">
        <w:rPr>
          <w:sz w:val="24"/>
          <w:szCs w:val="24"/>
          <w:lang w:eastAsia="zh-CN"/>
        </w:rPr>
        <w:t xml:space="preserve"> Matthew PM., Jenny S., Michael SG. (2015) The Role of MR enterography in assessing Crohn’s disease activity and treatment response. Gastroenterology Research and Practice, vol. 2016, article ID 8168695.  </w:t>
      </w:r>
    </w:p>
    <w:p w14:paraId="6E8BCB46" w14:textId="77777777"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r w:rsidRPr="00C67DF7">
        <w:rPr>
          <w:sz w:val="24"/>
          <w:szCs w:val="24"/>
          <w:lang w:eastAsia="zh-CN"/>
        </w:rPr>
        <w:t xml:space="preserve"> Huprich JE., Rosen MP., Fidler JL., Gay SB., Grant TH., Greene FL. (2010) ACR Appropriateness Criteria on Crohn’s disease. J Am Coll Radiol;7 (2):94</w:t>
      </w:r>
      <w:r w:rsidRPr="00C67DF7">
        <w:rPr>
          <w:sz w:val="24"/>
          <w:szCs w:val="24"/>
          <w:lang w:eastAsia="zh-CN"/>
        </w:rPr>
        <w:noBreakHyphen/>
        <w:t xml:space="preserve">102. </w:t>
      </w:r>
    </w:p>
    <w:p w14:paraId="04022735" w14:textId="0884BEBB"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r w:rsidRPr="00C67DF7">
        <w:rPr>
          <w:sz w:val="24"/>
          <w:szCs w:val="24"/>
          <w:lang w:eastAsia="zh-CN"/>
        </w:rPr>
        <w:t xml:space="preserve"> </w:t>
      </w:r>
      <w:proofErr w:type="spellStart"/>
      <w:r w:rsidRPr="00C67DF7">
        <w:rPr>
          <w:sz w:val="24"/>
          <w:szCs w:val="24"/>
          <w:lang w:eastAsia="zh-CN"/>
        </w:rPr>
        <w:t>Bettenworth</w:t>
      </w:r>
      <w:proofErr w:type="spellEnd"/>
      <w:r w:rsidRPr="00C67DF7">
        <w:rPr>
          <w:sz w:val="24"/>
          <w:szCs w:val="24"/>
          <w:lang w:eastAsia="zh-CN"/>
        </w:rPr>
        <w:t xml:space="preserve"> D., Nowacki TM., Cordes F., Buerke B., Lenze F. (2016) Assessment of </w:t>
      </w:r>
      <w:proofErr w:type="spellStart"/>
      <w:r w:rsidRPr="00C67DF7">
        <w:rPr>
          <w:sz w:val="24"/>
          <w:szCs w:val="24"/>
          <w:lang w:eastAsia="zh-CN"/>
        </w:rPr>
        <w:t>stricturing</w:t>
      </w:r>
      <w:proofErr w:type="spellEnd"/>
      <w:r w:rsidRPr="00C67DF7">
        <w:rPr>
          <w:sz w:val="24"/>
          <w:szCs w:val="24"/>
          <w:lang w:eastAsia="zh-CN"/>
        </w:rPr>
        <w:t xml:space="preserve"> Crohn’s disease: current clinical practice and future avenues. World J Gastroenterol </w:t>
      </w:r>
      <w:r w:rsidR="00FE08EF" w:rsidRPr="00C67DF7">
        <w:rPr>
          <w:sz w:val="24"/>
          <w:szCs w:val="24"/>
          <w:lang w:eastAsia="zh-CN"/>
        </w:rPr>
        <w:t>22:1008-1016</w:t>
      </w:r>
      <w:r w:rsidRPr="00C67DF7">
        <w:rPr>
          <w:sz w:val="24"/>
          <w:szCs w:val="24"/>
          <w:lang w:eastAsia="zh-CN"/>
        </w:rPr>
        <w:t xml:space="preserve">. </w:t>
      </w:r>
    </w:p>
    <w:p w14:paraId="61A6C995" w14:textId="2B8AAE91"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r w:rsidRPr="00C67DF7">
        <w:rPr>
          <w:sz w:val="24"/>
          <w:szCs w:val="24"/>
          <w:lang w:eastAsia="zh-CN"/>
        </w:rPr>
        <w:t xml:space="preserve"> Rozendorn N., Amitai MM., Eliakim RA., Kopylov U., Klang E. (2018) A review of magnetic resonance enterography-based indices for </w:t>
      </w:r>
      <w:r w:rsidR="00FE08EF" w:rsidRPr="00C67DF7">
        <w:rPr>
          <w:sz w:val="24"/>
          <w:szCs w:val="24"/>
          <w:lang w:eastAsia="zh-CN"/>
        </w:rPr>
        <w:t>quantification of Crohn’s disease inflammation</w:t>
      </w:r>
      <w:r w:rsidRPr="00C67DF7">
        <w:rPr>
          <w:sz w:val="24"/>
          <w:szCs w:val="24"/>
          <w:lang w:eastAsia="zh-CN"/>
        </w:rPr>
        <w:t xml:space="preserve">. </w:t>
      </w:r>
      <w:r w:rsidR="00FE08EF" w:rsidRPr="00C67DF7">
        <w:rPr>
          <w:sz w:val="24"/>
          <w:szCs w:val="24"/>
          <w:lang w:eastAsia="zh-CN"/>
        </w:rPr>
        <w:t>Therapy</w:t>
      </w:r>
      <w:r w:rsidRPr="00C67DF7">
        <w:rPr>
          <w:sz w:val="24"/>
          <w:szCs w:val="24"/>
          <w:lang w:eastAsia="zh-CN"/>
        </w:rPr>
        <w:t xml:space="preserve"> Adv Gastroenterol 11:1756284818765956.</w:t>
      </w:r>
    </w:p>
    <w:p w14:paraId="56905536" w14:textId="65502AC6"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proofErr w:type="spellStart"/>
      <w:r w:rsidRPr="00C67DF7">
        <w:rPr>
          <w:sz w:val="24"/>
          <w:szCs w:val="24"/>
          <w:lang w:eastAsia="zh-CN"/>
        </w:rPr>
        <w:t>Rimola</w:t>
      </w:r>
      <w:proofErr w:type="spellEnd"/>
      <w:r w:rsidRPr="00C67DF7">
        <w:rPr>
          <w:sz w:val="24"/>
          <w:szCs w:val="24"/>
          <w:lang w:eastAsia="zh-CN"/>
        </w:rPr>
        <w:t xml:space="preserve"> J., </w:t>
      </w:r>
      <w:proofErr w:type="spellStart"/>
      <w:r w:rsidRPr="00C67DF7">
        <w:rPr>
          <w:sz w:val="24"/>
          <w:szCs w:val="24"/>
          <w:lang w:eastAsia="zh-CN"/>
        </w:rPr>
        <w:t>Ordás</w:t>
      </w:r>
      <w:proofErr w:type="spellEnd"/>
      <w:r w:rsidRPr="00C67DF7">
        <w:rPr>
          <w:sz w:val="24"/>
          <w:szCs w:val="24"/>
          <w:lang w:eastAsia="zh-CN"/>
        </w:rPr>
        <w:t xml:space="preserve"> I., Rodriguez S., García-Bosch O., Aceituno M., </w:t>
      </w:r>
      <w:proofErr w:type="spellStart"/>
      <w:r w:rsidRPr="00C67DF7">
        <w:rPr>
          <w:sz w:val="24"/>
          <w:szCs w:val="24"/>
          <w:lang w:eastAsia="zh-CN"/>
        </w:rPr>
        <w:t>Llach</w:t>
      </w:r>
      <w:proofErr w:type="spellEnd"/>
      <w:r w:rsidRPr="00C67DF7">
        <w:rPr>
          <w:sz w:val="24"/>
          <w:szCs w:val="24"/>
          <w:lang w:eastAsia="zh-CN"/>
        </w:rPr>
        <w:t xml:space="preserve"> J. (2011) Magnetic resonance imaging for evaluation of Crohn’s disease: validation of </w:t>
      </w:r>
      <w:r w:rsidR="0082759D">
        <w:rPr>
          <w:sz w:val="24"/>
          <w:szCs w:val="24"/>
          <w:lang w:eastAsia="zh-CN"/>
        </w:rPr>
        <w:t>severity parameters</w:t>
      </w:r>
      <w:r w:rsidRPr="00C67DF7">
        <w:rPr>
          <w:sz w:val="24"/>
          <w:szCs w:val="24"/>
          <w:lang w:eastAsia="zh-CN"/>
        </w:rPr>
        <w:t xml:space="preserve"> and quantitative index of activity. </w:t>
      </w:r>
      <w:proofErr w:type="spellStart"/>
      <w:r w:rsidRPr="00C67DF7">
        <w:rPr>
          <w:sz w:val="24"/>
          <w:szCs w:val="24"/>
          <w:lang w:eastAsia="zh-CN"/>
        </w:rPr>
        <w:t>Inflamm</w:t>
      </w:r>
      <w:proofErr w:type="spellEnd"/>
      <w:r w:rsidRPr="00C67DF7">
        <w:rPr>
          <w:sz w:val="24"/>
          <w:szCs w:val="24"/>
          <w:lang w:eastAsia="zh-CN"/>
        </w:rPr>
        <w:t xml:space="preserve"> Bowel </w:t>
      </w:r>
      <w:r w:rsidR="00560177" w:rsidRPr="00C67DF7">
        <w:rPr>
          <w:sz w:val="24"/>
          <w:szCs w:val="24"/>
          <w:lang w:eastAsia="zh-CN"/>
        </w:rPr>
        <w:t>Dis; 17:1759</w:t>
      </w:r>
      <w:r w:rsidRPr="00C67DF7">
        <w:rPr>
          <w:sz w:val="24"/>
          <w:szCs w:val="24"/>
          <w:lang w:eastAsia="zh-CN"/>
        </w:rPr>
        <w:t>-1768</w:t>
      </w:r>
    </w:p>
    <w:p w14:paraId="7A21CAA9" w14:textId="3A09F81E"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r w:rsidRPr="00C67DF7">
        <w:rPr>
          <w:sz w:val="24"/>
          <w:szCs w:val="24"/>
          <w:lang w:eastAsia="zh-CN"/>
        </w:rPr>
        <w:t xml:space="preserve"> Lunder AK., Jahnsen J., Bakstad LT. (2018) Bowel damage in patients with long-term Crohn’s disease, assessed by magnetic resonance enterography and the Lemann Index. Clin Gastroenterol Hepatol 16:75-</w:t>
      </w:r>
      <w:r w:rsidR="00560177" w:rsidRPr="00C67DF7">
        <w:rPr>
          <w:sz w:val="24"/>
          <w:szCs w:val="24"/>
          <w:lang w:eastAsia="zh-CN"/>
        </w:rPr>
        <w:t>82. e</w:t>
      </w:r>
      <w:r w:rsidRPr="00C67DF7">
        <w:rPr>
          <w:sz w:val="24"/>
          <w:szCs w:val="24"/>
          <w:lang w:eastAsia="zh-CN"/>
        </w:rPr>
        <w:t xml:space="preserve">5. </w:t>
      </w:r>
    </w:p>
    <w:p w14:paraId="7D68B19F" w14:textId="77777777"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proofErr w:type="spellStart"/>
      <w:r w:rsidRPr="00C67DF7">
        <w:rPr>
          <w:sz w:val="24"/>
          <w:szCs w:val="24"/>
          <w:lang w:eastAsia="zh-CN"/>
        </w:rPr>
        <w:t>Pomerri</w:t>
      </w:r>
      <w:proofErr w:type="spellEnd"/>
      <w:r w:rsidRPr="00C67DF7">
        <w:rPr>
          <w:sz w:val="24"/>
          <w:szCs w:val="24"/>
          <w:lang w:eastAsia="zh-CN"/>
        </w:rPr>
        <w:t xml:space="preserve"> F., Al Bunni F., Zuliani M. (2017) Assessing pediatric ileocolonic Crohn’s disease activity based on global MR enterography scores. </w:t>
      </w:r>
      <w:proofErr w:type="spellStart"/>
      <w:r w:rsidRPr="00C67DF7">
        <w:rPr>
          <w:sz w:val="24"/>
          <w:szCs w:val="24"/>
          <w:lang w:eastAsia="zh-CN"/>
        </w:rPr>
        <w:t>Eur</w:t>
      </w:r>
      <w:proofErr w:type="spellEnd"/>
      <w:r w:rsidRPr="00C67DF7">
        <w:rPr>
          <w:sz w:val="24"/>
          <w:szCs w:val="24"/>
          <w:lang w:eastAsia="zh-CN"/>
        </w:rPr>
        <w:t xml:space="preserve"> </w:t>
      </w:r>
      <w:proofErr w:type="spellStart"/>
      <w:r w:rsidRPr="00C67DF7">
        <w:rPr>
          <w:sz w:val="24"/>
          <w:szCs w:val="24"/>
          <w:lang w:eastAsia="zh-CN"/>
        </w:rPr>
        <w:t>Radiol</w:t>
      </w:r>
      <w:proofErr w:type="spellEnd"/>
      <w:r w:rsidRPr="00C67DF7">
        <w:rPr>
          <w:sz w:val="24"/>
          <w:szCs w:val="24"/>
          <w:lang w:eastAsia="zh-CN"/>
        </w:rPr>
        <w:t xml:space="preserve"> 27:1044–1051.</w:t>
      </w:r>
    </w:p>
    <w:p w14:paraId="34732742" w14:textId="3BC84855"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proofErr w:type="spellStart"/>
      <w:r w:rsidRPr="00C67DF7">
        <w:rPr>
          <w:sz w:val="24"/>
          <w:szCs w:val="24"/>
          <w:lang w:eastAsia="zh-CN"/>
        </w:rPr>
        <w:t>Williet</w:t>
      </w:r>
      <w:proofErr w:type="spellEnd"/>
      <w:r w:rsidRPr="00C67DF7">
        <w:rPr>
          <w:sz w:val="24"/>
          <w:szCs w:val="24"/>
          <w:lang w:eastAsia="zh-CN"/>
        </w:rPr>
        <w:t xml:space="preserve"> N., Jardin S., Roblin X. (2020) The </w:t>
      </w:r>
      <w:r w:rsidR="00FE08EF" w:rsidRPr="00C67DF7">
        <w:rPr>
          <w:sz w:val="24"/>
          <w:szCs w:val="24"/>
          <w:lang w:eastAsia="zh-CN"/>
        </w:rPr>
        <w:t>simplified</w:t>
      </w:r>
      <w:r w:rsidRPr="00C67DF7">
        <w:rPr>
          <w:sz w:val="24"/>
          <w:szCs w:val="24"/>
          <w:lang w:eastAsia="zh-CN"/>
        </w:rPr>
        <w:t xml:space="preserve"> magnetic resonance index of activity (MARIA) for Crohn’s disease is strongly correlated with the MARIA and Clermont Score: an external validation. </w:t>
      </w:r>
      <w:r w:rsidR="00FE08EF" w:rsidRPr="00C67DF7">
        <w:rPr>
          <w:sz w:val="24"/>
          <w:szCs w:val="24"/>
          <w:lang w:eastAsia="zh-CN"/>
        </w:rPr>
        <w:t>Gastroenterology158:282-283</w:t>
      </w:r>
      <w:r w:rsidRPr="00C67DF7">
        <w:rPr>
          <w:sz w:val="24"/>
          <w:szCs w:val="24"/>
          <w:lang w:eastAsia="zh-CN"/>
        </w:rPr>
        <w:t>.</w:t>
      </w:r>
    </w:p>
    <w:p w14:paraId="40B5EA9D" w14:textId="33351F4E"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r w:rsidRPr="00C67DF7">
        <w:rPr>
          <w:sz w:val="24"/>
          <w:szCs w:val="24"/>
          <w:lang w:eastAsia="zh-CN"/>
        </w:rPr>
        <w:t xml:space="preserve">Rozendorn N., Amitai MM., Eliakim RA., Kopylov U., Klang E. (2018) A review of magnetic resonance enterography-based indices for </w:t>
      </w:r>
      <w:r w:rsidR="00FE08EF" w:rsidRPr="00C67DF7">
        <w:rPr>
          <w:sz w:val="24"/>
          <w:szCs w:val="24"/>
          <w:lang w:eastAsia="zh-CN"/>
        </w:rPr>
        <w:t>quantification of Crohn’s disease inflammation</w:t>
      </w:r>
      <w:r w:rsidRPr="00C67DF7">
        <w:rPr>
          <w:sz w:val="24"/>
          <w:szCs w:val="24"/>
          <w:lang w:eastAsia="zh-CN"/>
        </w:rPr>
        <w:t xml:space="preserve">. </w:t>
      </w:r>
      <w:proofErr w:type="spellStart"/>
      <w:r w:rsidRPr="00C67DF7">
        <w:rPr>
          <w:sz w:val="24"/>
          <w:szCs w:val="24"/>
          <w:lang w:eastAsia="zh-CN"/>
        </w:rPr>
        <w:t>Therap</w:t>
      </w:r>
      <w:proofErr w:type="spellEnd"/>
      <w:r w:rsidRPr="00C67DF7">
        <w:rPr>
          <w:sz w:val="24"/>
          <w:szCs w:val="24"/>
          <w:lang w:eastAsia="zh-CN"/>
        </w:rPr>
        <w:t xml:space="preserve"> Adv Gastroenterol 11:1756284818765956.</w:t>
      </w:r>
    </w:p>
    <w:p w14:paraId="1DF6687F" w14:textId="77777777"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r w:rsidRPr="00C67DF7">
        <w:rPr>
          <w:sz w:val="24"/>
          <w:szCs w:val="24"/>
          <w:lang w:eastAsia="zh-CN"/>
        </w:rPr>
        <w:t xml:space="preserve"> Moy MP., Sauk J., Gee MS. (2016) The role of MR enterography in assessing Crohn’s disease activity and treatment response. </w:t>
      </w:r>
      <w:proofErr w:type="spellStart"/>
      <w:r w:rsidRPr="00C67DF7">
        <w:rPr>
          <w:sz w:val="24"/>
          <w:szCs w:val="24"/>
          <w:lang w:eastAsia="zh-CN"/>
        </w:rPr>
        <w:t>Gastroent</w:t>
      </w:r>
      <w:proofErr w:type="spellEnd"/>
      <w:r w:rsidRPr="00C67DF7">
        <w:rPr>
          <w:sz w:val="24"/>
          <w:szCs w:val="24"/>
          <w:lang w:eastAsia="zh-CN"/>
        </w:rPr>
        <w:t xml:space="preserve"> Res </w:t>
      </w:r>
      <w:proofErr w:type="spellStart"/>
      <w:r w:rsidRPr="00C67DF7">
        <w:rPr>
          <w:sz w:val="24"/>
          <w:szCs w:val="24"/>
          <w:lang w:eastAsia="zh-CN"/>
        </w:rPr>
        <w:t>Pract</w:t>
      </w:r>
      <w:proofErr w:type="spellEnd"/>
      <w:r w:rsidRPr="00C67DF7">
        <w:rPr>
          <w:sz w:val="24"/>
          <w:szCs w:val="24"/>
          <w:lang w:eastAsia="zh-CN"/>
        </w:rPr>
        <w:t xml:space="preserve">. </w:t>
      </w:r>
      <w:hyperlink r:id="rId13" w:history="1">
        <w:r w:rsidRPr="00C67DF7">
          <w:rPr>
            <w:rStyle w:val="Hyperlink"/>
            <w:sz w:val="24"/>
            <w:szCs w:val="24"/>
            <w:lang w:eastAsia="zh-CN"/>
          </w:rPr>
          <w:t>https://doi.org/10.1155/2016/8168695.</w:t>
        </w:r>
      </w:hyperlink>
    </w:p>
    <w:p w14:paraId="1113935A" w14:textId="77777777"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r w:rsidRPr="00C67DF7">
        <w:rPr>
          <w:sz w:val="24"/>
          <w:szCs w:val="24"/>
          <w:lang w:eastAsia="zh-CN"/>
        </w:rPr>
        <w:t xml:space="preserve"> Furukawa A., Saotome T., Yamasaki M., et al. (2004) Cross-sectional imaging in Crohn disease. Radio-Graphics; 24:689–702</w:t>
      </w:r>
    </w:p>
    <w:p w14:paraId="3708948D" w14:textId="27A8BE2B"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r w:rsidRPr="00C67DF7">
        <w:rPr>
          <w:sz w:val="24"/>
          <w:szCs w:val="24"/>
          <w:lang w:eastAsia="zh-CN"/>
        </w:rPr>
        <w:t xml:space="preserve"> Patak </w:t>
      </w:r>
      <w:r w:rsidR="00FE08EF" w:rsidRPr="00C67DF7">
        <w:rPr>
          <w:sz w:val="24"/>
          <w:szCs w:val="24"/>
          <w:lang w:eastAsia="zh-CN"/>
        </w:rPr>
        <w:t>MA,</w:t>
      </w:r>
      <w:r w:rsidRPr="00C67DF7">
        <w:rPr>
          <w:sz w:val="24"/>
          <w:szCs w:val="24"/>
          <w:lang w:eastAsia="zh-CN"/>
        </w:rPr>
        <w:t xml:space="preserve"> </w:t>
      </w:r>
      <w:proofErr w:type="spellStart"/>
      <w:r w:rsidRPr="00C67DF7">
        <w:rPr>
          <w:sz w:val="24"/>
          <w:szCs w:val="24"/>
          <w:lang w:eastAsia="zh-CN"/>
        </w:rPr>
        <w:t>Mortele</w:t>
      </w:r>
      <w:proofErr w:type="spellEnd"/>
      <w:r w:rsidRPr="00C67DF7">
        <w:rPr>
          <w:sz w:val="24"/>
          <w:szCs w:val="24"/>
          <w:lang w:eastAsia="zh-CN"/>
        </w:rPr>
        <w:t xml:space="preserve"> </w:t>
      </w:r>
      <w:r w:rsidR="00FE08EF" w:rsidRPr="00C67DF7">
        <w:rPr>
          <w:sz w:val="24"/>
          <w:szCs w:val="24"/>
          <w:lang w:eastAsia="zh-CN"/>
        </w:rPr>
        <w:t>KJ,</w:t>
      </w:r>
      <w:r w:rsidRPr="00C67DF7">
        <w:rPr>
          <w:sz w:val="24"/>
          <w:szCs w:val="24"/>
          <w:lang w:eastAsia="zh-CN"/>
        </w:rPr>
        <w:t xml:space="preserve"> Ros PR. (2005) Multidetector row CT of the small bowel. </w:t>
      </w:r>
      <w:proofErr w:type="spellStart"/>
      <w:r w:rsidRPr="00C67DF7">
        <w:rPr>
          <w:sz w:val="24"/>
          <w:szCs w:val="24"/>
          <w:lang w:eastAsia="zh-CN"/>
        </w:rPr>
        <w:t>Radiol</w:t>
      </w:r>
      <w:proofErr w:type="spellEnd"/>
      <w:r w:rsidRPr="00C67DF7">
        <w:rPr>
          <w:sz w:val="24"/>
          <w:szCs w:val="24"/>
          <w:lang w:eastAsia="zh-CN"/>
        </w:rPr>
        <w:t xml:space="preserve"> Clin North Am; </w:t>
      </w:r>
      <w:r w:rsidR="00FE08EF" w:rsidRPr="00C67DF7">
        <w:rPr>
          <w:sz w:val="24"/>
          <w:szCs w:val="24"/>
          <w:lang w:eastAsia="zh-CN"/>
        </w:rPr>
        <w:t>43:1063-1077</w:t>
      </w:r>
      <w:r w:rsidRPr="00C67DF7">
        <w:rPr>
          <w:sz w:val="24"/>
          <w:szCs w:val="24"/>
          <w:lang w:eastAsia="zh-CN"/>
        </w:rPr>
        <w:t>, viii.</w:t>
      </w:r>
    </w:p>
    <w:p w14:paraId="5F37A92E" w14:textId="77777777"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r w:rsidRPr="00C67DF7">
        <w:rPr>
          <w:sz w:val="24"/>
          <w:szCs w:val="24"/>
          <w:lang w:eastAsia="zh-CN"/>
        </w:rPr>
        <w:t xml:space="preserve"> Rice HE., Frush DP., Farmer D. (2007) Waldhausen JH. Review of radiation risks from computed tomography: essentials for the pediatric surgeon. J </w:t>
      </w:r>
      <w:proofErr w:type="spellStart"/>
      <w:r w:rsidRPr="00C67DF7">
        <w:rPr>
          <w:sz w:val="24"/>
          <w:szCs w:val="24"/>
          <w:lang w:eastAsia="zh-CN"/>
        </w:rPr>
        <w:t>Pediatr</w:t>
      </w:r>
      <w:proofErr w:type="spellEnd"/>
      <w:r w:rsidRPr="00C67DF7">
        <w:rPr>
          <w:sz w:val="24"/>
          <w:szCs w:val="24"/>
          <w:lang w:eastAsia="zh-CN"/>
        </w:rPr>
        <w:t xml:space="preserve"> Surg; 42:603–607.</w:t>
      </w:r>
    </w:p>
    <w:p w14:paraId="7562403F" w14:textId="4F898F13"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r w:rsidRPr="00C67DF7">
        <w:rPr>
          <w:sz w:val="24"/>
          <w:szCs w:val="24"/>
          <w:lang w:eastAsia="zh-CN"/>
        </w:rPr>
        <w:t xml:space="preserve">Darbari A., Sena L., </w:t>
      </w:r>
      <w:proofErr w:type="spellStart"/>
      <w:r w:rsidRPr="00C67DF7">
        <w:rPr>
          <w:sz w:val="24"/>
          <w:szCs w:val="24"/>
          <w:lang w:eastAsia="zh-CN"/>
        </w:rPr>
        <w:t>Argani</w:t>
      </w:r>
      <w:proofErr w:type="spellEnd"/>
      <w:r w:rsidRPr="00C67DF7">
        <w:rPr>
          <w:sz w:val="24"/>
          <w:szCs w:val="24"/>
          <w:lang w:eastAsia="zh-CN"/>
        </w:rPr>
        <w:t xml:space="preserve"> P., Oliva-Hemker JM., Thompson R., Cuffari C. (2004) Gadolinium-enhanced magnetic resonance imaging: a useful radiological tool in diagnosing pediatric IBD. </w:t>
      </w:r>
      <w:proofErr w:type="spellStart"/>
      <w:r w:rsidRPr="00C67DF7">
        <w:rPr>
          <w:sz w:val="24"/>
          <w:szCs w:val="24"/>
          <w:lang w:eastAsia="zh-CN"/>
        </w:rPr>
        <w:t>Inflamm</w:t>
      </w:r>
      <w:proofErr w:type="spellEnd"/>
      <w:r w:rsidRPr="00C67DF7">
        <w:rPr>
          <w:sz w:val="24"/>
          <w:szCs w:val="24"/>
          <w:lang w:eastAsia="zh-CN"/>
        </w:rPr>
        <w:t xml:space="preserve"> Bowel Dis; 10:67</w:t>
      </w:r>
      <w:r w:rsidR="0082759D">
        <w:rPr>
          <w:sz w:val="24"/>
          <w:szCs w:val="24"/>
          <w:lang w:eastAsia="zh-CN"/>
        </w:rPr>
        <w:t xml:space="preserve"> </w:t>
      </w:r>
      <w:r w:rsidRPr="00C67DF7">
        <w:rPr>
          <w:sz w:val="24"/>
          <w:szCs w:val="24"/>
          <w:lang w:eastAsia="zh-CN"/>
        </w:rPr>
        <w:t>72.</w:t>
      </w:r>
    </w:p>
    <w:p w14:paraId="5547985D" w14:textId="77777777"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r w:rsidRPr="00C67DF7">
        <w:rPr>
          <w:sz w:val="24"/>
          <w:szCs w:val="24"/>
          <w:lang w:eastAsia="zh-CN"/>
        </w:rPr>
        <w:t xml:space="preserve"> Alexopoulou E., Roma E., </w:t>
      </w:r>
      <w:proofErr w:type="spellStart"/>
      <w:r w:rsidRPr="00C67DF7">
        <w:rPr>
          <w:sz w:val="24"/>
          <w:szCs w:val="24"/>
          <w:lang w:eastAsia="zh-CN"/>
        </w:rPr>
        <w:t>Loggitsi</w:t>
      </w:r>
      <w:proofErr w:type="spellEnd"/>
      <w:r w:rsidRPr="00C67DF7">
        <w:rPr>
          <w:sz w:val="24"/>
          <w:szCs w:val="24"/>
          <w:lang w:eastAsia="zh-CN"/>
        </w:rPr>
        <w:t xml:space="preserve"> D. et al. (2009) Magnetic resonance imaging of the small bowel in children with idiopathic inflammatory bowel disease: evaluation of disease activity. </w:t>
      </w:r>
      <w:proofErr w:type="spellStart"/>
      <w:r w:rsidRPr="00C67DF7">
        <w:rPr>
          <w:sz w:val="24"/>
          <w:szCs w:val="24"/>
          <w:lang w:eastAsia="zh-CN"/>
        </w:rPr>
        <w:t>Pediatr</w:t>
      </w:r>
      <w:proofErr w:type="spellEnd"/>
      <w:r w:rsidRPr="00C67DF7">
        <w:rPr>
          <w:sz w:val="24"/>
          <w:szCs w:val="24"/>
          <w:lang w:eastAsia="zh-CN"/>
        </w:rPr>
        <w:t xml:space="preserve"> </w:t>
      </w:r>
      <w:proofErr w:type="spellStart"/>
      <w:r w:rsidRPr="00C67DF7">
        <w:rPr>
          <w:sz w:val="24"/>
          <w:szCs w:val="24"/>
          <w:lang w:eastAsia="zh-CN"/>
        </w:rPr>
        <w:t>Radiol</w:t>
      </w:r>
      <w:proofErr w:type="spellEnd"/>
      <w:r w:rsidRPr="00C67DF7">
        <w:rPr>
          <w:sz w:val="24"/>
          <w:szCs w:val="24"/>
          <w:lang w:eastAsia="zh-CN"/>
        </w:rPr>
        <w:t xml:space="preserve">; 39:791–797 </w:t>
      </w:r>
    </w:p>
    <w:p w14:paraId="4515A1CC" w14:textId="77777777" w:rsidR="00D7629D" w:rsidRDefault="00FC6B49" w:rsidP="00FC6B49">
      <w:pPr>
        <w:numPr>
          <w:ilvl w:val="0"/>
          <w:numId w:val="1"/>
        </w:numPr>
        <w:autoSpaceDE w:val="0"/>
        <w:autoSpaceDN w:val="0"/>
        <w:bidi w:val="0"/>
        <w:adjustRightInd w:val="0"/>
        <w:spacing w:before="240" w:after="0" w:line="360" w:lineRule="auto"/>
        <w:jc w:val="both"/>
        <w:rPr>
          <w:sz w:val="24"/>
          <w:szCs w:val="24"/>
          <w:lang w:eastAsia="zh-CN"/>
        </w:rPr>
      </w:pPr>
      <w:r w:rsidRPr="00D7629D">
        <w:rPr>
          <w:sz w:val="24"/>
          <w:szCs w:val="24"/>
          <w:lang w:eastAsia="zh-CN"/>
        </w:rPr>
        <w:t xml:space="preserve"> Gee MS., </w:t>
      </w:r>
      <w:proofErr w:type="spellStart"/>
      <w:r w:rsidRPr="00D7629D">
        <w:rPr>
          <w:sz w:val="24"/>
          <w:szCs w:val="24"/>
          <w:lang w:eastAsia="zh-CN"/>
        </w:rPr>
        <w:t>Nimkin</w:t>
      </w:r>
      <w:proofErr w:type="spellEnd"/>
      <w:r w:rsidRPr="00D7629D">
        <w:rPr>
          <w:sz w:val="24"/>
          <w:szCs w:val="24"/>
          <w:lang w:eastAsia="zh-CN"/>
        </w:rPr>
        <w:t xml:space="preserve"> K., Hsu M.</w:t>
      </w:r>
      <w:r w:rsidR="00FE08EF" w:rsidRPr="00D7629D">
        <w:rPr>
          <w:sz w:val="24"/>
          <w:szCs w:val="24"/>
          <w:lang w:eastAsia="zh-CN"/>
        </w:rPr>
        <w:t>, Israel</w:t>
      </w:r>
      <w:r w:rsidRPr="00D7629D">
        <w:rPr>
          <w:sz w:val="24"/>
          <w:szCs w:val="24"/>
          <w:lang w:eastAsia="zh-CN"/>
        </w:rPr>
        <w:t xml:space="preserve"> AJ., Biller JA., </w:t>
      </w:r>
      <w:proofErr w:type="spellStart"/>
      <w:r w:rsidRPr="00D7629D">
        <w:rPr>
          <w:sz w:val="24"/>
          <w:szCs w:val="24"/>
          <w:lang w:eastAsia="zh-CN"/>
        </w:rPr>
        <w:t>KatzAJ</w:t>
      </w:r>
      <w:proofErr w:type="spellEnd"/>
      <w:r w:rsidRPr="00D7629D">
        <w:rPr>
          <w:sz w:val="24"/>
          <w:szCs w:val="24"/>
          <w:lang w:eastAsia="zh-CN"/>
        </w:rPr>
        <w:t xml:space="preserve">., Mino-Kenudson M., </w:t>
      </w:r>
      <w:proofErr w:type="spellStart"/>
      <w:r w:rsidRPr="00D7629D">
        <w:rPr>
          <w:sz w:val="24"/>
          <w:szCs w:val="24"/>
          <w:lang w:eastAsia="zh-CN"/>
        </w:rPr>
        <w:t>Harisinghani</w:t>
      </w:r>
      <w:proofErr w:type="spellEnd"/>
      <w:r w:rsidRPr="00D7629D">
        <w:rPr>
          <w:sz w:val="24"/>
          <w:szCs w:val="24"/>
          <w:lang w:eastAsia="zh-CN"/>
        </w:rPr>
        <w:t xml:space="preserve"> MG. (2011) Prospective Evaluation of MR Enterography as the Primary Imaging Modality for Pediatric Crohn Disease Assessment. AJR; </w:t>
      </w:r>
      <w:r w:rsidR="00D7629D" w:rsidRPr="00D7629D">
        <w:rPr>
          <w:sz w:val="24"/>
          <w:szCs w:val="24"/>
          <w:lang w:eastAsia="zh-CN"/>
        </w:rPr>
        <w:t>197:224-231</w:t>
      </w:r>
      <w:r w:rsidRPr="00D7629D">
        <w:rPr>
          <w:sz w:val="24"/>
          <w:szCs w:val="24"/>
          <w:lang w:eastAsia="zh-CN"/>
        </w:rPr>
        <w:t>.</w:t>
      </w:r>
    </w:p>
    <w:p w14:paraId="2543F2E3" w14:textId="4F1072EC" w:rsidR="00FC6B49" w:rsidRPr="00D7629D" w:rsidRDefault="00FC6B49" w:rsidP="00D7629D">
      <w:pPr>
        <w:numPr>
          <w:ilvl w:val="0"/>
          <w:numId w:val="1"/>
        </w:numPr>
        <w:autoSpaceDE w:val="0"/>
        <w:autoSpaceDN w:val="0"/>
        <w:bidi w:val="0"/>
        <w:adjustRightInd w:val="0"/>
        <w:spacing w:before="240" w:after="0" w:line="360" w:lineRule="auto"/>
        <w:jc w:val="both"/>
        <w:rPr>
          <w:sz w:val="24"/>
          <w:szCs w:val="24"/>
          <w:lang w:eastAsia="zh-CN"/>
        </w:rPr>
      </w:pPr>
      <w:r w:rsidRPr="00D7629D">
        <w:rPr>
          <w:sz w:val="24"/>
          <w:szCs w:val="24"/>
          <w:lang w:eastAsia="zh-CN"/>
        </w:rPr>
        <w:t xml:space="preserve"> Clark M., Colombel JF., Feagan BC. et al. (2006) American Gastroenterological Association consensus development conference on the use of biologics in the treatment of inflammatory bowel disease. Gastroenterology; 133: 312–339.</w:t>
      </w:r>
    </w:p>
    <w:p w14:paraId="3AC9B007" w14:textId="69ECF5AF"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r w:rsidRPr="00C67DF7">
        <w:rPr>
          <w:rFonts w:ascii="Times-Roman" w:eastAsia="Times-Roman" w:hAnsi="Times-Roman" w:cs="Times-Roman"/>
          <w:color w:val="231F20"/>
          <w:sz w:val="24"/>
          <w:szCs w:val="24"/>
          <w:lang w:eastAsia="zh-CN" w:bidi="ar"/>
        </w:rPr>
        <w:t xml:space="preserve"> </w:t>
      </w:r>
      <w:proofErr w:type="spellStart"/>
      <w:r w:rsidRPr="00C67DF7">
        <w:rPr>
          <w:sz w:val="24"/>
          <w:szCs w:val="24"/>
          <w:lang w:eastAsia="zh-CN"/>
        </w:rPr>
        <w:t>Maglinte</w:t>
      </w:r>
      <w:proofErr w:type="spellEnd"/>
      <w:r w:rsidRPr="00C67DF7">
        <w:rPr>
          <w:sz w:val="24"/>
          <w:szCs w:val="24"/>
          <w:lang w:eastAsia="zh-CN"/>
        </w:rPr>
        <w:t xml:space="preserve"> DD., </w:t>
      </w:r>
      <w:proofErr w:type="spellStart"/>
      <w:r w:rsidRPr="00C67DF7">
        <w:rPr>
          <w:sz w:val="24"/>
          <w:szCs w:val="24"/>
          <w:lang w:eastAsia="zh-CN"/>
        </w:rPr>
        <w:t>Gourtsoyiannis</w:t>
      </w:r>
      <w:proofErr w:type="spellEnd"/>
      <w:r w:rsidRPr="00C67DF7">
        <w:rPr>
          <w:sz w:val="24"/>
          <w:szCs w:val="24"/>
          <w:lang w:eastAsia="zh-CN"/>
        </w:rPr>
        <w:t xml:space="preserve"> N., Rex D., Howard TJ., Kelvin FM. (2003) Classification of small bowel Crohn’s subtypes based on multimodality imaging. </w:t>
      </w:r>
      <w:proofErr w:type="spellStart"/>
      <w:r w:rsidRPr="00C67DF7">
        <w:rPr>
          <w:sz w:val="24"/>
          <w:szCs w:val="24"/>
          <w:lang w:eastAsia="zh-CN"/>
        </w:rPr>
        <w:t>Radiol</w:t>
      </w:r>
      <w:proofErr w:type="spellEnd"/>
      <w:r w:rsidRPr="00C67DF7">
        <w:rPr>
          <w:sz w:val="24"/>
          <w:szCs w:val="24"/>
          <w:lang w:eastAsia="zh-CN"/>
        </w:rPr>
        <w:t xml:space="preserve"> Clin North Am; </w:t>
      </w:r>
      <w:r w:rsidR="00FE08EF" w:rsidRPr="00C67DF7">
        <w:rPr>
          <w:sz w:val="24"/>
          <w:szCs w:val="24"/>
          <w:lang w:eastAsia="zh-CN"/>
        </w:rPr>
        <w:t>41:285-303</w:t>
      </w:r>
      <w:r w:rsidRPr="00C67DF7">
        <w:rPr>
          <w:sz w:val="24"/>
          <w:szCs w:val="24"/>
          <w:lang w:eastAsia="zh-CN"/>
        </w:rPr>
        <w:t>.</w:t>
      </w:r>
    </w:p>
    <w:p w14:paraId="6672D3E8" w14:textId="77777777"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r w:rsidRPr="00C67DF7">
        <w:rPr>
          <w:sz w:val="24"/>
          <w:szCs w:val="24"/>
          <w:lang w:eastAsia="zh-CN"/>
        </w:rPr>
        <w:t xml:space="preserve"> Biondi M., Bicci E., Danti G., Flammia F., Chiti G., Palumbo P., Bruno F., </w:t>
      </w:r>
      <w:proofErr w:type="spellStart"/>
      <w:r w:rsidRPr="00C67DF7">
        <w:rPr>
          <w:sz w:val="24"/>
          <w:szCs w:val="24"/>
          <w:lang w:eastAsia="zh-CN"/>
        </w:rPr>
        <w:t>Borgheresi</w:t>
      </w:r>
      <w:proofErr w:type="spellEnd"/>
      <w:r w:rsidRPr="00C67DF7">
        <w:rPr>
          <w:sz w:val="24"/>
          <w:szCs w:val="24"/>
          <w:lang w:eastAsia="zh-CN"/>
        </w:rPr>
        <w:t xml:space="preserve"> A., Grassi R., Grassi F. et al. (2022) The Role of Magnetic Resonance Enterography in Crohn’s Disease: A Review of Recent Literature. Diagnostics, 12, 1236. https://doi.org/10.3390/ diagnostics12051236.</w:t>
      </w:r>
    </w:p>
    <w:p w14:paraId="5E38638A" w14:textId="4E51FB52"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r w:rsidRPr="00C67DF7">
        <w:rPr>
          <w:sz w:val="24"/>
          <w:szCs w:val="24"/>
          <w:lang w:eastAsia="zh-CN"/>
        </w:rPr>
        <w:t xml:space="preserve"> Mendoza JL., González-Lama Y., </w:t>
      </w:r>
      <w:proofErr w:type="spellStart"/>
      <w:r w:rsidRPr="00C67DF7">
        <w:rPr>
          <w:sz w:val="24"/>
          <w:szCs w:val="24"/>
          <w:lang w:eastAsia="zh-CN"/>
        </w:rPr>
        <w:t>Taxonera</w:t>
      </w:r>
      <w:proofErr w:type="spellEnd"/>
      <w:r w:rsidRPr="00C67DF7">
        <w:rPr>
          <w:sz w:val="24"/>
          <w:szCs w:val="24"/>
          <w:lang w:eastAsia="zh-CN"/>
        </w:rPr>
        <w:t xml:space="preserve"> C. et al. (2012) </w:t>
      </w:r>
      <w:r w:rsidR="0082759D">
        <w:rPr>
          <w:sz w:val="24"/>
          <w:szCs w:val="24"/>
          <w:lang w:eastAsia="zh-CN"/>
        </w:rPr>
        <w:t>Use</w:t>
      </w:r>
      <w:r w:rsidRPr="00C67DF7">
        <w:rPr>
          <w:sz w:val="24"/>
          <w:szCs w:val="24"/>
          <w:lang w:eastAsia="zh-CN"/>
        </w:rPr>
        <w:t xml:space="preserve"> of magnetic resonance enterography in </w:t>
      </w:r>
      <w:r w:rsidR="0082759D">
        <w:rPr>
          <w:sz w:val="24"/>
          <w:szCs w:val="24"/>
          <w:lang w:eastAsia="zh-CN"/>
        </w:rPr>
        <w:t>managing</w:t>
      </w:r>
      <w:r w:rsidRPr="00C67DF7">
        <w:rPr>
          <w:sz w:val="24"/>
          <w:szCs w:val="24"/>
          <w:lang w:eastAsia="zh-CN"/>
        </w:rPr>
        <w:t xml:space="preserve"> Crohn’s disease of the small intestine: first year of experience. Rev Esp </w:t>
      </w:r>
      <w:proofErr w:type="spellStart"/>
      <w:r w:rsidRPr="00C67DF7">
        <w:rPr>
          <w:sz w:val="24"/>
          <w:szCs w:val="24"/>
          <w:lang w:eastAsia="zh-CN"/>
        </w:rPr>
        <w:t>Enferm</w:t>
      </w:r>
      <w:proofErr w:type="spellEnd"/>
      <w:r w:rsidRPr="00C67DF7">
        <w:rPr>
          <w:sz w:val="24"/>
          <w:szCs w:val="24"/>
          <w:lang w:eastAsia="zh-CN"/>
        </w:rPr>
        <w:t xml:space="preserve"> Dig104 (11):578–583. https://doi.org/10.4321/s1130-01082012001100005. </w:t>
      </w:r>
    </w:p>
    <w:p w14:paraId="344F936E" w14:textId="742350E3"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r w:rsidRPr="00C67DF7">
        <w:rPr>
          <w:sz w:val="24"/>
          <w:szCs w:val="24"/>
          <w:lang w:eastAsia="zh-CN"/>
        </w:rPr>
        <w:t xml:space="preserve"> </w:t>
      </w:r>
      <w:proofErr w:type="spellStart"/>
      <w:r w:rsidRPr="00C67DF7">
        <w:rPr>
          <w:sz w:val="24"/>
          <w:szCs w:val="24"/>
          <w:lang w:eastAsia="zh-CN"/>
        </w:rPr>
        <w:t>Messaris</w:t>
      </w:r>
      <w:proofErr w:type="spellEnd"/>
      <w:r w:rsidRPr="00C67DF7">
        <w:rPr>
          <w:sz w:val="24"/>
          <w:szCs w:val="24"/>
          <w:lang w:eastAsia="zh-CN"/>
        </w:rPr>
        <w:t xml:space="preserve"> E., </w:t>
      </w:r>
      <w:proofErr w:type="spellStart"/>
      <w:r w:rsidRPr="00C67DF7">
        <w:rPr>
          <w:sz w:val="24"/>
          <w:szCs w:val="24"/>
          <w:lang w:eastAsia="zh-CN"/>
        </w:rPr>
        <w:t>Chandolias</w:t>
      </w:r>
      <w:proofErr w:type="spellEnd"/>
      <w:r w:rsidRPr="00C67DF7">
        <w:rPr>
          <w:sz w:val="24"/>
          <w:szCs w:val="24"/>
          <w:lang w:eastAsia="zh-CN"/>
        </w:rPr>
        <w:t xml:space="preserve"> N., Grand D. et al. (2010) Role of magnetic resonance enterography in </w:t>
      </w:r>
      <w:r w:rsidR="005A0DC6">
        <w:rPr>
          <w:sz w:val="24"/>
          <w:szCs w:val="24"/>
          <w:lang w:eastAsia="zh-CN"/>
        </w:rPr>
        <w:t>managing</w:t>
      </w:r>
      <w:r w:rsidRPr="00C67DF7">
        <w:rPr>
          <w:sz w:val="24"/>
          <w:szCs w:val="24"/>
          <w:lang w:eastAsia="zh-CN"/>
        </w:rPr>
        <w:t xml:space="preserve"> </w:t>
      </w:r>
      <w:r w:rsidR="005A0DC6">
        <w:rPr>
          <w:sz w:val="24"/>
          <w:szCs w:val="24"/>
          <w:lang w:eastAsia="zh-CN"/>
        </w:rPr>
        <w:t>Crohn's</w:t>
      </w:r>
      <w:r w:rsidRPr="00C67DF7">
        <w:rPr>
          <w:sz w:val="24"/>
          <w:szCs w:val="24"/>
          <w:lang w:eastAsia="zh-CN"/>
        </w:rPr>
        <w:t xml:space="preserve"> disease. Arch Surg 145(5):471–475. https://doi.org/10.1001/archsurg.2010.68.</w:t>
      </w:r>
    </w:p>
    <w:p w14:paraId="6BD7A4D2" w14:textId="1B3C64BE" w:rsidR="00FC6B49" w:rsidRPr="00C67DF7" w:rsidRDefault="00FC6B49" w:rsidP="00FC6B49">
      <w:pPr>
        <w:numPr>
          <w:ilvl w:val="0"/>
          <w:numId w:val="1"/>
        </w:numPr>
        <w:autoSpaceDE w:val="0"/>
        <w:autoSpaceDN w:val="0"/>
        <w:bidi w:val="0"/>
        <w:adjustRightInd w:val="0"/>
        <w:spacing w:before="240" w:after="0" w:line="360" w:lineRule="auto"/>
        <w:jc w:val="both"/>
        <w:rPr>
          <w:sz w:val="24"/>
          <w:szCs w:val="24"/>
          <w:lang w:eastAsia="zh-CN"/>
        </w:rPr>
      </w:pPr>
      <w:r w:rsidRPr="00C67DF7">
        <w:rPr>
          <w:sz w:val="24"/>
          <w:szCs w:val="24"/>
          <w:lang w:eastAsia="zh-CN"/>
        </w:rPr>
        <w:t xml:space="preserve"> Spinelli A., Fiorino G., Bazzi P. et al. (2014) Preoperative magnetic resonance enterography in predicting </w:t>
      </w:r>
      <w:r w:rsidR="00431941">
        <w:rPr>
          <w:sz w:val="24"/>
          <w:szCs w:val="24"/>
          <w:lang w:eastAsia="zh-CN"/>
        </w:rPr>
        <w:t>findings</w:t>
      </w:r>
      <w:r w:rsidRPr="00C67DF7">
        <w:rPr>
          <w:sz w:val="24"/>
          <w:szCs w:val="24"/>
          <w:lang w:eastAsia="zh-CN"/>
        </w:rPr>
        <w:t xml:space="preserve"> and optimizing surgical approach in Crohn’s disease. J </w:t>
      </w:r>
      <w:proofErr w:type="spellStart"/>
      <w:r w:rsidRPr="00C67DF7">
        <w:rPr>
          <w:sz w:val="24"/>
          <w:szCs w:val="24"/>
          <w:lang w:eastAsia="zh-CN"/>
        </w:rPr>
        <w:t>Gastrointest</w:t>
      </w:r>
      <w:proofErr w:type="spellEnd"/>
      <w:r w:rsidRPr="00C67DF7">
        <w:rPr>
          <w:sz w:val="24"/>
          <w:szCs w:val="24"/>
          <w:lang w:eastAsia="zh-CN"/>
        </w:rPr>
        <w:t xml:space="preserve"> Surg 18(1):83–91. https://doi.org/10.1007/s11605-013-2404-1.</w:t>
      </w:r>
    </w:p>
    <w:sectPr w:rsidR="00FC6B49" w:rsidRPr="00C67DF7" w:rsidSect="00CC71E9">
      <w:headerReference w:type="default" r:id="rId14"/>
      <w:footerReference w:type="default" r:id="rId15"/>
      <w:pgSz w:w="11906" w:h="16838"/>
      <w:pgMar w:top="1440" w:right="1800" w:bottom="1440" w:left="1800" w:header="708" w:footer="708" w:gutter="0"/>
      <w:pgNumType w:start="29"/>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EE95F4" w14:textId="77777777" w:rsidR="00E665D9" w:rsidRDefault="00E665D9" w:rsidP="006E1B31">
      <w:pPr>
        <w:spacing w:after="0" w:line="240" w:lineRule="auto"/>
      </w:pPr>
      <w:r>
        <w:separator/>
      </w:r>
    </w:p>
  </w:endnote>
  <w:endnote w:type="continuationSeparator" w:id="0">
    <w:p w14:paraId="1C503AC2" w14:textId="77777777" w:rsidR="00E665D9" w:rsidRDefault="00E665D9" w:rsidP="006E1B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Plantin">
    <w:altName w:val="Times New Roman"/>
    <w:charset w:val="00"/>
    <w:family w:val="roman"/>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imes-Roman">
    <w:altName w:val="Times New Roman"/>
    <w:charset w:val="00"/>
    <w:family w:val="auto"/>
    <w:pitch w:val="default"/>
    <w:sig w:usb0="00000000" w:usb1="00000000" w:usb2="00000000"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AA3FB1" w14:textId="09778195" w:rsidR="00AA5519" w:rsidRPr="00AA5519" w:rsidRDefault="00AA5519" w:rsidP="00BC1119">
    <w:pPr>
      <w:pBdr>
        <w:top w:val="thinThickSmallGap" w:sz="24" w:space="1" w:color="823B0B"/>
      </w:pBdr>
      <w:tabs>
        <w:tab w:val="left" w:pos="7080"/>
        <w:tab w:val="right" w:pos="9360"/>
      </w:tabs>
      <w:bidi w:val="0"/>
      <w:spacing w:after="240" w:line="256" w:lineRule="auto"/>
      <w:ind w:firstLine="357"/>
      <w:rPr>
        <w:rFonts w:eastAsia="Calibri"/>
        <w:sz w:val="24"/>
        <w:szCs w:val="24"/>
      </w:rPr>
    </w:pPr>
    <w:r w:rsidRPr="00AA5519">
      <w:rPr>
        <w:rFonts w:ascii="Calibri" w:eastAsia="Times New Roman" w:hAnsi="Calibri" w:cs="Calibri"/>
        <w:color w:val="000000"/>
        <w:kern w:val="2"/>
        <w:sz w:val="24"/>
        <w:szCs w:val="24"/>
        <w:lang w:eastAsia="en-GB"/>
      </w:rPr>
      <w:t>A</w:t>
    </w:r>
    <w:r w:rsidR="00BE4A41">
      <w:rPr>
        <w:rFonts w:ascii="Calibri" w:eastAsia="Times New Roman" w:hAnsi="Calibri" w:cs="Calibri"/>
        <w:color w:val="000000"/>
        <w:kern w:val="2"/>
        <w:sz w:val="24"/>
        <w:szCs w:val="24"/>
        <w:lang w:eastAsia="en-GB"/>
      </w:rPr>
      <w:t xml:space="preserve">ly RA </w:t>
    </w:r>
    <w:r w:rsidRPr="00AA5519">
      <w:rPr>
        <w:rFonts w:ascii="Calibri" w:eastAsia="Times New Roman" w:hAnsi="Calibri" w:cs="Arial"/>
      </w:rPr>
      <w:t>et al.2025</w:t>
    </w:r>
    <w:r w:rsidRPr="00AA5519">
      <w:rPr>
        <w:rFonts w:ascii="Calibri" w:eastAsia="Times New Roman" w:hAnsi="Calibri" w:cs="Arial"/>
      </w:rPr>
      <w:tab/>
    </w:r>
    <w:r w:rsidRPr="00AA5519">
      <w:rPr>
        <w:rFonts w:eastAsia="Calibri"/>
        <w:sz w:val="24"/>
        <w:szCs w:val="24"/>
      </w:rPr>
      <w:fldChar w:fldCharType="begin"/>
    </w:r>
    <w:r w:rsidRPr="00AA5519">
      <w:rPr>
        <w:rFonts w:eastAsia="Calibri"/>
        <w:sz w:val="24"/>
        <w:szCs w:val="24"/>
      </w:rPr>
      <w:instrText xml:space="preserve"> PAGE   \* MERGEFORMAT </w:instrText>
    </w:r>
    <w:r w:rsidRPr="00AA5519">
      <w:rPr>
        <w:rFonts w:eastAsia="Calibri"/>
        <w:sz w:val="24"/>
        <w:szCs w:val="24"/>
      </w:rPr>
      <w:fldChar w:fldCharType="separate"/>
    </w:r>
    <w:r w:rsidRPr="00AA5519">
      <w:rPr>
        <w:rFonts w:ascii="Calibri" w:eastAsia="Calibri" w:hAnsi="Calibri" w:cs="Calibri"/>
        <w:sz w:val="24"/>
        <w:szCs w:val="24"/>
      </w:rPr>
      <w:t>8</w:t>
    </w:r>
    <w:r w:rsidRPr="00AA5519">
      <w:rPr>
        <w:rFonts w:eastAsia="Calibri"/>
        <w:noProof/>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C33CA9" w14:textId="77777777" w:rsidR="00E665D9" w:rsidRDefault="00E665D9" w:rsidP="006E1B31">
      <w:pPr>
        <w:spacing w:after="0" w:line="240" w:lineRule="auto"/>
      </w:pPr>
      <w:r>
        <w:separator/>
      </w:r>
    </w:p>
  </w:footnote>
  <w:footnote w:type="continuationSeparator" w:id="0">
    <w:p w14:paraId="3F08C2BF" w14:textId="77777777" w:rsidR="00E665D9" w:rsidRDefault="00E665D9" w:rsidP="006E1B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8DFA81" w14:textId="117D6E86" w:rsidR="006E1B31" w:rsidRPr="006E1B31" w:rsidRDefault="006E1B31" w:rsidP="006E1B31">
    <w:pPr>
      <w:pBdr>
        <w:bottom w:val="thickThinSmallGap" w:sz="24" w:space="21" w:color="622423"/>
      </w:pBdr>
      <w:tabs>
        <w:tab w:val="right" w:pos="8640"/>
      </w:tabs>
      <w:bidi w:val="0"/>
      <w:spacing w:after="0" w:line="240" w:lineRule="auto"/>
      <w:rPr>
        <w:rFonts w:ascii="Cambria" w:eastAsia="Times New Roman" w:hAnsi="Cambria"/>
        <w:sz w:val="18"/>
        <w:szCs w:val="18"/>
      </w:rPr>
    </w:pPr>
    <w:r w:rsidRPr="006E1B31">
      <w:rPr>
        <w:rFonts w:ascii="Cambria" w:eastAsia="Times New Roman" w:hAnsi="Cambria"/>
        <w:sz w:val="18"/>
        <w:szCs w:val="18"/>
      </w:rPr>
      <w:t>African journal of gastroenterology and hepatology</w:t>
    </w:r>
    <w:r w:rsidRPr="006E1B31">
      <w:rPr>
        <w:rFonts w:ascii="Cambria" w:eastAsia="Times New Roman" w:hAnsi="Cambria"/>
        <w:sz w:val="18"/>
        <w:szCs w:val="18"/>
      </w:rPr>
      <w:tab/>
    </w:r>
    <w:r w:rsidRPr="006E1B31">
      <w:rPr>
        <w:rFonts w:ascii="Calibri Light" w:eastAsia="Times New Roman" w:hAnsi="Calibri Light"/>
        <w:noProof/>
        <w:sz w:val="32"/>
        <w:szCs w:val="32"/>
      </w:rPr>
      <w:drawing>
        <wp:inline distT="0" distB="0" distL="0" distR="0" wp14:anchorId="17CD504B" wp14:editId="482A153C">
          <wp:extent cx="1429385" cy="212725"/>
          <wp:effectExtent l="0" t="0" r="0" b="0"/>
          <wp:docPr id="5278510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29385" cy="212725"/>
                  </a:xfrm>
                  <a:prstGeom prst="rect">
                    <a:avLst/>
                  </a:prstGeom>
                  <a:noFill/>
                  <a:ln>
                    <a:noFill/>
                  </a:ln>
                </pic:spPr>
              </pic:pic>
            </a:graphicData>
          </a:graphic>
        </wp:inline>
      </w:drawing>
    </w:r>
  </w:p>
  <w:p w14:paraId="1D5C73E1" w14:textId="77777777" w:rsidR="006E1B31" w:rsidRDefault="006E1B31" w:rsidP="00CC71E9">
    <w:pPr>
      <w:pStyle w:val="Header"/>
      <w:bidi w:val="0"/>
      <w:jc w:val="both"/>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06243F"/>
    <w:multiLevelType w:val="hybridMultilevel"/>
    <w:tmpl w:val="7A2C6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65F5B91"/>
    <w:multiLevelType w:val="multilevel"/>
    <w:tmpl w:val="465F5B91"/>
    <w:lvl w:ilvl="0">
      <w:start w:val="1"/>
      <w:numFmt w:val="decimal"/>
      <w:lvlText w:val="%1."/>
      <w:lvlJc w:val="left"/>
      <w:pPr>
        <w:ind w:left="58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4B796156"/>
    <w:multiLevelType w:val="singleLevel"/>
    <w:tmpl w:val="FFFFFFFF"/>
    <w:lvl w:ilvl="0">
      <w:start w:val="5"/>
      <w:numFmt w:val="decimal"/>
      <w:suff w:val="nothing"/>
      <w:lvlText w:val="%1-"/>
      <w:lvlJc w:val="left"/>
      <w:rPr>
        <w:rFonts w:cs="Times New Roman"/>
      </w:rPr>
    </w:lvl>
  </w:abstractNum>
  <w:num w:numId="1" w16cid:durableId="1380932873">
    <w:abstractNumId w:val="1"/>
  </w:num>
  <w:num w:numId="2" w16cid:durableId="1340503533">
    <w:abstractNumId w:val="2"/>
  </w:num>
  <w:num w:numId="3" w16cid:durableId="21616514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21B3"/>
    <w:rsid w:val="000430FD"/>
    <w:rsid w:val="00093432"/>
    <w:rsid w:val="00112AC1"/>
    <w:rsid w:val="00146915"/>
    <w:rsid w:val="001B6C2C"/>
    <w:rsid w:val="002820D3"/>
    <w:rsid w:val="00306116"/>
    <w:rsid w:val="00337F9F"/>
    <w:rsid w:val="003431C8"/>
    <w:rsid w:val="00350324"/>
    <w:rsid w:val="003B09A8"/>
    <w:rsid w:val="003D4146"/>
    <w:rsid w:val="003E401A"/>
    <w:rsid w:val="00431941"/>
    <w:rsid w:val="00433589"/>
    <w:rsid w:val="004437BA"/>
    <w:rsid w:val="004605B8"/>
    <w:rsid w:val="004741AE"/>
    <w:rsid w:val="004D2BE3"/>
    <w:rsid w:val="00511A90"/>
    <w:rsid w:val="00547815"/>
    <w:rsid w:val="00560177"/>
    <w:rsid w:val="00587678"/>
    <w:rsid w:val="005907DA"/>
    <w:rsid w:val="00594086"/>
    <w:rsid w:val="00596B3A"/>
    <w:rsid w:val="005A0DC6"/>
    <w:rsid w:val="005D57E6"/>
    <w:rsid w:val="005F45F2"/>
    <w:rsid w:val="00604F09"/>
    <w:rsid w:val="00647201"/>
    <w:rsid w:val="00660B34"/>
    <w:rsid w:val="006B7402"/>
    <w:rsid w:val="006C2CF0"/>
    <w:rsid w:val="006E1B31"/>
    <w:rsid w:val="006E2CEA"/>
    <w:rsid w:val="00710208"/>
    <w:rsid w:val="0071510E"/>
    <w:rsid w:val="00722A94"/>
    <w:rsid w:val="00761AE4"/>
    <w:rsid w:val="00792434"/>
    <w:rsid w:val="007A0429"/>
    <w:rsid w:val="007D19E2"/>
    <w:rsid w:val="00811A83"/>
    <w:rsid w:val="0082759D"/>
    <w:rsid w:val="00854832"/>
    <w:rsid w:val="008A11FF"/>
    <w:rsid w:val="008A3FB6"/>
    <w:rsid w:val="008B3BC5"/>
    <w:rsid w:val="009251FD"/>
    <w:rsid w:val="0098317A"/>
    <w:rsid w:val="009943E6"/>
    <w:rsid w:val="009F5C5C"/>
    <w:rsid w:val="009F6D96"/>
    <w:rsid w:val="00A7591F"/>
    <w:rsid w:val="00A847C6"/>
    <w:rsid w:val="00A87133"/>
    <w:rsid w:val="00A87E7F"/>
    <w:rsid w:val="00A93555"/>
    <w:rsid w:val="00AA5519"/>
    <w:rsid w:val="00AB5181"/>
    <w:rsid w:val="00AC75A7"/>
    <w:rsid w:val="00AE717B"/>
    <w:rsid w:val="00B35933"/>
    <w:rsid w:val="00B54B23"/>
    <w:rsid w:val="00B618DB"/>
    <w:rsid w:val="00B92A3A"/>
    <w:rsid w:val="00BA2349"/>
    <w:rsid w:val="00BC1119"/>
    <w:rsid w:val="00BC340E"/>
    <w:rsid w:val="00BE4A41"/>
    <w:rsid w:val="00C31B0C"/>
    <w:rsid w:val="00C509B1"/>
    <w:rsid w:val="00C57754"/>
    <w:rsid w:val="00C67DF7"/>
    <w:rsid w:val="00CC71E9"/>
    <w:rsid w:val="00CD0B10"/>
    <w:rsid w:val="00CF21B3"/>
    <w:rsid w:val="00D55BEC"/>
    <w:rsid w:val="00D7629D"/>
    <w:rsid w:val="00D96769"/>
    <w:rsid w:val="00DA3894"/>
    <w:rsid w:val="00DC00E1"/>
    <w:rsid w:val="00DC3CA5"/>
    <w:rsid w:val="00E5169B"/>
    <w:rsid w:val="00E54461"/>
    <w:rsid w:val="00E665D9"/>
    <w:rsid w:val="00EC2173"/>
    <w:rsid w:val="00EE7D02"/>
    <w:rsid w:val="00F45189"/>
    <w:rsid w:val="00F516EA"/>
    <w:rsid w:val="00F67F53"/>
    <w:rsid w:val="00F8329A"/>
    <w:rsid w:val="00FB57FC"/>
    <w:rsid w:val="00FC6B49"/>
    <w:rsid w:val="00FD2CEF"/>
    <w:rsid w:val="00FD3942"/>
    <w:rsid w:val="00FE08E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064C4AA"/>
  <w15:docId w15:val="{1610D67A-42C4-40F6-AC0E-3B05AF431A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B49"/>
    <w:pPr>
      <w:bidi/>
    </w:pPr>
    <w:rPr>
      <w:rFonts w:ascii="Times New Roman" w:eastAsia="SimSun" w:hAnsi="Times New Roman" w:cs="Times New Roman"/>
    </w:rPr>
  </w:style>
  <w:style w:type="paragraph" w:styleId="Heading1">
    <w:name w:val="heading 1"/>
    <w:basedOn w:val="Normal"/>
    <w:next w:val="Normal"/>
    <w:link w:val="Heading1Char"/>
    <w:uiPriority w:val="9"/>
    <w:qFormat/>
    <w:rsid w:val="00A7591F"/>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FC6B49"/>
    <w:rPr>
      <w:color w:val="0000FF"/>
      <w:u w:val="single"/>
    </w:rPr>
  </w:style>
  <w:style w:type="paragraph" w:styleId="ListParagraph">
    <w:name w:val="List Paragraph"/>
    <w:basedOn w:val="Normal"/>
    <w:uiPriority w:val="34"/>
    <w:qFormat/>
    <w:rsid w:val="00FC6B49"/>
    <w:pPr>
      <w:ind w:left="720"/>
      <w:contextualSpacing/>
    </w:pPr>
  </w:style>
  <w:style w:type="paragraph" w:customStyle="1" w:styleId="Default">
    <w:name w:val="Default"/>
    <w:rsid w:val="00FC6B49"/>
    <w:pPr>
      <w:autoSpaceDE w:val="0"/>
      <w:autoSpaceDN w:val="0"/>
      <w:adjustRightInd w:val="0"/>
      <w:spacing w:after="0" w:line="240" w:lineRule="auto"/>
    </w:pPr>
    <w:rPr>
      <w:rFonts w:ascii="Plantin" w:eastAsia="SimSun" w:hAnsi="Plantin" w:cs="Plantin"/>
      <w:color w:val="000000"/>
      <w:sz w:val="24"/>
      <w:szCs w:val="24"/>
    </w:rPr>
  </w:style>
  <w:style w:type="paragraph" w:styleId="NormalWeb">
    <w:name w:val="Normal (Web)"/>
    <w:basedOn w:val="Normal"/>
    <w:uiPriority w:val="99"/>
    <w:unhideWhenUsed/>
    <w:rsid w:val="00FC6B49"/>
    <w:pPr>
      <w:bidi w:val="0"/>
      <w:spacing w:before="100" w:beforeAutospacing="1" w:after="100" w:afterAutospacing="1" w:line="240" w:lineRule="auto"/>
    </w:pPr>
    <w:rPr>
      <w:rFonts w:eastAsia="Times New Roman"/>
      <w:sz w:val="24"/>
      <w:szCs w:val="24"/>
    </w:rPr>
  </w:style>
  <w:style w:type="character" w:customStyle="1" w:styleId="Heading1Char">
    <w:name w:val="Heading 1 Char"/>
    <w:basedOn w:val="DefaultParagraphFont"/>
    <w:link w:val="Heading1"/>
    <w:uiPriority w:val="9"/>
    <w:rsid w:val="00A7591F"/>
    <w:rPr>
      <w:rFonts w:asciiTheme="majorHAnsi" w:eastAsiaTheme="majorEastAsia" w:hAnsiTheme="majorHAnsi" w:cstheme="majorBidi"/>
      <w:color w:val="365F91" w:themeColor="accent1" w:themeShade="BF"/>
      <w:sz w:val="32"/>
      <w:szCs w:val="32"/>
    </w:rPr>
  </w:style>
  <w:style w:type="paragraph" w:styleId="Caption">
    <w:name w:val="caption"/>
    <w:basedOn w:val="Normal"/>
    <w:next w:val="Normal"/>
    <w:uiPriority w:val="35"/>
    <w:unhideWhenUsed/>
    <w:qFormat/>
    <w:rsid w:val="00431941"/>
    <w:pPr>
      <w:spacing w:line="240" w:lineRule="auto"/>
    </w:pPr>
    <w:rPr>
      <w:i/>
      <w:iCs/>
      <w:color w:val="1F497D" w:themeColor="text2"/>
      <w:sz w:val="18"/>
      <w:szCs w:val="18"/>
    </w:rPr>
  </w:style>
  <w:style w:type="table" w:styleId="TableGrid">
    <w:name w:val="Table Grid"/>
    <w:basedOn w:val="TableNormal"/>
    <w:uiPriority w:val="59"/>
    <w:qFormat/>
    <w:rsid w:val="00431941"/>
    <w:pPr>
      <w:spacing w:after="0" w:line="240" w:lineRule="auto"/>
    </w:pPr>
    <w:rPr>
      <w:rFonts w:ascii="Times New Roman" w:hAnsi="Times New Roman" w:cs="Times New Roman"/>
      <w:sz w:val="20"/>
      <w:szCs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E1B31"/>
    <w:pPr>
      <w:tabs>
        <w:tab w:val="center" w:pos="4680"/>
        <w:tab w:val="right" w:pos="9360"/>
      </w:tabs>
      <w:spacing w:after="0" w:line="240" w:lineRule="auto"/>
    </w:pPr>
  </w:style>
  <w:style w:type="character" w:customStyle="1" w:styleId="HeaderChar">
    <w:name w:val="Header Char"/>
    <w:basedOn w:val="DefaultParagraphFont"/>
    <w:link w:val="Header"/>
    <w:uiPriority w:val="99"/>
    <w:rsid w:val="006E1B31"/>
    <w:rPr>
      <w:rFonts w:ascii="Times New Roman" w:eastAsia="SimSun" w:hAnsi="Times New Roman" w:cs="Times New Roman"/>
    </w:rPr>
  </w:style>
  <w:style w:type="paragraph" w:styleId="Footer">
    <w:name w:val="footer"/>
    <w:basedOn w:val="Normal"/>
    <w:link w:val="FooterChar"/>
    <w:uiPriority w:val="99"/>
    <w:unhideWhenUsed/>
    <w:rsid w:val="006E1B31"/>
    <w:pPr>
      <w:tabs>
        <w:tab w:val="center" w:pos="4680"/>
        <w:tab w:val="right" w:pos="9360"/>
      </w:tabs>
      <w:spacing w:after="0" w:line="240" w:lineRule="auto"/>
    </w:pPr>
  </w:style>
  <w:style w:type="character" w:customStyle="1" w:styleId="FooterChar">
    <w:name w:val="Footer Char"/>
    <w:basedOn w:val="DefaultParagraphFont"/>
    <w:link w:val="Footer"/>
    <w:uiPriority w:val="99"/>
    <w:rsid w:val="006E1B31"/>
    <w:rPr>
      <w:rFonts w:ascii="Times New Roman" w:eastAsia="SimSu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46461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doi.org/10.1155/2016/8168695." TargetMode="Externa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63</TotalTime>
  <Pages>22</Pages>
  <Words>5896</Words>
  <Characters>35600</Characters>
  <Application>Microsoft Office Word</Application>
  <DocSecurity>0</DocSecurity>
  <Lines>639</Lines>
  <Paragraphs>213</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Magnetic Resonance Enterography (MRE) in Crohn’s Disease: How We Do It and Commo</vt:lpstr>
    </vt:vector>
  </TitlesOfParts>
  <Company/>
  <LinksUpToDate>false</LinksUpToDate>
  <CharactersWithSpaces>41321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SYSalem</cp:lastModifiedBy>
  <cp:revision>8</cp:revision>
  <cp:lastPrinted>2025-04-16T11:01:00Z</cp:lastPrinted>
  <dcterms:created xsi:type="dcterms:W3CDTF">2025-04-15T08:12:00Z</dcterms:created>
  <dcterms:modified xsi:type="dcterms:W3CDTF">2025-04-16T11:03:00Z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c38054fe74a71d7a2ed14c916b90e2cf255890faf3b82edc0f8a45c54f124e04</vt:lpwstr>
  </property>
</Properties>
</file>