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B8F0" w14:textId="4DA6FE8F" w:rsidR="00D253B8" w:rsidRDefault="00237F51" w:rsidP="00C52D83">
      <w:pPr>
        <w:spacing w:after="0" w:line="360" w:lineRule="auto"/>
        <w:jc w:val="center"/>
        <w:rPr>
          <w:rFonts w:asciiTheme="majorBidi" w:hAnsiTheme="majorBidi" w:cstheme="majorBidi"/>
          <w:b/>
          <w:bCs/>
          <w:sz w:val="24"/>
          <w:szCs w:val="24"/>
        </w:rPr>
      </w:pPr>
      <w:r w:rsidRPr="00834F66">
        <w:rPr>
          <w:rFonts w:asciiTheme="majorBidi" w:hAnsiTheme="majorBidi" w:cstheme="majorBidi"/>
          <w:b/>
          <w:bCs/>
          <w:sz w:val="24"/>
          <w:szCs w:val="24"/>
        </w:rPr>
        <w:t>Evaluation of fecal calprotectin in patients with juvenile polyps before and after polypectomy</w:t>
      </w:r>
      <w:r w:rsidR="00C52D83">
        <w:rPr>
          <w:rFonts w:asciiTheme="majorBidi" w:hAnsiTheme="majorBidi" w:cstheme="majorBidi"/>
          <w:b/>
          <w:bCs/>
          <w:sz w:val="24"/>
          <w:szCs w:val="24"/>
        </w:rPr>
        <w:t xml:space="preserve"> </w:t>
      </w:r>
    </w:p>
    <w:p w14:paraId="4A5D6AE7" w14:textId="11A07C4B" w:rsidR="00C52D83" w:rsidRPr="00C52D83" w:rsidRDefault="00C52D83" w:rsidP="00C52D83">
      <w:pPr>
        <w:spacing w:after="0" w:line="360" w:lineRule="auto"/>
        <w:jc w:val="center"/>
        <w:rPr>
          <w:rFonts w:asciiTheme="majorBidi" w:eastAsia="Times New Roman" w:hAnsiTheme="majorBidi" w:cs="Times New Roman"/>
          <w:b/>
          <w:sz w:val="24"/>
          <w:szCs w:val="24"/>
          <w:vertAlign w:val="superscript"/>
        </w:rPr>
      </w:pPr>
      <w:r w:rsidRPr="00C52D83">
        <w:rPr>
          <w:rFonts w:asciiTheme="majorBidi" w:eastAsia="Times New Roman" w:hAnsiTheme="majorBidi" w:cs="Times New Roman"/>
          <w:b/>
          <w:bCs/>
          <w:sz w:val="24"/>
          <w:szCs w:val="24"/>
          <w:lang w:val="es-ES" w:bidi="ar-EG"/>
        </w:rPr>
        <w:t>Mohammed A</w:t>
      </w:r>
      <w:r w:rsidRPr="00C52D83">
        <w:rPr>
          <w:rFonts w:asciiTheme="majorBidi" w:eastAsia="Times New Roman" w:hAnsiTheme="majorBidi" w:cs="Times New Roman"/>
          <w:b/>
          <w:bCs/>
          <w:sz w:val="24"/>
          <w:szCs w:val="24"/>
          <w:lang w:bidi="ar-EG"/>
        </w:rPr>
        <w:t>.</w:t>
      </w:r>
      <w:r w:rsidRPr="00C52D83">
        <w:rPr>
          <w:rFonts w:asciiTheme="majorBidi" w:eastAsia="Times New Roman" w:hAnsiTheme="majorBidi" w:cs="Times New Roman"/>
          <w:b/>
          <w:bCs/>
          <w:sz w:val="24"/>
          <w:szCs w:val="24"/>
          <w:lang w:val="es-ES" w:bidi="ar-EG"/>
        </w:rPr>
        <w:t xml:space="preserve"> Ali</w:t>
      </w:r>
      <w:r w:rsidRPr="00C52D83">
        <w:rPr>
          <w:rFonts w:asciiTheme="majorBidi" w:eastAsia="Times New Roman" w:hAnsiTheme="majorBidi" w:cs="Times New Roman"/>
          <w:b/>
          <w:bCs/>
          <w:sz w:val="24"/>
          <w:szCs w:val="24"/>
          <w:vertAlign w:val="superscript"/>
          <w:lang w:bidi="ar-EG"/>
        </w:rPr>
        <w:t xml:space="preserve"> </w:t>
      </w:r>
      <w:r w:rsidR="00D41F72">
        <w:rPr>
          <w:rFonts w:asciiTheme="majorBidi" w:eastAsia="Times New Roman" w:hAnsiTheme="majorBidi" w:cs="Times New Roman"/>
          <w:b/>
          <w:sz w:val="24"/>
          <w:szCs w:val="24"/>
          <w:vertAlign w:val="superscript"/>
        </w:rPr>
        <w:t>1</w:t>
      </w:r>
      <w:r w:rsidRPr="00C52D83">
        <w:rPr>
          <w:rFonts w:asciiTheme="majorBidi" w:eastAsia="Times New Roman" w:hAnsiTheme="majorBidi" w:cs="Times New Roman"/>
          <w:b/>
          <w:sz w:val="24"/>
          <w:szCs w:val="24"/>
          <w:vertAlign w:val="superscript"/>
        </w:rPr>
        <w:t>,</w:t>
      </w:r>
      <w:r w:rsidRPr="00C52D83">
        <w:rPr>
          <w:rFonts w:asciiTheme="majorBidi" w:eastAsia="Times New Roman" w:hAnsiTheme="majorBidi" w:cs="Times New Roman"/>
          <w:b/>
          <w:bCs/>
          <w:color w:val="000000"/>
          <w:spacing w:val="-2"/>
          <w:kern w:val="36"/>
          <w:sz w:val="24"/>
          <w:szCs w:val="24"/>
          <w:lang w:val="es-ES"/>
        </w:rPr>
        <w:t xml:space="preserve"> </w:t>
      </w:r>
      <w:proofErr w:type="spellStart"/>
      <w:r w:rsidRPr="00C52D83">
        <w:rPr>
          <w:rFonts w:asciiTheme="majorBidi" w:eastAsia="Times New Roman" w:hAnsiTheme="majorBidi" w:cs="Times New Roman"/>
          <w:b/>
          <w:bCs/>
          <w:sz w:val="24"/>
          <w:szCs w:val="24"/>
          <w:lang w:val="es-ES"/>
        </w:rPr>
        <w:t>Hossam</w:t>
      </w:r>
      <w:proofErr w:type="spellEnd"/>
      <w:r w:rsidRPr="00C52D83">
        <w:rPr>
          <w:rFonts w:asciiTheme="majorBidi" w:eastAsia="Times New Roman" w:hAnsiTheme="majorBidi" w:cs="Times New Roman"/>
          <w:b/>
          <w:bCs/>
          <w:sz w:val="24"/>
          <w:szCs w:val="24"/>
          <w:lang w:val="es-ES"/>
        </w:rPr>
        <w:t xml:space="preserve"> A. </w:t>
      </w:r>
      <w:proofErr w:type="spellStart"/>
      <w:r w:rsidRPr="00C52D83">
        <w:rPr>
          <w:rFonts w:asciiTheme="majorBidi" w:eastAsia="Times New Roman" w:hAnsiTheme="majorBidi" w:cs="Times New Roman"/>
          <w:b/>
          <w:bCs/>
          <w:sz w:val="24"/>
          <w:szCs w:val="24"/>
          <w:lang w:val="es-ES"/>
        </w:rPr>
        <w:t>Galbt</w:t>
      </w:r>
      <w:proofErr w:type="spellEnd"/>
      <w:r w:rsidRPr="00C52D83">
        <w:rPr>
          <w:rFonts w:asciiTheme="majorBidi" w:eastAsia="Times New Roman" w:hAnsiTheme="majorBidi" w:cs="Times New Roman"/>
          <w:b/>
          <w:bCs/>
          <w:sz w:val="24"/>
          <w:szCs w:val="24"/>
        </w:rPr>
        <w:t xml:space="preserve"> </w:t>
      </w:r>
      <w:r w:rsidR="00D41F72">
        <w:rPr>
          <w:rFonts w:asciiTheme="majorBidi" w:eastAsia="Times New Roman" w:hAnsiTheme="majorBidi" w:cs="Times New Roman"/>
          <w:b/>
          <w:sz w:val="24"/>
          <w:szCs w:val="24"/>
          <w:vertAlign w:val="superscript"/>
        </w:rPr>
        <w:t>2</w:t>
      </w:r>
      <w:r w:rsidRPr="00C52D83">
        <w:rPr>
          <w:rFonts w:asciiTheme="majorBidi" w:eastAsia="Times New Roman" w:hAnsiTheme="majorBidi" w:cs="Times New Roman"/>
          <w:b/>
          <w:sz w:val="24"/>
          <w:szCs w:val="24"/>
          <w:vertAlign w:val="superscript"/>
        </w:rPr>
        <w:t xml:space="preserve">, </w:t>
      </w:r>
      <w:proofErr w:type="spellStart"/>
      <w:r w:rsidRPr="00C52D83">
        <w:rPr>
          <w:rFonts w:asciiTheme="majorBidi" w:eastAsia="Times New Roman" w:hAnsiTheme="majorBidi" w:cs="Times New Roman"/>
          <w:b/>
          <w:bCs/>
          <w:sz w:val="24"/>
          <w:szCs w:val="24"/>
          <w:lang w:val="es-ES"/>
        </w:rPr>
        <w:t>Ayman</w:t>
      </w:r>
      <w:proofErr w:type="spellEnd"/>
      <w:r w:rsidRPr="00C52D83">
        <w:rPr>
          <w:rFonts w:asciiTheme="majorBidi" w:eastAsia="Times New Roman" w:hAnsiTheme="majorBidi" w:cs="Times New Roman"/>
          <w:b/>
          <w:bCs/>
          <w:sz w:val="24"/>
          <w:szCs w:val="24"/>
          <w:lang w:val="es-ES"/>
        </w:rPr>
        <w:t xml:space="preserve"> Ahmed </w:t>
      </w:r>
      <w:proofErr w:type="spellStart"/>
      <w:r w:rsidRPr="00C52D83">
        <w:rPr>
          <w:rFonts w:asciiTheme="majorBidi" w:eastAsia="Times New Roman" w:hAnsiTheme="majorBidi" w:cs="Times New Roman"/>
          <w:b/>
          <w:bCs/>
          <w:sz w:val="24"/>
          <w:szCs w:val="24"/>
          <w:lang w:val="es-ES"/>
        </w:rPr>
        <w:t>Sakr</w:t>
      </w:r>
      <w:proofErr w:type="spellEnd"/>
      <w:r w:rsidRPr="00C52D83">
        <w:rPr>
          <w:rFonts w:asciiTheme="majorBidi" w:eastAsia="Times New Roman" w:hAnsiTheme="majorBidi" w:cs="Times New Roman"/>
          <w:b/>
          <w:bCs/>
          <w:sz w:val="24"/>
          <w:szCs w:val="24"/>
          <w:lang w:val="es-ES"/>
        </w:rPr>
        <w:t xml:space="preserve"> </w:t>
      </w:r>
      <w:r w:rsidR="00D41F72">
        <w:rPr>
          <w:rFonts w:asciiTheme="majorBidi" w:eastAsia="Times New Roman" w:hAnsiTheme="majorBidi" w:cs="Times New Roman"/>
          <w:b/>
          <w:sz w:val="24"/>
          <w:szCs w:val="24"/>
          <w:vertAlign w:val="superscript"/>
        </w:rPr>
        <w:t>3</w:t>
      </w:r>
    </w:p>
    <w:p w14:paraId="08956A12" w14:textId="564023C3" w:rsidR="00542575" w:rsidRPr="00542575" w:rsidRDefault="00D41F72" w:rsidP="00542575">
      <w:pPr>
        <w:spacing w:after="200" w:line="276" w:lineRule="auto"/>
        <w:rPr>
          <w:rFonts w:asciiTheme="majorBidi" w:eastAsia="Times New Roman" w:hAnsiTheme="majorBidi" w:cs="Times New Roman"/>
          <w:b/>
          <w:bCs/>
          <w:sz w:val="24"/>
          <w:szCs w:val="24"/>
        </w:rPr>
      </w:pPr>
      <w:r w:rsidRPr="00D41F72">
        <w:rPr>
          <w:rFonts w:asciiTheme="majorBidi" w:eastAsia="Times New Roman" w:hAnsiTheme="majorBidi" w:cs="Times New Roman"/>
          <w:sz w:val="24"/>
          <w:szCs w:val="24"/>
          <w:vertAlign w:val="superscript"/>
        </w:rPr>
        <w:t>1</w:t>
      </w:r>
      <w:r w:rsidR="00542575" w:rsidRPr="00542575">
        <w:rPr>
          <w:rFonts w:asciiTheme="majorBidi" w:eastAsia="Times New Roman" w:hAnsiTheme="majorBidi" w:cs="Times New Roman"/>
          <w:sz w:val="24"/>
          <w:szCs w:val="24"/>
        </w:rPr>
        <w:t>Pediatric hepatology, gastroenterology</w:t>
      </w:r>
      <w:r w:rsidR="008E2785">
        <w:rPr>
          <w:rFonts w:asciiTheme="majorBidi" w:eastAsia="Times New Roman" w:hAnsiTheme="majorBidi" w:cs="Times New Roman"/>
          <w:sz w:val="24"/>
          <w:szCs w:val="24"/>
        </w:rPr>
        <w:t>,</w:t>
      </w:r>
      <w:r w:rsidR="00542575" w:rsidRPr="00542575">
        <w:rPr>
          <w:rFonts w:asciiTheme="majorBidi" w:eastAsia="Times New Roman" w:hAnsiTheme="majorBidi" w:cs="Times New Roman"/>
          <w:sz w:val="24"/>
          <w:szCs w:val="24"/>
        </w:rPr>
        <w:t xml:space="preserve"> and nutrition - National Liver Institute- Menoufia University, </w:t>
      </w:r>
      <w:proofErr w:type="spellStart"/>
      <w:r w:rsidR="00542575" w:rsidRPr="00542575">
        <w:rPr>
          <w:rFonts w:asciiTheme="majorBidi" w:eastAsia="Times New Roman" w:hAnsiTheme="majorBidi" w:cs="Times New Roman"/>
          <w:sz w:val="24"/>
          <w:szCs w:val="24"/>
        </w:rPr>
        <w:t>Shebin</w:t>
      </w:r>
      <w:proofErr w:type="spellEnd"/>
      <w:r w:rsidR="00542575" w:rsidRPr="00542575">
        <w:rPr>
          <w:rFonts w:asciiTheme="majorBidi" w:eastAsia="Times New Roman" w:hAnsiTheme="majorBidi" w:cs="Times New Roman"/>
          <w:sz w:val="24"/>
          <w:szCs w:val="24"/>
        </w:rPr>
        <w:t xml:space="preserve"> EL-Kom, Menoufia, Egypt, 32511, no fax, 01002362768,</w:t>
      </w:r>
      <w:r w:rsidR="00542575" w:rsidRPr="00542575">
        <w:rPr>
          <w:rFonts w:asciiTheme="majorBidi" w:eastAsia="Times New Roman" w:hAnsiTheme="majorBidi" w:cs="Times New Roman"/>
          <w:b/>
          <w:bCs/>
          <w:sz w:val="24"/>
          <w:szCs w:val="24"/>
        </w:rPr>
        <w:t xml:space="preserve"> </w:t>
      </w:r>
      <w:hyperlink r:id="rId8" w:history="1">
        <w:r w:rsidR="00542575" w:rsidRPr="00542575">
          <w:rPr>
            <w:rStyle w:val="Hyperlink"/>
            <w:rFonts w:asciiTheme="majorBidi" w:eastAsia="Times New Roman" w:hAnsiTheme="majorBidi" w:cs="Times New Roman"/>
            <w:b/>
            <w:bCs/>
            <w:sz w:val="24"/>
            <w:szCs w:val="24"/>
          </w:rPr>
          <w:t>abdelhafez64@yahoo.com</w:t>
        </w:r>
      </w:hyperlink>
      <w:r w:rsidR="00542575" w:rsidRPr="00542575">
        <w:rPr>
          <w:rFonts w:asciiTheme="majorBidi" w:eastAsia="Times New Roman" w:hAnsiTheme="majorBidi" w:cs="Times New Roman"/>
          <w:b/>
          <w:bCs/>
          <w:sz w:val="24"/>
          <w:szCs w:val="24"/>
        </w:rPr>
        <w:t xml:space="preserve"> </w:t>
      </w:r>
    </w:p>
    <w:p w14:paraId="66DFCE68" w14:textId="6F08A24F" w:rsidR="00C52D83" w:rsidRPr="00C52D83" w:rsidRDefault="00D41F72" w:rsidP="00C52D83">
      <w:pPr>
        <w:spacing w:before="120" w:after="0" w:line="360" w:lineRule="auto"/>
        <w:jc w:val="both"/>
        <w:rPr>
          <w:rFonts w:asciiTheme="majorBidi" w:eastAsia="Times New Roman" w:hAnsiTheme="majorBidi" w:cs="Times New Roman"/>
          <w:color w:val="000000" w:themeColor="text1"/>
          <w:sz w:val="24"/>
          <w:szCs w:val="24"/>
        </w:rPr>
      </w:pPr>
      <w:r>
        <w:rPr>
          <w:rFonts w:asciiTheme="majorBidi" w:eastAsia="Times New Roman" w:hAnsiTheme="majorBidi" w:cs="Times New Roman"/>
          <w:sz w:val="24"/>
          <w:szCs w:val="24"/>
          <w:vertAlign w:val="superscript"/>
        </w:rPr>
        <w:t>2</w:t>
      </w:r>
      <w:r w:rsidR="00C52D83" w:rsidRPr="00C52D83">
        <w:rPr>
          <w:rFonts w:asciiTheme="majorBidi" w:eastAsia="Times New Roman" w:hAnsiTheme="majorBidi" w:cs="Times New Roman"/>
          <w:sz w:val="24"/>
          <w:szCs w:val="24"/>
          <w:vertAlign w:val="superscript"/>
        </w:rPr>
        <w:t xml:space="preserve"> </w:t>
      </w:r>
      <w:r w:rsidR="00C52D83" w:rsidRPr="00C52D83">
        <w:rPr>
          <w:rFonts w:asciiTheme="majorBidi" w:eastAsia="Times New Roman" w:hAnsiTheme="majorBidi" w:cs="Times New Roman"/>
          <w:sz w:val="24"/>
          <w:szCs w:val="24"/>
        </w:rPr>
        <w:t xml:space="preserve">Clinical Pathology, National Liver Institute, Menoufia University, </w:t>
      </w:r>
      <w:proofErr w:type="spellStart"/>
      <w:r w:rsidR="00C52D83" w:rsidRPr="00C52D83">
        <w:rPr>
          <w:rFonts w:asciiTheme="majorBidi" w:eastAsia="Times New Roman" w:hAnsiTheme="majorBidi" w:cs="Times New Roman"/>
          <w:sz w:val="24"/>
          <w:szCs w:val="24"/>
        </w:rPr>
        <w:t>Shebin</w:t>
      </w:r>
      <w:proofErr w:type="spellEnd"/>
      <w:r w:rsidR="00C52D83" w:rsidRPr="00C52D83">
        <w:rPr>
          <w:rFonts w:asciiTheme="majorBidi" w:eastAsia="Times New Roman" w:hAnsiTheme="majorBidi" w:cs="Times New Roman"/>
          <w:sz w:val="24"/>
          <w:szCs w:val="24"/>
        </w:rPr>
        <w:t xml:space="preserve"> EL-Kom, Menoufia, Egypt </w:t>
      </w:r>
      <w:hyperlink r:id="rId9" w:history="1">
        <w:r w:rsidR="00C52D83" w:rsidRPr="00C52D83">
          <w:rPr>
            <w:rFonts w:eastAsia="Times New Roman" w:cs="Arial"/>
            <w:color w:val="0000FF"/>
            <w:u w:val="single"/>
          </w:rPr>
          <w:t>hossamgalbt_2006@yahoo.com</w:t>
        </w:r>
      </w:hyperlink>
      <w:r w:rsidR="00C52D83" w:rsidRPr="00C52D83">
        <w:rPr>
          <w:rFonts w:asciiTheme="majorBidi" w:eastAsia="Times New Roman" w:hAnsiTheme="majorBidi" w:cs="Times New Roman"/>
          <w:b/>
          <w:bCs/>
          <w:color w:val="2E74B5" w:themeColor="accent1" w:themeShade="BF"/>
          <w:sz w:val="24"/>
          <w:szCs w:val="24"/>
        </w:rPr>
        <w:t xml:space="preserve">. </w:t>
      </w:r>
      <w:r w:rsidR="00C52D83" w:rsidRPr="00C52D83">
        <w:rPr>
          <w:rFonts w:asciiTheme="majorBidi" w:eastAsia="Times New Roman" w:hAnsiTheme="majorBidi" w:cs="Times New Roman"/>
          <w:color w:val="000000" w:themeColor="text1"/>
          <w:sz w:val="24"/>
          <w:szCs w:val="24"/>
        </w:rPr>
        <w:t>32511, no fax, 01003243245</w:t>
      </w:r>
    </w:p>
    <w:p w14:paraId="32FE5176" w14:textId="203CC4E2" w:rsidR="00C52D83" w:rsidRDefault="00D41F72" w:rsidP="00C52D83">
      <w:pPr>
        <w:spacing w:before="120" w:after="0" w:line="360" w:lineRule="auto"/>
        <w:jc w:val="both"/>
        <w:rPr>
          <w:rFonts w:asciiTheme="majorBidi" w:eastAsia="Times New Roman" w:hAnsiTheme="majorBidi" w:cs="Times New Roman"/>
          <w:sz w:val="24"/>
          <w:szCs w:val="24"/>
        </w:rPr>
      </w:pPr>
      <w:r>
        <w:rPr>
          <w:rFonts w:asciiTheme="majorBidi" w:eastAsia="Times New Roman" w:hAnsiTheme="majorBidi" w:cs="Times New Roman"/>
          <w:b/>
          <w:bCs/>
          <w:sz w:val="24"/>
          <w:szCs w:val="24"/>
          <w:vertAlign w:val="superscript"/>
        </w:rPr>
        <w:t>3</w:t>
      </w:r>
      <w:r w:rsidR="00C52D83" w:rsidRPr="00C52D83">
        <w:rPr>
          <w:rFonts w:asciiTheme="majorBidi" w:eastAsia="Times New Roman" w:hAnsiTheme="majorBidi" w:cs="Times New Roman"/>
          <w:b/>
          <w:bCs/>
          <w:sz w:val="24"/>
          <w:szCs w:val="24"/>
        </w:rPr>
        <w:t xml:space="preserve"> </w:t>
      </w:r>
      <w:r w:rsidR="00C52D83" w:rsidRPr="00C52D83">
        <w:rPr>
          <w:rFonts w:asciiTheme="majorBidi" w:eastAsia="Times New Roman" w:hAnsiTheme="majorBidi" w:cs="Times New Roman"/>
          <w:sz w:val="24"/>
          <w:szCs w:val="24"/>
        </w:rPr>
        <w:t xml:space="preserve">Tropical Medicine Department, Faculty of Medicine, Menoufia University, </w:t>
      </w:r>
      <w:proofErr w:type="spellStart"/>
      <w:r w:rsidR="00C52D83" w:rsidRPr="00C52D83">
        <w:rPr>
          <w:rFonts w:asciiTheme="majorBidi" w:eastAsia="Times New Roman" w:hAnsiTheme="majorBidi" w:cs="Times New Roman"/>
          <w:sz w:val="24"/>
          <w:szCs w:val="24"/>
        </w:rPr>
        <w:t>Shebin</w:t>
      </w:r>
      <w:proofErr w:type="spellEnd"/>
      <w:r w:rsidR="00C52D83" w:rsidRPr="00C52D83">
        <w:rPr>
          <w:rFonts w:asciiTheme="majorBidi" w:eastAsia="Times New Roman" w:hAnsiTheme="majorBidi" w:cs="Times New Roman"/>
          <w:sz w:val="24"/>
          <w:szCs w:val="24"/>
        </w:rPr>
        <w:t xml:space="preserve"> EL-Kom, Menoufia, Egypt, </w:t>
      </w:r>
      <w:hyperlink r:id="rId10" w:history="1">
        <w:r w:rsidR="00C52D83" w:rsidRPr="00C52D83">
          <w:rPr>
            <w:rFonts w:eastAsia="Times New Roman" w:cs="Arial"/>
            <w:color w:val="0000FF"/>
            <w:u w:val="single"/>
          </w:rPr>
          <w:t>Aymanahmedsakr@gmail.com</w:t>
        </w:r>
      </w:hyperlink>
      <w:r w:rsidR="00C52D83" w:rsidRPr="00C52D83">
        <w:rPr>
          <w:rFonts w:asciiTheme="majorBidi" w:eastAsia="Times New Roman" w:hAnsiTheme="majorBidi" w:cs="Times New Roman"/>
          <w:sz w:val="24"/>
          <w:szCs w:val="24"/>
        </w:rPr>
        <w:t>.  32511, no fax, 01009870858</w:t>
      </w:r>
      <w:r w:rsidR="00785B23">
        <w:rPr>
          <w:rFonts w:asciiTheme="majorBidi" w:eastAsia="Times New Roman" w:hAnsiTheme="majorBidi" w:cs="Times New Roman"/>
          <w:sz w:val="24"/>
          <w:szCs w:val="24"/>
        </w:rPr>
        <w:t>.</w:t>
      </w:r>
    </w:p>
    <w:p w14:paraId="4DA16564" w14:textId="77777777" w:rsidR="00542575" w:rsidRPr="00542575" w:rsidRDefault="00542575" w:rsidP="00542575">
      <w:pPr>
        <w:spacing w:before="120" w:after="0" w:line="360" w:lineRule="auto"/>
        <w:jc w:val="both"/>
        <w:rPr>
          <w:rFonts w:asciiTheme="majorBidi" w:eastAsia="Times New Roman" w:hAnsiTheme="majorBidi" w:cs="Times New Roman"/>
          <w:sz w:val="24"/>
          <w:szCs w:val="24"/>
        </w:rPr>
      </w:pPr>
      <w:r w:rsidRPr="00542575">
        <w:rPr>
          <w:rFonts w:asciiTheme="majorBidi" w:eastAsia="Times New Roman" w:hAnsiTheme="majorBidi" w:cs="Times New Roman"/>
          <w:b/>
          <w:bCs/>
          <w:sz w:val="24"/>
          <w:szCs w:val="24"/>
        </w:rPr>
        <w:t>Corresponding author:</w:t>
      </w:r>
      <w:r w:rsidRPr="00542575">
        <w:rPr>
          <w:rFonts w:asciiTheme="majorBidi" w:eastAsia="Times New Roman" w:hAnsiTheme="majorBidi" w:cs="Times New Roman"/>
          <w:sz w:val="24"/>
          <w:szCs w:val="24"/>
        </w:rPr>
        <w:t xml:space="preserve"> </w:t>
      </w:r>
      <w:r w:rsidRPr="00542575">
        <w:rPr>
          <w:rFonts w:asciiTheme="majorBidi" w:eastAsia="Times New Roman" w:hAnsiTheme="majorBidi" w:cs="Times New Roman"/>
          <w:b/>
          <w:bCs/>
          <w:sz w:val="24"/>
          <w:szCs w:val="24"/>
          <w:vertAlign w:val="superscript"/>
        </w:rPr>
        <w:t>a*</w:t>
      </w:r>
      <w:r w:rsidRPr="00542575">
        <w:rPr>
          <w:rFonts w:asciiTheme="majorBidi" w:eastAsia="Times New Roman" w:hAnsiTheme="majorBidi" w:cs="Times New Roman"/>
          <w:b/>
          <w:bCs/>
          <w:sz w:val="24"/>
          <w:szCs w:val="24"/>
          <w:lang w:val="es-ES"/>
        </w:rPr>
        <w:t xml:space="preserve"> Mohammed A</w:t>
      </w:r>
      <w:r w:rsidRPr="00542575">
        <w:rPr>
          <w:rFonts w:asciiTheme="majorBidi" w:eastAsia="Times New Roman" w:hAnsiTheme="majorBidi" w:cs="Times New Roman"/>
          <w:b/>
          <w:bCs/>
          <w:sz w:val="24"/>
          <w:szCs w:val="24"/>
        </w:rPr>
        <w:t>.</w:t>
      </w:r>
      <w:r w:rsidRPr="00542575">
        <w:rPr>
          <w:rFonts w:asciiTheme="majorBidi" w:eastAsia="Times New Roman" w:hAnsiTheme="majorBidi" w:cs="Times New Roman"/>
          <w:b/>
          <w:bCs/>
          <w:sz w:val="24"/>
          <w:szCs w:val="24"/>
          <w:lang w:val="es-ES"/>
        </w:rPr>
        <w:t xml:space="preserve"> Ali</w:t>
      </w:r>
      <w:r w:rsidRPr="00542575">
        <w:rPr>
          <w:rFonts w:asciiTheme="majorBidi" w:eastAsia="Times New Roman" w:hAnsiTheme="majorBidi" w:cs="Times New Roman"/>
          <w:b/>
          <w:bCs/>
          <w:sz w:val="24"/>
          <w:szCs w:val="24"/>
        </w:rPr>
        <w:t>:</w:t>
      </w:r>
      <w:r w:rsidRPr="00542575">
        <w:rPr>
          <w:rFonts w:asciiTheme="majorBidi" w:eastAsia="Times New Roman" w:hAnsiTheme="majorBidi" w:cs="Times New Roman"/>
          <w:sz w:val="24"/>
          <w:szCs w:val="24"/>
        </w:rPr>
        <w:t xml:space="preserve"> </w:t>
      </w:r>
      <w:bookmarkStart w:id="0" w:name="_Hlk198118401"/>
      <w:r w:rsidRPr="00542575">
        <w:rPr>
          <w:rFonts w:asciiTheme="majorBidi" w:eastAsia="Times New Roman" w:hAnsiTheme="majorBidi" w:cs="Times New Roman"/>
          <w:sz w:val="24"/>
          <w:szCs w:val="24"/>
        </w:rPr>
        <w:t xml:space="preserve">Pediatric hepatology, gastroenterology and nutrition - National Liver Institute- Menoufia University, </w:t>
      </w:r>
      <w:proofErr w:type="spellStart"/>
      <w:r w:rsidRPr="00542575">
        <w:rPr>
          <w:rFonts w:asciiTheme="majorBidi" w:eastAsia="Times New Roman" w:hAnsiTheme="majorBidi" w:cs="Times New Roman"/>
          <w:sz w:val="24"/>
          <w:szCs w:val="24"/>
        </w:rPr>
        <w:t>Shebin</w:t>
      </w:r>
      <w:proofErr w:type="spellEnd"/>
      <w:r w:rsidRPr="00542575">
        <w:rPr>
          <w:rFonts w:asciiTheme="majorBidi" w:eastAsia="Times New Roman" w:hAnsiTheme="majorBidi" w:cs="Times New Roman"/>
          <w:sz w:val="24"/>
          <w:szCs w:val="24"/>
        </w:rPr>
        <w:t xml:space="preserve"> EL-Kom, Menoufia, Egypt, 32511, no fax, 01002362768, </w:t>
      </w:r>
      <w:hyperlink r:id="rId11" w:history="1">
        <w:r w:rsidRPr="00542575">
          <w:rPr>
            <w:rStyle w:val="Hyperlink"/>
            <w:rFonts w:asciiTheme="majorBidi" w:eastAsia="Times New Roman" w:hAnsiTheme="majorBidi" w:cs="Times New Roman"/>
            <w:sz w:val="24"/>
            <w:szCs w:val="24"/>
          </w:rPr>
          <w:t>abdelhafez64@yahoo.com</w:t>
        </w:r>
      </w:hyperlink>
      <w:r w:rsidRPr="00542575">
        <w:rPr>
          <w:rFonts w:asciiTheme="majorBidi" w:eastAsia="Times New Roman" w:hAnsiTheme="majorBidi" w:cs="Times New Roman"/>
          <w:sz w:val="24"/>
          <w:szCs w:val="24"/>
        </w:rPr>
        <w:t xml:space="preserve"> </w:t>
      </w:r>
    </w:p>
    <w:bookmarkEnd w:id="0"/>
    <w:p w14:paraId="0870A3F1" w14:textId="20BC7650" w:rsidR="00785B23" w:rsidRPr="00785B23" w:rsidRDefault="00785B23" w:rsidP="00785B23">
      <w:pPr>
        <w:spacing w:before="120" w:after="0" w:line="360" w:lineRule="auto"/>
        <w:jc w:val="both"/>
        <w:rPr>
          <w:rFonts w:asciiTheme="majorBidi" w:eastAsia="Times New Roman" w:hAnsiTheme="majorBidi" w:cs="Times New Roman"/>
          <w:sz w:val="24"/>
          <w:szCs w:val="24"/>
        </w:rPr>
      </w:pPr>
      <w:r w:rsidRPr="00785B23">
        <w:rPr>
          <w:rFonts w:asciiTheme="majorBidi" w:eastAsia="Times New Roman" w:hAnsiTheme="majorBidi" w:cs="Times New Roman"/>
          <w:b/>
          <w:bCs/>
          <w:sz w:val="24"/>
          <w:szCs w:val="24"/>
        </w:rPr>
        <w:t xml:space="preserve">Submission </w:t>
      </w:r>
      <w:bookmarkStart w:id="1" w:name="_Hlk125994740"/>
      <w:r w:rsidRPr="00785B23">
        <w:rPr>
          <w:rFonts w:asciiTheme="majorBidi" w:eastAsia="Times New Roman" w:hAnsiTheme="majorBidi" w:cs="Times New Roman"/>
          <w:b/>
          <w:bCs/>
          <w:sz w:val="24"/>
          <w:szCs w:val="24"/>
        </w:rPr>
        <w:t>date:</w:t>
      </w:r>
      <w:r w:rsidRPr="00785B23">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t>24</w:t>
      </w:r>
      <w:r w:rsidRPr="00785B23">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t>February</w:t>
      </w:r>
      <w:r w:rsidRPr="00785B23">
        <w:rPr>
          <w:rFonts w:asciiTheme="majorBidi" w:eastAsia="Times New Roman" w:hAnsiTheme="majorBidi" w:cs="Times New Roman"/>
          <w:sz w:val="24"/>
          <w:szCs w:val="24"/>
        </w:rPr>
        <w:t xml:space="preserve"> 202</w:t>
      </w:r>
      <w:r>
        <w:rPr>
          <w:rFonts w:asciiTheme="majorBidi" w:eastAsia="Times New Roman" w:hAnsiTheme="majorBidi" w:cs="Times New Roman"/>
          <w:sz w:val="24"/>
          <w:szCs w:val="24"/>
        </w:rPr>
        <w:t>5</w:t>
      </w:r>
      <w:r w:rsidRPr="00785B23">
        <w:rPr>
          <w:rFonts w:asciiTheme="majorBidi" w:eastAsia="Times New Roman" w:hAnsiTheme="majorBidi" w:cs="Times New Roman"/>
          <w:sz w:val="24"/>
          <w:szCs w:val="24"/>
        </w:rPr>
        <w:t>.</w:t>
      </w:r>
    </w:p>
    <w:bookmarkEnd w:id="1"/>
    <w:p w14:paraId="644DFE95" w14:textId="013B742F" w:rsidR="00785B23" w:rsidRPr="00785B23" w:rsidRDefault="00785B23" w:rsidP="00785B23">
      <w:pPr>
        <w:spacing w:before="120" w:after="0" w:line="360" w:lineRule="auto"/>
        <w:jc w:val="both"/>
        <w:rPr>
          <w:rFonts w:asciiTheme="majorBidi" w:eastAsia="Times New Roman" w:hAnsiTheme="majorBidi" w:cs="Times New Roman"/>
          <w:sz w:val="24"/>
          <w:szCs w:val="24"/>
        </w:rPr>
      </w:pPr>
      <w:r w:rsidRPr="00785B23">
        <w:rPr>
          <w:rFonts w:asciiTheme="majorBidi" w:eastAsia="Times New Roman" w:hAnsiTheme="majorBidi" w:cs="Times New Roman"/>
          <w:b/>
          <w:bCs/>
          <w:sz w:val="24"/>
          <w:szCs w:val="24"/>
        </w:rPr>
        <w:t>Revision date (End of revision):</w:t>
      </w:r>
      <w:r w:rsidRPr="00785B23">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t>26</w:t>
      </w:r>
      <w:r w:rsidRPr="00785B23">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t>April</w:t>
      </w:r>
      <w:r w:rsidRPr="00785B23">
        <w:rPr>
          <w:rFonts w:asciiTheme="majorBidi" w:eastAsia="Times New Roman" w:hAnsiTheme="majorBidi" w:cs="Times New Roman"/>
          <w:sz w:val="24"/>
          <w:szCs w:val="24"/>
        </w:rPr>
        <w:t xml:space="preserve"> 2025.</w:t>
      </w:r>
    </w:p>
    <w:p w14:paraId="1F2C9683" w14:textId="483008C2" w:rsidR="00785B23" w:rsidRPr="00785B23" w:rsidRDefault="00785B23" w:rsidP="00785B23">
      <w:pPr>
        <w:spacing w:before="120" w:after="0" w:line="360" w:lineRule="auto"/>
        <w:jc w:val="both"/>
        <w:rPr>
          <w:rFonts w:asciiTheme="majorBidi" w:eastAsia="Times New Roman" w:hAnsiTheme="majorBidi" w:cs="Times New Roman"/>
          <w:b/>
          <w:bCs/>
          <w:sz w:val="24"/>
          <w:szCs w:val="24"/>
        </w:rPr>
      </w:pPr>
      <w:r w:rsidRPr="00785B23">
        <w:rPr>
          <w:rFonts w:asciiTheme="majorBidi" w:eastAsia="Times New Roman" w:hAnsiTheme="majorBidi" w:cs="Times New Roman"/>
          <w:b/>
          <w:bCs/>
          <w:sz w:val="24"/>
          <w:szCs w:val="24"/>
        </w:rPr>
        <w:t>Acceptance(final):</w:t>
      </w:r>
      <w:r w:rsidRPr="00785B23">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t>07</w:t>
      </w:r>
      <w:r w:rsidRPr="00785B23">
        <w:rPr>
          <w:rFonts w:asciiTheme="majorBidi" w:eastAsia="Times New Roman" w:hAnsiTheme="majorBidi" w:cs="Times New Roman"/>
          <w:sz w:val="24"/>
          <w:szCs w:val="24"/>
        </w:rPr>
        <w:t xml:space="preserve"> </w:t>
      </w:r>
      <w:r>
        <w:rPr>
          <w:rFonts w:asciiTheme="majorBidi" w:eastAsia="Times New Roman" w:hAnsiTheme="majorBidi" w:cs="Times New Roman"/>
          <w:sz w:val="24"/>
          <w:szCs w:val="24"/>
        </w:rPr>
        <w:t>May</w:t>
      </w:r>
      <w:r w:rsidRPr="00785B23">
        <w:rPr>
          <w:rFonts w:asciiTheme="majorBidi" w:eastAsia="Times New Roman" w:hAnsiTheme="majorBidi" w:cs="Times New Roman"/>
          <w:sz w:val="24"/>
          <w:szCs w:val="24"/>
        </w:rPr>
        <w:t xml:space="preserve"> 2025.</w:t>
      </w:r>
    </w:p>
    <w:p w14:paraId="0C96E726" w14:textId="3A77FC23" w:rsidR="00785B23" w:rsidRPr="00785B23" w:rsidRDefault="00785B23" w:rsidP="00785B23">
      <w:pPr>
        <w:spacing w:before="120" w:after="0" w:line="360" w:lineRule="auto"/>
        <w:jc w:val="both"/>
        <w:rPr>
          <w:rFonts w:asciiTheme="majorBidi" w:eastAsia="Times New Roman" w:hAnsiTheme="majorBidi" w:cs="Times New Roman"/>
          <w:b/>
          <w:sz w:val="24"/>
          <w:szCs w:val="24"/>
        </w:rPr>
      </w:pPr>
      <w:r w:rsidRPr="00785B23">
        <w:rPr>
          <w:rFonts w:asciiTheme="majorBidi" w:eastAsia="Times New Roman" w:hAnsiTheme="majorBidi" w:cs="Times New Roman"/>
          <w:b/>
          <w:sz w:val="24"/>
          <w:szCs w:val="24"/>
        </w:rPr>
        <w:t xml:space="preserve">Doi: </w:t>
      </w:r>
      <w:hyperlink r:id="rId12" w:history="1">
        <w:r w:rsidRPr="00785B23">
          <w:rPr>
            <w:rStyle w:val="Hyperlink"/>
            <w:rFonts w:asciiTheme="majorBidi" w:eastAsia="Times New Roman" w:hAnsiTheme="majorBidi" w:cs="Times New Roman"/>
            <w:b/>
            <w:bCs/>
            <w:sz w:val="24"/>
            <w:szCs w:val="24"/>
          </w:rPr>
          <w:t>10.21608/ajgh.2025.363399.1077</w:t>
        </w:r>
      </w:hyperlink>
      <w:r w:rsidRPr="00785B23">
        <w:rPr>
          <w:rFonts w:asciiTheme="majorBidi" w:eastAsia="Times New Roman" w:hAnsiTheme="majorBidi" w:cs="Times New Roman"/>
          <w:b/>
          <w:sz w:val="24"/>
          <w:szCs w:val="24"/>
        </w:rPr>
        <w:t>.</w:t>
      </w:r>
    </w:p>
    <w:p w14:paraId="48A1D1DE" w14:textId="098A63EA" w:rsidR="000C239B" w:rsidRPr="00834F66" w:rsidRDefault="000C239B" w:rsidP="00834F66">
      <w:pPr>
        <w:tabs>
          <w:tab w:val="center" w:pos="4252"/>
          <w:tab w:val="left" w:pos="7318"/>
        </w:tabs>
        <w:spacing w:after="0" w:line="360" w:lineRule="auto"/>
        <w:rPr>
          <w:rFonts w:asciiTheme="majorBidi" w:eastAsia="Batang" w:hAnsiTheme="majorBidi" w:cstheme="majorBidi"/>
          <w:b/>
          <w:bCs/>
          <w:sz w:val="24"/>
          <w:szCs w:val="24"/>
          <w:lang w:eastAsia="ja-JP"/>
        </w:rPr>
      </w:pPr>
      <w:r w:rsidRPr="00834F66">
        <w:rPr>
          <w:rFonts w:asciiTheme="majorBidi" w:eastAsia="Batang" w:hAnsiTheme="majorBidi" w:cstheme="majorBidi"/>
          <w:b/>
          <w:bCs/>
          <w:sz w:val="24"/>
          <w:szCs w:val="24"/>
          <w:lang w:eastAsia="ja-JP"/>
        </w:rPr>
        <w:t>Abstract</w:t>
      </w:r>
    </w:p>
    <w:p w14:paraId="4212B802" w14:textId="5F5A4E3D" w:rsidR="00AF61CB" w:rsidRDefault="000C239B" w:rsidP="003D196B">
      <w:pPr>
        <w:spacing w:after="0" w:line="360" w:lineRule="auto"/>
        <w:jc w:val="both"/>
        <w:rPr>
          <w:rFonts w:asciiTheme="majorBidi" w:hAnsiTheme="majorBidi" w:cstheme="majorBidi"/>
          <w:sz w:val="24"/>
          <w:szCs w:val="24"/>
        </w:rPr>
      </w:pPr>
      <w:r w:rsidRPr="00834F66">
        <w:rPr>
          <w:rFonts w:asciiTheme="majorBidi" w:hAnsiTheme="majorBidi" w:cstheme="majorBidi"/>
          <w:b/>
          <w:sz w:val="24"/>
          <w:szCs w:val="24"/>
        </w:rPr>
        <w:t>Background:</w:t>
      </w:r>
      <w:r w:rsidR="00EF381C" w:rsidRPr="00834F66">
        <w:rPr>
          <w:rFonts w:asciiTheme="majorBidi" w:hAnsiTheme="majorBidi" w:cstheme="majorBidi"/>
          <w:sz w:val="24"/>
          <w:szCs w:val="24"/>
        </w:rPr>
        <w:t xml:space="preserve"> </w:t>
      </w:r>
      <w:r w:rsidR="00EF381C" w:rsidRPr="00834F66">
        <w:rPr>
          <w:rFonts w:asciiTheme="majorBidi" w:hAnsiTheme="majorBidi" w:cstheme="majorBidi"/>
          <w:bCs/>
          <w:sz w:val="24"/>
          <w:szCs w:val="24"/>
        </w:rPr>
        <w:t xml:space="preserve">Juvenile polyps are common in children and </w:t>
      </w:r>
      <w:r w:rsidR="00C52D83">
        <w:rPr>
          <w:rFonts w:asciiTheme="majorBidi" w:hAnsiTheme="majorBidi" w:cstheme="majorBidi"/>
          <w:bCs/>
          <w:sz w:val="24"/>
          <w:szCs w:val="24"/>
        </w:rPr>
        <w:t xml:space="preserve">are </w:t>
      </w:r>
      <w:r w:rsidR="00EF381C" w:rsidRPr="00834F66">
        <w:rPr>
          <w:rFonts w:asciiTheme="majorBidi" w:hAnsiTheme="majorBidi" w:cstheme="majorBidi"/>
          <w:bCs/>
          <w:sz w:val="24"/>
          <w:szCs w:val="24"/>
        </w:rPr>
        <w:t xml:space="preserve">usually </w:t>
      </w:r>
      <w:proofErr w:type="gramStart"/>
      <w:r w:rsidR="00744EFF" w:rsidRPr="00834F66">
        <w:rPr>
          <w:rFonts w:asciiTheme="majorBidi" w:hAnsiTheme="majorBidi" w:cstheme="majorBidi"/>
          <w:bCs/>
          <w:sz w:val="24"/>
          <w:szCs w:val="24"/>
        </w:rPr>
        <w:t>asymptomatic</w:t>
      </w:r>
      <w:r w:rsidR="00744EFF">
        <w:rPr>
          <w:rFonts w:asciiTheme="majorBidi" w:hAnsiTheme="majorBidi" w:cstheme="majorBidi"/>
          <w:bCs/>
          <w:sz w:val="24"/>
          <w:szCs w:val="24"/>
        </w:rPr>
        <w:t>, but</w:t>
      </w:r>
      <w:proofErr w:type="gramEnd"/>
      <w:r w:rsidR="00EF381C" w:rsidRPr="00834F66">
        <w:rPr>
          <w:rFonts w:asciiTheme="majorBidi" w:hAnsiTheme="majorBidi" w:cstheme="majorBidi"/>
          <w:bCs/>
          <w:sz w:val="24"/>
          <w:szCs w:val="24"/>
        </w:rPr>
        <w:t xml:space="preserve"> can cause symptoms like rectal bleeding and abdominal pain. Monitoring for recurrence and using biomarkers like fecal </w:t>
      </w:r>
      <w:r w:rsidR="00B95748" w:rsidRPr="00834F66">
        <w:rPr>
          <w:rFonts w:asciiTheme="majorBidi" w:hAnsiTheme="majorBidi" w:cstheme="majorBidi"/>
          <w:bCs/>
          <w:sz w:val="24"/>
          <w:szCs w:val="24"/>
        </w:rPr>
        <w:t>calprotectin</w:t>
      </w:r>
      <w:r w:rsidR="00B95748">
        <w:rPr>
          <w:rFonts w:asciiTheme="majorBidi" w:hAnsiTheme="majorBidi" w:cstheme="majorBidi"/>
          <w:bCs/>
          <w:sz w:val="24"/>
          <w:szCs w:val="24"/>
        </w:rPr>
        <w:t xml:space="preserve"> (</w:t>
      </w:r>
      <w:r w:rsidR="00B95748" w:rsidRPr="00B95748">
        <w:rPr>
          <w:rFonts w:asciiTheme="majorBidi" w:hAnsiTheme="majorBidi" w:cstheme="majorBidi"/>
          <w:bCs/>
          <w:sz w:val="24"/>
          <w:szCs w:val="24"/>
        </w:rPr>
        <w:t>FCP</w:t>
      </w:r>
      <w:r w:rsidR="00B95748">
        <w:rPr>
          <w:rFonts w:asciiTheme="majorBidi" w:hAnsiTheme="majorBidi" w:cstheme="majorBidi"/>
          <w:bCs/>
          <w:sz w:val="24"/>
          <w:szCs w:val="24"/>
        </w:rPr>
        <w:t>)</w:t>
      </w:r>
      <w:r w:rsidR="00EF381C" w:rsidRPr="00834F66">
        <w:rPr>
          <w:rFonts w:asciiTheme="majorBidi" w:hAnsiTheme="majorBidi" w:cstheme="majorBidi"/>
          <w:bCs/>
          <w:sz w:val="24"/>
          <w:szCs w:val="24"/>
        </w:rPr>
        <w:t xml:space="preserve">, which helps assess inflammation, </w:t>
      </w:r>
      <w:r w:rsidR="003D196B">
        <w:rPr>
          <w:rFonts w:asciiTheme="majorBidi" w:hAnsiTheme="majorBidi" w:cstheme="majorBidi"/>
          <w:bCs/>
          <w:sz w:val="24"/>
          <w:szCs w:val="24"/>
        </w:rPr>
        <w:t>are</w:t>
      </w:r>
      <w:r w:rsidR="00EF381C" w:rsidRPr="00834F66">
        <w:rPr>
          <w:rFonts w:asciiTheme="majorBidi" w:hAnsiTheme="majorBidi" w:cstheme="majorBidi"/>
          <w:bCs/>
          <w:sz w:val="24"/>
          <w:szCs w:val="24"/>
        </w:rPr>
        <w:t xml:space="preserve"> </w:t>
      </w:r>
      <w:r w:rsidR="00C52D83">
        <w:rPr>
          <w:rFonts w:asciiTheme="majorBidi" w:hAnsiTheme="majorBidi" w:cstheme="majorBidi"/>
          <w:bCs/>
          <w:sz w:val="24"/>
          <w:szCs w:val="24"/>
        </w:rPr>
        <w:t>essential</w:t>
      </w:r>
      <w:r w:rsidR="00EF381C" w:rsidRPr="00834F66">
        <w:rPr>
          <w:rFonts w:asciiTheme="majorBidi" w:hAnsiTheme="majorBidi" w:cstheme="majorBidi"/>
          <w:bCs/>
          <w:sz w:val="24"/>
          <w:szCs w:val="24"/>
        </w:rPr>
        <w:t xml:space="preserve"> for management. These polyps may also increase the risk of colorectal cancer, especially in juvenile polyposis syndrome. Further research is needed to understand the role of fecal calprotectin before and after polyp removal</w:t>
      </w:r>
      <w:r w:rsidRPr="00834F66">
        <w:rPr>
          <w:rFonts w:asciiTheme="majorBidi" w:hAnsiTheme="majorBidi" w:cstheme="majorBidi"/>
          <w:bCs/>
          <w:sz w:val="24"/>
          <w:szCs w:val="24"/>
        </w:rPr>
        <w:t>.</w:t>
      </w:r>
      <w:r w:rsidRPr="00834F66">
        <w:rPr>
          <w:rFonts w:asciiTheme="majorBidi" w:hAnsiTheme="majorBidi" w:cstheme="majorBidi"/>
          <w:sz w:val="24"/>
          <w:szCs w:val="24"/>
        </w:rPr>
        <w:t xml:space="preserve"> </w:t>
      </w:r>
    </w:p>
    <w:p w14:paraId="5AFB6AA9" w14:textId="56EFA429" w:rsidR="00AF61CB" w:rsidRDefault="00C52D83" w:rsidP="00834F66">
      <w:pPr>
        <w:spacing w:after="0" w:line="360" w:lineRule="auto"/>
        <w:jc w:val="both"/>
        <w:rPr>
          <w:rFonts w:asciiTheme="majorBidi" w:eastAsia="Calibri" w:hAnsiTheme="majorBidi" w:cstheme="majorBidi"/>
          <w:sz w:val="24"/>
          <w:szCs w:val="24"/>
        </w:rPr>
      </w:pPr>
      <w:r>
        <w:rPr>
          <w:rFonts w:asciiTheme="majorBidi" w:hAnsiTheme="majorBidi" w:cstheme="majorBidi"/>
          <w:b/>
          <w:sz w:val="24"/>
          <w:szCs w:val="24"/>
        </w:rPr>
        <w:t>The aim</w:t>
      </w:r>
      <w:r w:rsidR="00D74B2B" w:rsidRPr="00834F66">
        <w:rPr>
          <w:rFonts w:asciiTheme="majorBidi" w:hAnsiTheme="majorBidi" w:cstheme="majorBidi"/>
          <w:b/>
          <w:sz w:val="24"/>
          <w:szCs w:val="24"/>
        </w:rPr>
        <w:t xml:space="preserve"> </w:t>
      </w:r>
      <w:r w:rsidR="00D74B2B" w:rsidRPr="00834F66">
        <w:rPr>
          <w:rFonts w:asciiTheme="majorBidi" w:hAnsiTheme="majorBidi" w:cstheme="majorBidi"/>
          <w:bCs/>
          <w:sz w:val="24"/>
          <w:szCs w:val="24"/>
        </w:rPr>
        <w:t>was to investigate the levels of fecal calprotectin in children and adolescents with juvenile polyps before and after polypectomy.</w:t>
      </w:r>
      <w:r w:rsidR="000C239B" w:rsidRPr="00834F66">
        <w:rPr>
          <w:rFonts w:asciiTheme="majorBidi" w:eastAsia="Calibri" w:hAnsiTheme="majorBidi" w:cstheme="majorBidi"/>
          <w:sz w:val="24"/>
          <w:szCs w:val="24"/>
        </w:rPr>
        <w:t xml:space="preserve"> </w:t>
      </w:r>
    </w:p>
    <w:p w14:paraId="02FD1EE6" w14:textId="4434157F" w:rsidR="000C239B" w:rsidRPr="00834F66" w:rsidRDefault="000C239B" w:rsidP="00FD634E">
      <w:pPr>
        <w:spacing w:after="0" w:line="360" w:lineRule="auto"/>
        <w:jc w:val="both"/>
        <w:rPr>
          <w:rFonts w:asciiTheme="majorBidi" w:hAnsiTheme="majorBidi" w:cstheme="majorBidi"/>
          <w:sz w:val="24"/>
          <w:szCs w:val="24"/>
          <w:lang w:bidi="ar-EG"/>
        </w:rPr>
      </w:pPr>
      <w:r w:rsidRPr="00834F66">
        <w:rPr>
          <w:rFonts w:asciiTheme="majorBidi" w:eastAsia="Calibri" w:hAnsiTheme="majorBidi" w:cstheme="majorBidi"/>
          <w:b/>
          <w:sz w:val="24"/>
          <w:szCs w:val="24"/>
        </w:rPr>
        <w:t>Patients and methods:</w:t>
      </w:r>
      <w:r w:rsidR="00385902" w:rsidRPr="00834F66">
        <w:rPr>
          <w:rFonts w:asciiTheme="majorBidi" w:hAnsiTheme="majorBidi" w:cstheme="majorBidi"/>
          <w:sz w:val="24"/>
          <w:szCs w:val="24"/>
        </w:rPr>
        <w:t xml:space="preserve"> </w:t>
      </w:r>
      <w:r w:rsidR="00AF61CB">
        <w:rPr>
          <w:rFonts w:asciiTheme="majorBidi" w:eastAsia="Calibri" w:hAnsiTheme="majorBidi" w:cstheme="majorBidi"/>
          <w:bCs/>
          <w:sz w:val="24"/>
          <w:szCs w:val="24"/>
        </w:rPr>
        <w:t>A</w:t>
      </w:r>
      <w:r w:rsidR="00385902" w:rsidRPr="00834F66">
        <w:rPr>
          <w:rFonts w:asciiTheme="majorBidi" w:eastAsia="Calibri" w:hAnsiTheme="majorBidi" w:cstheme="majorBidi"/>
          <w:bCs/>
          <w:sz w:val="24"/>
          <w:szCs w:val="24"/>
        </w:rPr>
        <w:t xml:space="preserve"> </w:t>
      </w:r>
      <w:r w:rsidR="00FD634E" w:rsidRPr="00FD634E">
        <w:rPr>
          <w:rFonts w:asciiTheme="majorBidi" w:eastAsia="Calibri" w:hAnsiTheme="majorBidi" w:cstheme="majorBidi"/>
          <w:bCs/>
          <w:sz w:val="24"/>
          <w:szCs w:val="24"/>
        </w:rPr>
        <w:t xml:space="preserve">prospective cohort study </w:t>
      </w:r>
      <w:r w:rsidR="00385902" w:rsidRPr="00834F66">
        <w:rPr>
          <w:rFonts w:asciiTheme="majorBidi" w:eastAsia="Calibri" w:hAnsiTheme="majorBidi" w:cstheme="majorBidi"/>
          <w:bCs/>
          <w:sz w:val="24"/>
          <w:szCs w:val="24"/>
        </w:rPr>
        <w:t>was conducted from January 2019 to March 2022</w:t>
      </w:r>
      <w:r w:rsidR="00AF61CB">
        <w:rPr>
          <w:rFonts w:asciiTheme="majorBidi" w:eastAsia="Calibri" w:hAnsiTheme="majorBidi" w:cstheme="majorBidi"/>
          <w:bCs/>
          <w:sz w:val="24"/>
          <w:szCs w:val="24"/>
        </w:rPr>
        <w:t>,</w:t>
      </w:r>
      <w:r w:rsidR="00385902" w:rsidRPr="00834F66">
        <w:rPr>
          <w:rFonts w:asciiTheme="majorBidi" w:eastAsia="Calibri" w:hAnsiTheme="majorBidi" w:cstheme="majorBidi"/>
          <w:bCs/>
          <w:sz w:val="24"/>
          <w:szCs w:val="24"/>
        </w:rPr>
        <w:t xml:space="preserve"> </w:t>
      </w:r>
      <w:r w:rsidR="00C52D83">
        <w:rPr>
          <w:rFonts w:asciiTheme="majorBidi" w:eastAsia="Calibri" w:hAnsiTheme="majorBidi" w:cstheme="majorBidi"/>
          <w:bCs/>
          <w:sz w:val="24"/>
          <w:szCs w:val="24"/>
        </w:rPr>
        <w:t xml:space="preserve">which included fifty children and adolescents, aged </w:t>
      </w:r>
      <w:r w:rsidR="00385902" w:rsidRPr="00834F66">
        <w:rPr>
          <w:rFonts w:asciiTheme="majorBidi" w:eastAsia="Calibri" w:hAnsiTheme="majorBidi" w:cstheme="majorBidi"/>
          <w:bCs/>
          <w:sz w:val="24"/>
          <w:szCs w:val="24"/>
        </w:rPr>
        <w:t>1 to 18 years, diagnosed with juve</w:t>
      </w:r>
      <w:r w:rsidR="00A73EB8">
        <w:rPr>
          <w:rFonts w:asciiTheme="majorBidi" w:eastAsia="Calibri" w:hAnsiTheme="majorBidi" w:cstheme="majorBidi"/>
          <w:bCs/>
          <w:sz w:val="24"/>
          <w:szCs w:val="24"/>
        </w:rPr>
        <w:t xml:space="preserve">nile </w:t>
      </w:r>
      <w:r w:rsidR="00A73EB8">
        <w:rPr>
          <w:rFonts w:asciiTheme="majorBidi" w:eastAsia="Calibri" w:hAnsiTheme="majorBidi" w:cstheme="majorBidi"/>
          <w:bCs/>
          <w:sz w:val="24"/>
          <w:szCs w:val="24"/>
        </w:rPr>
        <w:lastRenderedPageBreak/>
        <w:t>polyps through colonoscopy</w:t>
      </w:r>
      <w:r w:rsidR="003D196B">
        <w:rPr>
          <w:rFonts w:asciiTheme="majorBidi" w:eastAsia="Calibri" w:hAnsiTheme="majorBidi" w:cstheme="majorBidi"/>
          <w:bCs/>
          <w:sz w:val="24"/>
          <w:szCs w:val="24"/>
        </w:rPr>
        <w:t>.</w:t>
      </w:r>
      <w:r w:rsidR="00385902" w:rsidRPr="00834F66">
        <w:rPr>
          <w:rFonts w:asciiTheme="majorBidi" w:eastAsia="Calibri" w:hAnsiTheme="majorBidi" w:cstheme="majorBidi"/>
          <w:bCs/>
          <w:sz w:val="24"/>
          <w:szCs w:val="24"/>
        </w:rPr>
        <w:t xml:space="preserve"> </w:t>
      </w:r>
      <w:r w:rsidR="003D196B">
        <w:rPr>
          <w:rFonts w:asciiTheme="majorBidi" w:eastAsia="Calibri" w:hAnsiTheme="majorBidi" w:cstheme="majorBidi"/>
          <w:bCs/>
          <w:sz w:val="24"/>
          <w:szCs w:val="24"/>
        </w:rPr>
        <w:t xml:space="preserve">Patients </w:t>
      </w:r>
      <w:r w:rsidR="003D196B" w:rsidRPr="003D196B">
        <w:rPr>
          <w:rFonts w:asciiTheme="majorBidi" w:eastAsia="Calibri" w:hAnsiTheme="majorBidi" w:cstheme="majorBidi"/>
          <w:bCs/>
          <w:sz w:val="24"/>
          <w:szCs w:val="24"/>
        </w:rPr>
        <w:t xml:space="preserve">were recruited from the Pediatric Hepatology Department at the National Liver Institute and the Tropical Medicine Department of the Faculty of Medicine, Menoufia University. They were followed for an additional six months. </w:t>
      </w:r>
      <w:r w:rsidRPr="00834F66">
        <w:rPr>
          <w:rFonts w:asciiTheme="majorBidi" w:hAnsiTheme="majorBidi" w:cstheme="majorBidi"/>
          <w:b/>
          <w:sz w:val="24"/>
          <w:szCs w:val="24"/>
          <w:lang w:bidi="ar-EG"/>
        </w:rPr>
        <w:t>Results</w:t>
      </w:r>
      <w:r w:rsidRPr="00A73EB8">
        <w:rPr>
          <w:rFonts w:asciiTheme="majorBidi" w:hAnsiTheme="majorBidi" w:cstheme="majorBidi"/>
          <w:bCs/>
          <w:sz w:val="24"/>
          <w:szCs w:val="24"/>
          <w:lang w:bidi="ar-EG"/>
        </w:rPr>
        <w:t>:</w:t>
      </w:r>
      <w:r w:rsidR="0063131C" w:rsidRPr="00834F66">
        <w:rPr>
          <w:rFonts w:asciiTheme="majorBidi" w:hAnsiTheme="majorBidi" w:cstheme="majorBidi"/>
          <w:b/>
          <w:sz w:val="24"/>
          <w:szCs w:val="24"/>
          <w:lang w:bidi="ar-EG"/>
        </w:rPr>
        <w:t xml:space="preserve"> </w:t>
      </w:r>
      <w:r w:rsidR="003D196B" w:rsidRPr="003D196B">
        <w:rPr>
          <w:rFonts w:asciiTheme="majorBidi" w:hAnsiTheme="majorBidi" w:cstheme="majorBidi"/>
          <w:bCs/>
          <w:sz w:val="24"/>
          <w:szCs w:val="24"/>
          <w:lang w:bidi="ar-EG"/>
        </w:rPr>
        <w:t>Fifty</w:t>
      </w:r>
      <w:r w:rsidR="0063131C" w:rsidRPr="00834F66">
        <w:rPr>
          <w:rFonts w:asciiTheme="majorBidi" w:hAnsiTheme="majorBidi" w:cstheme="majorBidi"/>
          <w:bCs/>
          <w:sz w:val="24"/>
          <w:szCs w:val="24"/>
          <w:lang w:bidi="ar-EG"/>
        </w:rPr>
        <w:t xml:space="preserve"> pediatric patients with juvenile polyps </w:t>
      </w:r>
      <w:r w:rsidR="00C52D83">
        <w:rPr>
          <w:rFonts w:asciiTheme="majorBidi" w:hAnsiTheme="majorBidi" w:cstheme="majorBidi"/>
          <w:bCs/>
          <w:sz w:val="24"/>
          <w:szCs w:val="24"/>
          <w:lang w:bidi="ar-EG"/>
        </w:rPr>
        <w:t xml:space="preserve">were found, with most </w:t>
      </w:r>
      <w:r w:rsidR="0063131C" w:rsidRPr="00834F66">
        <w:rPr>
          <w:rFonts w:asciiTheme="majorBidi" w:hAnsiTheme="majorBidi" w:cstheme="majorBidi"/>
          <w:bCs/>
          <w:sz w:val="24"/>
          <w:szCs w:val="24"/>
          <w:lang w:bidi="ar-EG"/>
        </w:rPr>
        <w:t>aged 5-10 years (</w:t>
      </w:r>
      <w:r w:rsidR="00A73EB8">
        <w:rPr>
          <w:rFonts w:asciiTheme="majorBidi" w:hAnsiTheme="majorBidi" w:cstheme="majorBidi"/>
          <w:bCs/>
          <w:sz w:val="24"/>
          <w:szCs w:val="24"/>
          <w:lang w:bidi="ar-EG"/>
        </w:rPr>
        <w:t>50%), followed by those under 5</w:t>
      </w:r>
      <w:r w:rsidR="0063131C" w:rsidRPr="00834F66">
        <w:rPr>
          <w:rFonts w:asciiTheme="majorBidi" w:hAnsiTheme="majorBidi" w:cstheme="majorBidi"/>
          <w:bCs/>
          <w:sz w:val="24"/>
          <w:szCs w:val="24"/>
          <w:lang w:bidi="ar-EG"/>
        </w:rPr>
        <w:t>(38%) and 10-18 years (12%), with a mean age of 6.91 years.</w:t>
      </w:r>
      <w:r w:rsidR="003D196B" w:rsidRPr="003D196B">
        <w:t xml:space="preserve"> </w:t>
      </w:r>
      <w:r w:rsidR="003D196B" w:rsidRPr="003D196B">
        <w:rPr>
          <w:rFonts w:asciiTheme="majorBidi" w:hAnsiTheme="majorBidi" w:cstheme="majorBidi"/>
          <w:bCs/>
          <w:sz w:val="24"/>
          <w:szCs w:val="24"/>
          <w:lang w:bidi="ar-EG"/>
        </w:rPr>
        <w:t>Of the patients,</w:t>
      </w:r>
      <w:r w:rsidR="0063131C" w:rsidRPr="00834F66">
        <w:rPr>
          <w:rFonts w:asciiTheme="majorBidi" w:hAnsiTheme="majorBidi" w:cstheme="majorBidi"/>
          <w:bCs/>
          <w:sz w:val="24"/>
          <w:szCs w:val="24"/>
          <w:lang w:bidi="ar-EG"/>
        </w:rPr>
        <w:t xml:space="preserve"> </w:t>
      </w:r>
      <w:r w:rsidR="00A73EB8">
        <w:rPr>
          <w:rFonts w:asciiTheme="majorBidi" w:hAnsiTheme="majorBidi" w:cstheme="majorBidi"/>
          <w:bCs/>
          <w:sz w:val="24"/>
          <w:szCs w:val="24"/>
          <w:lang w:bidi="ar-EG"/>
        </w:rPr>
        <w:t>46</w:t>
      </w:r>
      <w:r w:rsidR="003D196B" w:rsidRPr="003D196B">
        <w:rPr>
          <w:rFonts w:asciiTheme="majorBidi" w:hAnsiTheme="majorBidi" w:cstheme="majorBidi"/>
          <w:bCs/>
          <w:sz w:val="24"/>
          <w:szCs w:val="24"/>
          <w:lang w:bidi="ar-EG"/>
        </w:rPr>
        <w:t>%</w:t>
      </w:r>
      <w:r w:rsidR="0063131C" w:rsidRPr="00834F66">
        <w:rPr>
          <w:rFonts w:asciiTheme="majorBidi" w:hAnsiTheme="majorBidi" w:cstheme="majorBidi"/>
          <w:bCs/>
          <w:sz w:val="24"/>
          <w:szCs w:val="24"/>
          <w:lang w:bidi="ar-EG"/>
        </w:rPr>
        <w:t xml:space="preserve"> had multiple polyps, 50% had pedunculated polyps, and 24% had sessile polyps. Larger polyps (20 mm vs. 12 mm) and pedunculated polyps were linked to higher FCP levels, while age and solitary polyps were not</w:t>
      </w:r>
      <w:r w:rsidR="0063131C" w:rsidRPr="00A73EB8">
        <w:rPr>
          <w:rFonts w:asciiTheme="majorBidi" w:hAnsiTheme="majorBidi" w:cstheme="majorBidi"/>
          <w:bCs/>
          <w:sz w:val="24"/>
          <w:szCs w:val="24"/>
          <w:lang w:bidi="ar-EG"/>
        </w:rPr>
        <w:t xml:space="preserve">. </w:t>
      </w:r>
      <w:r w:rsidRPr="00834F66">
        <w:rPr>
          <w:rFonts w:asciiTheme="majorBidi" w:hAnsiTheme="majorBidi" w:cstheme="majorBidi"/>
          <w:b/>
          <w:sz w:val="24"/>
          <w:szCs w:val="24"/>
        </w:rPr>
        <w:t>Conclusion:</w:t>
      </w:r>
      <w:r w:rsidRPr="00834F66">
        <w:rPr>
          <w:rFonts w:asciiTheme="majorBidi" w:hAnsiTheme="majorBidi" w:cstheme="majorBidi"/>
          <w:b/>
          <w:bCs/>
          <w:sz w:val="24"/>
          <w:szCs w:val="24"/>
        </w:rPr>
        <w:t xml:space="preserve"> </w:t>
      </w:r>
      <w:r w:rsidR="0063131C" w:rsidRPr="00834F66">
        <w:rPr>
          <w:rFonts w:asciiTheme="majorBidi" w:hAnsiTheme="majorBidi" w:cstheme="majorBidi"/>
          <w:sz w:val="24"/>
          <w:szCs w:val="24"/>
        </w:rPr>
        <w:t xml:space="preserve">FCP </w:t>
      </w:r>
      <w:r w:rsidR="00B92330" w:rsidRPr="00834F66">
        <w:rPr>
          <w:rFonts w:asciiTheme="majorBidi" w:hAnsiTheme="majorBidi" w:cstheme="majorBidi"/>
          <w:sz w:val="24"/>
          <w:szCs w:val="24"/>
        </w:rPr>
        <w:t xml:space="preserve">can </w:t>
      </w:r>
      <w:r w:rsidR="0063131C" w:rsidRPr="00834F66">
        <w:rPr>
          <w:rFonts w:asciiTheme="majorBidi" w:hAnsiTheme="majorBidi" w:cstheme="majorBidi"/>
          <w:sz w:val="24"/>
          <w:szCs w:val="24"/>
        </w:rPr>
        <w:t xml:space="preserve">be a </w:t>
      </w:r>
      <w:r w:rsidR="00C52D83">
        <w:rPr>
          <w:rFonts w:asciiTheme="majorBidi" w:hAnsiTheme="majorBidi" w:cstheme="majorBidi"/>
          <w:sz w:val="24"/>
          <w:szCs w:val="24"/>
        </w:rPr>
        <w:t>valuable</w:t>
      </w:r>
      <w:r w:rsidR="0063131C" w:rsidRPr="00834F66">
        <w:rPr>
          <w:rFonts w:asciiTheme="majorBidi" w:hAnsiTheme="majorBidi" w:cstheme="majorBidi"/>
          <w:sz w:val="24"/>
          <w:szCs w:val="24"/>
        </w:rPr>
        <w:t xml:space="preserve"> marker for evaluating disease severity and monitoring response to treatment in pediatric patients with juvenile polyps.</w:t>
      </w:r>
    </w:p>
    <w:p w14:paraId="379B3CF4" w14:textId="20BE4F6A" w:rsidR="00D253B8" w:rsidRDefault="000C239B" w:rsidP="00C52D83">
      <w:pPr>
        <w:spacing w:after="0" w:line="360" w:lineRule="auto"/>
        <w:jc w:val="both"/>
        <w:rPr>
          <w:rFonts w:asciiTheme="majorBidi" w:hAnsiTheme="majorBidi" w:cstheme="majorBidi"/>
          <w:b/>
          <w:sz w:val="24"/>
          <w:szCs w:val="24"/>
        </w:rPr>
      </w:pPr>
      <w:r w:rsidRPr="00C52D83">
        <w:rPr>
          <w:rFonts w:asciiTheme="majorBidi" w:eastAsia="Times New Roman" w:hAnsiTheme="majorBidi" w:cstheme="majorBidi"/>
          <w:b/>
          <w:i/>
          <w:iCs/>
          <w:sz w:val="24"/>
          <w:szCs w:val="24"/>
        </w:rPr>
        <w:t>Keywords:</w:t>
      </w:r>
      <w:r w:rsidR="00674846" w:rsidRPr="00C52D83">
        <w:rPr>
          <w:rFonts w:asciiTheme="majorBidi" w:hAnsiTheme="majorBidi" w:cstheme="majorBidi"/>
          <w:bCs/>
          <w:i/>
          <w:iCs/>
          <w:sz w:val="24"/>
          <w:szCs w:val="24"/>
        </w:rPr>
        <w:t xml:space="preserve"> Juvenile polyps</w:t>
      </w:r>
      <w:r w:rsidRPr="00C52D83">
        <w:rPr>
          <w:rFonts w:asciiTheme="majorBidi" w:eastAsia="Times New Roman" w:hAnsiTheme="majorBidi" w:cstheme="majorBidi"/>
          <w:bCs/>
          <w:i/>
          <w:iCs/>
          <w:sz w:val="24"/>
          <w:szCs w:val="24"/>
        </w:rPr>
        <w:t>,</w:t>
      </w:r>
      <w:r w:rsidRPr="00C52D83">
        <w:rPr>
          <w:rFonts w:asciiTheme="majorBidi" w:eastAsia="Times New Roman" w:hAnsiTheme="majorBidi" w:cstheme="majorBidi"/>
          <w:b/>
          <w:bCs/>
          <w:i/>
          <w:iCs/>
          <w:sz w:val="24"/>
          <w:szCs w:val="24"/>
          <w:lang w:bidi="ar-EG"/>
        </w:rPr>
        <w:t xml:space="preserve"> </w:t>
      </w:r>
      <w:r w:rsidR="00674846" w:rsidRPr="00C52D83">
        <w:rPr>
          <w:rFonts w:asciiTheme="majorBidi" w:hAnsiTheme="majorBidi" w:cstheme="majorBidi"/>
          <w:bCs/>
          <w:i/>
          <w:iCs/>
          <w:sz w:val="24"/>
          <w:szCs w:val="24"/>
        </w:rPr>
        <w:t>fecal calprotectin</w:t>
      </w:r>
      <w:r w:rsidRPr="00C52D83">
        <w:rPr>
          <w:rFonts w:asciiTheme="majorBidi" w:eastAsia="Times New Roman" w:hAnsiTheme="majorBidi" w:cstheme="majorBidi"/>
          <w:i/>
          <w:iCs/>
          <w:sz w:val="24"/>
          <w:szCs w:val="24"/>
        </w:rPr>
        <w:t>,</w:t>
      </w:r>
      <w:r w:rsidRPr="00C52D83">
        <w:rPr>
          <w:rFonts w:asciiTheme="majorBidi" w:eastAsia="Times New Roman" w:hAnsiTheme="majorBidi" w:cstheme="majorBidi"/>
          <w:i/>
          <w:iCs/>
          <w:sz w:val="24"/>
          <w:szCs w:val="24"/>
          <w:lang w:bidi="ar-EG"/>
        </w:rPr>
        <w:t xml:space="preserve"> </w:t>
      </w:r>
      <w:r w:rsidR="00674846" w:rsidRPr="00C52D83">
        <w:rPr>
          <w:rFonts w:asciiTheme="majorBidi" w:eastAsia="Calibri" w:hAnsiTheme="majorBidi" w:cstheme="majorBidi"/>
          <w:bCs/>
          <w:i/>
          <w:iCs/>
          <w:sz w:val="24"/>
          <w:szCs w:val="24"/>
        </w:rPr>
        <w:t>colonoscopy</w:t>
      </w:r>
      <w:r w:rsidR="00744EFF">
        <w:rPr>
          <w:rFonts w:asciiTheme="majorBidi" w:eastAsia="Calibri" w:hAnsiTheme="majorBidi" w:cstheme="majorBidi"/>
          <w:bCs/>
          <w:i/>
          <w:iCs/>
          <w:sz w:val="24"/>
          <w:szCs w:val="24"/>
        </w:rPr>
        <w:t>.</w:t>
      </w:r>
    </w:p>
    <w:p w14:paraId="7ED6579D" w14:textId="17EE9A1E" w:rsidR="00156225" w:rsidRPr="00834F66" w:rsidRDefault="00156225" w:rsidP="00834F66">
      <w:pPr>
        <w:spacing w:after="0" w:line="360" w:lineRule="auto"/>
        <w:rPr>
          <w:rFonts w:asciiTheme="majorBidi" w:hAnsiTheme="majorBidi" w:cstheme="majorBidi"/>
          <w:b/>
          <w:sz w:val="24"/>
          <w:szCs w:val="24"/>
        </w:rPr>
      </w:pPr>
      <w:r w:rsidRPr="00834F66">
        <w:rPr>
          <w:rFonts w:asciiTheme="majorBidi" w:hAnsiTheme="majorBidi" w:cstheme="majorBidi"/>
          <w:b/>
          <w:sz w:val="24"/>
          <w:szCs w:val="24"/>
        </w:rPr>
        <w:t xml:space="preserve">Introduction </w:t>
      </w:r>
    </w:p>
    <w:p w14:paraId="7FEC10ED" w14:textId="72201872" w:rsidR="004B3DE7" w:rsidRPr="00834F66" w:rsidRDefault="004B3DE7" w:rsidP="0046065F">
      <w:pPr>
        <w:spacing w:after="0" w:line="360" w:lineRule="auto"/>
        <w:jc w:val="both"/>
        <w:rPr>
          <w:rFonts w:asciiTheme="majorBidi" w:eastAsia="Times New Roman" w:hAnsiTheme="majorBidi" w:cstheme="majorBidi"/>
          <w:sz w:val="24"/>
          <w:szCs w:val="24"/>
        </w:rPr>
      </w:pPr>
      <w:r w:rsidRPr="00834F66">
        <w:rPr>
          <w:rFonts w:asciiTheme="majorBidi" w:eastAsia="Times New Roman" w:hAnsiTheme="majorBidi" w:cstheme="majorBidi"/>
          <w:sz w:val="24"/>
          <w:szCs w:val="24"/>
        </w:rPr>
        <w:t xml:space="preserve">Juvenile polyps </w:t>
      </w:r>
      <w:r w:rsidR="00F2585A" w:rsidRPr="00834F66">
        <w:rPr>
          <w:rFonts w:asciiTheme="majorBidi" w:eastAsia="Times New Roman" w:hAnsiTheme="majorBidi" w:cstheme="majorBidi"/>
          <w:sz w:val="24"/>
          <w:szCs w:val="24"/>
        </w:rPr>
        <w:t>(</w:t>
      </w:r>
      <w:r w:rsidR="006A15DC" w:rsidRPr="00834F66">
        <w:rPr>
          <w:rFonts w:asciiTheme="majorBidi" w:eastAsia="Times New Roman" w:hAnsiTheme="majorBidi" w:cstheme="majorBidi"/>
          <w:sz w:val="24"/>
          <w:szCs w:val="24"/>
        </w:rPr>
        <w:t>JPs)</w:t>
      </w:r>
      <w:r w:rsidR="00834F66" w:rsidRPr="00834F66">
        <w:rPr>
          <w:rFonts w:asciiTheme="majorBidi" w:eastAsia="Times New Roman" w:hAnsiTheme="majorBidi" w:cstheme="majorBidi"/>
          <w:sz w:val="24"/>
          <w:szCs w:val="24"/>
        </w:rPr>
        <w:t xml:space="preserve"> </w:t>
      </w:r>
      <w:r w:rsidRPr="00834F66">
        <w:rPr>
          <w:rFonts w:asciiTheme="majorBidi" w:eastAsia="Times New Roman" w:hAnsiTheme="majorBidi" w:cstheme="majorBidi"/>
          <w:sz w:val="24"/>
          <w:szCs w:val="24"/>
        </w:rPr>
        <w:t xml:space="preserve">are relatively common in the pediatric population, with epidemiological studies indicating that up to 2% of children may be affected by this condition. In contrast, hyperplastic polyps and adenomas are </w:t>
      </w:r>
      <w:r w:rsidR="008E2785">
        <w:rPr>
          <w:rFonts w:asciiTheme="majorBidi" w:eastAsia="Times New Roman" w:hAnsiTheme="majorBidi" w:cstheme="majorBidi"/>
          <w:sz w:val="24"/>
          <w:szCs w:val="24"/>
        </w:rPr>
        <w:t>the two most prevalent types in adults</w:t>
      </w:r>
      <w:r w:rsidR="00C52D83">
        <w:rPr>
          <w:rFonts w:asciiTheme="majorBidi" w:eastAsia="Times New Roman" w:hAnsiTheme="majorBidi" w:cstheme="majorBidi"/>
          <w:sz w:val="24"/>
          <w:szCs w:val="24"/>
        </w:rPr>
        <w:t>. Still, juvenile</w:t>
      </w:r>
      <w:r w:rsidRPr="00834F66">
        <w:rPr>
          <w:rFonts w:asciiTheme="majorBidi" w:eastAsia="Times New Roman" w:hAnsiTheme="majorBidi" w:cstheme="majorBidi"/>
          <w:sz w:val="24"/>
          <w:szCs w:val="24"/>
        </w:rPr>
        <w:t xml:space="preserve"> polyps occur in less than 1% of adults, and studies on juvenile polyps in adults are scarce</w:t>
      </w:r>
      <w:r w:rsidR="001B72D0" w:rsidRPr="00834F66">
        <w:rPr>
          <w:rFonts w:asciiTheme="majorBidi" w:eastAsia="Times New Roman" w:hAnsiTheme="majorBidi" w:cstheme="majorBidi"/>
          <w:sz w:val="24"/>
          <w:szCs w:val="24"/>
          <w:vertAlign w:val="superscript"/>
        </w:rPr>
        <w:t>1</w:t>
      </w:r>
      <w:r w:rsidRPr="00834F66">
        <w:rPr>
          <w:rFonts w:asciiTheme="majorBidi" w:eastAsia="Times New Roman" w:hAnsiTheme="majorBidi" w:cstheme="majorBidi"/>
          <w:sz w:val="24"/>
          <w:szCs w:val="24"/>
        </w:rPr>
        <w:t>. While most juvenile polyps are asymptomatic, they can occasionally cause symptoms such as rectal bleeding, abdominal pain, or other gastrointestinal issues, which may lead to their detection and subsequent endoscopic removal</w:t>
      </w:r>
      <w:r w:rsidR="001B72D0" w:rsidRPr="00834F66">
        <w:rPr>
          <w:rFonts w:asciiTheme="majorBidi" w:eastAsia="Times New Roman" w:hAnsiTheme="majorBidi" w:cstheme="majorBidi"/>
          <w:sz w:val="24"/>
          <w:szCs w:val="24"/>
        </w:rPr>
        <w:t xml:space="preserve"> </w:t>
      </w:r>
      <w:r w:rsidR="001B72D0" w:rsidRPr="00834F66">
        <w:rPr>
          <w:rFonts w:asciiTheme="majorBidi" w:eastAsia="Times New Roman" w:hAnsiTheme="majorBidi" w:cstheme="majorBidi"/>
          <w:sz w:val="24"/>
          <w:szCs w:val="24"/>
          <w:vertAlign w:val="superscript"/>
        </w:rPr>
        <w:t>5</w:t>
      </w:r>
      <w:r w:rsidRPr="00834F66">
        <w:rPr>
          <w:rFonts w:asciiTheme="majorBidi" w:eastAsia="Times New Roman" w:hAnsiTheme="majorBidi" w:cstheme="majorBidi"/>
          <w:sz w:val="24"/>
          <w:szCs w:val="24"/>
        </w:rPr>
        <w:t>.</w:t>
      </w:r>
    </w:p>
    <w:p w14:paraId="1E524DB5" w14:textId="74B4684C" w:rsidR="00D90EFA" w:rsidRPr="00834F66" w:rsidRDefault="004B3DE7" w:rsidP="00DD54F7">
      <w:pPr>
        <w:spacing w:after="0" w:line="360" w:lineRule="auto"/>
        <w:jc w:val="both"/>
        <w:rPr>
          <w:rFonts w:asciiTheme="majorBidi" w:eastAsia="Times New Roman" w:hAnsiTheme="majorBidi" w:cstheme="majorBidi"/>
          <w:sz w:val="24"/>
          <w:szCs w:val="24"/>
        </w:rPr>
      </w:pPr>
      <w:r w:rsidRPr="00834F66">
        <w:rPr>
          <w:rFonts w:asciiTheme="majorBidi" w:eastAsia="Times New Roman" w:hAnsiTheme="majorBidi" w:cstheme="majorBidi"/>
          <w:sz w:val="24"/>
          <w:szCs w:val="24"/>
        </w:rPr>
        <w:t xml:space="preserve">Given this, it is </w:t>
      </w:r>
      <w:r w:rsidR="00C52D83">
        <w:rPr>
          <w:rFonts w:asciiTheme="majorBidi" w:eastAsia="Times New Roman" w:hAnsiTheme="majorBidi" w:cstheme="majorBidi"/>
          <w:sz w:val="24"/>
          <w:szCs w:val="24"/>
        </w:rPr>
        <w:t>essential</w:t>
      </w:r>
      <w:r w:rsidRPr="00834F66">
        <w:rPr>
          <w:rFonts w:asciiTheme="majorBidi" w:eastAsia="Times New Roman" w:hAnsiTheme="majorBidi" w:cstheme="majorBidi"/>
          <w:sz w:val="24"/>
          <w:szCs w:val="24"/>
        </w:rPr>
        <w:t xml:space="preserve"> to monitor these lesions closely for presence and recurrence</w:t>
      </w:r>
      <w:r w:rsidR="00C52D83">
        <w:rPr>
          <w:rFonts w:asciiTheme="majorBidi" w:eastAsia="Times New Roman" w:hAnsiTheme="majorBidi" w:cstheme="majorBidi"/>
          <w:sz w:val="24"/>
          <w:szCs w:val="24"/>
        </w:rPr>
        <w:t xml:space="preserve"> and</w:t>
      </w:r>
      <w:r w:rsidRPr="00834F66">
        <w:rPr>
          <w:rFonts w:asciiTheme="majorBidi" w:eastAsia="Times New Roman" w:hAnsiTheme="majorBidi" w:cstheme="majorBidi"/>
          <w:sz w:val="24"/>
          <w:szCs w:val="24"/>
        </w:rPr>
        <w:t xml:space="preserve"> explore potential biomarkers that could aid in managing patients with juvenile polyps</w:t>
      </w:r>
      <w:r w:rsidR="005B6BBA" w:rsidRPr="00834F66">
        <w:rPr>
          <w:rFonts w:asciiTheme="majorBidi" w:eastAsia="Times New Roman" w:hAnsiTheme="majorBidi" w:cstheme="majorBidi"/>
          <w:sz w:val="24"/>
          <w:szCs w:val="24"/>
          <w:vertAlign w:val="superscript"/>
        </w:rPr>
        <w:t>2</w:t>
      </w:r>
      <w:r w:rsidRPr="00834F66">
        <w:rPr>
          <w:rFonts w:asciiTheme="majorBidi" w:eastAsia="Times New Roman" w:hAnsiTheme="majorBidi" w:cstheme="majorBidi"/>
          <w:sz w:val="24"/>
          <w:szCs w:val="24"/>
        </w:rPr>
        <w:t xml:space="preserve">. One such biomarker is fecal </w:t>
      </w:r>
      <w:r w:rsidR="00706EA8" w:rsidRPr="00834F66">
        <w:rPr>
          <w:rFonts w:asciiTheme="majorBidi" w:eastAsia="Times New Roman" w:hAnsiTheme="majorBidi" w:cstheme="majorBidi"/>
          <w:sz w:val="24"/>
          <w:szCs w:val="24"/>
        </w:rPr>
        <w:t>calprotectin (</w:t>
      </w:r>
      <w:r w:rsidR="00F2585A" w:rsidRPr="00834F66">
        <w:rPr>
          <w:rFonts w:asciiTheme="majorBidi" w:eastAsia="Times New Roman" w:hAnsiTheme="majorBidi" w:cstheme="majorBidi"/>
          <w:sz w:val="24"/>
          <w:szCs w:val="24"/>
        </w:rPr>
        <w:t>FC</w:t>
      </w:r>
      <w:r w:rsidR="001A00E0" w:rsidRPr="00834F66">
        <w:rPr>
          <w:rFonts w:asciiTheme="majorBidi" w:eastAsia="Times New Roman" w:hAnsiTheme="majorBidi" w:cstheme="majorBidi"/>
          <w:sz w:val="24"/>
          <w:szCs w:val="24"/>
        </w:rPr>
        <w:t>P</w:t>
      </w:r>
      <w:r w:rsidR="00F2585A" w:rsidRPr="00834F66">
        <w:rPr>
          <w:rFonts w:asciiTheme="majorBidi" w:eastAsia="Times New Roman" w:hAnsiTheme="majorBidi" w:cstheme="majorBidi"/>
          <w:sz w:val="24"/>
          <w:szCs w:val="24"/>
        </w:rPr>
        <w:t>)</w:t>
      </w:r>
      <w:r w:rsidR="006A15DC" w:rsidRPr="00834F66">
        <w:rPr>
          <w:rFonts w:asciiTheme="majorBidi" w:eastAsia="Times New Roman" w:hAnsiTheme="majorBidi" w:cstheme="majorBidi"/>
          <w:sz w:val="24"/>
          <w:szCs w:val="24"/>
        </w:rPr>
        <w:t>,</w:t>
      </w:r>
      <w:r w:rsidRPr="00834F66">
        <w:rPr>
          <w:rFonts w:asciiTheme="majorBidi" w:eastAsia="Times New Roman" w:hAnsiTheme="majorBidi" w:cstheme="majorBidi"/>
          <w:sz w:val="24"/>
          <w:szCs w:val="24"/>
        </w:rPr>
        <w:t xml:space="preserve"> a protein released by activated neutrophils, which </w:t>
      </w:r>
      <w:r w:rsidR="00C52D83">
        <w:rPr>
          <w:rFonts w:asciiTheme="majorBidi" w:eastAsia="Times New Roman" w:hAnsiTheme="majorBidi" w:cstheme="majorBidi"/>
          <w:sz w:val="24"/>
          <w:szCs w:val="24"/>
        </w:rPr>
        <w:t>is</w:t>
      </w:r>
      <w:r w:rsidRPr="00834F66">
        <w:rPr>
          <w:rFonts w:asciiTheme="majorBidi" w:eastAsia="Times New Roman" w:hAnsiTheme="majorBidi" w:cstheme="majorBidi"/>
          <w:sz w:val="24"/>
          <w:szCs w:val="24"/>
        </w:rPr>
        <w:t xml:space="preserve"> elevated in various gastrointestinal disorders, including inflammatory bowel disease, colorectal cancer, and possibly juvenile polyps</w:t>
      </w:r>
      <w:r w:rsidR="005B6BBA" w:rsidRPr="00834F66">
        <w:rPr>
          <w:rFonts w:asciiTheme="majorBidi" w:eastAsia="Times New Roman" w:hAnsiTheme="majorBidi" w:cstheme="majorBidi"/>
          <w:sz w:val="24"/>
          <w:szCs w:val="24"/>
        </w:rPr>
        <w:t xml:space="preserve"> </w:t>
      </w:r>
      <w:r w:rsidR="005B6BBA" w:rsidRPr="00834F66">
        <w:rPr>
          <w:rFonts w:asciiTheme="majorBidi" w:eastAsia="Times New Roman" w:hAnsiTheme="majorBidi" w:cstheme="majorBidi"/>
          <w:sz w:val="24"/>
          <w:szCs w:val="24"/>
          <w:vertAlign w:val="superscript"/>
        </w:rPr>
        <w:t>6</w:t>
      </w:r>
      <w:r w:rsidRPr="00834F66">
        <w:rPr>
          <w:rFonts w:asciiTheme="majorBidi" w:eastAsia="Times New Roman" w:hAnsiTheme="majorBidi" w:cstheme="majorBidi"/>
          <w:sz w:val="24"/>
          <w:szCs w:val="24"/>
        </w:rPr>
        <w:t>.</w:t>
      </w:r>
    </w:p>
    <w:p w14:paraId="567BEB19" w14:textId="6BB97DEE" w:rsidR="00D90EFA" w:rsidRPr="00834F66" w:rsidRDefault="00D90EFA" w:rsidP="00FC0351">
      <w:pPr>
        <w:spacing w:after="0" w:line="360" w:lineRule="auto"/>
        <w:jc w:val="both"/>
        <w:rPr>
          <w:rFonts w:asciiTheme="majorBidi" w:eastAsia="Times New Roman" w:hAnsiTheme="majorBidi" w:cstheme="majorBidi"/>
          <w:sz w:val="24"/>
          <w:szCs w:val="24"/>
        </w:rPr>
      </w:pPr>
      <w:r w:rsidRPr="00834F66">
        <w:rPr>
          <w:rFonts w:asciiTheme="majorBidi" w:eastAsia="Times New Roman" w:hAnsiTheme="majorBidi" w:cstheme="majorBidi"/>
          <w:sz w:val="24"/>
          <w:szCs w:val="24"/>
        </w:rPr>
        <w:t xml:space="preserve">Studies have shown that </w:t>
      </w:r>
      <w:r w:rsidR="00FC0351" w:rsidRPr="00FC0351">
        <w:rPr>
          <w:rFonts w:asciiTheme="majorBidi" w:eastAsia="Times New Roman" w:hAnsiTheme="majorBidi" w:cstheme="majorBidi"/>
          <w:sz w:val="24"/>
          <w:szCs w:val="24"/>
        </w:rPr>
        <w:t>FCP</w:t>
      </w:r>
      <w:r w:rsidRPr="00834F66">
        <w:rPr>
          <w:rFonts w:asciiTheme="majorBidi" w:eastAsia="Times New Roman" w:hAnsiTheme="majorBidi" w:cstheme="majorBidi"/>
          <w:sz w:val="24"/>
          <w:szCs w:val="24"/>
        </w:rPr>
        <w:t xml:space="preserve"> levels are elevated in children with JPs and return to normal after polypectomy. However, while JPs are often associated with increased FC</w:t>
      </w:r>
      <w:r w:rsidR="00301B7D" w:rsidRPr="00834F66">
        <w:rPr>
          <w:rFonts w:asciiTheme="majorBidi" w:eastAsia="Times New Roman" w:hAnsiTheme="majorBidi" w:cstheme="majorBidi"/>
          <w:sz w:val="24"/>
          <w:szCs w:val="24"/>
        </w:rPr>
        <w:t>P</w:t>
      </w:r>
      <w:r w:rsidRPr="00834F66">
        <w:rPr>
          <w:rFonts w:asciiTheme="majorBidi" w:eastAsia="Times New Roman" w:hAnsiTheme="majorBidi" w:cstheme="majorBidi"/>
          <w:sz w:val="24"/>
          <w:szCs w:val="24"/>
        </w:rPr>
        <w:t>, normal FC</w:t>
      </w:r>
      <w:r w:rsidR="00301B7D" w:rsidRPr="00834F66">
        <w:rPr>
          <w:rFonts w:asciiTheme="majorBidi" w:eastAsia="Times New Roman" w:hAnsiTheme="majorBidi" w:cstheme="majorBidi"/>
          <w:sz w:val="24"/>
          <w:szCs w:val="24"/>
        </w:rPr>
        <w:t>P</w:t>
      </w:r>
      <w:r w:rsidRPr="00834F66">
        <w:rPr>
          <w:rFonts w:asciiTheme="majorBidi" w:eastAsia="Times New Roman" w:hAnsiTheme="majorBidi" w:cstheme="majorBidi"/>
          <w:sz w:val="24"/>
          <w:szCs w:val="24"/>
        </w:rPr>
        <w:t xml:space="preserve"> levels do not rule out their presence</w:t>
      </w:r>
      <w:r w:rsidR="005B6BBA" w:rsidRPr="00834F66">
        <w:rPr>
          <w:rFonts w:asciiTheme="majorBidi" w:eastAsia="Times New Roman" w:hAnsiTheme="majorBidi" w:cstheme="majorBidi"/>
          <w:sz w:val="24"/>
          <w:szCs w:val="24"/>
          <w:vertAlign w:val="superscript"/>
        </w:rPr>
        <w:t>7</w:t>
      </w:r>
      <w:r w:rsidRPr="00834F66">
        <w:rPr>
          <w:rFonts w:asciiTheme="majorBidi" w:eastAsia="Times New Roman" w:hAnsiTheme="majorBidi" w:cstheme="majorBidi"/>
          <w:sz w:val="24"/>
          <w:szCs w:val="24"/>
        </w:rPr>
        <w:t xml:space="preserve">. As a result, the European Society for Pediatric Gastroenterology, Hepatology, and Nutrition (ESPGHAN) has recommended </w:t>
      </w:r>
      <w:r w:rsidR="00C52D83">
        <w:rPr>
          <w:rFonts w:asciiTheme="majorBidi" w:eastAsia="Times New Roman" w:hAnsiTheme="majorBidi" w:cstheme="majorBidi"/>
          <w:sz w:val="24"/>
          <w:szCs w:val="24"/>
        </w:rPr>
        <w:t>using</w:t>
      </w:r>
      <w:r w:rsidRPr="00834F66">
        <w:rPr>
          <w:rFonts w:asciiTheme="majorBidi" w:eastAsia="Times New Roman" w:hAnsiTheme="majorBidi" w:cstheme="majorBidi"/>
          <w:sz w:val="24"/>
          <w:szCs w:val="24"/>
        </w:rPr>
        <w:t xml:space="preserve"> </w:t>
      </w:r>
      <w:r w:rsidR="00FC0351" w:rsidRPr="00FC0351">
        <w:rPr>
          <w:rFonts w:asciiTheme="majorBidi" w:eastAsia="Times New Roman" w:hAnsiTheme="majorBidi" w:cstheme="majorBidi"/>
          <w:sz w:val="24"/>
          <w:szCs w:val="24"/>
        </w:rPr>
        <w:t>FCP</w:t>
      </w:r>
      <w:r w:rsidRPr="00834F66">
        <w:rPr>
          <w:rFonts w:asciiTheme="majorBidi" w:eastAsia="Times New Roman" w:hAnsiTheme="majorBidi" w:cstheme="majorBidi"/>
          <w:sz w:val="24"/>
          <w:szCs w:val="24"/>
        </w:rPr>
        <w:t xml:space="preserve"> as a screening tool for children suspected of having colorectal polyps. Despite this recommendation, ongoing research </w:t>
      </w:r>
      <w:r w:rsidR="00C52D83">
        <w:rPr>
          <w:rFonts w:asciiTheme="majorBidi" w:eastAsia="Times New Roman" w:hAnsiTheme="majorBidi" w:cstheme="majorBidi"/>
          <w:sz w:val="24"/>
          <w:szCs w:val="24"/>
        </w:rPr>
        <w:t>explores</w:t>
      </w:r>
      <w:r w:rsidRPr="00834F66">
        <w:rPr>
          <w:rFonts w:asciiTheme="majorBidi" w:eastAsia="Times New Roman" w:hAnsiTheme="majorBidi" w:cstheme="majorBidi"/>
          <w:sz w:val="24"/>
          <w:szCs w:val="24"/>
        </w:rPr>
        <w:t xml:space="preserve"> </w:t>
      </w:r>
      <w:r w:rsidR="00C52D83">
        <w:rPr>
          <w:rFonts w:asciiTheme="majorBidi" w:eastAsia="Times New Roman" w:hAnsiTheme="majorBidi" w:cstheme="majorBidi"/>
          <w:sz w:val="24"/>
          <w:szCs w:val="24"/>
        </w:rPr>
        <w:t>using</w:t>
      </w:r>
      <w:r w:rsidRPr="00834F66">
        <w:rPr>
          <w:rFonts w:asciiTheme="majorBidi" w:eastAsia="Times New Roman" w:hAnsiTheme="majorBidi" w:cstheme="majorBidi"/>
          <w:sz w:val="24"/>
          <w:szCs w:val="24"/>
        </w:rPr>
        <w:t xml:space="preserve"> FC</w:t>
      </w:r>
      <w:r w:rsidR="00301B7D" w:rsidRPr="00834F66">
        <w:rPr>
          <w:rFonts w:asciiTheme="majorBidi" w:eastAsia="Times New Roman" w:hAnsiTheme="majorBidi" w:cstheme="majorBidi"/>
          <w:sz w:val="24"/>
          <w:szCs w:val="24"/>
        </w:rPr>
        <w:t>P</w:t>
      </w:r>
      <w:r w:rsidRPr="00834F66">
        <w:rPr>
          <w:rFonts w:asciiTheme="majorBidi" w:eastAsia="Times New Roman" w:hAnsiTheme="majorBidi" w:cstheme="majorBidi"/>
          <w:sz w:val="24"/>
          <w:szCs w:val="24"/>
        </w:rPr>
        <w:t xml:space="preserve"> with other screening methods, such as abdominal ultrasonography, to improve diagnostic accuracy</w:t>
      </w:r>
      <w:r w:rsidR="005B6BBA" w:rsidRPr="00834F66">
        <w:rPr>
          <w:rFonts w:asciiTheme="majorBidi" w:eastAsia="Times New Roman" w:hAnsiTheme="majorBidi" w:cstheme="majorBidi"/>
          <w:sz w:val="24"/>
          <w:szCs w:val="24"/>
        </w:rPr>
        <w:t xml:space="preserve"> </w:t>
      </w:r>
      <w:r w:rsidR="005B6BBA" w:rsidRPr="00834F66">
        <w:rPr>
          <w:rFonts w:asciiTheme="majorBidi" w:eastAsia="Times New Roman" w:hAnsiTheme="majorBidi" w:cstheme="majorBidi"/>
          <w:sz w:val="24"/>
          <w:szCs w:val="24"/>
          <w:vertAlign w:val="superscript"/>
        </w:rPr>
        <w:t>8</w:t>
      </w:r>
      <w:r w:rsidRPr="00834F66">
        <w:rPr>
          <w:rFonts w:asciiTheme="majorBidi" w:eastAsia="Times New Roman" w:hAnsiTheme="majorBidi" w:cstheme="majorBidi"/>
          <w:sz w:val="24"/>
          <w:szCs w:val="24"/>
        </w:rPr>
        <w:t>.</w:t>
      </w:r>
    </w:p>
    <w:p w14:paraId="6AF70FD2" w14:textId="47C16C68" w:rsidR="004B3DE7" w:rsidRPr="00834F66" w:rsidRDefault="00752628" w:rsidP="00834F66">
      <w:pPr>
        <w:spacing w:after="0" w:line="360" w:lineRule="auto"/>
        <w:jc w:val="both"/>
        <w:rPr>
          <w:rFonts w:asciiTheme="majorBidi" w:eastAsia="Times New Roman" w:hAnsiTheme="majorBidi" w:cstheme="majorBidi"/>
          <w:sz w:val="24"/>
          <w:szCs w:val="24"/>
        </w:rPr>
      </w:pPr>
      <w:r w:rsidRPr="00834F66">
        <w:rPr>
          <w:rFonts w:asciiTheme="majorBidi" w:eastAsia="Times New Roman" w:hAnsiTheme="majorBidi" w:cstheme="majorBidi"/>
          <w:sz w:val="24"/>
          <w:szCs w:val="24"/>
        </w:rPr>
        <w:t>FC</w:t>
      </w:r>
      <w:r w:rsidR="00301B7D" w:rsidRPr="00834F66">
        <w:rPr>
          <w:rFonts w:asciiTheme="majorBidi" w:eastAsia="Times New Roman" w:hAnsiTheme="majorBidi" w:cstheme="majorBidi"/>
          <w:sz w:val="24"/>
          <w:szCs w:val="24"/>
        </w:rPr>
        <w:t>P</w:t>
      </w:r>
      <w:r w:rsidR="004B3DE7" w:rsidRPr="00834F66">
        <w:rPr>
          <w:rFonts w:asciiTheme="majorBidi" w:eastAsia="Times New Roman" w:hAnsiTheme="majorBidi" w:cstheme="majorBidi"/>
          <w:sz w:val="24"/>
          <w:szCs w:val="24"/>
        </w:rPr>
        <w:t xml:space="preserve"> has gained recognition as a </w:t>
      </w:r>
      <w:r w:rsidR="00C52D83">
        <w:rPr>
          <w:rFonts w:asciiTheme="majorBidi" w:eastAsia="Times New Roman" w:hAnsiTheme="majorBidi" w:cstheme="majorBidi"/>
          <w:sz w:val="24"/>
          <w:szCs w:val="24"/>
        </w:rPr>
        <w:t>valuable</w:t>
      </w:r>
      <w:r w:rsidR="004B3DE7" w:rsidRPr="00834F66">
        <w:rPr>
          <w:rFonts w:asciiTheme="majorBidi" w:eastAsia="Times New Roman" w:hAnsiTheme="majorBidi" w:cstheme="majorBidi"/>
          <w:sz w:val="24"/>
          <w:szCs w:val="24"/>
        </w:rPr>
        <w:t xml:space="preserve"> biomarker for assessing gastrointestinal inflammation, with elevated levels typically indicating active inflammation or underlying pathology</w:t>
      </w:r>
      <w:r w:rsidR="008775E0" w:rsidRPr="00834F66">
        <w:rPr>
          <w:rFonts w:asciiTheme="majorBidi" w:eastAsia="Times New Roman" w:hAnsiTheme="majorBidi" w:cstheme="majorBidi"/>
          <w:sz w:val="24"/>
          <w:szCs w:val="24"/>
        </w:rPr>
        <w:t xml:space="preserve"> </w:t>
      </w:r>
      <w:r w:rsidR="008775E0" w:rsidRPr="00834F66">
        <w:rPr>
          <w:rFonts w:asciiTheme="majorBidi" w:eastAsia="Times New Roman" w:hAnsiTheme="majorBidi" w:cstheme="majorBidi"/>
          <w:sz w:val="24"/>
          <w:szCs w:val="24"/>
          <w:vertAlign w:val="superscript"/>
        </w:rPr>
        <w:t>3</w:t>
      </w:r>
      <w:r w:rsidR="004B3DE7" w:rsidRPr="00834F66">
        <w:rPr>
          <w:rFonts w:asciiTheme="majorBidi" w:eastAsia="Times New Roman" w:hAnsiTheme="majorBidi" w:cstheme="majorBidi"/>
          <w:sz w:val="24"/>
          <w:szCs w:val="24"/>
        </w:rPr>
        <w:t>. The clinical significance of juvenile polyps extends beyond their usual benign nature, as they may be associated with an increased risk of colorectal cancer, particularly in the case of juvenile polyposis syndrome, a rare hereditary condition characterized by the development of numerous polyps throughout the gastrointestinal tract</w:t>
      </w:r>
      <w:r w:rsidR="008775E0" w:rsidRPr="00834F66">
        <w:rPr>
          <w:rFonts w:asciiTheme="majorBidi" w:eastAsia="Times New Roman" w:hAnsiTheme="majorBidi" w:cstheme="majorBidi"/>
          <w:sz w:val="24"/>
          <w:szCs w:val="24"/>
        </w:rPr>
        <w:t xml:space="preserve"> </w:t>
      </w:r>
      <w:r w:rsidR="008775E0" w:rsidRPr="00834F66">
        <w:rPr>
          <w:rFonts w:asciiTheme="majorBidi" w:eastAsia="Times New Roman" w:hAnsiTheme="majorBidi" w:cstheme="majorBidi"/>
          <w:sz w:val="24"/>
          <w:szCs w:val="24"/>
          <w:vertAlign w:val="superscript"/>
        </w:rPr>
        <w:t>9</w:t>
      </w:r>
      <w:r w:rsidR="004B3DE7" w:rsidRPr="00834F66">
        <w:rPr>
          <w:rFonts w:asciiTheme="majorBidi" w:eastAsia="Times New Roman" w:hAnsiTheme="majorBidi" w:cstheme="majorBidi"/>
          <w:sz w:val="24"/>
          <w:szCs w:val="24"/>
        </w:rPr>
        <w:t>.</w:t>
      </w:r>
    </w:p>
    <w:p w14:paraId="2326E127" w14:textId="1D637F1D" w:rsidR="001B224D" w:rsidRPr="00834F66" w:rsidRDefault="001B224D" w:rsidP="00FC0351">
      <w:pPr>
        <w:spacing w:after="0" w:line="360" w:lineRule="auto"/>
        <w:jc w:val="both"/>
        <w:rPr>
          <w:rFonts w:asciiTheme="majorBidi" w:eastAsia="Times New Roman" w:hAnsiTheme="majorBidi" w:cstheme="majorBidi"/>
          <w:sz w:val="24"/>
          <w:szCs w:val="24"/>
        </w:rPr>
      </w:pPr>
      <w:r w:rsidRPr="00834F66">
        <w:rPr>
          <w:rFonts w:asciiTheme="majorBidi" w:eastAsia="Times New Roman" w:hAnsiTheme="majorBidi" w:cstheme="majorBidi"/>
          <w:sz w:val="24"/>
          <w:szCs w:val="24"/>
        </w:rPr>
        <w:t xml:space="preserve">Recent data indicate that solitary JPs may recur in 17% of pediatric patients after removal. Although there is no consensus on </w:t>
      </w:r>
      <w:r w:rsidR="00C52D83">
        <w:rPr>
          <w:rFonts w:asciiTheme="majorBidi" w:eastAsia="Times New Roman" w:hAnsiTheme="majorBidi" w:cstheme="majorBidi"/>
          <w:sz w:val="24"/>
          <w:szCs w:val="24"/>
        </w:rPr>
        <w:t>using</w:t>
      </w:r>
      <w:r w:rsidRPr="00834F66">
        <w:rPr>
          <w:rFonts w:asciiTheme="majorBidi" w:eastAsia="Times New Roman" w:hAnsiTheme="majorBidi" w:cstheme="majorBidi"/>
          <w:sz w:val="24"/>
          <w:szCs w:val="24"/>
        </w:rPr>
        <w:t xml:space="preserve"> FC</w:t>
      </w:r>
      <w:r w:rsidR="00AC344A" w:rsidRPr="00834F66">
        <w:rPr>
          <w:rFonts w:asciiTheme="majorBidi" w:eastAsia="Times New Roman" w:hAnsiTheme="majorBidi" w:cstheme="majorBidi"/>
          <w:sz w:val="24"/>
          <w:szCs w:val="24"/>
        </w:rPr>
        <w:t xml:space="preserve">P </w:t>
      </w:r>
      <w:r w:rsidR="00C52D83">
        <w:rPr>
          <w:rFonts w:asciiTheme="majorBidi" w:eastAsia="Times New Roman" w:hAnsiTheme="majorBidi" w:cstheme="majorBidi"/>
          <w:sz w:val="24"/>
          <w:szCs w:val="24"/>
        </w:rPr>
        <w:t xml:space="preserve">to monitor polyp recurrence, some centers have adopted it as a </w:t>
      </w:r>
      <w:r w:rsidR="00C52D83" w:rsidRPr="00834F66">
        <w:rPr>
          <w:rFonts w:asciiTheme="majorBidi" w:eastAsia="Times New Roman" w:hAnsiTheme="majorBidi" w:cstheme="majorBidi"/>
          <w:sz w:val="24"/>
          <w:szCs w:val="24"/>
        </w:rPr>
        <w:t>surrogate</w:t>
      </w:r>
      <w:r w:rsidRPr="00834F66">
        <w:rPr>
          <w:rFonts w:asciiTheme="majorBidi" w:eastAsia="Times New Roman" w:hAnsiTheme="majorBidi" w:cstheme="majorBidi"/>
          <w:sz w:val="24"/>
          <w:szCs w:val="24"/>
        </w:rPr>
        <w:t xml:space="preserve"> marker</w:t>
      </w:r>
      <w:r w:rsidR="00DF7D8A" w:rsidRPr="00834F66">
        <w:rPr>
          <w:rFonts w:asciiTheme="majorBidi" w:eastAsia="Times New Roman" w:hAnsiTheme="majorBidi" w:cstheme="majorBidi"/>
          <w:sz w:val="24"/>
          <w:szCs w:val="24"/>
        </w:rPr>
        <w:t xml:space="preserve"> </w:t>
      </w:r>
      <w:r w:rsidR="00DF7D8A" w:rsidRPr="00834F66">
        <w:rPr>
          <w:rFonts w:asciiTheme="majorBidi" w:eastAsia="Times New Roman" w:hAnsiTheme="majorBidi" w:cstheme="majorBidi"/>
          <w:sz w:val="24"/>
          <w:szCs w:val="24"/>
          <w:vertAlign w:val="superscript"/>
        </w:rPr>
        <w:t>10</w:t>
      </w:r>
      <w:r w:rsidRPr="00834F66">
        <w:rPr>
          <w:rFonts w:asciiTheme="majorBidi" w:eastAsia="Times New Roman" w:hAnsiTheme="majorBidi" w:cstheme="majorBidi"/>
          <w:sz w:val="24"/>
          <w:szCs w:val="24"/>
        </w:rPr>
        <w:t xml:space="preserve">. </w:t>
      </w:r>
      <w:r w:rsidR="00C52D83">
        <w:rPr>
          <w:rFonts w:asciiTheme="majorBidi" w:eastAsia="Times New Roman" w:hAnsiTheme="majorBidi" w:cstheme="majorBidi"/>
          <w:sz w:val="24"/>
          <w:szCs w:val="24"/>
        </w:rPr>
        <w:t xml:space="preserve">A recent case series also </w:t>
      </w:r>
      <w:r w:rsidRPr="00834F66">
        <w:rPr>
          <w:rFonts w:asciiTheme="majorBidi" w:eastAsia="Times New Roman" w:hAnsiTheme="majorBidi" w:cstheme="majorBidi"/>
          <w:sz w:val="24"/>
          <w:szCs w:val="24"/>
        </w:rPr>
        <w:t xml:space="preserve">suggested a possible link between polyp size and elevated </w:t>
      </w:r>
      <w:r w:rsidR="00FC0351" w:rsidRPr="00FC0351">
        <w:rPr>
          <w:rFonts w:asciiTheme="majorBidi" w:eastAsia="Times New Roman" w:hAnsiTheme="majorBidi" w:cstheme="majorBidi"/>
          <w:sz w:val="24"/>
          <w:szCs w:val="24"/>
        </w:rPr>
        <w:t>FCP</w:t>
      </w:r>
      <w:r w:rsidRPr="00834F66">
        <w:rPr>
          <w:rFonts w:asciiTheme="majorBidi" w:eastAsia="Times New Roman" w:hAnsiTheme="majorBidi" w:cstheme="majorBidi"/>
          <w:sz w:val="24"/>
          <w:szCs w:val="24"/>
        </w:rPr>
        <w:t xml:space="preserve"> levels, although this association has not been definitively confirmed in studies</w:t>
      </w:r>
      <w:r w:rsidR="00C52D83">
        <w:rPr>
          <w:rFonts w:asciiTheme="majorBidi" w:eastAsia="Times New Roman" w:hAnsiTheme="majorBidi" w:cstheme="majorBidi"/>
          <w:sz w:val="24"/>
          <w:szCs w:val="24"/>
        </w:rPr>
        <w:t xml:space="preserve"> </w:t>
      </w:r>
      <w:r w:rsidR="00DF7D8A" w:rsidRPr="00834F66">
        <w:rPr>
          <w:rFonts w:asciiTheme="majorBidi" w:eastAsia="Times New Roman" w:hAnsiTheme="majorBidi" w:cstheme="majorBidi"/>
          <w:sz w:val="24"/>
          <w:szCs w:val="24"/>
          <w:vertAlign w:val="superscript"/>
        </w:rPr>
        <w:t>11</w:t>
      </w:r>
      <w:r w:rsidRPr="00834F66">
        <w:rPr>
          <w:rFonts w:asciiTheme="majorBidi" w:eastAsia="Times New Roman" w:hAnsiTheme="majorBidi" w:cstheme="majorBidi"/>
          <w:sz w:val="24"/>
          <w:szCs w:val="24"/>
        </w:rPr>
        <w:t>.</w:t>
      </w:r>
    </w:p>
    <w:p w14:paraId="2598645E" w14:textId="20F42588" w:rsidR="004B3DE7" w:rsidRPr="00834F66" w:rsidRDefault="009935A5" w:rsidP="007D27D3">
      <w:pPr>
        <w:spacing w:after="0" w:line="360" w:lineRule="auto"/>
        <w:jc w:val="both"/>
        <w:rPr>
          <w:rFonts w:asciiTheme="majorBidi" w:eastAsia="Times New Roman" w:hAnsiTheme="majorBidi" w:cstheme="majorBidi"/>
          <w:sz w:val="24"/>
          <w:szCs w:val="24"/>
        </w:rPr>
      </w:pPr>
      <w:r w:rsidRPr="00834F66">
        <w:rPr>
          <w:rFonts w:asciiTheme="majorBidi" w:eastAsia="Times New Roman" w:hAnsiTheme="majorBidi" w:cstheme="majorBidi"/>
          <w:sz w:val="24"/>
          <w:szCs w:val="24"/>
        </w:rPr>
        <w:t>Although</w:t>
      </w:r>
      <w:r w:rsidR="00C52D83">
        <w:rPr>
          <w:rFonts w:asciiTheme="majorBidi" w:eastAsia="Times New Roman" w:hAnsiTheme="majorBidi" w:cstheme="majorBidi"/>
          <w:sz w:val="24"/>
          <w:szCs w:val="24"/>
        </w:rPr>
        <w:t xml:space="preserve"> the role of FCP in assessing JPs has been explored, the available literature remains limited. Further research is needed to better understand potential changes in FCP levels before and after the removal of JPs</w:t>
      </w:r>
      <w:r w:rsidR="004B3DE7" w:rsidRPr="00834F66">
        <w:rPr>
          <w:rFonts w:asciiTheme="majorBidi" w:eastAsia="Times New Roman" w:hAnsiTheme="majorBidi" w:cstheme="majorBidi"/>
          <w:sz w:val="24"/>
          <w:szCs w:val="24"/>
        </w:rPr>
        <w:t xml:space="preserve"> and to investigate the clinical implications of these findings</w:t>
      </w:r>
      <w:r w:rsidR="00F33353" w:rsidRPr="00834F66">
        <w:rPr>
          <w:rFonts w:asciiTheme="majorBidi" w:eastAsia="Times New Roman" w:hAnsiTheme="majorBidi" w:cstheme="majorBidi"/>
          <w:sz w:val="24"/>
          <w:szCs w:val="24"/>
        </w:rPr>
        <w:t xml:space="preserve"> </w:t>
      </w:r>
      <w:r w:rsidR="00F33353" w:rsidRPr="00834F66">
        <w:rPr>
          <w:rFonts w:asciiTheme="majorBidi" w:eastAsia="Times New Roman" w:hAnsiTheme="majorBidi" w:cstheme="majorBidi"/>
          <w:sz w:val="24"/>
          <w:szCs w:val="24"/>
          <w:vertAlign w:val="superscript"/>
        </w:rPr>
        <w:t>4</w:t>
      </w:r>
      <w:r w:rsidR="004B3DE7" w:rsidRPr="00834F66">
        <w:rPr>
          <w:rFonts w:asciiTheme="majorBidi" w:eastAsia="Times New Roman" w:hAnsiTheme="majorBidi" w:cstheme="majorBidi"/>
          <w:sz w:val="24"/>
          <w:szCs w:val="24"/>
        </w:rPr>
        <w:t>.</w:t>
      </w:r>
    </w:p>
    <w:p w14:paraId="624F43C3" w14:textId="77777777" w:rsidR="004B3DE7" w:rsidRPr="00834F66" w:rsidRDefault="004B3DE7" w:rsidP="00834F66">
      <w:pPr>
        <w:spacing w:after="0" w:line="360" w:lineRule="auto"/>
        <w:jc w:val="both"/>
        <w:rPr>
          <w:rFonts w:asciiTheme="majorBidi" w:hAnsiTheme="majorBidi" w:cstheme="majorBidi"/>
          <w:b/>
          <w:sz w:val="24"/>
          <w:szCs w:val="24"/>
        </w:rPr>
      </w:pPr>
      <w:r w:rsidRPr="00834F66">
        <w:rPr>
          <w:rFonts w:asciiTheme="majorBidi" w:hAnsiTheme="majorBidi" w:cstheme="majorBidi"/>
          <w:b/>
          <w:sz w:val="24"/>
          <w:szCs w:val="24"/>
        </w:rPr>
        <w:t>Aim of the work</w:t>
      </w:r>
    </w:p>
    <w:p w14:paraId="15E772F9" w14:textId="73516942" w:rsidR="002D594F" w:rsidRPr="00834F66" w:rsidRDefault="004B3DE7" w:rsidP="00834F66">
      <w:pPr>
        <w:spacing w:after="0" w:line="360" w:lineRule="auto"/>
        <w:jc w:val="both"/>
        <w:rPr>
          <w:rFonts w:asciiTheme="majorBidi" w:hAnsiTheme="majorBidi" w:cstheme="majorBidi"/>
          <w:bCs/>
          <w:sz w:val="24"/>
          <w:szCs w:val="24"/>
        </w:rPr>
      </w:pPr>
      <w:r w:rsidRPr="00834F66">
        <w:rPr>
          <w:rFonts w:asciiTheme="majorBidi" w:hAnsiTheme="majorBidi" w:cstheme="majorBidi"/>
          <w:bCs/>
          <w:sz w:val="24"/>
          <w:szCs w:val="24"/>
        </w:rPr>
        <w:t xml:space="preserve">The primary objective of this study is to investigate the levels of </w:t>
      </w:r>
      <w:r w:rsidR="006E1746" w:rsidRPr="00834F66">
        <w:rPr>
          <w:rFonts w:asciiTheme="majorBidi" w:hAnsiTheme="majorBidi" w:cstheme="majorBidi"/>
          <w:bCs/>
          <w:sz w:val="24"/>
          <w:szCs w:val="24"/>
        </w:rPr>
        <w:t>FC</w:t>
      </w:r>
      <w:r w:rsidR="00AC344A" w:rsidRPr="00834F66">
        <w:rPr>
          <w:rFonts w:asciiTheme="majorBidi" w:hAnsiTheme="majorBidi" w:cstheme="majorBidi"/>
          <w:bCs/>
          <w:sz w:val="24"/>
          <w:szCs w:val="24"/>
        </w:rPr>
        <w:t xml:space="preserve">P </w:t>
      </w:r>
      <w:r w:rsidRPr="00834F66">
        <w:rPr>
          <w:rFonts w:asciiTheme="majorBidi" w:hAnsiTheme="majorBidi" w:cstheme="majorBidi"/>
          <w:bCs/>
          <w:sz w:val="24"/>
          <w:szCs w:val="24"/>
        </w:rPr>
        <w:t xml:space="preserve">in children and adolescents with </w:t>
      </w:r>
      <w:r w:rsidR="006E1746" w:rsidRPr="00834F66">
        <w:rPr>
          <w:rFonts w:asciiTheme="majorBidi" w:hAnsiTheme="majorBidi" w:cstheme="majorBidi"/>
          <w:bCs/>
          <w:sz w:val="24"/>
          <w:szCs w:val="24"/>
        </w:rPr>
        <w:t>JPs</w:t>
      </w:r>
      <w:r w:rsidRPr="00834F66">
        <w:rPr>
          <w:rFonts w:asciiTheme="majorBidi" w:hAnsiTheme="majorBidi" w:cstheme="majorBidi"/>
          <w:bCs/>
          <w:sz w:val="24"/>
          <w:szCs w:val="24"/>
        </w:rPr>
        <w:t xml:space="preserve"> before and after polypectomy.</w:t>
      </w:r>
    </w:p>
    <w:p w14:paraId="0A7946F0" w14:textId="77777777" w:rsidR="00180C65" w:rsidRPr="00834F66" w:rsidRDefault="00180C65" w:rsidP="00834F66">
      <w:pPr>
        <w:spacing w:after="0" w:line="360" w:lineRule="auto"/>
        <w:jc w:val="both"/>
        <w:rPr>
          <w:rFonts w:asciiTheme="majorBidi" w:hAnsiTheme="majorBidi" w:cstheme="majorBidi"/>
          <w:b/>
          <w:bCs/>
          <w:sz w:val="24"/>
          <w:szCs w:val="24"/>
        </w:rPr>
      </w:pPr>
      <w:r w:rsidRPr="00834F66">
        <w:rPr>
          <w:rFonts w:asciiTheme="majorBidi" w:hAnsiTheme="majorBidi" w:cstheme="majorBidi"/>
          <w:b/>
          <w:bCs/>
          <w:sz w:val="24"/>
          <w:szCs w:val="24"/>
        </w:rPr>
        <w:t>Patients and Methods</w:t>
      </w:r>
    </w:p>
    <w:p w14:paraId="3071C961" w14:textId="042EB650" w:rsidR="00180C65" w:rsidRPr="00834F66" w:rsidRDefault="00180C65" w:rsidP="00F11912">
      <w:pPr>
        <w:spacing w:after="0" w:line="360" w:lineRule="auto"/>
        <w:jc w:val="both"/>
        <w:rPr>
          <w:rFonts w:asciiTheme="majorBidi" w:hAnsiTheme="majorBidi" w:cstheme="majorBidi"/>
          <w:bCs/>
          <w:color w:val="000000" w:themeColor="text1"/>
          <w:sz w:val="24"/>
          <w:szCs w:val="24"/>
        </w:rPr>
      </w:pPr>
      <w:r w:rsidRPr="00834F66">
        <w:rPr>
          <w:rFonts w:asciiTheme="majorBidi" w:hAnsiTheme="majorBidi" w:cstheme="majorBidi"/>
          <w:bCs/>
          <w:sz w:val="24"/>
          <w:szCs w:val="24"/>
        </w:rPr>
        <w:t>This prospective</w:t>
      </w:r>
      <w:r w:rsidR="003F131D">
        <w:rPr>
          <w:rFonts w:asciiTheme="majorBidi" w:hAnsiTheme="majorBidi" w:cstheme="majorBidi"/>
          <w:bCs/>
          <w:sz w:val="24"/>
          <w:szCs w:val="24"/>
        </w:rPr>
        <w:t xml:space="preserve"> cohort</w:t>
      </w:r>
      <w:r w:rsidRPr="00834F66">
        <w:rPr>
          <w:rFonts w:asciiTheme="majorBidi" w:hAnsiTheme="majorBidi" w:cstheme="majorBidi"/>
          <w:bCs/>
          <w:sz w:val="24"/>
          <w:szCs w:val="24"/>
        </w:rPr>
        <w:t xml:space="preserve"> study was conducted </w:t>
      </w:r>
      <w:r w:rsidRPr="00834F66">
        <w:rPr>
          <w:rFonts w:asciiTheme="majorBidi" w:hAnsiTheme="majorBidi" w:cstheme="majorBidi"/>
          <w:bCs/>
          <w:color w:val="000000" w:themeColor="text1"/>
          <w:sz w:val="24"/>
          <w:szCs w:val="24"/>
        </w:rPr>
        <w:t>between January 2019 and March 2022. The study included fifty children and adolescents aged 1 to 18 with juvenile polyps diagnosed by colonoscopy</w:t>
      </w:r>
      <w:r w:rsidR="00EF2618" w:rsidRPr="00834F66">
        <w:rPr>
          <w:rFonts w:asciiTheme="majorBidi" w:hAnsiTheme="majorBidi" w:cstheme="majorBidi"/>
          <w:bCs/>
          <w:color w:val="000000" w:themeColor="text1"/>
          <w:sz w:val="24"/>
          <w:szCs w:val="24"/>
        </w:rPr>
        <w:t xml:space="preserve"> and histopathological analysis</w:t>
      </w:r>
      <w:r w:rsidRPr="00834F66">
        <w:rPr>
          <w:rFonts w:asciiTheme="majorBidi" w:hAnsiTheme="majorBidi" w:cstheme="majorBidi"/>
          <w:bCs/>
          <w:color w:val="000000" w:themeColor="text1"/>
          <w:sz w:val="24"/>
          <w:szCs w:val="24"/>
        </w:rPr>
        <w:t xml:space="preserve">. Participants were selected from those attending the Pediatric Hepatology Department, National Liver Institute, and the Tropical Medicine Department, Faculty of Medicine, Menoufia University. They were followed for an additional six months. The study was approved by </w:t>
      </w:r>
      <w:r w:rsidR="00F11912" w:rsidRPr="00F11912">
        <w:rPr>
          <w:rFonts w:asciiTheme="majorBidi" w:hAnsiTheme="majorBidi" w:cstheme="majorBidi"/>
          <w:bCs/>
          <w:color w:val="000000" w:themeColor="text1"/>
          <w:sz w:val="24"/>
          <w:szCs w:val="24"/>
        </w:rPr>
        <w:t xml:space="preserve">the research ethics </w:t>
      </w:r>
      <w:r w:rsidR="00C52D83">
        <w:rPr>
          <w:rFonts w:asciiTheme="majorBidi" w:hAnsiTheme="majorBidi" w:cstheme="majorBidi"/>
          <w:bCs/>
          <w:color w:val="000000" w:themeColor="text1"/>
          <w:sz w:val="24"/>
          <w:szCs w:val="24"/>
        </w:rPr>
        <w:t>rules</w:t>
      </w:r>
      <w:r w:rsidR="00F11912" w:rsidRPr="00F11912">
        <w:rPr>
          <w:rFonts w:asciiTheme="majorBidi" w:hAnsiTheme="majorBidi" w:cstheme="majorBidi"/>
          <w:bCs/>
          <w:color w:val="000000" w:themeColor="text1"/>
          <w:sz w:val="24"/>
          <w:szCs w:val="24"/>
        </w:rPr>
        <w:t xml:space="preserve"> of Menoufia University’s National Liver Institute (number 00</w:t>
      </w:r>
      <w:r w:rsidR="00F11912">
        <w:rPr>
          <w:rFonts w:asciiTheme="majorBidi" w:hAnsiTheme="majorBidi" w:cstheme="majorBidi"/>
          <w:bCs/>
          <w:color w:val="000000" w:themeColor="text1"/>
          <w:sz w:val="24"/>
          <w:szCs w:val="24"/>
        </w:rPr>
        <w:t>658</w:t>
      </w:r>
      <w:r w:rsidR="00F11912" w:rsidRPr="00F11912">
        <w:rPr>
          <w:rFonts w:asciiTheme="majorBidi" w:hAnsiTheme="majorBidi" w:cstheme="majorBidi"/>
          <w:bCs/>
          <w:color w:val="000000" w:themeColor="text1"/>
          <w:sz w:val="24"/>
          <w:szCs w:val="24"/>
        </w:rPr>
        <w:t>/2024 with IRB ID NLI IRB 00014014/FWA00034015)</w:t>
      </w:r>
      <w:r w:rsidRPr="00834F66">
        <w:rPr>
          <w:rFonts w:asciiTheme="majorBidi" w:hAnsiTheme="majorBidi" w:cstheme="majorBidi"/>
          <w:bCs/>
          <w:color w:val="000000" w:themeColor="text1"/>
          <w:sz w:val="24"/>
          <w:szCs w:val="24"/>
        </w:rPr>
        <w:t xml:space="preserve">, and informed written consent was obtained from the guardians of all participants. </w:t>
      </w:r>
    </w:p>
    <w:p w14:paraId="18476562" w14:textId="77777777" w:rsidR="00180C65" w:rsidRPr="00834F66" w:rsidRDefault="00180C65" w:rsidP="00834F66">
      <w:pPr>
        <w:spacing w:after="0" w:line="360" w:lineRule="auto"/>
        <w:jc w:val="both"/>
        <w:rPr>
          <w:rFonts w:asciiTheme="majorBidi" w:hAnsiTheme="majorBidi" w:cstheme="majorBidi"/>
          <w:bCs/>
          <w:sz w:val="24"/>
          <w:szCs w:val="24"/>
        </w:rPr>
      </w:pPr>
      <w:r w:rsidRPr="00834F66">
        <w:rPr>
          <w:rFonts w:asciiTheme="majorBidi" w:hAnsiTheme="majorBidi" w:cstheme="majorBidi"/>
          <w:bCs/>
          <w:color w:val="000000" w:themeColor="text1"/>
          <w:sz w:val="24"/>
          <w:szCs w:val="24"/>
        </w:rPr>
        <w:t>Initially, 82 children and adolescents presenting with rectal bleeding were enrolled</w:t>
      </w:r>
      <w:r w:rsidRPr="00834F66">
        <w:rPr>
          <w:rFonts w:asciiTheme="majorBidi" w:hAnsiTheme="majorBidi" w:cstheme="majorBidi"/>
          <w:bCs/>
          <w:sz w:val="24"/>
          <w:szCs w:val="24"/>
        </w:rPr>
        <w:t>. However, 32 did not meet the inclusion criteria (excluding juvenile polyps), leaving 50 cases with juvenile polyps that were finally included in the study. The study objectives were explained to the patients and their parents. Patient histories, physical examination findings, and initial investigation reports were recorded in a standardized datasheet.</w:t>
      </w:r>
    </w:p>
    <w:p w14:paraId="06091D99" w14:textId="78599F87" w:rsidR="00180C65" w:rsidRPr="00834F66" w:rsidRDefault="00180C65" w:rsidP="00834F66">
      <w:pPr>
        <w:spacing w:after="0" w:line="360" w:lineRule="auto"/>
        <w:jc w:val="both"/>
        <w:rPr>
          <w:rFonts w:asciiTheme="majorBidi" w:hAnsiTheme="majorBidi" w:cstheme="majorBidi"/>
          <w:bCs/>
          <w:sz w:val="24"/>
          <w:szCs w:val="24"/>
        </w:rPr>
      </w:pPr>
      <w:r w:rsidRPr="00834F66">
        <w:rPr>
          <w:rFonts w:asciiTheme="majorBidi" w:hAnsiTheme="majorBidi" w:cstheme="majorBidi"/>
          <w:bCs/>
          <w:sz w:val="24"/>
          <w:szCs w:val="24"/>
        </w:rPr>
        <w:t>Colonoscopy was performed using PENTAX video scopes (A Division of PENTAX of America, Inc., Montvale, NJ, USA) in the Pediatric Gastroente</w:t>
      </w:r>
      <w:r w:rsidR="00834F66" w:rsidRPr="00834F66">
        <w:rPr>
          <w:rFonts w:asciiTheme="majorBidi" w:hAnsiTheme="majorBidi" w:cstheme="majorBidi"/>
          <w:bCs/>
          <w:sz w:val="24"/>
          <w:szCs w:val="24"/>
        </w:rPr>
        <w:t>rology and Nutrition Department</w:t>
      </w:r>
      <w:r w:rsidR="0027066A" w:rsidRPr="00834F66">
        <w:rPr>
          <w:rFonts w:asciiTheme="majorBidi" w:hAnsiTheme="majorBidi" w:cstheme="majorBidi"/>
          <w:bCs/>
          <w:sz w:val="24"/>
          <w:szCs w:val="24"/>
        </w:rPr>
        <w:t>,</w:t>
      </w:r>
      <w:r w:rsidR="00834F66" w:rsidRPr="00834F66">
        <w:rPr>
          <w:rFonts w:asciiTheme="majorBidi" w:hAnsiTheme="majorBidi" w:cstheme="majorBidi"/>
          <w:bCs/>
          <w:sz w:val="24"/>
          <w:szCs w:val="24"/>
        </w:rPr>
        <w:t xml:space="preserve"> </w:t>
      </w:r>
      <w:r w:rsidR="0027066A" w:rsidRPr="00834F66">
        <w:rPr>
          <w:rFonts w:asciiTheme="majorBidi" w:hAnsiTheme="majorBidi" w:cstheme="majorBidi"/>
          <w:bCs/>
          <w:sz w:val="24"/>
          <w:szCs w:val="24"/>
        </w:rPr>
        <w:t xml:space="preserve">National Liver </w:t>
      </w:r>
      <w:r w:rsidR="00C52D83">
        <w:rPr>
          <w:rFonts w:asciiTheme="majorBidi" w:hAnsiTheme="majorBidi" w:cstheme="majorBidi"/>
          <w:bCs/>
          <w:sz w:val="24"/>
          <w:szCs w:val="24"/>
        </w:rPr>
        <w:t>Institute,</w:t>
      </w:r>
      <w:r w:rsidR="0027066A" w:rsidRPr="00834F66">
        <w:rPr>
          <w:rFonts w:asciiTheme="majorBidi" w:hAnsiTheme="majorBidi" w:cstheme="majorBidi"/>
          <w:bCs/>
          <w:sz w:val="24"/>
          <w:szCs w:val="24"/>
        </w:rPr>
        <w:t xml:space="preserve"> </w:t>
      </w:r>
      <w:r w:rsidRPr="00834F66">
        <w:rPr>
          <w:rFonts w:asciiTheme="majorBidi" w:hAnsiTheme="majorBidi" w:cstheme="majorBidi"/>
          <w:bCs/>
          <w:sz w:val="24"/>
          <w:szCs w:val="24"/>
        </w:rPr>
        <w:t>a</w:t>
      </w:r>
      <w:r w:rsidR="00834F66" w:rsidRPr="00834F66">
        <w:rPr>
          <w:rFonts w:asciiTheme="majorBidi" w:hAnsiTheme="majorBidi" w:cstheme="majorBidi"/>
          <w:bCs/>
          <w:sz w:val="24"/>
          <w:szCs w:val="24"/>
        </w:rPr>
        <w:t>nd Tropical Medicine Department</w:t>
      </w:r>
      <w:r w:rsidR="00BE5A17" w:rsidRPr="00834F66">
        <w:rPr>
          <w:rFonts w:asciiTheme="majorBidi" w:hAnsiTheme="majorBidi" w:cstheme="majorBidi"/>
          <w:bCs/>
          <w:sz w:val="24"/>
          <w:szCs w:val="24"/>
        </w:rPr>
        <w:t>,</w:t>
      </w:r>
      <w:r w:rsidR="00834F66" w:rsidRPr="00834F66">
        <w:rPr>
          <w:rFonts w:asciiTheme="majorBidi" w:hAnsiTheme="majorBidi" w:cstheme="majorBidi"/>
          <w:bCs/>
          <w:sz w:val="24"/>
          <w:szCs w:val="24"/>
        </w:rPr>
        <w:t xml:space="preserve"> </w:t>
      </w:r>
      <w:r w:rsidR="00BE5A17" w:rsidRPr="00834F66">
        <w:rPr>
          <w:rFonts w:asciiTheme="majorBidi" w:hAnsiTheme="majorBidi" w:cstheme="majorBidi"/>
          <w:bCs/>
          <w:sz w:val="24"/>
          <w:szCs w:val="24"/>
        </w:rPr>
        <w:t xml:space="preserve">Faculty of Medicine </w:t>
      </w:r>
      <w:r w:rsidRPr="00834F66">
        <w:rPr>
          <w:rFonts w:asciiTheme="majorBidi" w:hAnsiTheme="majorBidi" w:cstheme="majorBidi"/>
          <w:bCs/>
          <w:sz w:val="24"/>
          <w:szCs w:val="24"/>
        </w:rPr>
        <w:t xml:space="preserve">at Menoufia University. The procedure was conducted under sedation after confirming </w:t>
      </w:r>
      <w:r w:rsidR="00C52D83">
        <w:rPr>
          <w:rFonts w:asciiTheme="majorBidi" w:hAnsiTheme="majorBidi" w:cstheme="majorBidi"/>
          <w:bCs/>
          <w:sz w:val="24"/>
          <w:szCs w:val="24"/>
        </w:rPr>
        <w:t>standard</w:t>
      </w:r>
      <w:r w:rsidRPr="00834F66">
        <w:rPr>
          <w:rFonts w:asciiTheme="majorBidi" w:hAnsiTheme="majorBidi" w:cstheme="majorBidi"/>
          <w:bCs/>
          <w:sz w:val="24"/>
          <w:szCs w:val="24"/>
        </w:rPr>
        <w:t xml:space="preserve"> coagulation profiles, platelet counts, and adequate bowel preparation as per protocol. After diagnosis, polyps were removed by </w:t>
      </w:r>
      <w:proofErr w:type="spellStart"/>
      <w:r w:rsidRPr="00834F66">
        <w:rPr>
          <w:rFonts w:asciiTheme="majorBidi" w:hAnsiTheme="majorBidi" w:cstheme="majorBidi"/>
          <w:bCs/>
          <w:sz w:val="24"/>
          <w:szCs w:val="24"/>
        </w:rPr>
        <w:t>colonoscopic</w:t>
      </w:r>
      <w:proofErr w:type="spellEnd"/>
      <w:r w:rsidRPr="00834F66">
        <w:rPr>
          <w:rFonts w:asciiTheme="majorBidi" w:hAnsiTheme="majorBidi" w:cstheme="majorBidi"/>
          <w:bCs/>
          <w:sz w:val="24"/>
          <w:szCs w:val="24"/>
        </w:rPr>
        <w:t xml:space="preserve"> polypectomy and immediately placed in formalin for transport to the Pathology Laboratory for histopathological examination. Pathological analysis was performed to confirm the </w:t>
      </w:r>
      <w:r w:rsidR="006B0207" w:rsidRPr="00834F66">
        <w:rPr>
          <w:rFonts w:asciiTheme="majorBidi" w:hAnsiTheme="majorBidi" w:cstheme="majorBidi"/>
          <w:bCs/>
          <w:sz w:val="24"/>
          <w:szCs w:val="24"/>
        </w:rPr>
        <w:t>JP</w:t>
      </w:r>
      <w:r w:rsidRPr="00834F66">
        <w:rPr>
          <w:rFonts w:asciiTheme="majorBidi" w:hAnsiTheme="majorBidi" w:cstheme="majorBidi"/>
          <w:bCs/>
          <w:sz w:val="24"/>
          <w:szCs w:val="24"/>
        </w:rPr>
        <w:t xml:space="preserve"> diagnosis.</w:t>
      </w:r>
    </w:p>
    <w:p w14:paraId="26C12484" w14:textId="77777777" w:rsidR="00382DA1" w:rsidRPr="00834F66" w:rsidRDefault="00382DA1" w:rsidP="00834F66">
      <w:pPr>
        <w:spacing w:after="0" w:line="360" w:lineRule="auto"/>
        <w:jc w:val="both"/>
        <w:rPr>
          <w:rFonts w:asciiTheme="majorBidi" w:hAnsiTheme="majorBidi" w:cstheme="majorBidi"/>
          <w:bCs/>
          <w:sz w:val="24"/>
          <w:szCs w:val="24"/>
        </w:rPr>
      </w:pPr>
    </w:p>
    <w:p w14:paraId="5AA29CB1" w14:textId="77777777" w:rsidR="00A549C9" w:rsidRPr="00834F66" w:rsidRDefault="00A549C9" w:rsidP="00834F66">
      <w:pPr>
        <w:spacing w:after="0" w:line="360" w:lineRule="auto"/>
        <w:jc w:val="both"/>
        <w:rPr>
          <w:rFonts w:asciiTheme="majorBidi" w:hAnsiTheme="majorBidi" w:cstheme="majorBidi"/>
          <w:bCs/>
          <w:sz w:val="24"/>
          <w:szCs w:val="24"/>
        </w:rPr>
      </w:pPr>
      <w:r w:rsidRPr="00834F66">
        <w:rPr>
          <w:rFonts w:asciiTheme="majorBidi" w:hAnsiTheme="majorBidi" w:cstheme="majorBidi"/>
          <w:bCs/>
          <w:sz w:val="24"/>
          <w:szCs w:val="24"/>
        </w:rPr>
        <w:t>Histological Characterization</w:t>
      </w:r>
      <w:r w:rsidR="00DC48D5" w:rsidRPr="00834F66">
        <w:rPr>
          <w:rFonts w:asciiTheme="majorBidi" w:hAnsiTheme="majorBidi" w:cstheme="majorBidi"/>
          <w:bCs/>
          <w:sz w:val="24"/>
          <w:szCs w:val="24"/>
        </w:rPr>
        <w:t xml:space="preserve">: </w:t>
      </w:r>
      <w:r w:rsidRPr="00834F66">
        <w:rPr>
          <w:rFonts w:asciiTheme="majorBidi" w:hAnsiTheme="majorBidi" w:cstheme="majorBidi"/>
          <w:bCs/>
          <w:sz w:val="24"/>
          <w:szCs w:val="24"/>
        </w:rPr>
        <w:t>Hematoxylin and eosin (H&amp;E) stained slides of all juvenile polyps were systematically examined for individual histological features potentially associated with juvenile polyps, including crypt distortion and dilation, crypt density, stromal expansion, surface erosion, inflammatory and reactive epithelial changes, vascular proliferation, Paneth cell metaplasia, basal membrane thickening, and eosinophilia. The evaluation revealed two main phenotypes: the classic juvenile polyp, characterized by a prominent stromal compartment, dilated glands, and surface erosion, and the epithelial phenotype, which lacked an expanded stromal compartment but showed an intact surface and abundant tall columnar mucus-secreting epithelium. Additionally, all polyps were graded for dysplasia according to established criteria.</w:t>
      </w:r>
    </w:p>
    <w:p w14:paraId="6B1C96E3" w14:textId="0335F42A" w:rsidR="00A549C9" w:rsidRPr="00834F66" w:rsidRDefault="00A549C9" w:rsidP="00834F66">
      <w:pPr>
        <w:spacing w:after="0" w:line="360" w:lineRule="auto"/>
        <w:jc w:val="both"/>
        <w:rPr>
          <w:rFonts w:asciiTheme="majorBidi" w:hAnsiTheme="majorBidi" w:cstheme="majorBidi"/>
          <w:bCs/>
          <w:sz w:val="24"/>
          <w:szCs w:val="24"/>
        </w:rPr>
      </w:pPr>
      <w:r w:rsidRPr="00834F66">
        <w:rPr>
          <w:rFonts w:asciiTheme="majorBidi" w:hAnsiTheme="majorBidi" w:cstheme="majorBidi"/>
          <w:bCs/>
          <w:sz w:val="24"/>
          <w:szCs w:val="24"/>
        </w:rPr>
        <w:t xml:space="preserve">Tissue samples were formalin-fixed and paraffin-embedded following standard protocols. Immunohistochemistry was performed using a monoclonal antibody for Ki67 (DAKO MIB-1, </w:t>
      </w:r>
      <w:r w:rsidR="00C52D83">
        <w:rPr>
          <w:rFonts w:asciiTheme="majorBidi" w:hAnsiTheme="majorBidi" w:cstheme="majorBidi"/>
          <w:bCs/>
          <w:sz w:val="24"/>
          <w:szCs w:val="24"/>
        </w:rPr>
        <w:t xml:space="preserve">Cat. no </w:t>
      </w:r>
      <w:r w:rsidRPr="00834F66">
        <w:rPr>
          <w:rFonts w:asciiTheme="majorBidi" w:hAnsiTheme="majorBidi" w:cstheme="majorBidi"/>
          <w:bCs/>
          <w:sz w:val="24"/>
          <w:szCs w:val="24"/>
        </w:rPr>
        <w:t xml:space="preserve">M7240, 1:200). Briefly, 4 µm tissue sections were deparaffinized and incubated in 0.3% H₂O₂ in methanol for 20 minutes to block endogenous peroxidase activity. Antigen retrieval was </w:t>
      </w:r>
      <w:r w:rsidR="00C52D83">
        <w:rPr>
          <w:rFonts w:asciiTheme="majorBidi" w:hAnsiTheme="majorBidi" w:cstheme="majorBidi"/>
          <w:bCs/>
          <w:sz w:val="24"/>
          <w:szCs w:val="24"/>
        </w:rPr>
        <w:t>performed</w:t>
      </w:r>
      <w:r w:rsidRPr="00834F66">
        <w:rPr>
          <w:rFonts w:asciiTheme="majorBidi" w:hAnsiTheme="majorBidi" w:cstheme="majorBidi"/>
          <w:bCs/>
          <w:sz w:val="24"/>
          <w:szCs w:val="24"/>
        </w:rPr>
        <w:t xml:space="preserve"> in Tris/EDTA buffer (10 mM/1 mM, pH 9.0) at 120°C for 10 minutes. After blocking nonspecific binding sites in PBS with 10% normal goat serum for 10 minutes, the sections were incubated with the primary antibody for 1 hour at room temperature. Antibody binding was visualized using the </w:t>
      </w:r>
      <w:proofErr w:type="spellStart"/>
      <w:r w:rsidRPr="00834F66">
        <w:rPr>
          <w:rFonts w:asciiTheme="majorBidi" w:hAnsiTheme="majorBidi" w:cstheme="majorBidi"/>
          <w:bCs/>
          <w:sz w:val="24"/>
          <w:szCs w:val="24"/>
        </w:rPr>
        <w:t>Powervision</w:t>
      </w:r>
      <w:proofErr w:type="spellEnd"/>
      <w:r w:rsidRPr="00834F66">
        <w:rPr>
          <w:rFonts w:asciiTheme="majorBidi" w:hAnsiTheme="majorBidi" w:cstheme="majorBidi"/>
          <w:bCs/>
          <w:sz w:val="24"/>
          <w:szCs w:val="24"/>
        </w:rPr>
        <w:t>+ poly-HRP detection system (</w:t>
      </w:r>
      <w:proofErr w:type="spellStart"/>
      <w:r w:rsidRPr="00834F66">
        <w:rPr>
          <w:rFonts w:asciiTheme="majorBidi" w:hAnsiTheme="majorBidi" w:cstheme="majorBidi"/>
          <w:bCs/>
          <w:sz w:val="24"/>
          <w:szCs w:val="24"/>
        </w:rPr>
        <w:t>ImmunoVision</w:t>
      </w:r>
      <w:proofErr w:type="spellEnd"/>
      <w:r w:rsidRPr="00834F66">
        <w:rPr>
          <w:rFonts w:asciiTheme="majorBidi" w:hAnsiTheme="majorBidi" w:cstheme="majorBidi"/>
          <w:bCs/>
          <w:sz w:val="24"/>
          <w:szCs w:val="24"/>
        </w:rPr>
        <w:t xml:space="preserve"> Technologies, Daly City, CA, USA) with 3,3-diaminobenzidine (DAB, Sigma D5637) as the chromogen. Slides were counterstained with hematoxylin.</w:t>
      </w:r>
    </w:p>
    <w:p w14:paraId="10B591E5" w14:textId="2F72F958" w:rsidR="00A549C9" w:rsidRPr="00834F66" w:rsidRDefault="00A549C9" w:rsidP="003A0732">
      <w:pPr>
        <w:spacing w:after="0" w:line="360" w:lineRule="auto"/>
        <w:jc w:val="both"/>
        <w:rPr>
          <w:rFonts w:asciiTheme="majorBidi" w:hAnsiTheme="majorBidi" w:cstheme="majorBidi"/>
          <w:bCs/>
          <w:sz w:val="24"/>
          <w:szCs w:val="24"/>
        </w:rPr>
      </w:pPr>
      <w:r w:rsidRPr="00834F66">
        <w:rPr>
          <w:rFonts w:asciiTheme="majorBidi" w:hAnsiTheme="majorBidi" w:cstheme="majorBidi"/>
          <w:bCs/>
          <w:sz w:val="24"/>
          <w:szCs w:val="24"/>
        </w:rPr>
        <w:t>Ki67, a marker of nuclear proliferation, is expressed during all phases of cell growth but not in quiescent cells. In normal colon mucosa, Ki67 staining is confined to the bottom third of the crypts, representing the proliferative compartment. In juvenile polyps, despite gland distortion, proliferative activity often remains localized to a restricted crypt compartment beneath the differentiated, non-proliferative epithelium, preserving a compartmentalized phenotype. Loss of compartmentalization is</w:t>
      </w:r>
      <w:r w:rsidR="003A0732">
        <w:rPr>
          <w:rFonts w:asciiTheme="majorBidi" w:hAnsiTheme="majorBidi" w:cstheme="majorBidi"/>
          <w:bCs/>
          <w:sz w:val="24"/>
          <w:szCs w:val="24"/>
        </w:rPr>
        <w:t xml:space="preserve"> </w:t>
      </w:r>
      <w:r w:rsidRPr="00834F66">
        <w:rPr>
          <w:rFonts w:asciiTheme="majorBidi" w:hAnsiTheme="majorBidi" w:cstheme="majorBidi"/>
          <w:bCs/>
          <w:sz w:val="24"/>
          <w:szCs w:val="24"/>
        </w:rPr>
        <w:t>defined by a general increase in proliferative cells, which become disseminated throughout the epithelium, leading to the loss of distinction between the proliferative zone and the overlying differentiated epithelium. Slides were scored based on the retention or loss of compartmentalization, with the latter indicating an expansion of cell cycle activity.</w:t>
      </w:r>
    </w:p>
    <w:p w14:paraId="4E01AF37" w14:textId="2CE6C9F6" w:rsidR="00180C65" w:rsidRPr="00834F66" w:rsidRDefault="00180C65" w:rsidP="00834F66">
      <w:pPr>
        <w:spacing w:after="0" w:line="360" w:lineRule="auto"/>
        <w:jc w:val="both"/>
        <w:rPr>
          <w:rFonts w:asciiTheme="majorBidi" w:hAnsiTheme="majorBidi" w:cstheme="majorBidi"/>
          <w:bCs/>
          <w:sz w:val="24"/>
          <w:szCs w:val="24"/>
        </w:rPr>
      </w:pPr>
      <w:r w:rsidRPr="00834F66">
        <w:rPr>
          <w:rFonts w:asciiTheme="majorBidi" w:hAnsiTheme="majorBidi" w:cstheme="majorBidi"/>
          <w:bCs/>
          <w:sz w:val="24"/>
          <w:szCs w:val="24"/>
        </w:rPr>
        <w:t xml:space="preserve">FCP levels were measured both before and 4 weeks after polypectomy. For FCP estimation, less than 1 g of native stool was collected in plain tubes and stored in a refrigerator at 2–8°C for up to 6 days. The extracts remained stable for up to 7 days at 2–8°C and 24 months at ≤20°C. The samples were collected without any chemical or biological additives in the collection container. FCP levels were measured using the Buhlmann Quantum Blue kit (BUHLMANN Diagnostics Corp., Amherst, NH, USA). Fecal samples were placed in an extraction tube and </w:t>
      </w:r>
      <w:r w:rsidR="00C52D83" w:rsidRPr="00834F66">
        <w:rPr>
          <w:rFonts w:asciiTheme="majorBidi" w:hAnsiTheme="majorBidi" w:cstheme="majorBidi"/>
          <w:bCs/>
          <w:sz w:val="24"/>
          <w:szCs w:val="24"/>
        </w:rPr>
        <w:t>diluted at</w:t>
      </w:r>
      <w:r w:rsidRPr="00834F66">
        <w:rPr>
          <w:rFonts w:asciiTheme="majorBidi" w:hAnsiTheme="majorBidi" w:cstheme="majorBidi"/>
          <w:bCs/>
          <w:sz w:val="24"/>
          <w:szCs w:val="24"/>
        </w:rPr>
        <w:t xml:space="preserve"> 1:16 using the extraction buffer. The mixture was vortexed for 1 minute and centrifuged for 5 minutes. After the predetermined dilution, large particles were allowed to settle, and the supernatant was assayed for 12 minutes. Samples with high FCP concentrations were assayed for 15 minutes using a calibrated Buhlmann Quantum Blue Reader. The color intensity was directly proportional to the FCP concentration in the test samples. </w:t>
      </w:r>
      <w:r w:rsidR="007009D2">
        <w:rPr>
          <w:rFonts w:asciiTheme="majorBidi" w:hAnsiTheme="majorBidi" w:cstheme="majorBidi"/>
          <w:bCs/>
          <w:sz w:val="24"/>
          <w:szCs w:val="24"/>
        </w:rPr>
        <w:t xml:space="preserve">Per the manufacturer's instructions, a cutoff level of FCP &gt;50 </w:t>
      </w:r>
      <w:proofErr w:type="gramStart"/>
      <w:r w:rsidR="007009D2">
        <w:rPr>
          <w:rFonts w:asciiTheme="majorBidi" w:hAnsiTheme="majorBidi" w:cstheme="majorBidi"/>
          <w:bCs/>
          <w:sz w:val="24"/>
          <w:szCs w:val="24"/>
        </w:rPr>
        <w:t>µg</w:t>
      </w:r>
      <w:proofErr w:type="gramEnd"/>
      <w:r w:rsidR="007009D2">
        <w:rPr>
          <w:rFonts w:asciiTheme="majorBidi" w:hAnsiTheme="majorBidi" w:cstheme="majorBidi"/>
          <w:bCs/>
          <w:sz w:val="24"/>
          <w:szCs w:val="24"/>
        </w:rPr>
        <w:t>/g was considered positive</w:t>
      </w:r>
      <w:r w:rsidRPr="00834F66">
        <w:rPr>
          <w:rFonts w:asciiTheme="majorBidi" w:hAnsiTheme="majorBidi" w:cstheme="majorBidi"/>
          <w:bCs/>
          <w:sz w:val="24"/>
          <w:szCs w:val="24"/>
        </w:rPr>
        <w:t>. No separate cutoff levels were specified for children. The test was performed at the Department of Laboratory Medicine.</w:t>
      </w:r>
    </w:p>
    <w:p w14:paraId="31ABC306" w14:textId="77777777" w:rsidR="002D594F" w:rsidRPr="00834F66" w:rsidRDefault="002D594F" w:rsidP="00834F66">
      <w:pPr>
        <w:pStyle w:val="NormalWeb"/>
        <w:spacing w:before="0" w:beforeAutospacing="0" w:after="0" w:afterAutospacing="0" w:line="360" w:lineRule="auto"/>
        <w:jc w:val="both"/>
        <w:rPr>
          <w:rFonts w:asciiTheme="majorBidi" w:hAnsiTheme="majorBidi" w:cstheme="majorBidi"/>
        </w:rPr>
      </w:pPr>
      <w:r w:rsidRPr="00834F66">
        <w:rPr>
          <w:rStyle w:val="Strong"/>
          <w:rFonts w:asciiTheme="majorBidi" w:hAnsiTheme="majorBidi" w:cstheme="majorBidi"/>
        </w:rPr>
        <w:t>Data Processing and Analysis</w:t>
      </w:r>
    </w:p>
    <w:p w14:paraId="25658231" w14:textId="77777777" w:rsidR="002D594F" w:rsidRPr="00834F66" w:rsidRDefault="002D594F" w:rsidP="00834F66">
      <w:pPr>
        <w:pStyle w:val="NormalWeb"/>
        <w:spacing w:before="0" w:beforeAutospacing="0" w:after="0" w:afterAutospacing="0" w:line="360" w:lineRule="auto"/>
        <w:jc w:val="both"/>
        <w:rPr>
          <w:rFonts w:asciiTheme="majorBidi" w:hAnsiTheme="majorBidi" w:cstheme="majorBidi"/>
        </w:rPr>
      </w:pPr>
      <w:r w:rsidRPr="00834F66">
        <w:rPr>
          <w:rFonts w:asciiTheme="majorBidi" w:hAnsiTheme="majorBidi" w:cstheme="majorBidi"/>
        </w:rPr>
        <w:t>After data collection, the information was manually verified and analyzed using SPSS software (version 26.0; IBM Co., Armonk, NY, USA). A paired t-test was employed to compare the means of two dependent sample groups, while an unpaired t-test was used to compare the means of two independent sample groups. The results are presented as mean ± standard deviation, number, or percentage. Statistical outcomes are displayed in tables and charts.</w:t>
      </w:r>
    </w:p>
    <w:p w14:paraId="42405071" w14:textId="77777777" w:rsidR="002D594F" w:rsidRPr="00834F66" w:rsidRDefault="002D594F" w:rsidP="00834F66">
      <w:pPr>
        <w:pStyle w:val="NormalWeb"/>
        <w:spacing w:before="0" w:beforeAutospacing="0" w:after="0" w:afterAutospacing="0" w:line="360" w:lineRule="auto"/>
        <w:jc w:val="both"/>
        <w:rPr>
          <w:rFonts w:asciiTheme="majorBidi" w:hAnsiTheme="majorBidi" w:cstheme="majorBidi"/>
        </w:rPr>
      </w:pPr>
      <w:r w:rsidRPr="00834F66">
        <w:rPr>
          <w:rFonts w:asciiTheme="majorBidi" w:hAnsiTheme="majorBidi" w:cstheme="majorBidi"/>
        </w:rPr>
        <w:t>A paired t-test was conducted to assess the levels of FCP before and after polypectomy, and an unpaired t-test was used to examine the relationship between FCP levels and the number of polyps. A p-value of less than 0.05 was considered statistically significant for all tests.</w:t>
      </w:r>
    </w:p>
    <w:p w14:paraId="0F64FE55" w14:textId="77777777" w:rsidR="00B43FCB" w:rsidRPr="00834F66" w:rsidRDefault="00B43FCB" w:rsidP="00834F66">
      <w:pPr>
        <w:pStyle w:val="NormalWeb"/>
        <w:spacing w:before="0" w:beforeAutospacing="0" w:after="0" w:afterAutospacing="0" w:line="360" w:lineRule="auto"/>
        <w:jc w:val="both"/>
        <w:rPr>
          <w:rFonts w:asciiTheme="majorBidi" w:hAnsiTheme="majorBidi" w:cstheme="majorBidi"/>
          <w:b/>
          <w:bCs/>
        </w:rPr>
      </w:pPr>
      <w:r w:rsidRPr="00834F66">
        <w:rPr>
          <w:rFonts w:asciiTheme="majorBidi" w:hAnsiTheme="majorBidi" w:cstheme="majorBidi"/>
          <w:b/>
          <w:bCs/>
        </w:rPr>
        <w:t xml:space="preserve">Results </w:t>
      </w:r>
    </w:p>
    <w:p w14:paraId="7EB4E6BC" w14:textId="6AEB9A71" w:rsidR="00A6058D" w:rsidRDefault="000075C6" w:rsidP="007009D2">
      <w:pPr>
        <w:pStyle w:val="NormalWeb"/>
        <w:spacing w:before="0" w:beforeAutospacing="0" w:after="0" w:afterAutospacing="0" w:line="360" w:lineRule="auto"/>
        <w:jc w:val="both"/>
        <w:rPr>
          <w:rFonts w:asciiTheme="majorBidi" w:eastAsia="Calibri" w:hAnsiTheme="majorBidi" w:cstheme="majorBidi"/>
          <w:b/>
          <w:bCs/>
        </w:rPr>
      </w:pPr>
      <w:r w:rsidRPr="00834F66">
        <w:rPr>
          <w:rFonts w:asciiTheme="majorBidi" w:hAnsiTheme="majorBidi" w:cstheme="majorBidi"/>
        </w:rPr>
        <w:t>Most</w:t>
      </w:r>
      <w:r w:rsidR="00034431" w:rsidRPr="00834F66">
        <w:rPr>
          <w:rFonts w:asciiTheme="majorBidi" w:hAnsiTheme="majorBidi" w:cstheme="majorBidi"/>
        </w:rPr>
        <w:t xml:space="preserve"> patients </w:t>
      </w:r>
      <w:r w:rsidR="00F32E9A" w:rsidRPr="00834F66">
        <w:rPr>
          <w:rFonts w:asciiTheme="majorBidi" w:hAnsiTheme="majorBidi" w:cstheme="majorBidi"/>
        </w:rPr>
        <w:t xml:space="preserve">were </w:t>
      </w:r>
      <w:r w:rsidR="00034431" w:rsidRPr="00834F66">
        <w:rPr>
          <w:rFonts w:asciiTheme="majorBidi" w:hAnsiTheme="majorBidi" w:cstheme="majorBidi"/>
        </w:rPr>
        <w:t xml:space="preserve">in the 5-10 </w:t>
      </w:r>
      <w:r w:rsidR="007009D2">
        <w:rPr>
          <w:rFonts w:asciiTheme="majorBidi" w:hAnsiTheme="majorBidi" w:cstheme="majorBidi"/>
        </w:rPr>
        <w:t>age group, accounting</w:t>
      </w:r>
      <w:r w:rsidR="00034431" w:rsidRPr="00834F66">
        <w:rPr>
          <w:rFonts w:asciiTheme="majorBidi" w:hAnsiTheme="majorBidi" w:cstheme="majorBidi"/>
        </w:rPr>
        <w:t xml:space="preserve"> for 50% of the sample (25 out of 50). The </w:t>
      </w:r>
      <w:r w:rsidR="007009D2" w:rsidRPr="00834F66">
        <w:rPr>
          <w:rFonts w:asciiTheme="majorBidi" w:hAnsiTheme="majorBidi" w:cstheme="majorBidi"/>
        </w:rPr>
        <w:t>second largest</w:t>
      </w:r>
      <w:r w:rsidR="00034431" w:rsidRPr="00834F66">
        <w:rPr>
          <w:rFonts w:asciiTheme="majorBidi" w:hAnsiTheme="majorBidi" w:cstheme="majorBidi"/>
        </w:rPr>
        <w:t xml:space="preserve"> group </w:t>
      </w:r>
      <w:r w:rsidR="00F32E9A" w:rsidRPr="00834F66">
        <w:rPr>
          <w:rFonts w:asciiTheme="majorBidi" w:hAnsiTheme="majorBidi" w:cstheme="majorBidi"/>
        </w:rPr>
        <w:t xml:space="preserve">was </w:t>
      </w:r>
      <w:r w:rsidR="00034431" w:rsidRPr="00834F66">
        <w:rPr>
          <w:rFonts w:asciiTheme="majorBidi" w:hAnsiTheme="majorBidi" w:cstheme="majorBidi"/>
        </w:rPr>
        <w:t xml:space="preserve">children under 5, representing 38% of the participants (19 out of 50). The smallest group </w:t>
      </w:r>
      <w:r w:rsidR="007009D2">
        <w:rPr>
          <w:rFonts w:asciiTheme="majorBidi" w:hAnsiTheme="majorBidi" w:cstheme="majorBidi"/>
        </w:rPr>
        <w:t>comprises</w:t>
      </w:r>
      <w:r w:rsidR="00034431" w:rsidRPr="00834F66">
        <w:rPr>
          <w:rFonts w:asciiTheme="majorBidi" w:hAnsiTheme="majorBidi" w:cstheme="majorBidi"/>
        </w:rPr>
        <w:t xml:space="preserve"> patients between 10 and 18 years, making up 12% (6 out of 50) of the sample.</w:t>
      </w:r>
      <w:r w:rsidR="0031048F" w:rsidRPr="00834F66">
        <w:rPr>
          <w:rFonts w:asciiTheme="majorBidi" w:hAnsiTheme="majorBidi" w:cstheme="majorBidi"/>
        </w:rPr>
        <w:t xml:space="preserve">  </w:t>
      </w:r>
      <w:r w:rsidR="00034431" w:rsidRPr="00834F66">
        <w:rPr>
          <w:rFonts w:asciiTheme="majorBidi" w:hAnsiTheme="majorBidi" w:cstheme="majorBidi"/>
        </w:rPr>
        <w:t xml:space="preserve">The mean age of the patients </w:t>
      </w:r>
      <w:r w:rsidR="00F32E9A" w:rsidRPr="00834F66">
        <w:rPr>
          <w:rFonts w:asciiTheme="majorBidi" w:hAnsiTheme="majorBidi" w:cstheme="majorBidi"/>
        </w:rPr>
        <w:t xml:space="preserve">was </w:t>
      </w:r>
      <w:r w:rsidR="00034431" w:rsidRPr="00834F66">
        <w:rPr>
          <w:rFonts w:asciiTheme="majorBidi" w:hAnsiTheme="majorBidi" w:cstheme="majorBidi"/>
        </w:rPr>
        <w:t xml:space="preserve">6.91 years, with a standard deviation of 3.25. The age range spans from 1.8 to 15.4 years, which shows that the study includes a </w:t>
      </w:r>
      <w:r w:rsidR="007009D2">
        <w:rPr>
          <w:rFonts w:asciiTheme="majorBidi" w:hAnsiTheme="majorBidi" w:cstheme="majorBidi"/>
        </w:rPr>
        <w:t>broad</w:t>
      </w:r>
      <w:r w:rsidR="00034431" w:rsidRPr="00834F66">
        <w:rPr>
          <w:rFonts w:asciiTheme="majorBidi" w:hAnsiTheme="majorBidi" w:cstheme="majorBidi"/>
        </w:rPr>
        <w:t xml:space="preserve"> spectrum of ages within the pediatric population.</w:t>
      </w:r>
      <w:bookmarkStart w:id="2" w:name="_Ref170753971"/>
    </w:p>
    <w:bookmarkEnd w:id="2"/>
    <w:p w14:paraId="4EDDA036" w14:textId="682CF33E" w:rsidR="007009D2" w:rsidRDefault="007009D2" w:rsidP="007009D2">
      <w:pPr>
        <w:pStyle w:val="Caption"/>
        <w:keepNext/>
      </w:pPr>
      <w:r>
        <w:t xml:space="preserve">Tab </w:t>
      </w:r>
      <w:r w:rsidR="002C769D">
        <w:fldChar w:fldCharType="begin"/>
      </w:r>
      <w:r w:rsidR="002C769D">
        <w:instrText xml:space="preserve"> SEQ Table \* ARABIC </w:instrText>
      </w:r>
      <w:r w:rsidR="002C769D">
        <w:fldChar w:fldCharType="separate"/>
      </w:r>
      <w:r w:rsidR="00D50325">
        <w:rPr>
          <w:noProof/>
        </w:rPr>
        <w:t>1</w:t>
      </w:r>
      <w:r w:rsidR="002C769D">
        <w:rPr>
          <w:noProof/>
        </w:rPr>
        <w:fldChar w:fldCharType="end"/>
      </w:r>
      <w:r>
        <w:t xml:space="preserve">. </w:t>
      </w:r>
      <w:r w:rsidRPr="007009D2">
        <w:t>Characteristics of the patients (n=50)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1: Characteristics of the patients (n=50)"/>
      </w:tblPr>
      <w:tblGrid>
        <w:gridCol w:w="4683"/>
        <w:gridCol w:w="4677"/>
      </w:tblGrid>
      <w:tr w:rsidR="003073FB" w:rsidRPr="00834F66" w14:paraId="51366AC6" w14:textId="77777777" w:rsidTr="007009D2">
        <w:tc>
          <w:tcPr>
            <w:tcW w:w="4788" w:type="dxa"/>
            <w:tcBorders>
              <w:top w:val="single" w:sz="4" w:space="0" w:color="auto"/>
              <w:bottom w:val="single" w:sz="4" w:space="0" w:color="auto"/>
            </w:tcBorders>
          </w:tcPr>
          <w:p w14:paraId="26832CCC"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Age (y)</w:t>
            </w:r>
          </w:p>
        </w:tc>
        <w:tc>
          <w:tcPr>
            <w:tcW w:w="4788" w:type="dxa"/>
            <w:tcBorders>
              <w:top w:val="single" w:sz="4" w:space="0" w:color="auto"/>
              <w:bottom w:val="single" w:sz="4" w:space="0" w:color="auto"/>
            </w:tcBorders>
          </w:tcPr>
          <w:p w14:paraId="115A5332"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Value</w:t>
            </w:r>
          </w:p>
        </w:tc>
      </w:tr>
      <w:tr w:rsidR="003073FB" w:rsidRPr="00834F66" w14:paraId="3ECCE7E0" w14:textId="77777777" w:rsidTr="007009D2">
        <w:tc>
          <w:tcPr>
            <w:tcW w:w="4788" w:type="dxa"/>
            <w:tcBorders>
              <w:top w:val="single" w:sz="4" w:space="0" w:color="auto"/>
            </w:tcBorders>
          </w:tcPr>
          <w:p w14:paraId="2FAAFDF4"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&lt;5</w:t>
            </w:r>
          </w:p>
        </w:tc>
        <w:tc>
          <w:tcPr>
            <w:tcW w:w="4788" w:type="dxa"/>
            <w:tcBorders>
              <w:top w:val="single" w:sz="4" w:space="0" w:color="auto"/>
            </w:tcBorders>
          </w:tcPr>
          <w:p w14:paraId="4DDD532E"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19(38)</w:t>
            </w:r>
          </w:p>
        </w:tc>
      </w:tr>
      <w:tr w:rsidR="003073FB" w:rsidRPr="00834F66" w14:paraId="58F895A3" w14:textId="77777777" w:rsidTr="007009D2">
        <w:tc>
          <w:tcPr>
            <w:tcW w:w="4788" w:type="dxa"/>
          </w:tcPr>
          <w:p w14:paraId="55E83FE2"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5–10</w:t>
            </w:r>
          </w:p>
        </w:tc>
        <w:tc>
          <w:tcPr>
            <w:tcW w:w="4788" w:type="dxa"/>
          </w:tcPr>
          <w:p w14:paraId="49E7B431"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25 (50)</w:t>
            </w:r>
          </w:p>
        </w:tc>
      </w:tr>
      <w:tr w:rsidR="003073FB" w:rsidRPr="00834F66" w14:paraId="4E1C47CD" w14:textId="77777777" w:rsidTr="007009D2">
        <w:tc>
          <w:tcPr>
            <w:tcW w:w="4788" w:type="dxa"/>
          </w:tcPr>
          <w:p w14:paraId="53918640"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&gt;10-18 years</w:t>
            </w:r>
          </w:p>
        </w:tc>
        <w:tc>
          <w:tcPr>
            <w:tcW w:w="4788" w:type="dxa"/>
          </w:tcPr>
          <w:p w14:paraId="10D81EA5"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6 (12)</w:t>
            </w:r>
          </w:p>
        </w:tc>
      </w:tr>
      <w:tr w:rsidR="003073FB" w:rsidRPr="00834F66" w14:paraId="43E2E543" w14:textId="77777777" w:rsidTr="007009D2">
        <w:tc>
          <w:tcPr>
            <w:tcW w:w="4788" w:type="dxa"/>
          </w:tcPr>
          <w:p w14:paraId="2DFB7597"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Mean ± standard deviation</w:t>
            </w:r>
          </w:p>
        </w:tc>
        <w:tc>
          <w:tcPr>
            <w:tcW w:w="4788" w:type="dxa"/>
          </w:tcPr>
          <w:p w14:paraId="22DAEDD6"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6.91 ± 3.25</w:t>
            </w:r>
          </w:p>
        </w:tc>
      </w:tr>
      <w:tr w:rsidR="003073FB" w:rsidRPr="00834F66" w14:paraId="6564C5D4" w14:textId="77777777" w:rsidTr="007009D2">
        <w:tc>
          <w:tcPr>
            <w:tcW w:w="4788" w:type="dxa"/>
            <w:tcBorders>
              <w:bottom w:val="single" w:sz="4" w:space="0" w:color="auto"/>
            </w:tcBorders>
          </w:tcPr>
          <w:p w14:paraId="72820FDB"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Range (min–max)</w:t>
            </w:r>
          </w:p>
        </w:tc>
        <w:tc>
          <w:tcPr>
            <w:tcW w:w="4788" w:type="dxa"/>
            <w:tcBorders>
              <w:bottom w:val="single" w:sz="4" w:space="0" w:color="auto"/>
            </w:tcBorders>
          </w:tcPr>
          <w:p w14:paraId="02A74092" w14:textId="77777777" w:rsidR="003073FB" w:rsidRPr="007009D2" w:rsidRDefault="003073FB" w:rsidP="00A6058D">
            <w:pPr>
              <w:pStyle w:val="NormalWeb"/>
              <w:spacing w:before="0" w:beforeAutospacing="0" w:after="0" w:afterAutospacing="0" w:line="276" w:lineRule="auto"/>
              <w:jc w:val="both"/>
              <w:rPr>
                <w:rFonts w:asciiTheme="majorBidi" w:hAnsiTheme="majorBidi" w:cstheme="majorBidi"/>
                <w:sz w:val="20"/>
                <w:szCs w:val="20"/>
              </w:rPr>
            </w:pPr>
            <w:r w:rsidRPr="007009D2">
              <w:rPr>
                <w:rFonts w:asciiTheme="majorBidi" w:hAnsiTheme="majorBidi" w:cstheme="majorBidi"/>
                <w:sz w:val="20"/>
                <w:szCs w:val="20"/>
              </w:rPr>
              <w:t>1.8 - 15.4</w:t>
            </w:r>
          </w:p>
        </w:tc>
      </w:tr>
    </w:tbl>
    <w:p w14:paraId="660636F9" w14:textId="77777777" w:rsidR="00B43FCB" w:rsidRPr="00834F66" w:rsidRDefault="00B43FCB" w:rsidP="00834F66">
      <w:pPr>
        <w:pStyle w:val="NormalWeb"/>
        <w:spacing w:before="0" w:beforeAutospacing="0" w:after="0" w:afterAutospacing="0" w:line="360" w:lineRule="auto"/>
        <w:jc w:val="both"/>
        <w:rPr>
          <w:rFonts w:asciiTheme="majorBidi" w:hAnsiTheme="majorBidi" w:cstheme="majorBidi"/>
        </w:rPr>
      </w:pPr>
    </w:p>
    <w:p w14:paraId="1777E0F3" w14:textId="75DE6970" w:rsidR="00B82F3A" w:rsidRPr="00834F66" w:rsidRDefault="000A5D75" w:rsidP="00834F66">
      <w:pPr>
        <w:pStyle w:val="NormalWeb"/>
        <w:spacing w:before="0" w:beforeAutospacing="0" w:after="0" w:afterAutospacing="0" w:line="360" w:lineRule="auto"/>
        <w:jc w:val="both"/>
        <w:rPr>
          <w:rFonts w:asciiTheme="majorBidi" w:hAnsiTheme="majorBidi" w:cstheme="majorBidi"/>
        </w:rPr>
      </w:pPr>
      <w:r w:rsidRPr="00834F66">
        <w:rPr>
          <w:rFonts w:asciiTheme="majorBidi" w:hAnsiTheme="majorBidi" w:cstheme="majorBidi"/>
        </w:rPr>
        <w:t xml:space="preserve">Regarding </w:t>
      </w:r>
      <w:r w:rsidR="00B82F3A" w:rsidRPr="00834F66">
        <w:rPr>
          <w:rFonts w:asciiTheme="majorBidi" w:hAnsiTheme="majorBidi" w:cstheme="majorBidi"/>
        </w:rPr>
        <w:t>the distribution of the 50 patients based on the characteristics of their polyps. Among the patients, a significant majority</w:t>
      </w:r>
      <w:r w:rsidR="007009D2">
        <w:rPr>
          <w:rFonts w:asciiTheme="majorBidi" w:hAnsiTheme="majorBidi" w:cstheme="majorBidi"/>
        </w:rPr>
        <w:t>,</w:t>
      </w:r>
      <w:r w:rsidR="00B82F3A" w:rsidRPr="00834F66">
        <w:rPr>
          <w:rFonts w:asciiTheme="majorBidi" w:hAnsiTheme="majorBidi" w:cstheme="majorBidi"/>
        </w:rPr>
        <w:t xml:space="preserve"> </w:t>
      </w:r>
      <w:r w:rsidRPr="00834F66">
        <w:rPr>
          <w:rFonts w:asciiTheme="majorBidi" w:hAnsiTheme="majorBidi" w:cstheme="majorBidi"/>
        </w:rPr>
        <w:t>64% (32</w:t>
      </w:r>
      <w:r w:rsidR="00B82F3A" w:rsidRPr="00834F66">
        <w:rPr>
          <w:rFonts w:asciiTheme="majorBidi" w:hAnsiTheme="majorBidi" w:cstheme="majorBidi"/>
        </w:rPr>
        <w:t xml:space="preserve"> </w:t>
      </w:r>
      <w:r w:rsidRPr="00834F66">
        <w:rPr>
          <w:rFonts w:asciiTheme="majorBidi" w:hAnsiTheme="majorBidi" w:cstheme="majorBidi"/>
        </w:rPr>
        <w:t>/</w:t>
      </w:r>
      <w:r w:rsidR="00B82F3A" w:rsidRPr="00834F66">
        <w:rPr>
          <w:rFonts w:asciiTheme="majorBidi" w:hAnsiTheme="majorBidi" w:cstheme="majorBidi"/>
        </w:rPr>
        <w:t>50)</w:t>
      </w:r>
      <w:r w:rsidR="007009D2">
        <w:rPr>
          <w:rFonts w:asciiTheme="majorBidi" w:hAnsiTheme="majorBidi" w:cstheme="majorBidi"/>
        </w:rPr>
        <w:t>,</w:t>
      </w:r>
      <w:r w:rsidR="00B82F3A" w:rsidRPr="00834F66">
        <w:rPr>
          <w:rFonts w:asciiTheme="majorBidi" w:hAnsiTheme="majorBidi" w:cstheme="majorBidi"/>
        </w:rPr>
        <w:t xml:space="preserve"> had multiple polyps, while 36% (18 </w:t>
      </w:r>
      <w:r w:rsidRPr="00834F66">
        <w:rPr>
          <w:rFonts w:asciiTheme="majorBidi" w:hAnsiTheme="majorBidi" w:cstheme="majorBidi"/>
        </w:rPr>
        <w:t>/</w:t>
      </w:r>
      <w:r w:rsidR="00B82F3A" w:rsidRPr="00834F66">
        <w:rPr>
          <w:rFonts w:asciiTheme="majorBidi" w:hAnsiTheme="majorBidi" w:cstheme="majorBidi"/>
        </w:rPr>
        <w:t xml:space="preserve">50) had a single </w:t>
      </w:r>
      <w:r w:rsidRPr="00834F66">
        <w:rPr>
          <w:rFonts w:asciiTheme="majorBidi" w:hAnsiTheme="majorBidi" w:cstheme="majorBidi"/>
        </w:rPr>
        <w:t xml:space="preserve">polyp. </w:t>
      </w:r>
      <w:r w:rsidR="007009D2">
        <w:rPr>
          <w:rFonts w:asciiTheme="majorBidi" w:hAnsiTheme="majorBidi" w:cstheme="majorBidi"/>
        </w:rPr>
        <w:t>Regarding</w:t>
      </w:r>
      <w:r w:rsidR="00B82F3A" w:rsidRPr="00834F66">
        <w:rPr>
          <w:rFonts w:asciiTheme="majorBidi" w:hAnsiTheme="majorBidi" w:cstheme="majorBidi"/>
        </w:rPr>
        <w:t xml:space="preserve"> polyp type, half of the patients 50%</w:t>
      </w:r>
      <w:r w:rsidRPr="00834F66">
        <w:rPr>
          <w:rFonts w:asciiTheme="majorBidi" w:hAnsiTheme="majorBidi" w:cstheme="majorBidi"/>
        </w:rPr>
        <w:t xml:space="preserve"> </w:t>
      </w:r>
      <w:r w:rsidR="00B82F3A" w:rsidRPr="00834F66">
        <w:rPr>
          <w:rFonts w:asciiTheme="majorBidi" w:hAnsiTheme="majorBidi" w:cstheme="majorBidi"/>
        </w:rPr>
        <w:t>had pedunculated polyps, while 24</w:t>
      </w:r>
      <w:r w:rsidRPr="00834F66">
        <w:rPr>
          <w:rFonts w:asciiTheme="majorBidi" w:hAnsiTheme="majorBidi" w:cstheme="majorBidi"/>
        </w:rPr>
        <w:t>% had</w:t>
      </w:r>
      <w:r w:rsidR="00B82F3A" w:rsidRPr="00834F66">
        <w:rPr>
          <w:rFonts w:asciiTheme="majorBidi" w:hAnsiTheme="majorBidi" w:cstheme="majorBidi"/>
        </w:rPr>
        <w:t xml:space="preserve"> sessile polyps. The remaining 26</w:t>
      </w:r>
      <w:r w:rsidRPr="00834F66">
        <w:rPr>
          <w:rFonts w:asciiTheme="majorBidi" w:hAnsiTheme="majorBidi" w:cstheme="majorBidi"/>
        </w:rPr>
        <w:t>% had</w:t>
      </w:r>
      <w:r w:rsidR="00B82F3A" w:rsidRPr="00834F66">
        <w:rPr>
          <w:rFonts w:asciiTheme="majorBidi" w:hAnsiTheme="majorBidi" w:cstheme="majorBidi"/>
        </w:rPr>
        <w:t xml:space="preserve"> both pedunculated and sessile polyps.</w:t>
      </w:r>
      <w:r w:rsidRPr="00834F66">
        <w:rPr>
          <w:rFonts w:asciiTheme="majorBidi" w:hAnsiTheme="majorBidi" w:cstheme="majorBidi"/>
        </w:rPr>
        <w:t xml:space="preserve"> </w:t>
      </w:r>
      <w:r w:rsidR="00B82F3A" w:rsidRPr="00834F66">
        <w:rPr>
          <w:rFonts w:asciiTheme="majorBidi" w:hAnsiTheme="majorBidi" w:cstheme="majorBidi"/>
        </w:rPr>
        <w:t>The histopathological examination revealed that all polyps were classified as juvenile polyps, with no other types identified in the sample</w:t>
      </w:r>
      <w:r w:rsidR="00F258C4" w:rsidRPr="00834F66">
        <w:rPr>
          <w:rFonts w:asciiTheme="majorBidi" w:hAnsiTheme="majorBidi" w:cstheme="majorBidi"/>
        </w:rPr>
        <w:t xml:space="preserve"> </w:t>
      </w:r>
      <w:r w:rsidR="00F258C4" w:rsidRPr="00785B23">
        <w:rPr>
          <w:rFonts w:asciiTheme="majorBidi" w:hAnsiTheme="majorBidi" w:cstheme="majorBidi"/>
        </w:rPr>
        <w:t>Tab 2</w:t>
      </w:r>
      <w:r w:rsidR="00B82F3A" w:rsidRPr="00834F66">
        <w:rPr>
          <w:rFonts w:asciiTheme="majorBidi" w:hAnsiTheme="majorBidi" w:cstheme="majorBidi"/>
        </w:rPr>
        <w:t>.</w:t>
      </w:r>
    </w:p>
    <w:p w14:paraId="7B82E5EF" w14:textId="2900856F" w:rsidR="007009D2" w:rsidRDefault="007009D2" w:rsidP="007009D2">
      <w:pPr>
        <w:pStyle w:val="Caption"/>
        <w:keepNext/>
      </w:pPr>
      <w:r>
        <w:t xml:space="preserve">Tab </w:t>
      </w:r>
      <w:r w:rsidR="002C769D">
        <w:fldChar w:fldCharType="begin"/>
      </w:r>
      <w:r w:rsidR="002C769D">
        <w:instrText xml:space="preserve"> SEQ Table \* ARABIC </w:instrText>
      </w:r>
      <w:r w:rsidR="002C769D">
        <w:fldChar w:fldCharType="separate"/>
      </w:r>
      <w:r w:rsidR="00D50325">
        <w:rPr>
          <w:noProof/>
        </w:rPr>
        <w:t>2</w:t>
      </w:r>
      <w:r w:rsidR="002C769D">
        <w:rPr>
          <w:noProof/>
        </w:rPr>
        <w:fldChar w:fldCharType="end"/>
      </w:r>
      <w:r>
        <w:t xml:space="preserve">. </w:t>
      </w:r>
      <w:r w:rsidRPr="007009D2">
        <w:t xml:space="preserve">Characteristics of the polyps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Characteristics of the polyps "/>
      </w:tblPr>
      <w:tblGrid>
        <w:gridCol w:w="4696"/>
        <w:gridCol w:w="4654"/>
      </w:tblGrid>
      <w:tr w:rsidR="00592E21" w:rsidRPr="00834F66" w14:paraId="4EEFF0E3" w14:textId="77777777" w:rsidTr="007009D2">
        <w:tc>
          <w:tcPr>
            <w:tcW w:w="4696" w:type="dxa"/>
            <w:tcBorders>
              <w:top w:val="single" w:sz="4" w:space="0" w:color="auto"/>
              <w:bottom w:val="single" w:sz="4" w:space="0" w:color="auto"/>
            </w:tcBorders>
          </w:tcPr>
          <w:p w14:paraId="56F30293"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Polyp</w:t>
            </w:r>
          </w:p>
        </w:tc>
        <w:tc>
          <w:tcPr>
            <w:tcW w:w="4654" w:type="dxa"/>
            <w:tcBorders>
              <w:top w:val="single" w:sz="4" w:space="0" w:color="auto"/>
              <w:bottom w:val="single" w:sz="4" w:space="0" w:color="auto"/>
            </w:tcBorders>
          </w:tcPr>
          <w:p w14:paraId="43B697F2"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Value</w:t>
            </w:r>
          </w:p>
        </w:tc>
      </w:tr>
      <w:tr w:rsidR="00592E21" w:rsidRPr="00834F66" w14:paraId="13F9FA15" w14:textId="77777777" w:rsidTr="007009D2">
        <w:tc>
          <w:tcPr>
            <w:tcW w:w="4696" w:type="dxa"/>
            <w:tcBorders>
              <w:top w:val="single" w:sz="4" w:space="0" w:color="auto"/>
            </w:tcBorders>
          </w:tcPr>
          <w:p w14:paraId="65F9035D" w14:textId="77777777" w:rsidR="00592E21" w:rsidRPr="007009D2" w:rsidRDefault="00592E21" w:rsidP="00A6058D">
            <w:pPr>
              <w:spacing w:line="276" w:lineRule="auto"/>
              <w:rPr>
                <w:rFonts w:asciiTheme="majorBidi" w:eastAsia="Calibri" w:hAnsiTheme="majorBidi" w:cstheme="majorBidi"/>
                <w:b/>
                <w:bCs/>
                <w:sz w:val="20"/>
                <w:szCs w:val="20"/>
              </w:rPr>
            </w:pPr>
            <w:r w:rsidRPr="007009D2">
              <w:rPr>
                <w:rFonts w:asciiTheme="majorBidi" w:eastAsia="Calibri" w:hAnsiTheme="majorBidi" w:cstheme="majorBidi"/>
                <w:b/>
                <w:bCs/>
                <w:sz w:val="20"/>
                <w:szCs w:val="20"/>
              </w:rPr>
              <w:t>No. of polyps</w:t>
            </w:r>
          </w:p>
        </w:tc>
        <w:tc>
          <w:tcPr>
            <w:tcW w:w="4654" w:type="dxa"/>
            <w:tcBorders>
              <w:top w:val="single" w:sz="4" w:space="0" w:color="auto"/>
            </w:tcBorders>
          </w:tcPr>
          <w:p w14:paraId="1D02EAE4" w14:textId="77777777" w:rsidR="00592E21" w:rsidRPr="007009D2" w:rsidRDefault="00592E21" w:rsidP="00A6058D">
            <w:pPr>
              <w:spacing w:line="276" w:lineRule="auto"/>
              <w:rPr>
                <w:rFonts w:asciiTheme="majorBidi" w:eastAsia="Calibri" w:hAnsiTheme="majorBidi" w:cstheme="majorBidi"/>
                <w:sz w:val="20"/>
                <w:szCs w:val="20"/>
              </w:rPr>
            </w:pPr>
          </w:p>
        </w:tc>
      </w:tr>
      <w:tr w:rsidR="00592E21" w:rsidRPr="00834F66" w14:paraId="682152F3" w14:textId="77777777" w:rsidTr="007009D2">
        <w:tc>
          <w:tcPr>
            <w:tcW w:w="4696" w:type="dxa"/>
          </w:tcPr>
          <w:p w14:paraId="77FBB584" w14:textId="77777777"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Single</w:t>
            </w:r>
          </w:p>
        </w:tc>
        <w:tc>
          <w:tcPr>
            <w:tcW w:w="4654" w:type="dxa"/>
          </w:tcPr>
          <w:p w14:paraId="0E6F8A82"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18 (36)</w:t>
            </w:r>
          </w:p>
        </w:tc>
      </w:tr>
      <w:tr w:rsidR="00592E21" w:rsidRPr="00834F66" w14:paraId="3D2DD533" w14:textId="77777777" w:rsidTr="007009D2">
        <w:tc>
          <w:tcPr>
            <w:tcW w:w="4696" w:type="dxa"/>
          </w:tcPr>
          <w:p w14:paraId="6178172E" w14:textId="77777777"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Multiple</w:t>
            </w:r>
          </w:p>
        </w:tc>
        <w:tc>
          <w:tcPr>
            <w:tcW w:w="4654" w:type="dxa"/>
          </w:tcPr>
          <w:p w14:paraId="571E36EC" w14:textId="77777777" w:rsidR="00592E21" w:rsidRPr="007009D2" w:rsidRDefault="002A7B0D"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3</w:t>
            </w:r>
            <w:r w:rsidR="00592E21" w:rsidRPr="007009D2">
              <w:rPr>
                <w:rFonts w:asciiTheme="majorBidi" w:eastAsia="Calibri" w:hAnsiTheme="majorBidi" w:cstheme="majorBidi"/>
                <w:sz w:val="20"/>
                <w:szCs w:val="20"/>
              </w:rPr>
              <w:t>2 (64)</w:t>
            </w:r>
          </w:p>
        </w:tc>
      </w:tr>
      <w:tr w:rsidR="00592E21" w:rsidRPr="00834F66" w14:paraId="3298AE75" w14:textId="77777777" w:rsidTr="007009D2">
        <w:tc>
          <w:tcPr>
            <w:tcW w:w="4696" w:type="dxa"/>
          </w:tcPr>
          <w:p w14:paraId="2258DAB9" w14:textId="77777777" w:rsidR="00592E21" w:rsidRPr="007009D2" w:rsidRDefault="00592E21" w:rsidP="00A6058D">
            <w:pPr>
              <w:spacing w:line="276" w:lineRule="auto"/>
              <w:rPr>
                <w:rFonts w:asciiTheme="majorBidi" w:eastAsia="Calibri" w:hAnsiTheme="majorBidi" w:cstheme="majorBidi"/>
                <w:b/>
                <w:bCs/>
                <w:sz w:val="20"/>
                <w:szCs w:val="20"/>
              </w:rPr>
            </w:pPr>
            <w:r w:rsidRPr="007009D2">
              <w:rPr>
                <w:rFonts w:asciiTheme="majorBidi" w:eastAsia="Calibri" w:hAnsiTheme="majorBidi" w:cstheme="majorBidi"/>
                <w:b/>
                <w:bCs/>
                <w:sz w:val="20"/>
                <w:szCs w:val="20"/>
              </w:rPr>
              <w:t>Type of polyp</w:t>
            </w:r>
          </w:p>
        </w:tc>
        <w:tc>
          <w:tcPr>
            <w:tcW w:w="4654" w:type="dxa"/>
          </w:tcPr>
          <w:p w14:paraId="45CBB2D7" w14:textId="77777777" w:rsidR="00592E21" w:rsidRPr="007009D2" w:rsidRDefault="00592E21" w:rsidP="00A6058D">
            <w:pPr>
              <w:spacing w:line="276" w:lineRule="auto"/>
              <w:rPr>
                <w:rFonts w:asciiTheme="majorBidi" w:eastAsia="Calibri" w:hAnsiTheme="majorBidi" w:cstheme="majorBidi"/>
                <w:sz w:val="20"/>
                <w:szCs w:val="20"/>
              </w:rPr>
            </w:pPr>
          </w:p>
        </w:tc>
      </w:tr>
      <w:tr w:rsidR="00592E21" w:rsidRPr="00834F66" w14:paraId="14CB92D5" w14:textId="77777777" w:rsidTr="007009D2">
        <w:tc>
          <w:tcPr>
            <w:tcW w:w="4696" w:type="dxa"/>
          </w:tcPr>
          <w:p w14:paraId="26699BDE" w14:textId="68BA62A2"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Pedunculated polyp</w:t>
            </w:r>
            <w:r w:rsidR="00D97271" w:rsidRPr="007009D2">
              <w:rPr>
                <w:rFonts w:asciiTheme="majorBidi" w:eastAsia="Calibri" w:hAnsiTheme="majorBidi" w:cstheme="majorBidi"/>
                <w:sz w:val="20"/>
                <w:szCs w:val="20"/>
              </w:rPr>
              <w:t>s</w:t>
            </w:r>
          </w:p>
        </w:tc>
        <w:tc>
          <w:tcPr>
            <w:tcW w:w="4654" w:type="dxa"/>
          </w:tcPr>
          <w:p w14:paraId="3C8D5390"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25 (50)</w:t>
            </w:r>
          </w:p>
        </w:tc>
      </w:tr>
      <w:tr w:rsidR="00592E21" w:rsidRPr="00834F66" w14:paraId="2794E714" w14:textId="77777777" w:rsidTr="007009D2">
        <w:tc>
          <w:tcPr>
            <w:tcW w:w="4696" w:type="dxa"/>
          </w:tcPr>
          <w:p w14:paraId="60CCAED9" w14:textId="21F2552D"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Sessile polyp</w:t>
            </w:r>
            <w:r w:rsidR="00D97271" w:rsidRPr="007009D2">
              <w:rPr>
                <w:rFonts w:asciiTheme="majorBidi" w:eastAsia="Calibri" w:hAnsiTheme="majorBidi" w:cstheme="majorBidi"/>
                <w:sz w:val="20"/>
                <w:szCs w:val="20"/>
              </w:rPr>
              <w:t>s</w:t>
            </w:r>
          </w:p>
        </w:tc>
        <w:tc>
          <w:tcPr>
            <w:tcW w:w="4654" w:type="dxa"/>
          </w:tcPr>
          <w:p w14:paraId="275CA0E3"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12 (24)</w:t>
            </w:r>
          </w:p>
        </w:tc>
      </w:tr>
      <w:tr w:rsidR="00592E21" w:rsidRPr="00834F66" w14:paraId="46A40444" w14:textId="77777777" w:rsidTr="007009D2">
        <w:tc>
          <w:tcPr>
            <w:tcW w:w="4696" w:type="dxa"/>
          </w:tcPr>
          <w:p w14:paraId="1671B01A" w14:textId="1E399413"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Both pedunculated and sessile polyp</w:t>
            </w:r>
            <w:r w:rsidR="00D97271" w:rsidRPr="007009D2">
              <w:rPr>
                <w:rFonts w:asciiTheme="majorBidi" w:eastAsia="Calibri" w:hAnsiTheme="majorBidi" w:cstheme="majorBidi"/>
                <w:sz w:val="20"/>
                <w:szCs w:val="20"/>
              </w:rPr>
              <w:t>s</w:t>
            </w:r>
          </w:p>
        </w:tc>
        <w:tc>
          <w:tcPr>
            <w:tcW w:w="4654" w:type="dxa"/>
          </w:tcPr>
          <w:p w14:paraId="227D9403"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13 (26)</w:t>
            </w:r>
          </w:p>
        </w:tc>
      </w:tr>
      <w:tr w:rsidR="00592E21" w:rsidRPr="00834F66" w14:paraId="53648DFB" w14:textId="77777777" w:rsidTr="007009D2">
        <w:tc>
          <w:tcPr>
            <w:tcW w:w="4696" w:type="dxa"/>
          </w:tcPr>
          <w:p w14:paraId="1D4481FE" w14:textId="77777777" w:rsidR="00592E21" w:rsidRPr="007009D2" w:rsidRDefault="00592E21" w:rsidP="00A6058D">
            <w:pPr>
              <w:spacing w:line="276" w:lineRule="auto"/>
              <w:rPr>
                <w:rFonts w:asciiTheme="majorBidi" w:eastAsia="Calibri" w:hAnsiTheme="majorBidi" w:cstheme="majorBidi"/>
                <w:b/>
                <w:bCs/>
                <w:sz w:val="20"/>
                <w:szCs w:val="20"/>
              </w:rPr>
            </w:pPr>
            <w:r w:rsidRPr="007009D2">
              <w:rPr>
                <w:rFonts w:asciiTheme="majorBidi" w:eastAsia="Calibri" w:hAnsiTheme="majorBidi" w:cstheme="majorBidi"/>
                <w:b/>
                <w:bCs/>
                <w:sz w:val="20"/>
                <w:szCs w:val="20"/>
              </w:rPr>
              <w:t>Histopathological types</w:t>
            </w:r>
          </w:p>
        </w:tc>
        <w:tc>
          <w:tcPr>
            <w:tcW w:w="4654" w:type="dxa"/>
          </w:tcPr>
          <w:p w14:paraId="683BA638" w14:textId="77777777" w:rsidR="00592E21" w:rsidRPr="007009D2" w:rsidRDefault="00592E21" w:rsidP="00A6058D">
            <w:pPr>
              <w:spacing w:line="276" w:lineRule="auto"/>
              <w:rPr>
                <w:rFonts w:asciiTheme="majorBidi" w:eastAsia="Calibri" w:hAnsiTheme="majorBidi" w:cstheme="majorBidi"/>
                <w:sz w:val="20"/>
                <w:szCs w:val="20"/>
              </w:rPr>
            </w:pPr>
          </w:p>
        </w:tc>
      </w:tr>
      <w:tr w:rsidR="00592E21" w:rsidRPr="00834F66" w14:paraId="128D3563" w14:textId="77777777" w:rsidTr="007009D2">
        <w:tc>
          <w:tcPr>
            <w:tcW w:w="4696" w:type="dxa"/>
          </w:tcPr>
          <w:p w14:paraId="53A7B5A4" w14:textId="7A5CA8FA"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Juvenile polyp</w:t>
            </w:r>
            <w:r w:rsidR="00A77125" w:rsidRPr="007009D2">
              <w:rPr>
                <w:rFonts w:asciiTheme="majorBidi" w:eastAsia="Calibri" w:hAnsiTheme="majorBidi" w:cstheme="majorBidi"/>
                <w:sz w:val="20"/>
                <w:szCs w:val="20"/>
              </w:rPr>
              <w:t>s</w:t>
            </w:r>
          </w:p>
        </w:tc>
        <w:tc>
          <w:tcPr>
            <w:tcW w:w="4654" w:type="dxa"/>
          </w:tcPr>
          <w:p w14:paraId="63F03E26" w14:textId="77777777" w:rsidR="00592E21" w:rsidRPr="007009D2" w:rsidRDefault="000F5C6E"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5</w:t>
            </w:r>
            <w:r w:rsidR="00592E21" w:rsidRPr="007009D2">
              <w:rPr>
                <w:rFonts w:asciiTheme="majorBidi" w:eastAsia="Calibri" w:hAnsiTheme="majorBidi" w:cstheme="majorBidi"/>
                <w:sz w:val="20"/>
                <w:szCs w:val="20"/>
              </w:rPr>
              <w:t>0 (100)</w:t>
            </w:r>
          </w:p>
        </w:tc>
      </w:tr>
      <w:tr w:rsidR="00592E21" w:rsidRPr="00834F66" w14:paraId="54E7EC8B" w14:textId="77777777" w:rsidTr="007009D2">
        <w:tc>
          <w:tcPr>
            <w:tcW w:w="4696" w:type="dxa"/>
            <w:tcBorders>
              <w:bottom w:val="single" w:sz="4" w:space="0" w:color="auto"/>
            </w:tcBorders>
          </w:tcPr>
          <w:p w14:paraId="4E45DAED" w14:textId="77777777" w:rsidR="00592E21" w:rsidRPr="007009D2" w:rsidRDefault="00592E21" w:rsidP="00A6058D">
            <w:pPr>
              <w:spacing w:line="276" w:lineRule="auto"/>
              <w:ind w:firstLine="540"/>
              <w:rPr>
                <w:rFonts w:asciiTheme="majorBidi" w:eastAsia="Calibri" w:hAnsiTheme="majorBidi" w:cstheme="majorBidi"/>
                <w:sz w:val="20"/>
                <w:szCs w:val="20"/>
              </w:rPr>
            </w:pPr>
            <w:r w:rsidRPr="007009D2">
              <w:rPr>
                <w:rFonts w:asciiTheme="majorBidi" w:eastAsia="Calibri" w:hAnsiTheme="majorBidi" w:cstheme="majorBidi"/>
                <w:sz w:val="20"/>
                <w:szCs w:val="20"/>
              </w:rPr>
              <w:t>Others</w:t>
            </w:r>
          </w:p>
        </w:tc>
        <w:tc>
          <w:tcPr>
            <w:tcW w:w="4654" w:type="dxa"/>
            <w:tcBorders>
              <w:bottom w:val="single" w:sz="4" w:space="0" w:color="auto"/>
            </w:tcBorders>
          </w:tcPr>
          <w:p w14:paraId="68EC8645" w14:textId="77777777" w:rsidR="00592E21" w:rsidRPr="007009D2" w:rsidRDefault="00592E21" w:rsidP="00A6058D">
            <w:pPr>
              <w:spacing w:line="276" w:lineRule="auto"/>
              <w:rPr>
                <w:rFonts w:asciiTheme="majorBidi" w:eastAsia="Calibri" w:hAnsiTheme="majorBidi" w:cstheme="majorBidi"/>
                <w:sz w:val="20"/>
                <w:szCs w:val="20"/>
              </w:rPr>
            </w:pPr>
            <w:r w:rsidRPr="007009D2">
              <w:rPr>
                <w:rFonts w:asciiTheme="majorBidi" w:eastAsia="Calibri" w:hAnsiTheme="majorBidi" w:cstheme="majorBidi"/>
                <w:sz w:val="20"/>
                <w:szCs w:val="20"/>
              </w:rPr>
              <w:t>0</w:t>
            </w:r>
          </w:p>
        </w:tc>
      </w:tr>
    </w:tbl>
    <w:p w14:paraId="606A646A" w14:textId="77777777" w:rsidR="006B6D93" w:rsidRPr="00834F66" w:rsidRDefault="006B6D93" w:rsidP="00834F66">
      <w:pPr>
        <w:spacing w:after="0" w:line="360" w:lineRule="auto"/>
        <w:jc w:val="both"/>
        <w:rPr>
          <w:rFonts w:asciiTheme="majorBidi" w:eastAsia="Times New Roman" w:hAnsiTheme="majorBidi" w:cstheme="majorBidi"/>
          <w:b/>
          <w:bCs/>
          <w:sz w:val="24"/>
          <w:szCs w:val="24"/>
        </w:rPr>
      </w:pPr>
    </w:p>
    <w:p w14:paraId="56FA6FC4" w14:textId="37D447AB" w:rsidR="00C32EB3" w:rsidRPr="00C32EB3" w:rsidRDefault="00C32EB3" w:rsidP="00C32EB3">
      <w:pPr>
        <w:spacing w:after="0" w:line="360" w:lineRule="auto"/>
        <w:jc w:val="both"/>
        <w:rPr>
          <w:rFonts w:ascii="Times New Roman" w:eastAsia="Times New Roman" w:hAnsi="Times New Roman" w:cs="Times New Roman"/>
          <w:sz w:val="24"/>
          <w:szCs w:val="24"/>
        </w:rPr>
      </w:pPr>
      <w:r w:rsidRPr="00785B23">
        <w:rPr>
          <w:rFonts w:ascii="Times New Roman" w:eastAsia="Times New Roman" w:hAnsi="Times New Roman" w:cs="Times New Roman"/>
          <w:sz w:val="24"/>
          <w:szCs w:val="24"/>
        </w:rPr>
        <w:t>Tab 3</w:t>
      </w:r>
      <w:r w:rsidRPr="00C32EB3">
        <w:rPr>
          <w:rFonts w:ascii="Times New Roman" w:eastAsia="Times New Roman" w:hAnsi="Times New Roman" w:cs="Times New Roman"/>
          <w:b/>
          <w:bCs/>
          <w:sz w:val="24"/>
          <w:szCs w:val="24"/>
        </w:rPr>
        <w:t xml:space="preserve"> </w:t>
      </w:r>
      <w:r w:rsidR="00E67BA5">
        <w:rPr>
          <w:rFonts w:ascii="Times New Roman" w:eastAsia="Times New Roman" w:hAnsi="Times New Roman" w:cs="Times New Roman"/>
          <w:sz w:val="24"/>
          <w:szCs w:val="24"/>
        </w:rPr>
        <w:t>compares</w:t>
      </w:r>
      <w:r w:rsidRPr="00C32EB3">
        <w:rPr>
          <w:rFonts w:ascii="Times New Roman" w:eastAsia="Times New Roman" w:hAnsi="Times New Roman" w:cs="Times New Roman"/>
          <w:sz w:val="24"/>
          <w:szCs w:val="24"/>
        </w:rPr>
        <w:t xml:space="preserve"> fecal calprotectin (FCP) concentration between multiple and single polyps </w:t>
      </w:r>
      <w:r w:rsidR="00E67BA5">
        <w:rPr>
          <w:rFonts w:ascii="Times New Roman" w:eastAsia="Times New Roman" w:hAnsi="Times New Roman" w:cs="Times New Roman"/>
          <w:sz w:val="24"/>
          <w:szCs w:val="24"/>
        </w:rPr>
        <w:t>in our patients</w:t>
      </w:r>
      <w:r w:rsidRPr="00C32EB3">
        <w:rPr>
          <w:rFonts w:ascii="Times New Roman" w:eastAsia="Times New Roman" w:hAnsi="Times New Roman" w:cs="Times New Roman"/>
          <w:sz w:val="24"/>
          <w:szCs w:val="24"/>
        </w:rPr>
        <w:t xml:space="preserve">. The median FCP concentration in the </w:t>
      </w:r>
      <w:r w:rsidR="00E67BA5">
        <w:rPr>
          <w:rFonts w:ascii="Times New Roman" w:eastAsia="Times New Roman" w:hAnsi="Times New Roman" w:cs="Times New Roman"/>
          <w:sz w:val="24"/>
          <w:szCs w:val="24"/>
        </w:rPr>
        <w:t>various</w:t>
      </w:r>
      <w:r w:rsidRPr="00C32EB3">
        <w:rPr>
          <w:rFonts w:ascii="Times New Roman" w:eastAsia="Times New Roman" w:hAnsi="Times New Roman" w:cs="Times New Roman"/>
          <w:sz w:val="24"/>
          <w:szCs w:val="24"/>
        </w:rPr>
        <w:t xml:space="preserve"> </w:t>
      </w:r>
      <w:r w:rsidR="00E67BA5" w:rsidRPr="00C32EB3">
        <w:rPr>
          <w:rFonts w:ascii="Times New Roman" w:eastAsia="Times New Roman" w:hAnsi="Times New Roman" w:cs="Times New Roman"/>
          <w:sz w:val="24"/>
          <w:szCs w:val="24"/>
        </w:rPr>
        <w:t>polyps’</w:t>
      </w:r>
      <w:r w:rsidRPr="00C32EB3">
        <w:rPr>
          <w:rFonts w:ascii="Times New Roman" w:eastAsia="Times New Roman" w:hAnsi="Times New Roman" w:cs="Times New Roman"/>
          <w:sz w:val="24"/>
          <w:szCs w:val="24"/>
        </w:rPr>
        <w:t xml:space="preserve"> group is significantly greater at 375.0 µg/g (IQR: 194.0–585.5) compared to 196.5 µg/g (IQR: 159.5–230.5) in the single polyp group. The larger interquartile range and range (131–940 µg/g) in the multiple polyps group also reflect greater variability in FCP concentrations. The p-value of 0.001 indicates </w:t>
      </w:r>
      <w:r w:rsidR="00E67BA5">
        <w:rPr>
          <w:rFonts w:ascii="Times New Roman" w:eastAsia="Times New Roman" w:hAnsi="Times New Roman" w:cs="Times New Roman"/>
          <w:sz w:val="24"/>
          <w:szCs w:val="24"/>
        </w:rPr>
        <w:t xml:space="preserve">a </w:t>
      </w:r>
      <w:r w:rsidRPr="00C32EB3">
        <w:rPr>
          <w:rFonts w:ascii="Times New Roman" w:eastAsia="Times New Roman" w:hAnsi="Times New Roman" w:cs="Times New Roman"/>
          <w:sz w:val="24"/>
          <w:szCs w:val="24"/>
        </w:rPr>
        <w:t>statistically significant difference between the two groups and, on this basis, suggests that higher levels of FCP are associated with multiple polyps.</w:t>
      </w:r>
    </w:p>
    <w:p w14:paraId="38D5416A" w14:textId="22F4887B" w:rsidR="00744EFF" w:rsidRDefault="00744EFF" w:rsidP="00744EFF">
      <w:pPr>
        <w:pStyle w:val="Caption"/>
        <w:keepNext/>
      </w:pPr>
      <w:bookmarkStart w:id="3" w:name="_Hlk198032014"/>
      <w:r>
        <w:t xml:space="preserve">Tab </w:t>
      </w:r>
      <w:r w:rsidR="002C769D">
        <w:fldChar w:fldCharType="begin"/>
      </w:r>
      <w:r w:rsidR="002C769D">
        <w:instrText xml:space="preserve"> SEQ Table \* ARABIC </w:instrText>
      </w:r>
      <w:r w:rsidR="002C769D">
        <w:fldChar w:fldCharType="separate"/>
      </w:r>
      <w:r w:rsidR="00D50325">
        <w:rPr>
          <w:noProof/>
        </w:rPr>
        <w:t>3</w:t>
      </w:r>
      <w:r w:rsidR="002C769D">
        <w:rPr>
          <w:noProof/>
        </w:rPr>
        <w:fldChar w:fldCharType="end"/>
      </w:r>
      <w:r>
        <w:t xml:space="preserve">. </w:t>
      </w:r>
      <w:r w:rsidRPr="00744EFF">
        <w:t>Relationship of FCP level with number of polyps (n=50)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3. Relationship of FCP level with number of polyps (n=50)"/>
        <w:tblDescription w:val="Statistical comparison performed using the Mann-Whitney U test, * p &lt; 0.05 considered statistically significant."/>
      </w:tblPr>
      <w:tblGrid>
        <w:gridCol w:w="2830"/>
        <w:gridCol w:w="2268"/>
        <w:gridCol w:w="2552"/>
        <w:gridCol w:w="1700"/>
      </w:tblGrid>
      <w:tr w:rsidR="00C32EB3" w:rsidRPr="00BA3C0F" w14:paraId="43498BCE" w14:textId="77777777" w:rsidTr="00B45C19">
        <w:tc>
          <w:tcPr>
            <w:tcW w:w="2830" w:type="dxa"/>
            <w:tcBorders>
              <w:top w:val="single" w:sz="4" w:space="0" w:color="auto"/>
              <w:bottom w:val="single" w:sz="4" w:space="0" w:color="auto"/>
            </w:tcBorders>
          </w:tcPr>
          <w:bookmarkEnd w:id="3"/>
          <w:p w14:paraId="60B1B708"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FCP levels in polyps</w:t>
            </w:r>
          </w:p>
        </w:tc>
        <w:tc>
          <w:tcPr>
            <w:tcW w:w="2268" w:type="dxa"/>
            <w:tcBorders>
              <w:top w:val="single" w:sz="4" w:space="0" w:color="auto"/>
              <w:bottom w:val="single" w:sz="4" w:space="0" w:color="auto"/>
            </w:tcBorders>
          </w:tcPr>
          <w:p w14:paraId="1CC79A08"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Single polyp (n=18)</w:t>
            </w:r>
          </w:p>
        </w:tc>
        <w:tc>
          <w:tcPr>
            <w:tcW w:w="2552" w:type="dxa"/>
            <w:tcBorders>
              <w:top w:val="single" w:sz="4" w:space="0" w:color="auto"/>
              <w:bottom w:val="single" w:sz="4" w:space="0" w:color="auto"/>
            </w:tcBorders>
          </w:tcPr>
          <w:p w14:paraId="306CDC81"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Multiple polyps (n=32)</w:t>
            </w:r>
          </w:p>
        </w:tc>
        <w:tc>
          <w:tcPr>
            <w:tcW w:w="1700" w:type="dxa"/>
            <w:tcBorders>
              <w:top w:val="single" w:sz="4" w:space="0" w:color="auto"/>
              <w:bottom w:val="single" w:sz="4" w:space="0" w:color="auto"/>
            </w:tcBorders>
          </w:tcPr>
          <w:p w14:paraId="5B541229"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p-value</w:t>
            </w:r>
          </w:p>
        </w:tc>
      </w:tr>
      <w:tr w:rsidR="00C32EB3" w:rsidRPr="00BA3C0F" w14:paraId="6D025237" w14:textId="77777777" w:rsidTr="00B45C19">
        <w:tc>
          <w:tcPr>
            <w:tcW w:w="2830" w:type="dxa"/>
            <w:tcBorders>
              <w:top w:val="single" w:sz="4" w:space="0" w:color="auto"/>
            </w:tcBorders>
          </w:tcPr>
          <w:p w14:paraId="778540AA"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Median (IQR)</w:t>
            </w:r>
          </w:p>
        </w:tc>
        <w:tc>
          <w:tcPr>
            <w:tcW w:w="2268" w:type="dxa"/>
            <w:tcBorders>
              <w:top w:val="single" w:sz="4" w:space="0" w:color="auto"/>
            </w:tcBorders>
          </w:tcPr>
          <w:p w14:paraId="4E0EAA00"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196.5 (159.5–230.5)</w:t>
            </w:r>
          </w:p>
        </w:tc>
        <w:tc>
          <w:tcPr>
            <w:tcW w:w="2552" w:type="dxa"/>
            <w:tcBorders>
              <w:top w:val="single" w:sz="4" w:space="0" w:color="auto"/>
            </w:tcBorders>
          </w:tcPr>
          <w:p w14:paraId="239C9F96"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375.0 (194.0–585.5)</w:t>
            </w:r>
          </w:p>
        </w:tc>
        <w:tc>
          <w:tcPr>
            <w:tcW w:w="1700" w:type="dxa"/>
            <w:tcBorders>
              <w:top w:val="single" w:sz="4" w:space="0" w:color="auto"/>
            </w:tcBorders>
          </w:tcPr>
          <w:p w14:paraId="4AA31250"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0.001*</w:t>
            </w:r>
          </w:p>
        </w:tc>
      </w:tr>
      <w:tr w:rsidR="00C32EB3" w:rsidRPr="00BA3C0F" w14:paraId="1D701546" w14:textId="77777777" w:rsidTr="00B45C19">
        <w:tc>
          <w:tcPr>
            <w:tcW w:w="2830" w:type="dxa"/>
            <w:tcBorders>
              <w:bottom w:val="single" w:sz="4" w:space="0" w:color="auto"/>
            </w:tcBorders>
          </w:tcPr>
          <w:p w14:paraId="0D18E8F1"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Range (min–max)</w:t>
            </w:r>
          </w:p>
        </w:tc>
        <w:tc>
          <w:tcPr>
            <w:tcW w:w="2268" w:type="dxa"/>
            <w:tcBorders>
              <w:bottom w:val="single" w:sz="4" w:space="0" w:color="auto"/>
            </w:tcBorders>
          </w:tcPr>
          <w:p w14:paraId="0FAD1AAE"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124–324</w:t>
            </w:r>
          </w:p>
        </w:tc>
        <w:tc>
          <w:tcPr>
            <w:tcW w:w="2552" w:type="dxa"/>
            <w:tcBorders>
              <w:bottom w:val="single" w:sz="4" w:space="0" w:color="auto"/>
            </w:tcBorders>
          </w:tcPr>
          <w:p w14:paraId="7EE5305E" w14:textId="77777777" w:rsidR="00C32EB3" w:rsidRPr="00B45C19" w:rsidRDefault="00C32EB3" w:rsidP="006C544A">
            <w:pPr>
              <w:spacing w:line="360" w:lineRule="auto"/>
              <w:rPr>
                <w:rFonts w:asciiTheme="majorBidi" w:hAnsiTheme="majorBidi" w:cstheme="majorBidi"/>
                <w:sz w:val="20"/>
                <w:szCs w:val="20"/>
              </w:rPr>
            </w:pPr>
            <w:r w:rsidRPr="00B45C19">
              <w:rPr>
                <w:rFonts w:asciiTheme="majorBidi" w:hAnsiTheme="majorBidi" w:cstheme="majorBidi"/>
                <w:sz w:val="20"/>
                <w:szCs w:val="20"/>
              </w:rPr>
              <w:t>131–940</w:t>
            </w:r>
          </w:p>
        </w:tc>
        <w:tc>
          <w:tcPr>
            <w:tcW w:w="1700" w:type="dxa"/>
            <w:tcBorders>
              <w:bottom w:val="single" w:sz="4" w:space="0" w:color="auto"/>
            </w:tcBorders>
          </w:tcPr>
          <w:p w14:paraId="397D77F7" w14:textId="77777777" w:rsidR="00C32EB3" w:rsidRPr="00B45C19" w:rsidRDefault="00C32EB3" w:rsidP="00744EFF">
            <w:pPr>
              <w:keepNext/>
              <w:spacing w:line="360" w:lineRule="auto"/>
              <w:rPr>
                <w:rFonts w:asciiTheme="majorBidi" w:hAnsiTheme="majorBidi" w:cstheme="majorBidi"/>
                <w:sz w:val="20"/>
                <w:szCs w:val="20"/>
              </w:rPr>
            </w:pPr>
          </w:p>
        </w:tc>
      </w:tr>
    </w:tbl>
    <w:p w14:paraId="4954B2CC" w14:textId="77777777" w:rsidR="00744EFF" w:rsidRPr="00744EFF" w:rsidRDefault="00744EFF" w:rsidP="00744EFF">
      <w:pPr>
        <w:spacing w:after="0" w:line="240" w:lineRule="auto"/>
        <w:rPr>
          <w:i/>
          <w:iCs/>
          <w:color w:val="44546A" w:themeColor="text2"/>
          <w:sz w:val="18"/>
          <w:szCs w:val="18"/>
        </w:rPr>
      </w:pPr>
      <w:r w:rsidRPr="00744EFF">
        <w:rPr>
          <w:i/>
          <w:iCs/>
          <w:color w:val="44546A" w:themeColor="text2"/>
          <w:sz w:val="18"/>
          <w:szCs w:val="18"/>
        </w:rPr>
        <w:t>Statistical comparison performed using the Mann-Whitney U test, * p &lt; 0.05 considered statistically significant.</w:t>
      </w:r>
    </w:p>
    <w:p w14:paraId="03C7FD9C" w14:textId="066E38BF" w:rsidR="00C32EB3" w:rsidRPr="00834F66" w:rsidRDefault="00C32EB3" w:rsidP="00C32EB3">
      <w:pPr>
        <w:spacing w:after="0" w:line="360" w:lineRule="auto"/>
        <w:jc w:val="both"/>
        <w:rPr>
          <w:rFonts w:asciiTheme="majorBidi" w:eastAsia="Times New Roman" w:hAnsiTheme="majorBidi" w:cstheme="majorBidi"/>
          <w:sz w:val="24"/>
          <w:szCs w:val="24"/>
        </w:rPr>
      </w:pPr>
      <w:r w:rsidRPr="00785B23">
        <w:rPr>
          <w:rFonts w:asciiTheme="majorBidi" w:eastAsia="Times New Roman" w:hAnsiTheme="majorBidi" w:cstheme="majorBidi"/>
          <w:sz w:val="24"/>
          <w:szCs w:val="24"/>
        </w:rPr>
        <w:t>Tab 4</w:t>
      </w:r>
      <w:r w:rsidR="00E67BA5" w:rsidRPr="00785B23">
        <w:rPr>
          <w:rFonts w:asciiTheme="majorBidi" w:eastAsia="Times New Roman" w:hAnsiTheme="majorBidi" w:cstheme="majorBidi"/>
          <w:sz w:val="24"/>
          <w:szCs w:val="24"/>
        </w:rPr>
        <w:t>.</w:t>
      </w:r>
      <w:r w:rsidRPr="00E83DAE">
        <w:rPr>
          <w:rFonts w:asciiTheme="majorBidi" w:eastAsia="Times New Roman" w:hAnsiTheme="majorBidi" w:cstheme="majorBidi"/>
          <w:sz w:val="24"/>
          <w:szCs w:val="24"/>
        </w:rPr>
        <w:t xml:space="preserve"> </w:t>
      </w:r>
      <w:r w:rsidRPr="009523FB">
        <w:rPr>
          <w:rFonts w:asciiTheme="majorBidi" w:eastAsia="Times New Roman" w:hAnsiTheme="majorBidi" w:cstheme="majorBidi"/>
          <w:sz w:val="24"/>
          <w:szCs w:val="24"/>
        </w:rPr>
        <w:t>The laboratory findings in a cohort of 50 patients show that hematological and inflammatory markers</w:t>
      </w:r>
      <w:r w:rsidR="00E67BA5">
        <w:rPr>
          <w:rFonts w:asciiTheme="majorBidi" w:eastAsia="Times New Roman" w:hAnsiTheme="majorBidi" w:cstheme="majorBidi"/>
          <w:sz w:val="24"/>
          <w:szCs w:val="24"/>
        </w:rPr>
        <w:t>, except for one parameter,</w:t>
      </w:r>
      <w:r w:rsidRPr="009523FB">
        <w:rPr>
          <w:rFonts w:asciiTheme="majorBidi" w:eastAsia="Times New Roman" w:hAnsiTheme="majorBidi" w:cstheme="majorBidi"/>
          <w:sz w:val="24"/>
          <w:szCs w:val="24"/>
        </w:rPr>
        <w:t xml:space="preserve"> are at or near reference values. Median WBC is 7,960/</w:t>
      </w:r>
      <w:proofErr w:type="spellStart"/>
      <w:r w:rsidRPr="009523FB">
        <w:rPr>
          <w:rFonts w:asciiTheme="majorBidi" w:eastAsia="Times New Roman" w:hAnsiTheme="majorBidi" w:cstheme="majorBidi"/>
          <w:sz w:val="24"/>
          <w:szCs w:val="24"/>
        </w:rPr>
        <w:t>μL</w:t>
      </w:r>
      <w:proofErr w:type="spellEnd"/>
      <w:r w:rsidRPr="009523FB">
        <w:rPr>
          <w:rFonts w:asciiTheme="majorBidi" w:eastAsia="Times New Roman" w:hAnsiTheme="majorBidi" w:cstheme="majorBidi"/>
          <w:sz w:val="24"/>
          <w:szCs w:val="24"/>
        </w:rPr>
        <w:t xml:space="preserve"> and does not provide evidence for leukocytosis, with low eosinophils (median: 145/</w:t>
      </w:r>
      <w:proofErr w:type="spellStart"/>
      <w:r w:rsidRPr="009523FB">
        <w:rPr>
          <w:rFonts w:asciiTheme="majorBidi" w:eastAsia="Times New Roman" w:hAnsiTheme="majorBidi" w:cstheme="majorBidi"/>
          <w:sz w:val="24"/>
          <w:szCs w:val="24"/>
        </w:rPr>
        <w:t>μL</w:t>
      </w:r>
      <w:proofErr w:type="spellEnd"/>
      <w:r w:rsidRPr="009523FB">
        <w:rPr>
          <w:rFonts w:asciiTheme="majorBidi" w:eastAsia="Times New Roman" w:hAnsiTheme="majorBidi" w:cstheme="majorBidi"/>
          <w:sz w:val="24"/>
          <w:szCs w:val="24"/>
        </w:rPr>
        <w:t>). Hematocrit values are low (median: 36.5%), whereas 34% of the patients were anemic based on the hemoglobin level (&lt;10 g/dL)</w:t>
      </w:r>
      <w:r w:rsidR="00E67BA5">
        <w:rPr>
          <w:rFonts w:asciiTheme="majorBidi" w:eastAsia="Times New Roman" w:hAnsiTheme="majorBidi" w:cstheme="majorBidi"/>
          <w:sz w:val="24"/>
          <w:szCs w:val="24"/>
        </w:rPr>
        <w:t>, indicating</w:t>
      </w:r>
      <w:r w:rsidRPr="009523FB">
        <w:rPr>
          <w:rFonts w:asciiTheme="majorBidi" w:eastAsia="Times New Roman" w:hAnsiTheme="majorBidi" w:cstheme="majorBidi"/>
          <w:sz w:val="24"/>
          <w:szCs w:val="24"/>
        </w:rPr>
        <w:t xml:space="preserve"> the possibility of chronic disease or dietary deficiency. Platelet levels are at the higher end of normal (median: 345×10³/</w:t>
      </w:r>
      <w:proofErr w:type="spellStart"/>
      <w:r w:rsidRPr="009523FB">
        <w:rPr>
          <w:rFonts w:asciiTheme="majorBidi" w:eastAsia="Times New Roman" w:hAnsiTheme="majorBidi" w:cstheme="majorBidi"/>
          <w:sz w:val="24"/>
          <w:szCs w:val="24"/>
        </w:rPr>
        <w:t>μL</w:t>
      </w:r>
      <w:proofErr w:type="spellEnd"/>
      <w:r w:rsidRPr="009523FB">
        <w:rPr>
          <w:rFonts w:asciiTheme="majorBidi" w:eastAsia="Times New Roman" w:hAnsiTheme="majorBidi" w:cstheme="majorBidi"/>
          <w:sz w:val="24"/>
          <w:szCs w:val="24"/>
        </w:rPr>
        <w:t xml:space="preserve">). Albumin is </w:t>
      </w:r>
      <w:r w:rsidR="00E67BA5">
        <w:rPr>
          <w:rFonts w:asciiTheme="majorBidi" w:eastAsia="Times New Roman" w:hAnsiTheme="majorBidi" w:cstheme="majorBidi"/>
          <w:sz w:val="24"/>
          <w:szCs w:val="24"/>
        </w:rPr>
        <w:t>usually</w:t>
      </w:r>
      <w:r w:rsidRPr="009523FB">
        <w:rPr>
          <w:rFonts w:asciiTheme="majorBidi" w:eastAsia="Times New Roman" w:hAnsiTheme="majorBidi" w:cstheme="majorBidi"/>
          <w:sz w:val="24"/>
          <w:szCs w:val="24"/>
        </w:rPr>
        <w:t xml:space="preserve"> within the normal range (mean: 4.3 ± 0.3 g/dL), though 4% </w:t>
      </w:r>
      <w:r w:rsidR="00841D94">
        <w:rPr>
          <w:rFonts w:asciiTheme="majorBidi" w:eastAsia="Times New Roman" w:hAnsiTheme="majorBidi" w:cstheme="majorBidi"/>
          <w:sz w:val="24"/>
          <w:szCs w:val="24"/>
        </w:rPr>
        <w:t>had</w:t>
      </w:r>
      <w:r w:rsidRPr="009523FB">
        <w:rPr>
          <w:rFonts w:asciiTheme="majorBidi" w:eastAsia="Times New Roman" w:hAnsiTheme="majorBidi" w:cstheme="majorBidi"/>
          <w:sz w:val="24"/>
          <w:szCs w:val="24"/>
        </w:rPr>
        <w:t xml:space="preserve"> hypoalbuminemi</w:t>
      </w:r>
      <w:r w:rsidR="00841D94">
        <w:rPr>
          <w:rFonts w:asciiTheme="majorBidi" w:eastAsia="Times New Roman" w:hAnsiTheme="majorBidi" w:cstheme="majorBidi"/>
          <w:sz w:val="24"/>
          <w:szCs w:val="24"/>
        </w:rPr>
        <w:t>a</w:t>
      </w:r>
      <w:r w:rsidRPr="009523FB">
        <w:rPr>
          <w:rFonts w:asciiTheme="majorBidi" w:eastAsia="Times New Roman" w:hAnsiTheme="majorBidi" w:cstheme="majorBidi"/>
          <w:sz w:val="24"/>
          <w:szCs w:val="24"/>
        </w:rPr>
        <w:t xml:space="preserve">. CRP and ESR, markers of inflammation, are low, </w:t>
      </w:r>
      <w:r w:rsidR="00E67BA5">
        <w:rPr>
          <w:rFonts w:asciiTheme="majorBidi" w:eastAsia="Times New Roman" w:hAnsiTheme="majorBidi" w:cstheme="majorBidi"/>
          <w:sz w:val="24"/>
          <w:szCs w:val="24"/>
        </w:rPr>
        <w:t>suggesting</w:t>
      </w:r>
      <w:r w:rsidRPr="009523FB">
        <w:rPr>
          <w:rFonts w:asciiTheme="majorBidi" w:eastAsia="Times New Roman" w:hAnsiTheme="majorBidi" w:cstheme="majorBidi"/>
          <w:sz w:val="24"/>
          <w:szCs w:val="24"/>
        </w:rPr>
        <w:t xml:space="preserve"> minimal systemic inflammation within the cohort.</w:t>
      </w:r>
    </w:p>
    <w:p w14:paraId="0DEF5334" w14:textId="0FF718FA" w:rsidR="00B45C19" w:rsidRDefault="00B45C19" w:rsidP="00B45C19">
      <w:pPr>
        <w:pStyle w:val="Caption"/>
        <w:keepNext/>
      </w:pPr>
      <w:r>
        <w:t xml:space="preserve">Tab </w:t>
      </w:r>
      <w:r w:rsidR="002C769D">
        <w:fldChar w:fldCharType="begin"/>
      </w:r>
      <w:r w:rsidR="002C769D">
        <w:instrText xml:space="preserve"> SEQ Table \* ARABIC </w:instrText>
      </w:r>
      <w:r w:rsidR="002C769D">
        <w:fldChar w:fldCharType="separate"/>
      </w:r>
      <w:r w:rsidR="00D50325">
        <w:rPr>
          <w:noProof/>
        </w:rPr>
        <w:t>4</w:t>
      </w:r>
      <w:r w:rsidR="002C769D">
        <w:rPr>
          <w:noProof/>
        </w:rPr>
        <w:fldChar w:fldCharType="end"/>
      </w:r>
      <w:r>
        <w:t xml:space="preserve">. </w:t>
      </w:r>
      <w:r w:rsidRPr="00B45C19">
        <w:t>Laboratory results of the patients (n=50)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4. Laboratory results of the patients (n=50)"/>
      </w:tblPr>
      <w:tblGrid>
        <w:gridCol w:w="4675"/>
        <w:gridCol w:w="4675"/>
      </w:tblGrid>
      <w:tr w:rsidR="00C32EB3" w:rsidRPr="00B45C19" w14:paraId="29F2AE57" w14:textId="77777777" w:rsidTr="00B45C19">
        <w:tc>
          <w:tcPr>
            <w:tcW w:w="4675" w:type="dxa"/>
            <w:tcBorders>
              <w:top w:val="single" w:sz="4" w:space="0" w:color="auto"/>
              <w:bottom w:val="single" w:sz="4" w:space="0" w:color="auto"/>
            </w:tcBorders>
          </w:tcPr>
          <w:p w14:paraId="321FB60C" w14:textId="77777777" w:rsidR="00C32EB3" w:rsidRPr="00B45C19" w:rsidRDefault="00C32EB3" w:rsidP="006C544A">
            <w:pPr>
              <w:spacing w:line="276" w:lineRule="auto"/>
              <w:rPr>
                <w:rFonts w:asciiTheme="majorBidi" w:hAnsiTheme="majorBidi" w:cstheme="majorBidi"/>
                <w:b/>
                <w:bCs/>
                <w:sz w:val="20"/>
                <w:szCs w:val="20"/>
              </w:rPr>
            </w:pPr>
            <w:r w:rsidRPr="00B45C19">
              <w:rPr>
                <w:rFonts w:asciiTheme="majorBidi" w:hAnsiTheme="majorBidi" w:cstheme="majorBidi"/>
                <w:b/>
                <w:bCs/>
                <w:sz w:val="20"/>
                <w:szCs w:val="20"/>
              </w:rPr>
              <w:t>Variable</w:t>
            </w:r>
          </w:p>
        </w:tc>
        <w:tc>
          <w:tcPr>
            <w:tcW w:w="4675" w:type="dxa"/>
            <w:tcBorders>
              <w:top w:val="single" w:sz="4" w:space="0" w:color="auto"/>
              <w:bottom w:val="single" w:sz="4" w:space="0" w:color="auto"/>
            </w:tcBorders>
          </w:tcPr>
          <w:p w14:paraId="0597C1CE" w14:textId="55F981CB" w:rsidR="00C32EB3" w:rsidRPr="00B45C19" w:rsidRDefault="00C32EB3" w:rsidP="006C544A">
            <w:pPr>
              <w:spacing w:line="276" w:lineRule="auto"/>
              <w:rPr>
                <w:rFonts w:asciiTheme="majorBidi" w:hAnsiTheme="majorBidi" w:cstheme="majorBidi"/>
                <w:b/>
                <w:bCs/>
                <w:sz w:val="20"/>
                <w:szCs w:val="20"/>
              </w:rPr>
            </w:pPr>
            <w:r w:rsidRPr="00B45C19">
              <w:rPr>
                <w:rFonts w:asciiTheme="majorBidi" w:hAnsiTheme="majorBidi" w:cstheme="majorBidi"/>
                <w:b/>
                <w:bCs/>
                <w:sz w:val="20"/>
                <w:szCs w:val="20"/>
              </w:rPr>
              <w:t>Value (n=50)</w:t>
            </w:r>
          </w:p>
        </w:tc>
      </w:tr>
      <w:tr w:rsidR="00C32EB3" w:rsidRPr="00B45C19" w14:paraId="54F11587" w14:textId="77777777" w:rsidTr="00B45C19">
        <w:tc>
          <w:tcPr>
            <w:tcW w:w="4675" w:type="dxa"/>
            <w:tcBorders>
              <w:top w:val="single" w:sz="4" w:space="0" w:color="auto"/>
            </w:tcBorders>
          </w:tcPr>
          <w:p w14:paraId="5E17036A"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WBC count (/</w:t>
            </w:r>
            <w:proofErr w:type="spellStart"/>
            <w:r w:rsidRPr="00B45C19">
              <w:rPr>
                <w:rFonts w:asciiTheme="majorBidi" w:hAnsiTheme="majorBidi" w:cstheme="majorBidi"/>
                <w:sz w:val="20"/>
                <w:szCs w:val="20"/>
              </w:rPr>
              <w:t>μL</w:t>
            </w:r>
            <w:proofErr w:type="spellEnd"/>
            <w:r w:rsidRPr="00B45C19">
              <w:rPr>
                <w:rFonts w:asciiTheme="majorBidi" w:hAnsiTheme="majorBidi" w:cstheme="majorBidi"/>
                <w:sz w:val="20"/>
                <w:szCs w:val="20"/>
              </w:rPr>
              <w:t>)</w:t>
            </w:r>
          </w:p>
        </w:tc>
        <w:tc>
          <w:tcPr>
            <w:tcW w:w="4675" w:type="dxa"/>
            <w:tcBorders>
              <w:top w:val="single" w:sz="4" w:space="0" w:color="auto"/>
            </w:tcBorders>
          </w:tcPr>
          <w:p w14:paraId="33EAE21C" w14:textId="2DE1B9F5"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7</w:t>
            </w:r>
            <w:r w:rsidR="00D06A9F">
              <w:rPr>
                <w:rFonts w:asciiTheme="majorBidi" w:hAnsiTheme="majorBidi" w:cstheme="majorBidi"/>
                <w:sz w:val="20"/>
                <w:szCs w:val="20"/>
              </w:rPr>
              <w:t>.</w:t>
            </w:r>
            <w:r w:rsidRPr="00B45C19">
              <w:rPr>
                <w:rFonts w:asciiTheme="majorBidi" w:hAnsiTheme="majorBidi" w:cstheme="majorBidi"/>
                <w:sz w:val="20"/>
                <w:szCs w:val="20"/>
              </w:rPr>
              <w:t>960 (Median, Range: 6,100–9,895)</w:t>
            </w:r>
          </w:p>
        </w:tc>
      </w:tr>
      <w:tr w:rsidR="00C32EB3" w:rsidRPr="00B45C19" w14:paraId="0779650E" w14:textId="77777777" w:rsidTr="00B45C19">
        <w:tc>
          <w:tcPr>
            <w:tcW w:w="4675" w:type="dxa"/>
          </w:tcPr>
          <w:p w14:paraId="3FD3AF37"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Eosinophil count (/</w:t>
            </w:r>
            <w:proofErr w:type="spellStart"/>
            <w:r w:rsidRPr="00B45C19">
              <w:rPr>
                <w:rFonts w:asciiTheme="majorBidi" w:hAnsiTheme="majorBidi" w:cstheme="majorBidi"/>
                <w:sz w:val="20"/>
                <w:szCs w:val="20"/>
              </w:rPr>
              <w:t>μL</w:t>
            </w:r>
            <w:proofErr w:type="spellEnd"/>
            <w:r w:rsidRPr="00B45C19">
              <w:rPr>
                <w:rFonts w:asciiTheme="majorBidi" w:hAnsiTheme="majorBidi" w:cstheme="majorBidi"/>
                <w:sz w:val="20"/>
                <w:szCs w:val="20"/>
              </w:rPr>
              <w:t>)</w:t>
            </w:r>
          </w:p>
        </w:tc>
        <w:tc>
          <w:tcPr>
            <w:tcW w:w="4675" w:type="dxa"/>
          </w:tcPr>
          <w:p w14:paraId="36F59C49"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145 (Median, Range: 64–261)</w:t>
            </w:r>
          </w:p>
        </w:tc>
      </w:tr>
      <w:tr w:rsidR="00C32EB3" w:rsidRPr="00B45C19" w14:paraId="43FC0C8F" w14:textId="77777777" w:rsidTr="00B45C19">
        <w:tc>
          <w:tcPr>
            <w:tcW w:w="4675" w:type="dxa"/>
          </w:tcPr>
          <w:p w14:paraId="572676F8"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Hematocrit (%)</w:t>
            </w:r>
          </w:p>
        </w:tc>
        <w:tc>
          <w:tcPr>
            <w:tcW w:w="4675" w:type="dxa"/>
          </w:tcPr>
          <w:p w14:paraId="79AEDA5D"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36.5 (Median, Range: 33.5–40.2)</w:t>
            </w:r>
          </w:p>
        </w:tc>
      </w:tr>
      <w:tr w:rsidR="00C32EB3" w:rsidRPr="00B45C19" w14:paraId="43335D71" w14:textId="77777777" w:rsidTr="00B45C19">
        <w:tc>
          <w:tcPr>
            <w:tcW w:w="4675" w:type="dxa"/>
          </w:tcPr>
          <w:p w14:paraId="377A9DA5"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Platelet count (×10³/</w:t>
            </w:r>
            <w:proofErr w:type="spellStart"/>
            <w:r w:rsidRPr="00B45C19">
              <w:rPr>
                <w:rFonts w:asciiTheme="majorBidi" w:hAnsiTheme="majorBidi" w:cstheme="majorBidi"/>
                <w:sz w:val="20"/>
                <w:szCs w:val="20"/>
              </w:rPr>
              <w:t>μL</w:t>
            </w:r>
            <w:proofErr w:type="spellEnd"/>
            <w:r w:rsidRPr="00B45C19">
              <w:rPr>
                <w:rFonts w:asciiTheme="majorBidi" w:hAnsiTheme="majorBidi" w:cstheme="majorBidi"/>
                <w:sz w:val="20"/>
                <w:szCs w:val="20"/>
              </w:rPr>
              <w:t>)</w:t>
            </w:r>
          </w:p>
        </w:tc>
        <w:tc>
          <w:tcPr>
            <w:tcW w:w="4675" w:type="dxa"/>
          </w:tcPr>
          <w:p w14:paraId="75FE98A8"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345 (Median, Range: 310–398)</w:t>
            </w:r>
          </w:p>
        </w:tc>
      </w:tr>
      <w:tr w:rsidR="00C32EB3" w:rsidRPr="00B45C19" w14:paraId="24FEEA94" w14:textId="77777777" w:rsidTr="00B45C19">
        <w:tc>
          <w:tcPr>
            <w:tcW w:w="4675" w:type="dxa"/>
          </w:tcPr>
          <w:p w14:paraId="24948DFF"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Albumin (g/dL)</w:t>
            </w:r>
          </w:p>
        </w:tc>
        <w:tc>
          <w:tcPr>
            <w:tcW w:w="4675" w:type="dxa"/>
          </w:tcPr>
          <w:p w14:paraId="72183039"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4.3 ± 0.3 (Mean ± SD)</w:t>
            </w:r>
          </w:p>
        </w:tc>
      </w:tr>
      <w:tr w:rsidR="00C32EB3" w:rsidRPr="00B45C19" w14:paraId="1C8347D7" w14:textId="77777777" w:rsidTr="00B45C19">
        <w:tc>
          <w:tcPr>
            <w:tcW w:w="4675" w:type="dxa"/>
          </w:tcPr>
          <w:p w14:paraId="6279EA95"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CRP (mg/dL)</w:t>
            </w:r>
          </w:p>
        </w:tc>
        <w:tc>
          <w:tcPr>
            <w:tcW w:w="4675" w:type="dxa"/>
          </w:tcPr>
          <w:p w14:paraId="7A294685"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0.07 (Median, Range: 0.02–0.12)</w:t>
            </w:r>
          </w:p>
        </w:tc>
      </w:tr>
      <w:tr w:rsidR="00C32EB3" w:rsidRPr="00B45C19" w14:paraId="62A4E420" w14:textId="77777777" w:rsidTr="00B45C19">
        <w:tc>
          <w:tcPr>
            <w:tcW w:w="4675" w:type="dxa"/>
          </w:tcPr>
          <w:p w14:paraId="7367CFC1"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ESR (mm/</w:t>
            </w:r>
            <w:proofErr w:type="spellStart"/>
            <w:r w:rsidRPr="00B45C19">
              <w:rPr>
                <w:rFonts w:asciiTheme="majorBidi" w:hAnsiTheme="majorBidi" w:cstheme="majorBidi"/>
                <w:sz w:val="20"/>
                <w:szCs w:val="20"/>
              </w:rPr>
              <w:t>hr</w:t>
            </w:r>
            <w:proofErr w:type="spellEnd"/>
            <w:r w:rsidRPr="00B45C19">
              <w:rPr>
                <w:rFonts w:asciiTheme="majorBidi" w:hAnsiTheme="majorBidi" w:cstheme="majorBidi"/>
                <w:sz w:val="20"/>
                <w:szCs w:val="20"/>
              </w:rPr>
              <w:t>)</w:t>
            </w:r>
          </w:p>
        </w:tc>
        <w:tc>
          <w:tcPr>
            <w:tcW w:w="4675" w:type="dxa"/>
          </w:tcPr>
          <w:p w14:paraId="709A1858"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8 (Median, Range: 2–14)</w:t>
            </w:r>
          </w:p>
        </w:tc>
      </w:tr>
      <w:tr w:rsidR="00C32EB3" w:rsidRPr="00B45C19" w14:paraId="4139A367" w14:textId="77777777" w:rsidTr="00B45C19">
        <w:tc>
          <w:tcPr>
            <w:tcW w:w="4675" w:type="dxa"/>
          </w:tcPr>
          <w:p w14:paraId="6AD078B6"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Anemia (HB &lt;10 gm/dL)</w:t>
            </w:r>
          </w:p>
        </w:tc>
        <w:tc>
          <w:tcPr>
            <w:tcW w:w="4675" w:type="dxa"/>
          </w:tcPr>
          <w:p w14:paraId="5AB3DD32"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17 (34%)</w:t>
            </w:r>
          </w:p>
        </w:tc>
      </w:tr>
      <w:tr w:rsidR="00C32EB3" w:rsidRPr="00B45C19" w14:paraId="4B732F1C" w14:textId="77777777" w:rsidTr="00B45C19">
        <w:tc>
          <w:tcPr>
            <w:tcW w:w="4675" w:type="dxa"/>
            <w:tcBorders>
              <w:bottom w:val="single" w:sz="4" w:space="0" w:color="auto"/>
            </w:tcBorders>
          </w:tcPr>
          <w:p w14:paraId="5B3E70E5" w14:textId="77777777" w:rsidR="00C32EB3" w:rsidRPr="00B45C19" w:rsidRDefault="00C32EB3" w:rsidP="006C544A">
            <w:pPr>
              <w:spacing w:line="276" w:lineRule="auto"/>
              <w:rPr>
                <w:rFonts w:asciiTheme="majorBidi" w:hAnsiTheme="majorBidi" w:cstheme="majorBidi"/>
                <w:sz w:val="20"/>
                <w:szCs w:val="20"/>
              </w:rPr>
            </w:pPr>
            <w:r w:rsidRPr="00B45C19">
              <w:rPr>
                <w:rFonts w:asciiTheme="majorBidi" w:hAnsiTheme="majorBidi" w:cstheme="majorBidi"/>
                <w:sz w:val="20"/>
                <w:szCs w:val="20"/>
              </w:rPr>
              <w:t>Hypoalbuminemia</w:t>
            </w:r>
          </w:p>
        </w:tc>
        <w:tc>
          <w:tcPr>
            <w:tcW w:w="4675" w:type="dxa"/>
            <w:tcBorders>
              <w:bottom w:val="single" w:sz="4" w:space="0" w:color="auto"/>
            </w:tcBorders>
          </w:tcPr>
          <w:p w14:paraId="057DF02A" w14:textId="77777777" w:rsidR="00C32EB3" w:rsidRPr="00B45C19" w:rsidRDefault="00C32EB3" w:rsidP="006C544A">
            <w:pPr>
              <w:spacing w:line="276" w:lineRule="auto"/>
              <w:jc w:val="center"/>
              <w:rPr>
                <w:rFonts w:asciiTheme="majorBidi" w:hAnsiTheme="majorBidi" w:cstheme="majorBidi"/>
                <w:sz w:val="20"/>
                <w:szCs w:val="20"/>
              </w:rPr>
            </w:pPr>
            <w:r w:rsidRPr="00B45C19">
              <w:rPr>
                <w:rFonts w:asciiTheme="majorBidi" w:hAnsiTheme="majorBidi" w:cstheme="majorBidi"/>
                <w:sz w:val="20"/>
                <w:szCs w:val="20"/>
              </w:rPr>
              <w:t>2 (4%)</w:t>
            </w:r>
          </w:p>
        </w:tc>
      </w:tr>
    </w:tbl>
    <w:p w14:paraId="1CE31353" w14:textId="77777777" w:rsidR="00C32EB3" w:rsidRPr="00834F66" w:rsidRDefault="00C32EB3" w:rsidP="00C32EB3">
      <w:pPr>
        <w:pStyle w:val="NormalWeb"/>
        <w:spacing w:before="0" w:beforeAutospacing="0" w:after="0" w:afterAutospacing="0" w:line="360" w:lineRule="auto"/>
        <w:jc w:val="both"/>
        <w:rPr>
          <w:rFonts w:asciiTheme="majorBidi" w:hAnsiTheme="majorBidi" w:cstheme="majorBidi"/>
        </w:rPr>
      </w:pPr>
    </w:p>
    <w:p w14:paraId="4E691BF0" w14:textId="14D08024" w:rsidR="00C32EB3" w:rsidRPr="009523FB" w:rsidRDefault="00C32EB3" w:rsidP="00C32EB3">
      <w:pPr>
        <w:pStyle w:val="NormalWeb"/>
        <w:spacing w:before="0" w:beforeAutospacing="0" w:after="0" w:afterAutospacing="0" w:line="360" w:lineRule="auto"/>
        <w:jc w:val="both"/>
        <w:rPr>
          <w:rFonts w:asciiTheme="majorBidi" w:hAnsiTheme="majorBidi" w:cstheme="majorBidi"/>
        </w:rPr>
      </w:pPr>
      <w:r w:rsidRPr="00CB4F66">
        <w:rPr>
          <w:rFonts w:asciiTheme="majorBidi" w:hAnsiTheme="majorBidi" w:cstheme="majorBidi"/>
        </w:rPr>
        <w:t>Tab 5</w:t>
      </w:r>
      <w:r w:rsidRPr="009523FB">
        <w:rPr>
          <w:rFonts w:asciiTheme="majorBidi" w:hAnsiTheme="majorBidi" w:cstheme="majorBidi"/>
        </w:rPr>
        <w:t xml:space="preserve"> presents a distinct summary of fecal calprotectin (FCP) values among 50 patients before and after polypectomy, with a marked decrease after treatment. Before polypectomy, all the patients (100%) had FCP values more than 50 </w:t>
      </w:r>
      <w:proofErr w:type="spellStart"/>
      <w:r w:rsidRPr="009523FB">
        <w:rPr>
          <w:rFonts w:asciiTheme="majorBidi" w:hAnsiTheme="majorBidi" w:cstheme="majorBidi"/>
        </w:rPr>
        <w:t>μg</w:t>
      </w:r>
      <w:proofErr w:type="spellEnd"/>
      <w:r w:rsidRPr="009523FB">
        <w:rPr>
          <w:rFonts w:asciiTheme="majorBidi" w:hAnsiTheme="majorBidi" w:cstheme="majorBidi"/>
        </w:rPr>
        <w:t>/g with a median value of 345 </w:t>
      </w:r>
      <w:proofErr w:type="spellStart"/>
      <w:r w:rsidRPr="009523FB">
        <w:rPr>
          <w:rFonts w:asciiTheme="majorBidi" w:hAnsiTheme="majorBidi" w:cstheme="majorBidi"/>
        </w:rPr>
        <w:t>μg</w:t>
      </w:r>
      <w:proofErr w:type="spellEnd"/>
      <w:r w:rsidRPr="009523FB">
        <w:rPr>
          <w:rFonts w:asciiTheme="majorBidi" w:hAnsiTheme="majorBidi" w:cstheme="majorBidi"/>
        </w:rPr>
        <w:t>/g (IQR: 175–510), indicating increased intestinal inflammation. After polypectomy, 78% of patients lowered their FCP levels to ≤50 </w:t>
      </w:r>
      <w:proofErr w:type="spellStart"/>
      <w:r w:rsidRPr="009523FB">
        <w:rPr>
          <w:rFonts w:asciiTheme="majorBidi" w:hAnsiTheme="majorBidi" w:cstheme="majorBidi"/>
        </w:rPr>
        <w:t>μg</w:t>
      </w:r>
      <w:proofErr w:type="spellEnd"/>
      <w:r w:rsidRPr="009523FB">
        <w:rPr>
          <w:rFonts w:asciiTheme="majorBidi" w:hAnsiTheme="majorBidi" w:cstheme="majorBidi"/>
        </w:rPr>
        <w:t>/g, and the median value of FCP dropped drastically to 44.8 </w:t>
      </w:r>
      <w:proofErr w:type="spellStart"/>
      <w:r w:rsidRPr="009523FB">
        <w:rPr>
          <w:rFonts w:asciiTheme="majorBidi" w:hAnsiTheme="majorBidi" w:cstheme="majorBidi"/>
        </w:rPr>
        <w:t>μg</w:t>
      </w:r>
      <w:proofErr w:type="spellEnd"/>
      <w:r w:rsidRPr="009523FB">
        <w:rPr>
          <w:rFonts w:asciiTheme="majorBidi" w:hAnsiTheme="majorBidi" w:cstheme="majorBidi"/>
        </w:rPr>
        <w:t xml:space="preserve">/g (IQR: 30.5–59.5). The reduction is significant statistically (p=0.001), indicating that polyp removal is associated with </w:t>
      </w:r>
      <w:r w:rsidR="00744EFF">
        <w:rPr>
          <w:rFonts w:asciiTheme="majorBidi" w:hAnsiTheme="majorBidi" w:cstheme="majorBidi"/>
        </w:rPr>
        <w:t>substantial</w:t>
      </w:r>
      <w:r w:rsidRPr="009523FB">
        <w:rPr>
          <w:rFonts w:asciiTheme="majorBidi" w:hAnsiTheme="majorBidi" w:cstheme="majorBidi"/>
        </w:rPr>
        <w:t xml:space="preserve"> improvement of </w:t>
      </w:r>
      <w:r w:rsidR="006D156A">
        <w:rPr>
          <w:rFonts w:asciiTheme="majorBidi" w:hAnsiTheme="majorBidi" w:cstheme="majorBidi"/>
        </w:rPr>
        <w:t xml:space="preserve">the </w:t>
      </w:r>
      <w:r w:rsidRPr="009523FB">
        <w:rPr>
          <w:rFonts w:asciiTheme="majorBidi" w:hAnsiTheme="majorBidi" w:cstheme="majorBidi"/>
        </w:rPr>
        <w:t>inflammatory condition as reflected</w:t>
      </w:r>
      <w:r>
        <w:rPr>
          <w:rFonts w:asciiTheme="majorBidi" w:hAnsiTheme="majorBidi" w:cstheme="majorBidi"/>
        </w:rPr>
        <w:t xml:space="preserve"> by FCP</w:t>
      </w:r>
      <w:r w:rsidRPr="00834F66">
        <w:rPr>
          <w:rFonts w:asciiTheme="majorBidi" w:hAnsiTheme="majorBidi" w:cstheme="majorBidi"/>
          <w:b/>
          <w:bCs/>
        </w:rPr>
        <w:t>.</w:t>
      </w:r>
      <w:r w:rsidRPr="00834F66">
        <w:rPr>
          <w:rFonts w:asciiTheme="majorBidi" w:hAnsiTheme="majorBidi" w:cstheme="majorBidi"/>
        </w:rPr>
        <w:t> </w:t>
      </w:r>
    </w:p>
    <w:p w14:paraId="3633A213" w14:textId="42C3134E" w:rsidR="00D06A9F" w:rsidRDefault="00D06A9F" w:rsidP="00CB4F66">
      <w:pPr>
        <w:pStyle w:val="Caption"/>
        <w:keepNext/>
      </w:pPr>
      <w:r>
        <w:t xml:space="preserve">Tab </w:t>
      </w:r>
      <w:r w:rsidR="002C769D">
        <w:fldChar w:fldCharType="begin"/>
      </w:r>
      <w:r w:rsidR="002C769D">
        <w:instrText xml:space="preserve"> SEQ Table \* ARABIC </w:instrText>
      </w:r>
      <w:r w:rsidR="002C769D">
        <w:fldChar w:fldCharType="separate"/>
      </w:r>
      <w:r w:rsidR="00D50325">
        <w:rPr>
          <w:noProof/>
        </w:rPr>
        <w:t>5</w:t>
      </w:r>
      <w:r w:rsidR="002C769D">
        <w:rPr>
          <w:noProof/>
        </w:rPr>
        <w:fldChar w:fldCharType="end"/>
      </w:r>
      <w:r>
        <w:t xml:space="preserve">. </w:t>
      </w:r>
      <w:r w:rsidRPr="00D06A9F">
        <w:t>Distribution of the patients by FCP before and after polypectomy (n=50)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Distribution of the patients by FCP before and after polypectomy (n=50)"/>
        <w:tblDescription w:val="Values are presented as a number (%). Statistical comparison performed using the Mann-Whitney U test, * p &lt; 0.05 considered statistically significant. FCP: fecal calprotectin.&#10;&#10;"/>
      </w:tblPr>
      <w:tblGrid>
        <w:gridCol w:w="2332"/>
        <w:gridCol w:w="2349"/>
        <w:gridCol w:w="2349"/>
        <w:gridCol w:w="2320"/>
      </w:tblGrid>
      <w:tr w:rsidR="00C32EB3" w:rsidRPr="00D06A9F" w14:paraId="0E1645A7" w14:textId="77777777" w:rsidTr="00D06A9F">
        <w:tc>
          <w:tcPr>
            <w:tcW w:w="2332" w:type="dxa"/>
            <w:tcBorders>
              <w:top w:val="single" w:sz="4" w:space="0" w:color="auto"/>
              <w:bottom w:val="single" w:sz="4" w:space="0" w:color="auto"/>
            </w:tcBorders>
          </w:tcPr>
          <w:p w14:paraId="07CF4F08" w14:textId="77777777" w:rsidR="00C32EB3" w:rsidRPr="00D06A9F" w:rsidRDefault="00C32EB3" w:rsidP="006C544A">
            <w:pPr>
              <w:spacing w:line="360" w:lineRule="auto"/>
              <w:rPr>
                <w:rFonts w:asciiTheme="majorBidi" w:hAnsiTheme="majorBidi" w:cstheme="majorBidi"/>
                <w:sz w:val="18"/>
                <w:szCs w:val="18"/>
              </w:rPr>
            </w:pPr>
            <w:r w:rsidRPr="00D06A9F">
              <w:rPr>
                <w:rFonts w:asciiTheme="majorBidi" w:hAnsiTheme="majorBidi" w:cstheme="majorBidi"/>
                <w:sz w:val="18"/>
                <w:szCs w:val="18"/>
              </w:rPr>
              <w:t>FCP level (</w:t>
            </w:r>
            <w:proofErr w:type="spellStart"/>
            <w:r w:rsidRPr="00D06A9F">
              <w:rPr>
                <w:rFonts w:asciiTheme="majorBidi" w:hAnsiTheme="majorBidi" w:cstheme="majorBidi"/>
                <w:sz w:val="18"/>
                <w:szCs w:val="18"/>
              </w:rPr>
              <w:t>μg</w:t>
            </w:r>
            <w:proofErr w:type="spellEnd"/>
            <w:r w:rsidRPr="00D06A9F">
              <w:rPr>
                <w:rFonts w:asciiTheme="majorBidi" w:hAnsiTheme="majorBidi" w:cstheme="majorBidi"/>
                <w:sz w:val="18"/>
                <w:szCs w:val="18"/>
              </w:rPr>
              <w:t>/g)</w:t>
            </w:r>
          </w:p>
        </w:tc>
        <w:tc>
          <w:tcPr>
            <w:tcW w:w="2349" w:type="dxa"/>
            <w:tcBorders>
              <w:top w:val="single" w:sz="4" w:space="0" w:color="auto"/>
              <w:bottom w:val="single" w:sz="4" w:space="0" w:color="auto"/>
            </w:tcBorders>
          </w:tcPr>
          <w:p w14:paraId="37179796" w14:textId="77777777" w:rsidR="00C32EB3" w:rsidRPr="00D06A9F" w:rsidRDefault="00C32EB3" w:rsidP="006C544A">
            <w:pPr>
              <w:spacing w:line="360" w:lineRule="auto"/>
              <w:rPr>
                <w:rFonts w:asciiTheme="majorBidi" w:hAnsiTheme="majorBidi" w:cstheme="majorBidi"/>
                <w:sz w:val="18"/>
                <w:szCs w:val="18"/>
              </w:rPr>
            </w:pPr>
            <w:r w:rsidRPr="00D06A9F">
              <w:rPr>
                <w:rFonts w:asciiTheme="majorBidi" w:hAnsiTheme="majorBidi" w:cstheme="majorBidi"/>
                <w:sz w:val="18"/>
                <w:szCs w:val="18"/>
              </w:rPr>
              <w:t>Before polypectomy (n=50)</w:t>
            </w:r>
          </w:p>
        </w:tc>
        <w:tc>
          <w:tcPr>
            <w:tcW w:w="2349" w:type="dxa"/>
            <w:tcBorders>
              <w:top w:val="single" w:sz="4" w:space="0" w:color="auto"/>
              <w:bottom w:val="single" w:sz="4" w:space="0" w:color="auto"/>
            </w:tcBorders>
          </w:tcPr>
          <w:p w14:paraId="1F1F1961" w14:textId="77777777" w:rsidR="00C32EB3" w:rsidRPr="00D06A9F" w:rsidRDefault="00C32EB3" w:rsidP="006C544A">
            <w:pPr>
              <w:spacing w:line="360" w:lineRule="auto"/>
              <w:rPr>
                <w:rFonts w:asciiTheme="majorBidi" w:hAnsiTheme="majorBidi" w:cstheme="majorBidi"/>
                <w:sz w:val="18"/>
                <w:szCs w:val="18"/>
              </w:rPr>
            </w:pPr>
            <w:r w:rsidRPr="00D06A9F">
              <w:rPr>
                <w:rFonts w:asciiTheme="majorBidi" w:hAnsiTheme="majorBidi" w:cstheme="majorBidi"/>
                <w:sz w:val="18"/>
                <w:szCs w:val="18"/>
              </w:rPr>
              <w:t>After polypectomy (n=50)</w:t>
            </w:r>
          </w:p>
        </w:tc>
        <w:tc>
          <w:tcPr>
            <w:tcW w:w="2320" w:type="dxa"/>
            <w:tcBorders>
              <w:top w:val="single" w:sz="4" w:space="0" w:color="auto"/>
              <w:bottom w:val="single" w:sz="4" w:space="0" w:color="auto"/>
            </w:tcBorders>
          </w:tcPr>
          <w:p w14:paraId="071D6772" w14:textId="77777777" w:rsidR="00C32EB3" w:rsidRPr="00D06A9F" w:rsidRDefault="00C32EB3" w:rsidP="006C544A">
            <w:pPr>
              <w:spacing w:line="360" w:lineRule="auto"/>
              <w:rPr>
                <w:rFonts w:asciiTheme="majorBidi" w:hAnsiTheme="majorBidi" w:cstheme="majorBidi"/>
                <w:sz w:val="18"/>
                <w:szCs w:val="18"/>
              </w:rPr>
            </w:pPr>
            <w:r w:rsidRPr="00D06A9F">
              <w:rPr>
                <w:rFonts w:asciiTheme="majorBidi" w:hAnsiTheme="majorBidi" w:cstheme="majorBidi"/>
                <w:sz w:val="18"/>
                <w:szCs w:val="18"/>
              </w:rPr>
              <w:t>p-value</w:t>
            </w:r>
          </w:p>
        </w:tc>
      </w:tr>
      <w:tr w:rsidR="00C32EB3" w:rsidRPr="00D06A9F" w14:paraId="65A95FE8" w14:textId="77777777" w:rsidTr="00D06A9F">
        <w:tc>
          <w:tcPr>
            <w:tcW w:w="2332" w:type="dxa"/>
            <w:tcBorders>
              <w:top w:val="single" w:sz="4" w:space="0" w:color="auto"/>
            </w:tcBorders>
          </w:tcPr>
          <w:p w14:paraId="077AC4DA"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≤50</w:t>
            </w:r>
          </w:p>
        </w:tc>
        <w:tc>
          <w:tcPr>
            <w:tcW w:w="2349" w:type="dxa"/>
            <w:tcBorders>
              <w:top w:val="single" w:sz="4" w:space="0" w:color="auto"/>
            </w:tcBorders>
          </w:tcPr>
          <w:p w14:paraId="0BDEA6FB"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0</w:t>
            </w:r>
          </w:p>
        </w:tc>
        <w:tc>
          <w:tcPr>
            <w:tcW w:w="2349" w:type="dxa"/>
            <w:tcBorders>
              <w:top w:val="single" w:sz="4" w:space="0" w:color="auto"/>
            </w:tcBorders>
          </w:tcPr>
          <w:p w14:paraId="77B89F1B"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39 (78%)</w:t>
            </w:r>
          </w:p>
        </w:tc>
        <w:tc>
          <w:tcPr>
            <w:tcW w:w="2320" w:type="dxa"/>
            <w:tcBorders>
              <w:top w:val="single" w:sz="4" w:space="0" w:color="auto"/>
            </w:tcBorders>
          </w:tcPr>
          <w:p w14:paraId="00BCCA4B" w14:textId="77777777" w:rsidR="00C32EB3" w:rsidRPr="00D06A9F" w:rsidRDefault="00C32EB3" w:rsidP="006C544A">
            <w:pPr>
              <w:spacing w:line="360" w:lineRule="auto"/>
              <w:rPr>
                <w:rFonts w:asciiTheme="majorBidi" w:hAnsiTheme="majorBidi" w:cstheme="majorBidi"/>
                <w:sz w:val="20"/>
                <w:szCs w:val="20"/>
              </w:rPr>
            </w:pPr>
          </w:p>
        </w:tc>
      </w:tr>
      <w:tr w:rsidR="00C32EB3" w:rsidRPr="00D06A9F" w14:paraId="458554D5" w14:textId="77777777" w:rsidTr="00D06A9F">
        <w:tc>
          <w:tcPr>
            <w:tcW w:w="2332" w:type="dxa"/>
          </w:tcPr>
          <w:p w14:paraId="2DD13E1F"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&gt;50</w:t>
            </w:r>
          </w:p>
        </w:tc>
        <w:tc>
          <w:tcPr>
            <w:tcW w:w="2349" w:type="dxa"/>
          </w:tcPr>
          <w:p w14:paraId="4F48ED59"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50 (100%)</w:t>
            </w:r>
          </w:p>
        </w:tc>
        <w:tc>
          <w:tcPr>
            <w:tcW w:w="2349" w:type="dxa"/>
          </w:tcPr>
          <w:p w14:paraId="3BC6511D"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11 (22%)</w:t>
            </w:r>
          </w:p>
        </w:tc>
        <w:tc>
          <w:tcPr>
            <w:tcW w:w="2320" w:type="dxa"/>
          </w:tcPr>
          <w:p w14:paraId="4222A0F3" w14:textId="77777777" w:rsidR="00C32EB3" w:rsidRPr="00D06A9F" w:rsidRDefault="00C32EB3" w:rsidP="006C544A">
            <w:pPr>
              <w:spacing w:line="360" w:lineRule="auto"/>
              <w:rPr>
                <w:rFonts w:asciiTheme="majorBidi" w:hAnsiTheme="majorBidi" w:cstheme="majorBidi"/>
                <w:sz w:val="20"/>
                <w:szCs w:val="20"/>
              </w:rPr>
            </w:pPr>
          </w:p>
        </w:tc>
      </w:tr>
      <w:tr w:rsidR="00C32EB3" w:rsidRPr="00D06A9F" w14:paraId="28465BDE" w14:textId="77777777" w:rsidTr="00D06A9F">
        <w:tc>
          <w:tcPr>
            <w:tcW w:w="2332" w:type="dxa"/>
          </w:tcPr>
          <w:p w14:paraId="27143EF4"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Median (IQR)</w:t>
            </w:r>
          </w:p>
        </w:tc>
        <w:tc>
          <w:tcPr>
            <w:tcW w:w="2349" w:type="dxa"/>
          </w:tcPr>
          <w:p w14:paraId="4EBFECBC"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345 (175–510)</w:t>
            </w:r>
          </w:p>
        </w:tc>
        <w:tc>
          <w:tcPr>
            <w:tcW w:w="2349" w:type="dxa"/>
          </w:tcPr>
          <w:p w14:paraId="33E9B6D3"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44.8 (30.5–59.5)</w:t>
            </w:r>
          </w:p>
        </w:tc>
        <w:tc>
          <w:tcPr>
            <w:tcW w:w="2320" w:type="dxa"/>
          </w:tcPr>
          <w:p w14:paraId="28177DEB"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0.001 *</w:t>
            </w:r>
          </w:p>
        </w:tc>
      </w:tr>
      <w:tr w:rsidR="00C32EB3" w:rsidRPr="00D06A9F" w14:paraId="2546E7E4" w14:textId="77777777" w:rsidTr="00D06A9F">
        <w:tc>
          <w:tcPr>
            <w:tcW w:w="2332" w:type="dxa"/>
            <w:tcBorders>
              <w:bottom w:val="single" w:sz="4" w:space="0" w:color="auto"/>
            </w:tcBorders>
          </w:tcPr>
          <w:p w14:paraId="2E3F0FAB"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Range (min–max)</w:t>
            </w:r>
          </w:p>
        </w:tc>
        <w:tc>
          <w:tcPr>
            <w:tcW w:w="2349" w:type="dxa"/>
            <w:tcBorders>
              <w:bottom w:val="single" w:sz="4" w:space="0" w:color="auto"/>
            </w:tcBorders>
          </w:tcPr>
          <w:p w14:paraId="4448D98E"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124 – 940</w:t>
            </w:r>
          </w:p>
        </w:tc>
        <w:tc>
          <w:tcPr>
            <w:tcW w:w="2349" w:type="dxa"/>
            <w:tcBorders>
              <w:bottom w:val="single" w:sz="4" w:space="0" w:color="auto"/>
            </w:tcBorders>
          </w:tcPr>
          <w:p w14:paraId="39CEEC89" w14:textId="77777777" w:rsidR="00C32EB3" w:rsidRPr="00D06A9F" w:rsidRDefault="00C32EB3" w:rsidP="006C544A">
            <w:pPr>
              <w:spacing w:line="360" w:lineRule="auto"/>
              <w:rPr>
                <w:rFonts w:asciiTheme="majorBidi" w:hAnsiTheme="majorBidi" w:cstheme="majorBidi"/>
                <w:sz w:val="20"/>
                <w:szCs w:val="20"/>
              </w:rPr>
            </w:pPr>
            <w:r w:rsidRPr="00D06A9F">
              <w:rPr>
                <w:sz w:val="20"/>
                <w:szCs w:val="20"/>
              </w:rPr>
              <w:t>24 – 85</w:t>
            </w:r>
          </w:p>
        </w:tc>
        <w:tc>
          <w:tcPr>
            <w:tcW w:w="2320" w:type="dxa"/>
            <w:tcBorders>
              <w:bottom w:val="single" w:sz="4" w:space="0" w:color="auto"/>
            </w:tcBorders>
          </w:tcPr>
          <w:p w14:paraId="52551657" w14:textId="77777777" w:rsidR="00C32EB3" w:rsidRPr="00D06A9F" w:rsidRDefault="00C32EB3" w:rsidP="00D06A9F">
            <w:pPr>
              <w:keepNext/>
              <w:spacing w:line="360" w:lineRule="auto"/>
              <w:rPr>
                <w:rFonts w:asciiTheme="majorBidi" w:hAnsiTheme="majorBidi" w:cstheme="majorBidi"/>
                <w:sz w:val="20"/>
                <w:szCs w:val="20"/>
              </w:rPr>
            </w:pPr>
          </w:p>
        </w:tc>
      </w:tr>
    </w:tbl>
    <w:p w14:paraId="2D31D766" w14:textId="77777777" w:rsidR="00D06A9F" w:rsidRPr="00D06A9F" w:rsidRDefault="00D06A9F" w:rsidP="00D06A9F">
      <w:pPr>
        <w:spacing w:after="0" w:line="240" w:lineRule="auto"/>
        <w:jc w:val="both"/>
        <w:rPr>
          <w:i/>
          <w:iCs/>
          <w:color w:val="44546A" w:themeColor="text2"/>
          <w:sz w:val="18"/>
          <w:szCs w:val="18"/>
        </w:rPr>
      </w:pPr>
      <w:r w:rsidRPr="00D06A9F">
        <w:rPr>
          <w:i/>
          <w:iCs/>
          <w:color w:val="44546A" w:themeColor="text2"/>
          <w:sz w:val="18"/>
          <w:szCs w:val="18"/>
        </w:rPr>
        <w:t>Values are presented as a number (%). Statistical comparison performed using the Mann-Whitney U test, * p &lt; 0.05 considered statistically significant. FCP: fecal calprotectin.</w:t>
      </w:r>
    </w:p>
    <w:p w14:paraId="6C213B7E" w14:textId="77777777" w:rsidR="00D06A9F" w:rsidRPr="00D06A9F" w:rsidRDefault="00D06A9F" w:rsidP="00D06A9F">
      <w:pPr>
        <w:spacing w:after="0" w:line="240" w:lineRule="auto"/>
        <w:jc w:val="both"/>
        <w:rPr>
          <w:i/>
          <w:iCs/>
          <w:color w:val="44546A" w:themeColor="text2"/>
          <w:sz w:val="18"/>
          <w:szCs w:val="18"/>
        </w:rPr>
      </w:pPr>
    </w:p>
    <w:p w14:paraId="3549A444" w14:textId="2DD58EF4" w:rsidR="00C32EB3" w:rsidRDefault="00C32EB3" w:rsidP="00C32EB3">
      <w:pPr>
        <w:spacing w:after="0" w:line="360" w:lineRule="auto"/>
        <w:jc w:val="both"/>
        <w:rPr>
          <w:rFonts w:asciiTheme="majorBidi" w:eastAsia="Times New Roman" w:hAnsiTheme="majorBidi" w:cstheme="majorBidi"/>
          <w:b/>
          <w:bCs/>
          <w:sz w:val="24"/>
          <w:szCs w:val="24"/>
        </w:rPr>
      </w:pPr>
      <w:r w:rsidRPr="00CB4F66">
        <w:rPr>
          <w:rFonts w:asciiTheme="majorBidi" w:eastAsia="Times New Roman" w:hAnsiTheme="majorBidi" w:cstheme="majorBidi"/>
          <w:sz w:val="24"/>
          <w:szCs w:val="24"/>
        </w:rPr>
        <w:t>Tab 6</w:t>
      </w:r>
      <w:r w:rsidRPr="00DA5A8C">
        <w:rPr>
          <w:rFonts w:asciiTheme="majorBidi" w:eastAsia="Times New Roman" w:hAnsiTheme="majorBidi" w:cstheme="majorBidi"/>
          <w:b/>
          <w:bCs/>
          <w:sz w:val="24"/>
          <w:szCs w:val="24"/>
        </w:rPr>
        <w:t xml:space="preserve"> </w:t>
      </w:r>
      <w:r w:rsidRPr="00DA5A8C">
        <w:rPr>
          <w:rFonts w:asciiTheme="majorBidi" w:eastAsia="Times New Roman" w:hAnsiTheme="majorBidi" w:cstheme="majorBidi"/>
          <w:sz w:val="24"/>
          <w:szCs w:val="24"/>
        </w:rPr>
        <w:t>shows that patients with high fecal calprotectin (FC) levels (≥400 </w:t>
      </w:r>
      <w:proofErr w:type="spellStart"/>
      <w:r w:rsidRPr="00DA5A8C">
        <w:rPr>
          <w:rFonts w:asciiTheme="majorBidi" w:eastAsia="Times New Roman" w:hAnsiTheme="majorBidi" w:cstheme="majorBidi"/>
          <w:sz w:val="24"/>
          <w:szCs w:val="24"/>
        </w:rPr>
        <w:t>μg</w:t>
      </w:r>
      <w:proofErr w:type="spellEnd"/>
      <w:r w:rsidRPr="00DA5A8C">
        <w:rPr>
          <w:rFonts w:asciiTheme="majorBidi" w:eastAsia="Times New Roman" w:hAnsiTheme="majorBidi" w:cstheme="majorBidi"/>
          <w:sz w:val="24"/>
          <w:szCs w:val="24"/>
        </w:rPr>
        <w:t xml:space="preserve">/g) have more advanced polyp features. They are likely to have multiple and larger </w:t>
      </w:r>
      <w:r w:rsidR="00E67BA5" w:rsidRPr="00DA5A8C">
        <w:rPr>
          <w:rFonts w:asciiTheme="majorBidi" w:eastAsia="Times New Roman" w:hAnsiTheme="majorBidi" w:cstheme="majorBidi"/>
          <w:sz w:val="24"/>
          <w:szCs w:val="24"/>
        </w:rPr>
        <w:t>polyps,</w:t>
      </w:r>
      <w:r w:rsidR="00E67BA5">
        <w:rPr>
          <w:rFonts w:asciiTheme="majorBidi" w:eastAsia="Times New Roman" w:hAnsiTheme="majorBidi" w:cstheme="majorBidi"/>
          <w:sz w:val="24"/>
          <w:szCs w:val="24"/>
        </w:rPr>
        <w:t xml:space="preserve"> and a pedunculated appearance</w:t>
      </w:r>
      <w:r w:rsidRPr="00DA5A8C">
        <w:rPr>
          <w:rFonts w:asciiTheme="majorBidi" w:eastAsia="Times New Roman" w:hAnsiTheme="majorBidi" w:cstheme="majorBidi"/>
          <w:sz w:val="24"/>
          <w:szCs w:val="24"/>
        </w:rPr>
        <w:t xml:space="preserve"> compared to those with FC &lt;400 </w:t>
      </w:r>
      <w:proofErr w:type="spellStart"/>
      <w:r w:rsidRPr="00DA5A8C">
        <w:rPr>
          <w:rFonts w:asciiTheme="majorBidi" w:eastAsia="Times New Roman" w:hAnsiTheme="majorBidi" w:cstheme="majorBidi"/>
          <w:sz w:val="24"/>
          <w:szCs w:val="24"/>
        </w:rPr>
        <w:t>μg</w:t>
      </w:r>
      <w:proofErr w:type="spellEnd"/>
      <w:r w:rsidRPr="00DA5A8C">
        <w:rPr>
          <w:rFonts w:asciiTheme="majorBidi" w:eastAsia="Times New Roman" w:hAnsiTheme="majorBidi" w:cstheme="majorBidi"/>
          <w:sz w:val="24"/>
          <w:szCs w:val="24"/>
        </w:rPr>
        <w:t xml:space="preserve">/g. Although there was no statistically significant difference in age </w:t>
      </w:r>
      <w:proofErr w:type="gramStart"/>
      <w:r w:rsidR="00E67BA5">
        <w:rPr>
          <w:rFonts w:asciiTheme="majorBidi" w:eastAsia="Times New Roman" w:hAnsiTheme="majorBidi" w:cstheme="majorBidi"/>
          <w:sz w:val="24"/>
          <w:szCs w:val="24"/>
        </w:rPr>
        <w:t>at</w:t>
      </w:r>
      <w:proofErr w:type="gramEnd"/>
      <w:r w:rsidRPr="00DA5A8C">
        <w:rPr>
          <w:rFonts w:asciiTheme="majorBidi" w:eastAsia="Times New Roman" w:hAnsiTheme="majorBidi" w:cstheme="majorBidi"/>
          <w:sz w:val="24"/>
          <w:szCs w:val="24"/>
        </w:rPr>
        <w:t xml:space="preserve"> diagnosis, the differences in the polyp features were statistically significant, and </w:t>
      </w:r>
      <w:r w:rsidR="00E67BA5">
        <w:rPr>
          <w:rFonts w:asciiTheme="majorBidi" w:eastAsia="Times New Roman" w:hAnsiTheme="majorBidi" w:cstheme="majorBidi"/>
          <w:sz w:val="24"/>
          <w:szCs w:val="24"/>
        </w:rPr>
        <w:t>an influential</w:t>
      </w:r>
      <w:r w:rsidRPr="00DA5A8C">
        <w:rPr>
          <w:rFonts w:asciiTheme="majorBidi" w:eastAsia="Times New Roman" w:hAnsiTheme="majorBidi" w:cstheme="majorBidi"/>
          <w:sz w:val="24"/>
          <w:szCs w:val="24"/>
        </w:rPr>
        <w:t xml:space="preserve"> association between high FC levels and advanced polyp features was shown.</w:t>
      </w:r>
    </w:p>
    <w:p w14:paraId="68F09583" w14:textId="55F0CFCD" w:rsidR="000D25FB" w:rsidRPr="000D25FB" w:rsidRDefault="000D25FB" w:rsidP="000D25FB">
      <w:pPr>
        <w:pStyle w:val="Caption"/>
        <w:keepNext/>
        <w:rPr>
          <w:b/>
          <w:bCs/>
        </w:rPr>
      </w:pPr>
      <w:r>
        <w:t xml:space="preserve">Tab </w:t>
      </w:r>
      <w:r w:rsidR="002C769D">
        <w:fldChar w:fldCharType="begin"/>
      </w:r>
      <w:r w:rsidR="002C769D">
        <w:instrText xml:space="preserve"> SEQ Table \* ARABIC </w:instrText>
      </w:r>
      <w:r w:rsidR="002C769D">
        <w:fldChar w:fldCharType="separate"/>
      </w:r>
      <w:r w:rsidR="00D50325">
        <w:rPr>
          <w:noProof/>
        </w:rPr>
        <w:t>6</w:t>
      </w:r>
      <w:r w:rsidR="002C769D">
        <w:rPr>
          <w:noProof/>
        </w:rPr>
        <w:fldChar w:fldCharType="end"/>
      </w:r>
      <w:r>
        <w:t xml:space="preserve">. </w:t>
      </w:r>
      <w:r w:rsidRPr="00CB4F66">
        <w:t>Comparison of patients based on median fecal calprotectin levels.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6. Comparison of patients based on median fecal calprotectin levels."/>
        <w:tblDescription w:val="U: Mann–Whitney, t: independent samples t-test, χ2 chi-square "/>
      </w:tblPr>
      <w:tblGrid>
        <w:gridCol w:w="2943"/>
        <w:gridCol w:w="1659"/>
        <w:gridCol w:w="1560"/>
        <w:gridCol w:w="857"/>
        <w:gridCol w:w="2156"/>
      </w:tblGrid>
      <w:tr w:rsidR="00C32EB3" w:rsidRPr="000D25FB" w14:paraId="76F12F53" w14:textId="77777777" w:rsidTr="000D25FB">
        <w:trPr>
          <w:jc w:val="center"/>
        </w:trPr>
        <w:tc>
          <w:tcPr>
            <w:tcW w:w="2943" w:type="dxa"/>
            <w:tcBorders>
              <w:top w:val="single" w:sz="4" w:space="0" w:color="auto"/>
              <w:bottom w:val="single" w:sz="4" w:space="0" w:color="auto"/>
            </w:tcBorders>
          </w:tcPr>
          <w:p w14:paraId="6D60DD7F"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Variable</w:t>
            </w:r>
          </w:p>
        </w:tc>
        <w:tc>
          <w:tcPr>
            <w:tcW w:w="1659" w:type="dxa"/>
            <w:tcBorders>
              <w:top w:val="single" w:sz="4" w:space="0" w:color="auto"/>
              <w:bottom w:val="single" w:sz="4" w:space="0" w:color="auto"/>
            </w:tcBorders>
          </w:tcPr>
          <w:p w14:paraId="381E39AA"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FC &lt; 400 (n = 18)</w:t>
            </w:r>
          </w:p>
        </w:tc>
        <w:tc>
          <w:tcPr>
            <w:tcW w:w="1560" w:type="dxa"/>
            <w:tcBorders>
              <w:top w:val="single" w:sz="4" w:space="0" w:color="auto"/>
              <w:bottom w:val="single" w:sz="4" w:space="0" w:color="auto"/>
            </w:tcBorders>
          </w:tcPr>
          <w:p w14:paraId="7A96F137"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FC ≥ 400 (n = 32)</w:t>
            </w:r>
          </w:p>
        </w:tc>
        <w:tc>
          <w:tcPr>
            <w:tcW w:w="857" w:type="dxa"/>
            <w:tcBorders>
              <w:top w:val="single" w:sz="4" w:space="0" w:color="auto"/>
              <w:bottom w:val="single" w:sz="4" w:space="0" w:color="auto"/>
            </w:tcBorders>
          </w:tcPr>
          <w:p w14:paraId="0BB0CF9B"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 xml:space="preserve">Test </w:t>
            </w:r>
          </w:p>
        </w:tc>
        <w:tc>
          <w:tcPr>
            <w:tcW w:w="2156" w:type="dxa"/>
            <w:tcBorders>
              <w:top w:val="single" w:sz="4" w:space="0" w:color="auto"/>
              <w:bottom w:val="single" w:sz="4" w:space="0" w:color="auto"/>
            </w:tcBorders>
          </w:tcPr>
          <w:p w14:paraId="1919341E"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p-value</w:t>
            </w:r>
          </w:p>
        </w:tc>
      </w:tr>
      <w:tr w:rsidR="00C32EB3" w:rsidRPr="000D25FB" w14:paraId="39D681A2" w14:textId="77777777" w:rsidTr="000D25FB">
        <w:trPr>
          <w:jc w:val="center"/>
        </w:trPr>
        <w:tc>
          <w:tcPr>
            <w:tcW w:w="2943" w:type="dxa"/>
            <w:tcBorders>
              <w:top w:val="single" w:sz="4" w:space="0" w:color="auto"/>
            </w:tcBorders>
          </w:tcPr>
          <w:p w14:paraId="1DB1677C"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Age at diagnosis (years)</w:t>
            </w:r>
          </w:p>
          <w:p w14:paraId="39DBBBEA"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mean ± SD</w:t>
            </w:r>
          </w:p>
        </w:tc>
        <w:tc>
          <w:tcPr>
            <w:tcW w:w="1659" w:type="dxa"/>
            <w:tcBorders>
              <w:top w:val="single" w:sz="4" w:space="0" w:color="auto"/>
            </w:tcBorders>
          </w:tcPr>
          <w:p w14:paraId="3DC4DEDE"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7.3 ± 4.3</w:t>
            </w:r>
          </w:p>
        </w:tc>
        <w:tc>
          <w:tcPr>
            <w:tcW w:w="1560" w:type="dxa"/>
            <w:tcBorders>
              <w:top w:val="single" w:sz="4" w:space="0" w:color="auto"/>
            </w:tcBorders>
          </w:tcPr>
          <w:p w14:paraId="44A6C2D7"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10.0 ± 6.3</w:t>
            </w:r>
          </w:p>
        </w:tc>
        <w:tc>
          <w:tcPr>
            <w:tcW w:w="857" w:type="dxa"/>
            <w:tcBorders>
              <w:top w:val="single" w:sz="4" w:space="0" w:color="auto"/>
            </w:tcBorders>
          </w:tcPr>
          <w:p w14:paraId="6C0B026C" w14:textId="311ED071" w:rsidR="00C32EB3" w:rsidRPr="000D25FB" w:rsidRDefault="00C32EB3" w:rsidP="000D25FB">
            <w:pPr>
              <w:rPr>
                <w:rFonts w:asciiTheme="majorBidi" w:hAnsiTheme="majorBidi" w:cstheme="majorBidi"/>
                <w:sz w:val="18"/>
                <w:szCs w:val="18"/>
              </w:rPr>
            </w:pPr>
            <w:r w:rsidRPr="000D25FB">
              <w:rPr>
                <w:rFonts w:asciiTheme="majorBidi" w:eastAsia="Calibri" w:hAnsiTheme="majorBidi" w:cstheme="majorBidi"/>
                <w:sz w:val="18"/>
                <w:szCs w:val="18"/>
              </w:rPr>
              <w:t>t</w:t>
            </w:r>
          </w:p>
        </w:tc>
        <w:tc>
          <w:tcPr>
            <w:tcW w:w="2156" w:type="dxa"/>
            <w:tcBorders>
              <w:top w:val="single" w:sz="4" w:space="0" w:color="auto"/>
            </w:tcBorders>
          </w:tcPr>
          <w:p w14:paraId="7D68D594"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0.167</w:t>
            </w:r>
          </w:p>
        </w:tc>
      </w:tr>
      <w:tr w:rsidR="00C32EB3" w:rsidRPr="000D25FB" w14:paraId="502343CB" w14:textId="77777777" w:rsidTr="000D25FB">
        <w:trPr>
          <w:jc w:val="center"/>
        </w:trPr>
        <w:tc>
          <w:tcPr>
            <w:tcW w:w="2943" w:type="dxa"/>
          </w:tcPr>
          <w:p w14:paraId="7537E8DC"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Solitary polyp, n (%)</w:t>
            </w:r>
          </w:p>
        </w:tc>
        <w:tc>
          <w:tcPr>
            <w:tcW w:w="1659" w:type="dxa"/>
          </w:tcPr>
          <w:p w14:paraId="7CED24EC"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15 (83.3%)</w:t>
            </w:r>
          </w:p>
        </w:tc>
        <w:tc>
          <w:tcPr>
            <w:tcW w:w="1560" w:type="dxa"/>
          </w:tcPr>
          <w:p w14:paraId="30AE6C3E"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3 (9.4%)</w:t>
            </w:r>
          </w:p>
        </w:tc>
        <w:tc>
          <w:tcPr>
            <w:tcW w:w="857" w:type="dxa"/>
          </w:tcPr>
          <w:p w14:paraId="4E15A27E" w14:textId="062F5094" w:rsidR="00C32EB3" w:rsidRPr="000D25FB" w:rsidRDefault="00C32EB3" w:rsidP="000D25FB">
            <w:pPr>
              <w:rPr>
                <w:rFonts w:asciiTheme="majorBidi" w:hAnsiTheme="majorBidi" w:cstheme="majorBidi"/>
                <w:sz w:val="18"/>
                <w:szCs w:val="18"/>
              </w:rPr>
            </w:pPr>
            <w:r w:rsidRPr="000D25FB">
              <w:rPr>
                <w:rFonts w:asciiTheme="majorBidi" w:eastAsia="Calibri" w:hAnsiTheme="majorBidi" w:cstheme="majorBidi"/>
                <w:color w:val="000000"/>
                <w:sz w:val="18"/>
                <w:szCs w:val="18"/>
              </w:rPr>
              <w:t>χ2</w:t>
            </w:r>
          </w:p>
        </w:tc>
        <w:tc>
          <w:tcPr>
            <w:tcW w:w="2156" w:type="dxa"/>
          </w:tcPr>
          <w:p w14:paraId="2F078FC5"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&lt; 0.001</w:t>
            </w:r>
          </w:p>
        </w:tc>
      </w:tr>
      <w:tr w:rsidR="00C32EB3" w:rsidRPr="000D25FB" w14:paraId="02562FCF" w14:textId="77777777" w:rsidTr="000D25FB">
        <w:trPr>
          <w:jc w:val="center"/>
        </w:trPr>
        <w:tc>
          <w:tcPr>
            <w:tcW w:w="2943" w:type="dxa"/>
          </w:tcPr>
          <w:p w14:paraId="73ECAAAB"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Polyp size (mm)</w:t>
            </w:r>
          </w:p>
          <w:p w14:paraId="595C5FD9"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sz w:val="18"/>
                <w:szCs w:val="18"/>
              </w:rPr>
              <w:t>Median (IQR)</w:t>
            </w:r>
          </w:p>
        </w:tc>
        <w:tc>
          <w:tcPr>
            <w:tcW w:w="1659" w:type="dxa"/>
          </w:tcPr>
          <w:p w14:paraId="47D60017"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12 (7–16)</w:t>
            </w:r>
          </w:p>
        </w:tc>
        <w:tc>
          <w:tcPr>
            <w:tcW w:w="1560" w:type="dxa"/>
          </w:tcPr>
          <w:p w14:paraId="77CE60A6"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20 (11–25)</w:t>
            </w:r>
          </w:p>
        </w:tc>
        <w:tc>
          <w:tcPr>
            <w:tcW w:w="857" w:type="dxa"/>
          </w:tcPr>
          <w:p w14:paraId="435EA888"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U</w:t>
            </w:r>
          </w:p>
        </w:tc>
        <w:tc>
          <w:tcPr>
            <w:tcW w:w="2156" w:type="dxa"/>
          </w:tcPr>
          <w:p w14:paraId="2174365C"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0.016</w:t>
            </w:r>
          </w:p>
        </w:tc>
      </w:tr>
      <w:tr w:rsidR="00C32EB3" w:rsidRPr="000D25FB" w14:paraId="2745181A" w14:textId="77777777" w:rsidTr="000D25FB">
        <w:trPr>
          <w:jc w:val="center"/>
        </w:trPr>
        <w:tc>
          <w:tcPr>
            <w:tcW w:w="2943" w:type="dxa"/>
            <w:tcBorders>
              <w:bottom w:val="single" w:sz="4" w:space="0" w:color="auto"/>
            </w:tcBorders>
          </w:tcPr>
          <w:p w14:paraId="3F74B725" w14:textId="77777777" w:rsidR="00C32EB3" w:rsidRPr="000D25FB" w:rsidRDefault="00C32EB3" w:rsidP="006C544A">
            <w:pPr>
              <w:rPr>
                <w:rFonts w:asciiTheme="majorBidi" w:hAnsiTheme="majorBidi" w:cstheme="majorBidi"/>
                <w:b/>
                <w:bCs/>
                <w:sz w:val="18"/>
                <w:szCs w:val="18"/>
              </w:rPr>
            </w:pPr>
            <w:r w:rsidRPr="000D25FB">
              <w:rPr>
                <w:rFonts w:asciiTheme="majorBidi" w:hAnsiTheme="majorBidi" w:cstheme="majorBidi"/>
                <w:b/>
                <w:bCs/>
                <w:sz w:val="18"/>
                <w:szCs w:val="18"/>
              </w:rPr>
              <w:t>Pedunculated morphology, n (%)</w:t>
            </w:r>
          </w:p>
        </w:tc>
        <w:tc>
          <w:tcPr>
            <w:tcW w:w="1659" w:type="dxa"/>
            <w:tcBorders>
              <w:bottom w:val="single" w:sz="4" w:space="0" w:color="auto"/>
            </w:tcBorders>
          </w:tcPr>
          <w:p w14:paraId="7BA2E0F4"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8 (44.4%)</w:t>
            </w:r>
          </w:p>
        </w:tc>
        <w:tc>
          <w:tcPr>
            <w:tcW w:w="1560" w:type="dxa"/>
            <w:tcBorders>
              <w:bottom w:val="single" w:sz="4" w:space="0" w:color="auto"/>
            </w:tcBorders>
          </w:tcPr>
          <w:p w14:paraId="329CF1AB" w14:textId="77777777" w:rsidR="00C32EB3" w:rsidRPr="000D25FB" w:rsidRDefault="00C32EB3" w:rsidP="006C544A">
            <w:pPr>
              <w:rPr>
                <w:rFonts w:asciiTheme="majorBidi" w:hAnsiTheme="majorBidi" w:cstheme="majorBidi"/>
                <w:sz w:val="18"/>
                <w:szCs w:val="18"/>
              </w:rPr>
            </w:pPr>
            <w:r w:rsidRPr="000D25FB">
              <w:rPr>
                <w:rFonts w:asciiTheme="majorBidi" w:hAnsiTheme="majorBidi" w:cstheme="majorBidi"/>
                <w:sz w:val="18"/>
                <w:szCs w:val="18"/>
              </w:rPr>
              <w:t>25 (78.1%)</w:t>
            </w:r>
          </w:p>
        </w:tc>
        <w:tc>
          <w:tcPr>
            <w:tcW w:w="857" w:type="dxa"/>
            <w:tcBorders>
              <w:bottom w:val="single" w:sz="4" w:space="0" w:color="auto"/>
            </w:tcBorders>
          </w:tcPr>
          <w:p w14:paraId="170BAB45" w14:textId="6032E2DA" w:rsidR="00C32EB3" w:rsidRPr="000D25FB" w:rsidRDefault="00C32EB3" w:rsidP="000D25FB">
            <w:pPr>
              <w:rPr>
                <w:rFonts w:asciiTheme="majorBidi" w:hAnsiTheme="majorBidi" w:cstheme="majorBidi"/>
                <w:sz w:val="18"/>
                <w:szCs w:val="18"/>
              </w:rPr>
            </w:pPr>
            <w:r w:rsidRPr="000D25FB">
              <w:rPr>
                <w:rFonts w:asciiTheme="majorBidi" w:eastAsia="Calibri" w:hAnsiTheme="majorBidi" w:cstheme="majorBidi"/>
                <w:color w:val="000000"/>
                <w:sz w:val="18"/>
                <w:szCs w:val="18"/>
              </w:rPr>
              <w:t>χ2</w:t>
            </w:r>
          </w:p>
        </w:tc>
        <w:tc>
          <w:tcPr>
            <w:tcW w:w="2156" w:type="dxa"/>
            <w:tcBorders>
              <w:bottom w:val="single" w:sz="4" w:space="0" w:color="auto"/>
            </w:tcBorders>
          </w:tcPr>
          <w:p w14:paraId="35B6220D" w14:textId="77777777" w:rsidR="00C32EB3" w:rsidRPr="000D25FB" w:rsidRDefault="00C32EB3" w:rsidP="000D25FB">
            <w:pPr>
              <w:keepNext/>
              <w:rPr>
                <w:rFonts w:asciiTheme="majorBidi" w:hAnsiTheme="majorBidi" w:cstheme="majorBidi"/>
                <w:sz w:val="18"/>
                <w:szCs w:val="18"/>
              </w:rPr>
            </w:pPr>
            <w:r w:rsidRPr="000D25FB">
              <w:rPr>
                <w:rFonts w:asciiTheme="majorBidi" w:hAnsiTheme="majorBidi" w:cstheme="majorBidi"/>
                <w:sz w:val="18"/>
                <w:szCs w:val="18"/>
              </w:rPr>
              <w:t>0.026</w:t>
            </w:r>
          </w:p>
        </w:tc>
      </w:tr>
    </w:tbl>
    <w:p w14:paraId="5F087887" w14:textId="77777777" w:rsidR="000D25FB" w:rsidRPr="000D25FB" w:rsidRDefault="000D25FB" w:rsidP="000D25FB">
      <w:pPr>
        <w:spacing w:after="0" w:line="360" w:lineRule="auto"/>
        <w:jc w:val="both"/>
        <w:rPr>
          <w:i/>
          <w:iCs/>
          <w:color w:val="44546A" w:themeColor="text2"/>
          <w:sz w:val="18"/>
          <w:szCs w:val="18"/>
        </w:rPr>
      </w:pPr>
      <w:r w:rsidRPr="000D25FB">
        <w:rPr>
          <w:i/>
          <w:iCs/>
          <w:color w:val="44546A" w:themeColor="text2"/>
          <w:sz w:val="18"/>
          <w:szCs w:val="18"/>
        </w:rPr>
        <w:t xml:space="preserve">U: Mann–Whitney, t: independent samples t-test, χ2 chi-square </w:t>
      </w:r>
    </w:p>
    <w:p w14:paraId="2AF24F0A" w14:textId="16EFE631" w:rsidR="00C32EB3" w:rsidRDefault="00C32EB3" w:rsidP="00C32EB3">
      <w:pPr>
        <w:spacing w:after="0" w:line="360" w:lineRule="auto"/>
        <w:jc w:val="both"/>
        <w:rPr>
          <w:rFonts w:asciiTheme="majorBidi" w:eastAsia="Times New Roman" w:hAnsiTheme="majorBidi" w:cstheme="majorBidi"/>
          <w:sz w:val="24"/>
          <w:szCs w:val="24"/>
        </w:rPr>
      </w:pPr>
      <w:r w:rsidRPr="00CB4F66">
        <w:rPr>
          <w:rFonts w:asciiTheme="majorBidi" w:eastAsia="Times New Roman" w:hAnsiTheme="majorBidi" w:cstheme="majorBidi"/>
          <w:sz w:val="24"/>
          <w:szCs w:val="24"/>
        </w:rPr>
        <w:t>Tab 7</w:t>
      </w:r>
      <w:r w:rsidRPr="0091620C">
        <w:rPr>
          <w:rFonts w:asciiTheme="majorBidi" w:eastAsia="Times New Roman" w:hAnsiTheme="majorBidi" w:cstheme="majorBidi"/>
          <w:sz w:val="24"/>
          <w:szCs w:val="24"/>
        </w:rPr>
        <w:t xml:space="preserve"> presents that pedunculated morphology and polyp size are significantly correlated with higher fecal calprotectin (FCP), while larger polyps and </w:t>
      </w:r>
      <w:r w:rsidR="00E67BA5">
        <w:rPr>
          <w:rFonts w:asciiTheme="majorBidi" w:eastAsia="Times New Roman" w:hAnsiTheme="majorBidi" w:cstheme="majorBidi"/>
          <w:sz w:val="24"/>
          <w:szCs w:val="24"/>
        </w:rPr>
        <w:t>the pedunculated type of morphology contain</w:t>
      </w:r>
      <w:r w:rsidRPr="0091620C">
        <w:rPr>
          <w:rFonts w:asciiTheme="majorBidi" w:eastAsia="Times New Roman" w:hAnsiTheme="majorBidi" w:cstheme="majorBidi"/>
          <w:sz w:val="24"/>
          <w:szCs w:val="24"/>
        </w:rPr>
        <w:t xml:space="preserve"> higher FCP. Age at diagnosis and solitary polyp status are not significant for FCP.</w:t>
      </w:r>
    </w:p>
    <w:p w14:paraId="246C9AA6" w14:textId="0EAD53C5" w:rsidR="000D25FB" w:rsidRPr="00CB4F66" w:rsidRDefault="000D25FB" w:rsidP="000D25FB">
      <w:pPr>
        <w:pStyle w:val="Caption"/>
        <w:keepNext/>
      </w:pPr>
      <w:r>
        <w:t xml:space="preserve">Tab </w:t>
      </w:r>
      <w:r w:rsidR="002C769D">
        <w:fldChar w:fldCharType="begin"/>
      </w:r>
      <w:r w:rsidR="002C769D">
        <w:instrText xml:space="preserve"> SEQ Table \* ARABIC </w:instrText>
      </w:r>
      <w:r w:rsidR="002C769D">
        <w:fldChar w:fldCharType="separate"/>
      </w:r>
      <w:r w:rsidR="00D50325">
        <w:rPr>
          <w:noProof/>
        </w:rPr>
        <w:t>7</w:t>
      </w:r>
      <w:r w:rsidR="002C769D">
        <w:rPr>
          <w:noProof/>
        </w:rPr>
        <w:fldChar w:fldCharType="end"/>
      </w:r>
      <w:r>
        <w:t xml:space="preserve">. </w:t>
      </w:r>
      <w:r w:rsidRPr="00CB4F66">
        <w:t>Linear Regression Analysis of Factors Associated with Fecal Calprotectin Levels</w:t>
      </w:r>
    </w:p>
    <w:tbl>
      <w:tblPr>
        <w:tblStyle w:val="TableGrid"/>
        <w:tblW w:w="9427"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7. Linear Regression Analysis of Factors Associated with Fecal Calprotectin Levels"/>
      </w:tblPr>
      <w:tblGrid>
        <w:gridCol w:w="3186"/>
        <w:gridCol w:w="1843"/>
        <w:gridCol w:w="1842"/>
        <w:gridCol w:w="1134"/>
        <w:gridCol w:w="1422"/>
      </w:tblGrid>
      <w:tr w:rsidR="00C32EB3" w:rsidRPr="000D25FB" w14:paraId="0542813D" w14:textId="77777777" w:rsidTr="000D25FB">
        <w:tc>
          <w:tcPr>
            <w:tcW w:w="3186" w:type="dxa"/>
            <w:tcBorders>
              <w:top w:val="single" w:sz="4" w:space="0" w:color="auto"/>
              <w:bottom w:val="single" w:sz="4" w:space="0" w:color="auto"/>
            </w:tcBorders>
          </w:tcPr>
          <w:p w14:paraId="1D0A5C0C" w14:textId="77777777" w:rsidR="00C32EB3" w:rsidRPr="000D25FB" w:rsidRDefault="00C32EB3" w:rsidP="006C544A">
            <w:pPr>
              <w:spacing w:line="360" w:lineRule="auto"/>
              <w:rPr>
                <w:rFonts w:asciiTheme="majorBidi" w:hAnsiTheme="majorBidi" w:cstheme="majorBidi"/>
                <w:b/>
                <w:bCs/>
                <w:sz w:val="18"/>
                <w:szCs w:val="18"/>
              </w:rPr>
            </w:pPr>
            <w:r w:rsidRPr="000D25FB">
              <w:rPr>
                <w:b/>
                <w:bCs/>
                <w:sz w:val="18"/>
                <w:szCs w:val="18"/>
              </w:rPr>
              <w:t>Variable</w:t>
            </w:r>
          </w:p>
        </w:tc>
        <w:tc>
          <w:tcPr>
            <w:tcW w:w="1843" w:type="dxa"/>
            <w:tcBorders>
              <w:top w:val="single" w:sz="4" w:space="0" w:color="auto"/>
              <w:bottom w:val="single" w:sz="4" w:space="0" w:color="auto"/>
            </w:tcBorders>
          </w:tcPr>
          <w:p w14:paraId="3179F760" w14:textId="77777777" w:rsidR="00C32EB3" w:rsidRPr="000D25FB" w:rsidRDefault="00C32EB3" w:rsidP="006C544A">
            <w:pPr>
              <w:spacing w:line="360" w:lineRule="auto"/>
              <w:jc w:val="center"/>
              <w:rPr>
                <w:rFonts w:asciiTheme="majorBidi" w:hAnsiTheme="majorBidi" w:cstheme="majorBidi"/>
                <w:b/>
                <w:bCs/>
                <w:sz w:val="18"/>
                <w:szCs w:val="18"/>
              </w:rPr>
            </w:pPr>
            <w:r w:rsidRPr="000D25FB">
              <w:rPr>
                <w:b/>
                <w:bCs/>
                <w:sz w:val="18"/>
                <w:szCs w:val="18"/>
              </w:rPr>
              <w:t>Coefficient (β)</w:t>
            </w:r>
          </w:p>
        </w:tc>
        <w:tc>
          <w:tcPr>
            <w:tcW w:w="1842" w:type="dxa"/>
            <w:tcBorders>
              <w:top w:val="single" w:sz="4" w:space="0" w:color="auto"/>
              <w:bottom w:val="single" w:sz="4" w:space="0" w:color="auto"/>
            </w:tcBorders>
          </w:tcPr>
          <w:p w14:paraId="2F13EE80" w14:textId="77777777" w:rsidR="00C32EB3" w:rsidRPr="000D25FB" w:rsidRDefault="00C32EB3" w:rsidP="006C544A">
            <w:pPr>
              <w:spacing w:line="360" w:lineRule="auto"/>
              <w:jc w:val="center"/>
              <w:rPr>
                <w:rFonts w:asciiTheme="majorBidi" w:hAnsiTheme="majorBidi" w:cstheme="majorBidi"/>
                <w:b/>
                <w:bCs/>
                <w:sz w:val="18"/>
                <w:szCs w:val="18"/>
              </w:rPr>
            </w:pPr>
            <w:r w:rsidRPr="000D25FB">
              <w:rPr>
                <w:b/>
                <w:bCs/>
                <w:sz w:val="18"/>
                <w:szCs w:val="18"/>
              </w:rPr>
              <w:t>Standard Error</w:t>
            </w:r>
          </w:p>
        </w:tc>
        <w:tc>
          <w:tcPr>
            <w:tcW w:w="1134" w:type="dxa"/>
            <w:tcBorders>
              <w:top w:val="single" w:sz="4" w:space="0" w:color="auto"/>
              <w:bottom w:val="single" w:sz="4" w:space="0" w:color="auto"/>
            </w:tcBorders>
          </w:tcPr>
          <w:p w14:paraId="2AB16910" w14:textId="77777777" w:rsidR="00C32EB3" w:rsidRPr="000D25FB" w:rsidRDefault="00C32EB3" w:rsidP="006C544A">
            <w:pPr>
              <w:spacing w:line="360" w:lineRule="auto"/>
              <w:jc w:val="center"/>
              <w:rPr>
                <w:rFonts w:asciiTheme="majorBidi" w:hAnsiTheme="majorBidi" w:cstheme="majorBidi"/>
                <w:b/>
                <w:bCs/>
                <w:sz w:val="18"/>
                <w:szCs w:val="18"/>
              </w:rPr>
            </w:pPr>
            <w:r w:rsidRPr="000D25FB">
              <w:rPr>
                <w:b/>
                <w:bCs/>
                <w:sz w:val="18"/>
                <w:szCs w:val="18"/>
              </w:rPr>
              <w:t>t-value</w:t>
            </w:r>
          </w:p>
        </w:tc>
        <w:tc>
          <w:tcPr>
            <w:tcW w:w="1422" w:type="dxa"/>
            <w:tcBorders>
              <w:top w:val="single" w:sz="4" w:space="0" w:color="auto"/>
              <w:bottom w:val="single" w:sz="4" w:space="0" w:color="auto"/>
            </w:tcBorders>
          </w:tcPr>
          <w:p w14:paraId="73184601" w14:textId="77777777" w:rsidR="00C32EB3" w:rsidRPr="000D25FB" w:rsidRDefault="00C32EB3" w:rsidP="006C544A">
            <w:pPr>
              <w:spacing w:line="360" w:lineRule="auto"/>
              <w:jc w:val="center"/>
              <w:rPr>
                <w:rFonts w:asciiTheme="majorBidi" w:hAnsiTheme="majorBidi" w:cstheme="majorBidi"/>
                <w:b/>
                <w:bCs/>
                <w:sz w:val="18"/>
                <w:szCs w:val="18"/>
              </w:rPr>
            </w:pPr>
            <w:r w:rsidRPr="000D25FB">
              <w:rPr>
                <w:b/>
                <w:bCs/>
                <w:sz w:val="18"/>
                <w:szCs w:val="18"/>
              </w:rPr>
              <w:t>p-value</w:t>
            </w:r>
          </w:p>
        </w:tc>
      </w:tr>
      <w:tr w:rsidR="00C32EB3" w:rsidRPr="000D25FB" w14:paraId="40DAF58A" w14:textId="77777777" w:rsidTr="000D25FB">
        <w:tc>
          <w:tcPr>
            <w:tcW w:w="3186" w:type="dxa"/>
            <w:tcBorders>
              <w:top w:val="single" w:sz="4" w:space="0" w:color="auto"/>
            </w:tcBorders>
          </w:tcPr>
          <w:p w14:paraId="6364B1C9" w14:textId="77777777" w:rsidR="00C32EB3" w:rsidRPr="000D25FB" w:rsidRDefault="00C32EB3" w:rsidP="006C544A">
            <w:pPr>
              <w:spacing w:line="360" w:lineRule="auto"/>
              <w:rPr>
                <w:rFonts w:asciiTheme="majorBidi" w:hAnsiTheme="majorBidi" w:cstheme="majorBidi"/>
                <w:b/>
                <w:bCs/>
                <w:sz w:val="18"/>
                <w:szCs w:val="18"/>
              </w:rPr>
            </w:pPr>
            <w:r w:rsidRPr="000D25FB">
              <w:rPr>
                <w:b/>
                <w:bCs/>
                <w:sz w:val="18"/>
                <w:szCs w:val="18"/>
              </w:rPr>
              <w:t>Age at diagnosis (years)</w:t>
            </w:r>
          </w:p>
        </w:tc>
        <w:tc>
          <w:tcPr>
            <w:tcW w:w="1843" w:type="dxa"/>
            <w:tcBorders>
              <w:top w:val="single" w:sz="4" w:space="0" w:color="auto"/>
            </w:tcBorders>
          </w:tcPr>
          <w:p w14:paraId="290567CE"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0.15</w:t>
            </w:r>
          </w:p>
        </w:tc>
        <w:tc>
          <w:tcPr>
            <w:tcW w:w="1842" w:type="dxa"/>
            <w:tcBorders>
              <w:top w:val="single" w:sz="4" w:space="0" w:color="auto"/>
            </w:tcBorders>
          </w:tcPr>
          <w:p w14:paraId="4F6C0002"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0.10</w:t>
            </w:r>
          </w:p>
        </w:tc>
        <w:tc>
          <w:tcPr>
            <w:tcW w:w="1134" w:type="dxa"/>
            <w:tcBorders>
              <w:top w:val="single" w:sz="4" w:space="0" w:color="auto"/>
            </w:tcBorders>
          </w:tcPr>
          <w:p w14:paraId="7D493313"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1.50</w:t>
            </w:r>
          </w:p>
        </w:tc>
        <w:tc>
          <w:tcPr>
            <w:tcW w:w="1422" w:type="dxa"/>
            <w:tcBorders>
              <w:top w:val="single" w:sz="4" w:space="0" w:color="auto"/>
            </w:tcBorders>
          </w:tcPr>
          <w:p w14:paraId="7C3964BF"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0.14</w:t>
            </w:r>
          </w:p>
        </w:tc>
      </w:tr>
      <w:tr w:rsidR="00C32EB3" w:rsidRPr="000D25FB" w14:paraId="111448EB" w14:textId="77777777" w:rsidTr="000D25FB">
        <w:tc>
          <w:tcPr>
            <w:tcW w:w="3186" w:type="dxa"/>
          </w:tcPr>
          <w:p w14:paraId="2B0A763E" w14:textId="77777777" w:rsidR="00C32EB3" w:rsidRPr="000D25FB" w:rsidRDefault="00C32EB3" w:rsidP="006C544A">
            <w:pPr>
              <w:spacing w:line="360" w:lineRule="auto"/>
              <w:rPr>
                <w:rFonts w:asciiTheme="majorBidi" w:hAnsiTheme="majorBidi" w:cstheme="majorBidi"/>
                <w:b/>
                <w:bCs/>
                <w:sz w:val="18"/>
                <w:szCs w:val="18"/>
              </w:rPr>
            </w:pPr>
            <w:r w:rsidRPr="000D25FB">
              <w:rPr>
                <w:b/>
                <w:bCs/>
                <w:sz w:val="18"/>
                <w:szCs w:val="18"/>
              </w:rPr>
              <w:t>Solitary polyp (yes = 1)</w:t>
            </w:r>
          </w:p>
        </w:tc>
        <w:tc>
          <w:tcPr>
            <w:tcW w:w="1843" w:type="dxa"/>
          </w:tcPr>
          <w:p w14:paraId="4B66EA76"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0.03</w:t>
            </w:r>
          </w:p>
        </w:tc>
        <w:tc>
          <w:tcPr>
            <w:tcW w:w="1842" w:type="dxa"/>
          </w:tcPr>
          <w:p w14:paraId="463D84B6"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0.02</w:t>
            </w:r>
          </w:p>
        </w:tc>
        <w:tc>
          <w:tcPr>
            <w:tcW w:w="1134" w:type="dxa"/>
          </w:tcPr>
          <w:p w14:paraId="41191DC6"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1.50</w:t>
            </w:r>
          </w:p>
        </w:tc>
        <w:tc>
          <w:tcPr>
            <w:tcW w:w="1422" w:type="dxa"/>
          </w:tcPr>
          <w:p w14:paraId="7B97FEBB"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0.14</w:t>
            </w:r>
          </w:p>
        </w:tc>
      </w:tr>
      <w:tr w:rsidR="00C32EB3" w:rsidRPr="000D25FB" w14:paraId="1A5DA119" w14:textId="77777777" w:rsidTr="000D25FB">
        <w:tc>
          <w:tcPr>
            <w:tcW w:w="3186" w:type="dxa"/>
          </w:tcPr>
          <w:p w14:paraId="523E11F2" w14:textId="77777777" w:rsidR="00C32EB3" w:rsidRPr="000D25FB" w:rsidRDefault="00C32EB3" w:rsidP="006C544A">
            <w:pPr>
              <w:spacing w:line="360" w:lineRule="auto"/>
              <w:rPr>
                <w:rFonts w:asciiTheme="majorBidi" w:hAnsiTheme="majorBidi" w:cstheme="majorBidi"/>
                <w:b/>
                <w:bCs/>
                <w:sz w:val="18"/>
                <w:szCs w:val="18"/>
              </w:rPr>
            </w:pPr>
            <w:r w:rsidRPr="000D25FB">
              <w:rPr>
                <w:b/>
                <w:bCs/>
                <w:sz w:val="18"/>
                <w:szCs w:val="18"/>
              </w:rPr>
              <w:t>Polyp size (mm)</w:t>
            </w:r>
          </w:p>
        </w:tc>
        <w:tc>
          <w:tcPr>
            <w:tcW w:w="1843" w:type="dxa"/>
          </w:tcPr>
          <w:p w14:paraId="3243620F"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0.40</w:t>
            </w:r>
          </w:p>
        </w:tc>
        <w:tc>
          <w:tcPr>
            <w:tcW w:w="1842" w:type="dxa"/>
          </w:tcPr>
          <w:p w14:paraId="5E159790"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0.15</w:t>
            </w:r>
          </w:p>
        </w:tc>
        <w:tc>
          <w:tcPr>
            <w:tcW w:w="1134" w:type="dxa"/>
          </w:tcPr>
          <w:p w14:paraId="7D645F67"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2.67</w:t>
            </w:r>
          </w:p>
        </w:tc>
        <w:tc>
          <w:tcPr>
            <w:tcW w:w="1422" w:type="dxa"/>
          </w:tcPr>
          <w:p w14:paraId="0EACE86F"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0.01</w:t>
            </w:r>
          </w:p>
        </w:tc>
      </w:tr>
      <w:tr w:rsidR="00C32EB3" w:rsidRPr="000D25FB" w14:paraId="4E400810" w14:textId="77777777" w:rsidTr="000D25FB">
        <w:tc>
          <w:tcPr>
            <w:tcW w:w="3186" w:type="dxa"/>
            <w:tcBorders>
              <w:bottom w:val="single" w:sz="4" w:space="0" w:color="auto"/>
            </w:tcBorders>
          </w:tcPr>
          <w:p w14:paraId="14FA0D75" w14:textId="77777777" w:rsidR="00C32EB3" w:rsidRPr="000D25FB" w:rsidRDefault="00C32EB3" w:rsidP="006C544A">
            <w:pPr>
              <w:spacing w:line="360" w:lineRule="auto"/>
              <w:rPr>
                <w:rFonts w:asciiTheme="majorBidi" w:hAnsiTheme="majorBidi" w:cstheme="majorBidi"/>
                <w:b/>
                <w:bCs/>
                <w:sz w:val="18"/>
                <w:szCs w:val="18"/>
              </w:rPr>
            </w:pPr>
            <w:r w:rsidRPr="000D25FB">
              <w:rPr>
                <w:b/>
                <w:bCs/>
                <w:sz w:val="18"/>
                <w:szCs w:val="18"/>
              </w:rPr>
              <w:t>Pedunculated morphology (yes = 1)</w:t>
            </w:r>
          </w:p>
        </w:tc>
        <w:tc>
          <w:tcPr>
            <w:tcW w:w="1843" w:type="dxa"/>
            <w:tcBorders>
              <w:bottom w:val="single" w:sz="4" w:space="0" w:color="auto"/>
            </w:tcBorders>
          </w:tcPr>
          <w:p w14:paraId="57E2FF05"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0.60</w:t>
            </w:r>
          </w:p>
        </w:tc>
        <w:tc>
          <w:tcPr>
            <w:tcW w:w="1842" w:type="dxa"/>
            <w:tcBorders>
              <w:bottom w:val="single" w:sz="4" w:space="0" w:color="auto"/>
            </w:tcBorders>
          </w:tcPr>
          <w:p w14:paraId="3A5E4187"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0.25</w:t>
            </w:r>
          </w:p>
        </w:tc>
        <w:tc>
          <w:tcPr>
            <w:tcW w:w="1134" w:type="dxa"/>
            <w:tcBorders>
              <w:bottom w:val="single" w:sz="4" w:space="0" w:color="auto"/>
            </w:tcBorders>
          </w:tcPr>
          <w:p w14:paraId="4D04A24C"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2.40</w:t>
            </w:r>
          </w:p>
        </w:tc>
        <w:tc>
          <w:tcPr>
            <w:tcW w:w="1422" w:type="dxa"/>
            <w:tcBorders>
              <w:bottom w:val="single" w:sz="4" w:space="0" w:color="auto"/>
            </w:tcBorders>
          </w:tcPr>
          <w:p w14:paraId="45D317AC" w14:textId="77777777" w:rsidR="00C32EB3" w:rsidRPr="000D25FB" w:rsidRDefault="00C32EB3" w:rsidP="006C544A">
            <w:pPr>
              <w:spacing w:line="360" w:lineRule="auto"/>
              <w:jc w:val="center"/>
              <w:rPr>
                <w:rFonts w:asciiTheme="majorBidi" w:hAnsiTheme="majorBidi" w:cstheme="majorBidi"/>
                <w:sz w:val="18"/>
                <w:szCs w:val="18"/>
              </w:rPr>
            </w:pPr>
            <w:r w:rsidRPr="000D25FB">
              <w:rPr>
                <w:sz w:val="18"/>
                <w:szCs w:val="18"/>
              </w:rPr>
              <w:t>0.02</w:t>
            </w:r>
          </w:p>
        </w:tc>
      </w:tr>
    </w:tbl>
    <w:p w14:paraId="58A5CBB2" w14:textId="77777777" w:rsidR="00D04172" w:rsidRPr="00834F66" w:rsidRDefault="00D04172" w:rsidP="00834F66">
      <w:pPr>
        <w:spacing w:after="0" w:line="360" w:lineRule="auto"/>
        <w:rPr>
          <w:rFonts w:asciiTheme="majorBidi" w:eastAsia="Times New Roman" w:hAnsiTheme="majorBidi" w:cstheme="majorBidi"/>
          <w:sz w:val="24"/>
          <w:szCs w:val="24"/>
          <w:lang w:bidi="ar-EG"/>
        </w:rPr>
      </w:pPr>
    </w:p>
    <w:p w14:paraId="6B845097" w14:textId="77777777" w:rsidR="009D52AF" w:rsidRPr="00834F66" w:rsidRDefault="009D52AF" w:rsidP="00834F66">
      <w:pPr>
        <w:spacing w:after="0" w:line="360" w:lineRule="auto"/>
        <w:rPr>
          <w:rFonts w:asciiTheme="majorBidi" w:eastAsia="Times New Roman" w:hAnsiTheme="majorBidi" w:cstheme="majorBidi"/>
          <w:b/>
          <w:bCs/>
          <w:sz w:val="24"/>
          <w:szCs w:val="24"/>
          <w:lang w:bidi="ar-EG"/>
        </w:rPr>
      </w:pPr>
      <w:r w:rsidRPr="00834F66">
        <w:rPr>
          <w:rFonts w:asciiTheme="majorBidi" w:eastAsia="Times New Roman" w:hAnsiTheme="majorBidi" w:cstheme="majorBidi"/>
          <w:b/>
          <w:bCs/>
          <w:sz w:val="24"/>
          <w:szCs w:val="24"/>
          <w:lang w:bidi="ar-EG"/>
        </w:rPr>
        <w:t xml:space="preserve">Discussion </w:t>
      </w:r>
    </w:p>
    <w:p w14:paraId="4E14A465" w14:textId="631DBCB8" w:rsidR="004926DE" w:rsidRPr="00834F66" w:rsidRDefault="00B0657D" w:rsidP="0019428B">
      <w:pPr>
        <w:spacing w:after="0" w:line="360" w:lineRule="auto"/>
        <w:jc w:val="both"/>
        <w:rPr>
          <w:rFonts w:asciiTheme="majorBidi" w:hAnsiTheme="majorBidi" w:cstheme="majorBidi"/>
          <w:sz w:val="24"/>
          <w:szCs w:val="24"/>
        </w:rPr>
      </w:pPr>
      <w:r w:rsidRPr="00834F66">
        <w:rPr>
          <w:rFonts w:asciiTheme="majorBidi" w:hAnsiTheme="majorBidi" w:cstheme="majorBidi"/>
          <w:sz w:val="24"/>
          <w:szCs w:val="24"/>
        </w:rPr>
        <w:t>Fecal calprotectin (FC</w:t>
      </w:r>
      <w:r w:rsidR="005A1A9D" w:rsidRPr="00834F66">
        <w:rPr>
          <w:rFonts w:asciiTheme="majorBidi" w:hAnsiTheme="majorBidi" w:cstheme="majorBidi"/>
          <w:sz w:val="24"/>
          <w:szCs w:val="24"/>
        </w:rPr>
        <w:t>P</w:t>
      </w:r>
      <w:r w:rsidRPr="00834F66">
        <w:rPr>
          <w:rFonts w:asciiTheme="majorBidi" w:hAnsiTheme="majorBidi" w:cstheme="majorBidi"/>
          <w:sz w:val="24"/>
          <w:szCs w:val="24"/>
        </w:rPr>
        <w:t xml:space="preserve">) has emerged as a promising biomarker for assessing gastrointestinal inflammation due to its elevation in various gastrointestinal conditions, including </w:t>
      </w:r>
      <w:r w:rsidR="0019428B" w:rsidRPr="0019428B">
        <w:rPr>
          <w:rFonts w:asciiTheme="majorBidi" w:hAnsiTheme="majorBidi" w:cstheme="majorBidi"/>
          <w:sz w:val="24"/>
          <w:szCs w:val="24"/>
        </w:rPr>
        <w:t>cancers, infections, polyps, and following the use of nonsteroidal anti-inflammatory medications</w:t>
      </w:r>
      <w:r w:rsidRPr="00834F66">
        <w:rPr>
          <w:rFonts w:asciiTheme="majorBidi" w:hAnsiTheme="majorBidi" w:cstheme="majorBidi"/>
          <w:sz w:val="24"/>
          <w:szCs w:val="24"/>
        </w:rPr>
        <w:t xml:space="preserve">. </w:t>
      </w:r>
      <w:r w:rsidR="0019428B" w:rsidRPr="0019428B">
        <w:rPr>
          <w:rFonts w:asciiTheme="majorBidi" w:hAnsiTheme="majorBidi" w:cstheme="majorBidi"/>
          <w:sz w:val="24"/>
          <w:szCs w:val="24"/>
        </w:rPr>
        <w:t>FCP</w:t>
      </w:r>
      <w:r w:rsidRPr="00834F66">
        <w:rPr>
          <w:rFonts w:asciiTheme="majorBidi" w:hAnsiTheme="majorBidi" w:cstheme="majorBidi"/>
          <w:sz w:val="24"/>
          <w:szCs w:val="24"/>
        </w:rPr>
        <w:t xml:space="preserve"> is released by activated neutrophils during inflammation, making it a </w:t>
      </w:r>
      <w:r w:rsidR="00E67BA5">
        <w:rPr>
          <w:rFonts w:asciiTheme="majorBidi" w:hAnsiTheme="majorBidi" w:cstheme="majorBidi"/>
          <w:sz w:val="24"/>
          <w:szCs w:val="24"/>
        </w:rPr>
        <w:t>valuable</w:t>
      </w:r>
      <w:r w:rsidRPr="00834F66">
        <w:rPr>
          <w:rFonts w:asciiTheme="majorBidi" w:hAnsiTheme="majorBidi" w:cstheme="majorBidi"/>
          <w:sz w:val="24"/>
          <w:szCs w:val="24"/>
        </w:rPr>
        <w:t xml:space="preserve"> indicator of active pathological processes. In the case of juvenile polyps, studies have demonstrated that </w:t>
      </w:r>
      <w:r w:rsidR="0019428B" w:rsidRPr="0019428B">
        <w:rPr>
          <w:rFonts w:asciiTheme="majorBidi" w:hAnsiTheme="majorBidi" w:cstheme="majorBidi"/>
          <w:sz w:val="24"/>
          <w:szCs w:val="24"/>
        </w:rPr>
        <w:t>FCP</w:t>
      </w:r>
      <w:r w:rsidRPr="00834F66">
        <w:rPr>
          <w:rFonts w:asciiTheme="majorBidi" w:hAnsiTheme="majorBidi" w:cstheme="majorBidi"/>
          <w:sz w:val="24"/>
          <w:szCs w:val="24"/>
        </w:rPr>
        <w:t xml:space="preserve"> levels are typically elevated in affected children and normalize following polypectomy, suggesting that FC</w:t>
      </w:r>
      <w:r w:rsidR="00383809" w:rsidRPr="00834F66">
        <w:rPr>
          <w:rFonts w:asciiTheme="majorBidi" w:hAnsiTheme="majorBidi" w:cstheme="majorBidi"/>
          <w:sz w:val="24"/>
          <w:szCs w:val="24"/>
        </w:rPr>
        <w:t>P</w:t>
      </w:r>
      <w:r w:rsidRPr="00834F66">
        <w:rPr>
          <w:rFonts w:asciiTheme="majorBidi" w:hAnsiTheme="majorBidi" w:cstheme="majorBidi"/>
          <w:sz w:val="24"/>
          <w:szCs w:val="24"/>
        </w:rPr>
        <w:t xml:space="preserve"> can reflect both the presence of polyps and the resolution of inflammation post-removal</w:t>
      </w:r>
      <w:r w:rsidR="005669F6" w:rsidRPr="00834F66">
        <w:rPr>
          <w:rFonts w:asciiTheme="majorBidi" w:hAnsiTheme="majorBidi" w:cstheme="majorBidi"/>
          <w:sz w:val="24"/>
          <w:szCs w:val="24"/>
          <w:vertAlign w:val="superscript"/>
        </w:rPr>
        <w:t>12</w:t>
      </w:r>
      <w:r w:rsidRPr="00834F66">
        <w:rPr>
          <w:rFonts w:asciiTheme="majorBidi" w:hAnsiTheme="majorBidi" w:cstheme="majorBidi"/>
          <w:sz w:val="24"/>
          <w:szCs w:val="24"/>
        </w:rPr>
        <w:t>.</w:t>
      </w:r>
    </w:p>
    <w:p w14:paraId="08F39421" w14:textId="277A94B0" w:rsidR="006F3A2C" w:rsidRPr="00834F66" w:rsidRDefault="006F3A2C" w:rsidP="007136E3">
      <w:pPr>
        <w:spacing w:after="0" w:line="360" w:lineRule="auto"/>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Our research</w:t>
      </w:r>
      <w:r w:rsidRPr="00834F66">
        <w:rPr>
          <w:rFonts w:asciiTheme="majorBidi" w:hAnsiTheme="majorBidi" w:cstheme="majorBidi"/>
          <w:bCs/>
          <w:sz w:val="24"/>
          <w:szCs w:val="24"/>
        </w:rPr>
        <w:t xml:space="preserve"> </w:t>
      </w:r>
      <w:r w:rsidRPr="00834F66">
        <w:rPr>
          <w:rFonts w:asciiTheme="majorBidi" w:eastAsia="Times New Roman" w:hAnsiTheme="majorBidi" w:cstheme="majorBidi"/>
          <w:bCs/>
          <w:sz w:val="24"/>
          <w:szCs w:val="24"/>
          <w:lang w:bidi="ar-EG"/>
        </w:rPr>
        <w:t xml:space="preserve">investigated the levels of </w:t>
      </w:r>
      <w:r w:rsidR="005A1A9D" w:rsidRPr="00834F66">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in children and adolescents with juvenile polyps before and after polypectomy</w:t>
      </w:r>
      <w:r w:rsidRPr="00834F66">
        <w:rPr>
          <w:rFonts w:asciiTheme="majorBidi" w:eastAsia="Times New Roman" w:hAnsiTheme="majorBidi" w:cstheme="majorBidi"/>
          <w:sz w:val="24"/>
          <w:szCs w:val="24"/>
          <w:lang w:bidi="ar-EG"/>
        </w:rPr>
        <w:t xml:space="preserve">, </w:t>
      </w:r>
      <w:r w:rsidR="00E67BA5">
        <w:rPr>
          <w:rFonts w:asciiTheme="majorBidi" w:eastAsia="Times New Roman" w:hAnsiTheme="majorBidi" w:cstheme="majorBidi"/>
          <w:sz w:val="24"/>
          <w:szCs w:val="24"/>
          <w:lang w:bidi="ar-EG"/>
        </w:rPr>
        <w:t>aiming</w:t>
      </w:r>
      <w:r w:rsidRPr="00834F66">
        <w:rPr>
          <w:rFonts w:asciiTheme="majorBidi" w:eastAsia="Times New Roman" w:hAnsiTheme="majorBidi" w:cstheme="majorBidi"/>
          <w:sz w:val="24"/>
          <w:szCs w:val="24"/>
          <w:lang w:bidi="ar-EG"/>
        </w:rPr>
        <w:t xml:space="preserve"> to enhance diagnostic accuracy. This approach could help clinicians better identify juvenile polyps. However, further studies are necessary to validate the clinical utility of </w:t>
      </w:r>
      <w:r w:rsidR="00315E04" w:rsidRPr="00834F66">
        <w:rPr>
          <w:rFonts w:asciiTheme="majorBidi" w:eastAsia="Times New Roman" w:hAnsiTheme="majorBidi" w:cstheme="majorBidi"/>
          <w:sz w:val="24"/>
          <w:szCs w:val="24"/>
          <w:lang w:bidi="ar-EG"/>
        </w:rPr>
        <w:t>this strategy</w:t>
      </w:r>
      <w:r w:rsidRPr="00834F66">
        <w:rPr>
          <w:rFonts w:asciiTheme="majorBidi" w:eastAsia="Times New Roman" w:hAnsiTheme="majorBidi" w:cstheme="majorBidi"/>
          <w:sz w:val="24"/>
          <w:szCs w:val="24"/>
          <w:lang w:bidi="ar-EG"/>
        </w:rPr>
        <w:t xml:space="preserve">, particularly how to distinguish juvenile polyps from other conditions that might also cause elevated </w:t>
      </w:r>
      <w:r w:rsidR="007136E3" w:rsidRPr="007136E3">
        <w:rPr>
          <w:rFonts w:asciiTheme="majorBidi" w:eastAsia="Times New Roman" w:hAnsiTheme="majorBidi" w:cstheme="majorBidi"/>
          <w:sz w:val="24"/>
          <w:szCs w:val="24"/>
          <w:lang w:bidi="ar-EG"/>
        </w:rPr>
        <w:t>FCP</w:t>
      </w:r>
      <w:r w:rsidRPr="00834F66">
        <w:rPr>
          <w:rFonts w:asciiTheme="majorBidi" w:eastAsia="Times New Roman" w:hAnsiTheme="majorBidi" w:cstheme="majorBidi"/>
          <w:sz w:val="24"/>
          <w:szCs w:val="24"/>
          <w:lang w:bidi="ar-EG"/>
        </w:rPr>
        <w:t xml:space="preserve"> levels.</w:t>
      </w:r>
    </w:p>
    <w:p w14:paraId="03867CE0" w14:textId="37CDE6DC" w:rsidR="00326150" w:rsidRPr="00834F66" w:rsidRDefault="00326150"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Our study included 50 patients, </w:t>
      </w:r>
      <w:r w:rsidR="00E67BA5">
        <w:rPr>
          <w:rFonts w:asciiTheme="majorBidi" w:eastAsia="Times New Roman" w:hAnsiTheme="majorBidi" w:cstheme="majorBidi"/>
          <w:bCs/>
          <w:sz w:val="24"/>
          <w:szCs w:val="24"/>
          <w:lang w:bidi="ar-EG"/>
        </w:rPr>
        <w:t>50% of whom were in the 5-10 age group, 38% of whom were under 5 years old, and 12% of whom were aged 10-18. The mean age was 6.91 years,</w:t>
      </w:r>
      <w:r w:rsidRPr="00834F66">
        <w:rPr>
          <w:rFonts w:asciiTheme="majorBidi" w:eastAsia="Times New Roman" w:hAnsiTheme="majorBidi" w:cstheme="majorBidi"/>
          <w:bCs/>
          <w:sz w:val="24"/>
          <w:szCs w:val="24"/>
          <w:lang w:bidi="ar-EG"/>
        </w:rPr>
        <w:t xml:space="preserve"> and the age range was 1.8 to 15.4 years, representing a </w:t>
      </w:r>
      <w:r w:rsidR="00744EFF">
        <w:rPr>
          <w:rFonts w:asciiTheme="majorBidi" w:eastAsia="Times New Roman" w:hAnsiTheme="majorBidi" w:cstheme="majorBidi"/>
          <w:bCs/>
          <w:sz w:val="24"/>
          <w:szCs w:val="24"/>
          <w:lang w:bidi="ar-EG"/>
        </w:rPr>
        <w:t>broad</w:t>
      </w:r>
      <w:r w:rsidRPr="00834F66">
        <w:rPr>
          <w:rFonts w:asciiTheme="majorBidi" w:eastAsia="Times New Roman" w:hAnsiTheme="majorBidi" w:cstheme="majorBidi"/>
          <w:bCs/>
          <w:sz w:val="24"/>
          <w:szCs w:val="24"/>
          <w:lang w:bidi="ar-EG"/>
        </w:rPr>
        <w:t xml:space="preserve"> age spectrum within the pediatric population.</w:t>
      </w:r>
    </w:p>
    <w:p w14:paraId="59714A68" w14:textId="26647C83" w:rsidR="009C05C4" w:rsidRPr="00834F66" w:rsidRDefault="0027374F"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However,</w:t>
      </w:r>
      <w:r w:rsidR="009C05C4" w:rsidRPr="00834F66">
        <w:rPr>
          <w:rFonts w:asciiTheme="majorBidi" w:eastAsia="Times New Roman" w:hAnsiTheme="majorBidi" w:cstheme="majorBidi"/>
          <w:b/>
          <w:bCs/>
          <w:sz w:val="24"/>
          <w:szCs w:val="24"/>
          <w:lang w:bidi="ar-EG"/>
        </w:rPr>
        <w:t xml:space="preserve"> </w:t>
      </w:r>
      <w:r w:rsidR="009C05C4" w:rsidRPr="00E67BA5">
        <w:rPr>
          <w:rFonts w:asciiTheme="majorBidi" w:eastAsia="Times New Roman" w:hAnsiTheme="majorBidi" w:cstheme="majorBidi"/>
          <w:sz w:val="24"/>
          <w:szCs w:val="24"/>
          <w:lang w:bidi="ar-EG"/>
        </w:rPr>
        <w:t xml:space="preserve">Das </w:t>
      </w:r>
      <w:r w:rsidR="00834F66" w:rsidRPr="00E67BA5">
        <w:rPr>
          <w:rFonts w:asciiTheme="majorBidi" w:eastAsia="Times New Roman" w:hAnsiTheme="majorBidi" w:cstheme="majorBidi"/>
          <w:sz w:val="24"/>
          <w:szCs w:val="24"/>
          <w:lang w:bidi="ar-EG"/>
        </w:rPr>
        <w:t>et al.,</w:t>
      </w:r>
      <w:r w:rsidR="009C05C4" w:rsidRPr="00834F66">
        <w:rPr>
          <w:rFonts w:asciiTheme="majorBidi" w:eastAsia="Times New Roman" w:hAnsiTheme="majorBidi" w:cstheme="majorBidi"/>
          <w:bCs/>
          <w:sz w:val="24"/>
          <w:szCs w:val="24"/>
          <w:lang w:bidi="ar-EG"/>
        </w:rPr>
        <w:t xml:space="preserve"> </w:t>
      </w:r>
      <w:r w:rsidR="009C05C4" w:rsidRPr="00834F66">
        <w:rPr>
          <w:rFonts w:asciiTheme="majorBidi" w:eastAsia="Times New Roman" w:hAnsiTheme="majorBidi" w:cstheme="majorBidi"/>
          <w:bCs/>
          <w:sz w:val="24"/>
          <w:szCs w:val="24"/>
          <w:vertAlign w:val="superscript"/>
          <w:lang w:bidi="ar-EG"/>
        </w:rPr>
        <w:t xml:space="preserve">13 </w:t>
      </w:r>
      <w:r w:rsidR="009C05C4" w:rsidRPr="00834F66">
        <w:rPr>
          <w:rFonts w:asciiTheme="majorBidi" w:eastAsia="Times New Roman" w:hAnsiTheme="majorBidi" w:cstheme="majorBidi"/>
          <w:bCs/>
          <w:sz w:val="24"/>
          <w:szCs w:val="24"/>
          <w:lang w:bidi="ar-EG"/>
        </w:rPr>
        <w:t>revealed the age distribution of the 40 patients included in the study</w:t>
      </w:r>
      <w:r w:rsidR="00E67BA5">
        <w:rPr>
          <w:rFonts w:asciiTheme="majorBidi" w:eastAsia="Times New Roman" w:hAnsiTheme="majorBidi" w:cstheme="majorBidi"/>
          <w:bCs/>
          <w:sz w:val="24"/>
          <w:szCs w:val="24"/>
          <w:lang w:bidi="ar-EG"/>
        </w:rPr>
        <w:t>. Most patients (62.5%) were aged 5 years or younger, followed by 35% in the 6-10 age group. Only 2.5% of patients were older than 10 years. The mean age of the patients was 5.28 years,</w:t>
      </w:r>
      <w:r w:rsidR="009C05C4" w:rsidRPr="00834F66">
        <w:rPr>
          <w:rFonts w:asciiTheme="majorBidi" w:eastAsia="Times New Roman" w:hAnsiTheme="majorBidi" w:cstheme="majorBidi"/>
          <w:bCs/>
          <w:sz w:val="24"/>
          <w:szCs w:val="24"/>
          <w:lang w:bidi="ar-EG"/>
        </w:rPr>
        <w:t xml:space="preserve"> and the age range spanned from 2.5 to 12 years. This distribution shows </w:t>
      </w:r>
      <w:r w:rsidR="00744EFF">
        <w:rPr>
          <w:rFonts w:asciiTheme="majorBidi" w:eastAsia="Times New Roman" w:hAnsiTheme="majorBidi" w:cstheme="majorBidi"/>
          <w:bCs/>
          <w:sz w:val="24"/>
          <w:szCs w:val="24"/>
          <w:lang w:bidi="ar-EG"/>
        </w:rPr>
        <w:t>an intense</w:t>
      </w:r>
      <w:r w:rsidR="009C05C4" w:rsidRPr="00834F66">
        <w:rPr>
          <w:rFonts w:asciiTheme="majorBidi" w:eastAsia="Times New Roman" w:hAnsiTheme="majorBidi" w:cstheme="majorBidi"/>
          <w:bCs/>
          <w:sz w:val="24"/>
          <w:szCs w:val="24"/>
          <w:lang w:bidi="ar-EG"/>
        </w:rPr>
        <w:t xml:space="preserve"> concentration of younger patients in the study population, with a smaller proportion of older children.</w:t>
      </w:r>
    </w:p>
    <w:p w14:paraId="6A4057FD" w14:textId="3B0EF236" w:rsidR="00114A6F" w:rsidRPr="00834F66" w:rsidRDefault="00114A6F"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In this study, the majority (64%) had multiple polyps, consistent with the </w:t>
      </w:r>
      <w:r w:rsidR="00E67BA5">
        <w:rPr>
          <w:rFonts w:asciiTheme="majorBidi" w:eastAsia="Times New Roman" w:hAnsiTheme="majorBidi" w:cstheme="majorBidi"/>
          <w:bCs/>
          <w:sz w:val="24"/>
          <w:szCs w:val="24"/>
          <w:lang w:bidi="ar-EG"/>
        </w:rPr>
        <w:t>typical</w:t>
      </w:r>
      <w:r w:rsidRPr="00834F66">
        <w:rPr>
          <w:rFonts w:asciiTheme="majorBidi" w:eastAsia="Times New Roman" w:hAnsiTheme="majorBidi" w:cstheme="majorBidi"/>
          <w:bCs/>
          <w:sz w:val="24"/>
          <w:szCs w:val="24"/>
          <w:lang w:bidi="ar-EG"/>
        </w:rPr>
        <w:t xml:space="preserve"> presentation of juvenile polyps in pediatric patients. The remaining 36% of patients had a single polyp. </w:t>
      </w:r>
      <w:r w:rsidR="00E67BA5">
        <w:rPr>
          <w:rFonts w:asciiTheme="majorBidi" w:eastAsia="Times New Roman" w:hAnsiTheme="majorBidi" w:cstheme="majorBidi"/>
          <w:bCs/>
          <w:sz w:val="24"/>
          <w:szCs w:val="24"/>
          <w:lang w:bidi="ar-EG"/>
        </w:rPr>
        <w:t>Regarding</w:t>
      </w:r>
      <w:r w:rsidRPr="00834F66">
        <w:rPr>
          <w:rFonts w:asciiTheme="majorBidi" w:eastAsia="Times New Roman" w:hAnsiTheme="majorBidi" w:cstheme="majorBidi"/>
          <w:bCs/>
          <w:sz w:val="24"/>
          <w:szCs w:val="24"/>
          <w:lang w:bidi="ar-EG"/>
        </w:rPr>
        <w:t xml:space="preserve"> polyp type, pedunculated polyps were the most common, affecting half of the patients, followed by sessile polyps in 24% of cases. </w:t>
      </w:r>
      <w:r w:rsidR="006D156A" w:rsidRPr="00834F66">
        <w:rPr>
          <w:rFonts w:asciiTheme="majorBidi" w:eastAsia="Times New Roman" w:hAnsiTheme="majorBidi" w:cstheme="majorBidi"/>
          <w:bCs/>
          <w:sz w:val="24"/>
          <w:szCs w:val="24"/>
          <w:lang w:bidi="ar-EG"/>
        </w:rPr>
        <w:t>26</w:t>
      </w:r>
      <w:r w:rsidRPr="00834F66">
        <w:rPr>
          <w:rFonts w:asciiTheme="majorBidi" w:eastAsia="Times New Roman" w:hAnsiTheme="majorBidi" w:cstheme="majorBidi"/>
          <w:bCs/>
          <w:sz w:val="24"/>
          <w:szCs w:val="24"/>
          <w:lang w:bidi="ar-EG"/>
        </w:rPr>
        <w:t xml:space="preserve">% of patients </w:t>
      </w:r>
      <w:r w:rsidR="006D156A" w:rsidRPr="00834F66">
        <w:rPr>
          <w:rFonts w:asciiTheme="majorBidi" w:eastAsia="Times New Roman" w:hAnsiTheme="majorBidi" w:cstheme="majorBidi"/>
          <w:bCs/>
          <w:sz w:val="24"/>
          <w:szCs w:val="24"/>
          <w:lang w:bidi="ar-EG"/>
        </w:rPr>
        <w:t>suggest</w:t>
      </w:r>
      <w:r w:rsidRPr="00834F66">
        <w:rPr>
          <w:rFonts w:asciiTheme="majorBidi" w:eastAsia="Times New Roman" w:hAnsiTheme="majorBidi" w:cstheme="majorBidi"/>
          <w:bCs/>
          <w:sz w:val="24"/>
          <w:szCs w:val="24"/>
          <w:lang w:bidi="ar-EG"/>
        </w:rPr>
        <w:t xml:space="preserve"> that mixed polyps can also occur. </w:t>
      </w:r>
      <w:r w:rsidR="00E67BA5">
        <w:rPr>
          <w:rFonts w:asciiTheme="majorBidi" w:eastAsia="Times New Roman" w:hAnsiTheme="majorBidi" w:cstheme="majorBidi"/>
          <w:bCs/>
          <w:sz w:val="24"/>
          <w:szCs w:val="24"/>
          <w:lang w:bidi="ar-EG"/>
        </w:rPr>
        <w:t>Histopathological</w:t>
      </w:r>
      <w:r w:rsidRPr="00834F66">
        <w:rPr>
          <w:rFonts w:asciiTheme="majorBidi" w:eastAsia="Times New Roman" w:hAnsiTheme="majorBidi" w:cstheme="majorBidi"/>
          <w:bCs/>
          <w:sz w:val="24"/>
          <w:szCs w:val="24"/>
          <w:lang w:bidi="ar-EG"/>
        </w:rPr>
        <w:t xml:space="preserve"> analysis confirmed that all the polyps were juvenile, indicating a </w:t>
      </w:r>
      <w:r w:rsidR="00744EFF">
        <w:rPr>
          <w:rFonts w:asciiTheme="majorBidi" w:eastAsia="Times New Roman" w:hAnsiTheme="majorBidi" w:cstheme="majorBidi"/>
          <w:bCs/>
          <w:sz w:val="24"/>
          <w:szCs w:val="24"/>
          <w:lang w:bidi="ar-EG"/>
        </w:rPr>
        <w:t>precise</w:t>
      </w:r>
      <w:r w:rsidRPr="00834F66">
        <w:rPr>
          <w:rFonts w:asciiTheme="majorBidi" w:eastAsia="Times New Roman" w:hAnsiTheme="majorBidi" w:cstheme="majorBidi"/>
          <w:bCs/>
          <w:sz w:val="24"/>
          <w:szCs w:val="24"/>
          <w:lang w:bidi="ar-EG"/>
        </w:rPr>
        <w:t xml:space="preserve"> diagnosis without other polyp types in the sample. </w:t>
      </w:r>
    </w:p>
    <w:p w14:paraId="417C6771" w14:textId="594D5718" w:rsidR="00353F7A" w:rsidRPr="00834F66" w:rsidRDefault="00353F7A"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In disagreement with our </w:t>
      </w:r>
      <w:r w:rsidR="00F72C67" w:rsidRPr="00834F66">
        <w:rPr>
          <w:rFonts w:asciiTheme="majorBidi" w:eastAsia="Times New Roman" w:hAnsiTheme="majorBidi" w:cstheme="majorBidi"/>
          <w:bCs/>
          <w:sz w:val="24"/>
          <w:szCs w:val="24"/>
          <w:lang w:bidi="ar-EG"/>
        </w:rPr>
        <w:t>result,</w:t>
      </w:r>
      <w:r w:rsidRPr="00834F66">
        <w:rPr>
          <w:rFonts w:asciiTheme="majorBidi" w:hAnsiTheme="majorBidi" w:cstheme="majorBidi"/>
          <w:sz w:val="24"/>
          <w:szCs w:val="24"/>
        </w:rPr>
        <w:t xml:space="preserve"> </w:t>
      </w:r>
      <w:r w:rsidRPr="00E67BA5">
        <w:rPr>
          <w:rFonts w:asciiTheme="majorBidi" w:eastAsia="Times New Roman" w:hAnsiTheme="majorBidi" w:cstheme="majorBidi"/>
          <w:sz w:val="24"/>
          <w:szCs w:val="24"/>
          <w:lang w:bidi="ar-EG"/>
        </w:rPr>
        <w:t xml:space="preserve">Das </w:t>
      </w:r>
      <w:r w:rsidR="00834F66" w:rsidRPr="00E67BA5">
        <w:rPr>
          <w:rFonts w:asciiTheme="majorBidi" w:eastAsia="Times New Roman" w:hAnsiTheme="majorBidi" w:cstheme="majorBidi"/>
          <w:sz w:val="24"/>
          <w:szCs w:val="24"/>
          <w:lang w:bidi="ar-EG"/>
        </w:rPr>
        <w:t>et al.,</w:t>
      </w:r>
      <w:r w:rsidRPr="00834F66">
        <w:rPr>
          <w:rFonts w:asciiTheme="majorBidi" w:eastAsia="Times New Roman" w:hAnsiTheme="majorBidi" w:cstheme="majorBidi"/>
          <w:bCs/>
          <w:sz w:val="24"/>
          <w:szCs w:val="24"/>
          <w:lang w:bidi="ar-EG"/>
        </w:rPr>
        <w:t xml:space="preserve"> </w:t>
      </w:r>
      <w:r w:rsidRPr="00834F66">
        <w:rPr>
          <w:rFonts w:asciiTheme="majorBidi" w:eastAsia="Times New Roman" w:hAnsiTheme="majorBidi" w:cstheme="majorBidi"/>
          <w:bCs/>
          <w:sz w:val="24"/>
          <w:szCs w:val="24"/>
          <w:vertAlign w:val="superscript"/>
          <w:lang w:bidi="ar-EG"/>
        </w:rPr>
        <w:t xml:space="preserve">13 </w:t>
      </w:r>
      <w:r w:rsidR="00834F66">
        <w:rPr>
          <w:rFonts w:asciiTheme="majorBidi" w:eastAsia="Times New Roman" w:hAnsiTheme="majorBidi" w:cstheme="majorBidi"/>
          <w:bCs/>
          <w:sz w:val="24"/>
          <w:szCs w:val="24"/>
          <w:lang w:bidi="ar-EG"/>
        </w:rPr>
        <w:t xml:space="preserve">found that </w:t>
      </w:r>
      <w:r w:rsidR="00834F66">
        <w:rPr>
          <w:rFonts w:asciiTheme="majorBidi" w:hAnsiTheme="majorBidi" w:cstheme="majorBidi"/>
          <w:bCs/>
          <w:sz w:val="24"/>
          <w:szCs w:val="24"/>
          <w:lang w:bidi="ar-EG"/>
        </w:rPr>
        <w:t>t</w:t>
      </w:r>
      <w:r w:rsidRPr="00834F66">
        <w:rPr>
          <w:rFonts w:asciiTheme="majorBidi" w:hAnsiTheme="majorBidi" w:cstheme="majorBidi"/>
          <w:bCs/>
          <w:sz w:val="24"/>
          <w:szCs w:val="24"/>
          <w:lang w:bidi="ar-EG"/>
        </w:rPr>
        <w:t xml:space="preserve">he distribution of patients by polyp characteristics shows a clear predominance of single polyps, with 77.5% (31/40) of patients having only one polyp. In contrast, 22.5% (9/40) of patients had multiple polyps. </w:t>
      </w:r>
      <w:r w:rsidR="00F72C67" w:rsidRPr="00834F66">
        <w:rPr>
          <w:rFonts w:asciiTheme="majorBidi" w:hAnsiTheme="majorBidi" w:cstheme="majorBidi"/>
          <w:bCs/>
          <w:sz w:val="24"/>
          <w:szCs w:val="24"/>
          <w:lang w:bidi="ar-EG"/>
        </w:rPr>
        <w:t xml:space="preserve"> </w:t>
      </w:r>
      <w:r w:rsidR="00E67BA5" w:rsidRPr="00834F66">
        <w:rPr>
          <w:rFonts w:asciiTheme="majorBidi" w:hAnsiTheme="majorBidi" w:cstheme="majorBidi"/>
          <w:bCs/>
          <w:sz w:val="24"/>
          <w:szCs w:val="24"/>
          <w:lang w:bidi="ar-EG"/>
        </w:rPr>
        <w:t>Regarding</w:t>
      </w:r>
      <w:r w:rsidRPr="00834F66">
        <w:rPr>
          <w:rFonts w:asciiTheme="majorBidi" w:eastAsia="Times New Roman" w:hAnsiTheme="majorBidi" w:cstheme="majorBidi"/>
          <w:bCs/>
          <w:sz w:val="24"/>
          <w:szCs w:val="24"/>
          <w:lang w:bidi="ar-EG"/>
        </w:rPr>
        <w:t xml:space="preserve"> the type of polyp, the majority were pedunculated (80%), with only 2.5% being sessile polyps and 17.5% having both pedunculated and sessile types. </w:t>
      </w:r>
      <w:r w:rsidR="000D25FB">
        <w:rPr>
          <w:rFonts w:asciiTheme="majorBidi" w:eastAsia="Times New Roman" w:hAnsiTheme="majorBidi" w:cstheme="majorBidi"/>
          <w:bCs/>
          <w:sz w:val="24"/>
          <w:szCs w:val="24"/>
          <w:lang w:bidi="ar-EG"/>
        </w:rPr>
        <w:t>According to pathology</w:t>
      </w:r>
      <w:r w:rsidRPr="00834F66">
        <w:rPr>
          <w:rFonts w:asciiTheme="majorBidi" w:eastAsia="Times New Roman" w:hAnsiTheme="majorBidi" w:cstheme="majorBidi"/>
          <w:bCs/>
          <w:sz w:val="24"/>
          <w:szCs w:val="24"/>
          <w:lang w:bidi="ar-EG"/>
        </w:rPr>
        <w:t>, all polyps were classified as juvenile, with no other types identified in the sample. This distribution highlights the commonality of juvenile polyps in the pediatric population and their typical locations and morphological characteristics</w:t>
      </w:r>
      <w:r w:rsidR="00E67BA5">
        <w:rPr>
          <w:rFonts w:asciiTheme="majorBidi" w:eastAsia="Times New Roman" w:hAnsiTheme="majorBidi" w:cstheme="majorBidi"/>
          <w:bCs/>
          <w:sz w:val="24"/>
          <w:szCs w:val="24"/>
          <w:lang w:bidi="ar-EG"/>
        </w:rPr>
        <w:t>,</w:t>
      </w:r>
      <w:r w:rsidR="008F2625" w:rsidRPr="00834F66">
        <w:rPr>
          <w:rFonts w:asciiTheme="majorBidi" w:eastAsia="Times New Roman" w:hAnsiTheme="majorBidi" w:cstheme="majorBidi"/>
          <w:bCs/>
          <w:sz w:val="24"/>
          <w:szCs w:val="24"/>
          <w:lang w:bidi="ar-EG"/>
        </w:rPr>
        <w:t xml:space="preserve"> which </w:t>
      </w:r>
      <w:r w:rsidR="00E67BA5" w:rsidRPr="00834F66">
        <w:rPr>
          <w:rFonts w:asciiTheme="majorBidi" w:eastAsia="Times New Roman" w:hAnsiTheme="majorBidi" w:cstheme="majorBidi"/>
          <w:bCs/>
          <w:sz w:val="24"/>
          <w:szCs w:val="24"/>
          <w:lang w:bidi="ar-EG"/>
        </w:rPr>
        <w:t>align</w:t>
      </w:r>
      <w:r w:rsidR="008F2625" w:rsidRPr="00834F66">
        <w:rPr>
          <w:rFonts w:asciiTheme="majorBidi" w:eastAsia="Times New Roman" w:hAnsiTheme="majorBidi" w:cstheme="majorBidi"/>
          <w:bCs/>
          <w:sz w:val="24"/>
          <w:szCs w:val="24"/>
          <w:lang w:bidi="ar-EG"/>
        </w:rPr>
        <w:t xml:space="preserve"> with our </w:t>
      </w:r>
      <w:r w:rsidR="00E67BA5" w:rsidRPr="00834F66">
        <w:rPr>
          <w:rFonts w:asciiTheme="majorBidi" w:eastAsia="Times New Roman" w:hAnsiTheme="majorBidi" w:cstheme="majorBidi"/>
          <w:bCs/>
          <w:sz w:val="24"/>
          <w:szCs w:val="24"/>
          <w:lang w:bidi="ar-EG"/>
        </w:rPr>
        <w:t>findings</w:t>
      </w:r>
      <w:r w:rsidRPr="00834F66">
        <w:rPr>
          <w:rFonts w:asciiTheme="majorBidi" w:eastAsia="Times New Roman" w:hAnsiTheme="majorBidi" w:cstheme="majorBidi"/>
          <w:bCs/>
          <w:sz w:val="24"/>
          <w:szCs w:val="24"/>
          <w:lang w:bidi="ar-EG"/>
        </w:rPr>
        <w:t>.</w:t>
      </w:r>
    </w:p>
    <w:p w14:paraId="5C992E6B" w14:textId="2D0A8400" w:rsidR="00D808DB" w:rsidRPr="00834F66" w:rsidRDefault="00D808DB"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Similar data were found in other studies</w:t>
      </w:r>
      <w:r w:rsidR="000D25FB">
        <w:rPr>
          <w:rFonts w:asciiTheme="majorBidi" w:eastAsia="Times New Roman" w:hAnsiTheme="majorBidi" w:cstheme="majorBidi"/>
          <w:bCs/>
          <w:sz w:val="24"/>
          <w:szCs w:val="24"/>
          <w:lang w:bidi="ar-EG"/>
        </w:rPr>
        <w:t>, which</w:t>
      </w:r>
      <w:r w:rsidRPr="00834F66">
        <w:rPr>
          <w:rFonts w:asciiTheme="majorBidi" w:eastAsia="Times New Roman" w:hAnsiTheme="majorBidi" w:cstheme="majorBidi"/>
          <w:bCs/>
          <w:sz w:val="24"/>
          <w:szCs w:val="24"/>
          <w:lang w:bidi="ar-EG"/>
        </w:rPr>
        <w:t xml:space="preserve"> </w:t>
      </w:r>
      <w:r w:rsidR="000D25FB">
        <w:rPr>
          <w:rFonts w:asciiTheme="majorBidi" w:eastAsia="Times New Roman" w:hAnsiTheme="majorBidi" w:cstheme="majorBidi"/>
          <w:bCs/>
          <w:sz w:val="24"/>
          <w:szCs w:val="24"/>
          <w:lang w:bidi="ar-EG"/>
        </w:rPr>
        <w:t>showed</w:t>
      </w:r>
      <w:r w:rsidR="00834F66">
        <w:rPr>
          <w:rFonts w:asciiTheme="majorBidi" w:eastAsia="Times New Roman" w:hAnsiTheme="majorBidi" w:cstheme="majorBidi"/>
          <w:bCs/>
          <w:sz w:val="24"/>
          <w:szCs w:val="24"/>
          <w:lang w:bidi="ar-EG"/>
        </w:rPr>
        <w:t xml:space="preserve"> t</w:t>
      </w:r>
      <w:r w:rsidRPr="00834F66">
        <w:rPr>
          <w:rFonts w:asciiTheme="majorBidi" w:eastAsia="Times New Roman" w:hAnsiTheme="majorBidi" w:cstheme="majorBidi"/>
          <w:bCs/>
          <w:sz w:val="24"/>
          <w:szCs w:val="24"/>
          <w:lang w:bidi="ar-EG"/>
        </w:rPr>
        <w:t>he percentages of pedunculated polyps in their studies were 70% and 88%, respectively</w:t>
      </w:r>
      <w:r w:rsidR="00385D49">
        <w:rPr>
          <w:rFonts w:asciiTheme="majorBidi" w:eastAsia="Times New Roman" w:hAnsiTheme="majorBidi" w:cstheme="majorBidi"/>
          <w:bCs/>
          <w:sz w:val="24"/>
          <w:szCs w:val="24"/>
          <w:lang w:bidi="ar-EG"/>
        </w:rPr>
        <w:t>,</w:t>
      </w:r>
      <w:r w:rsidR="000D25FB">
        <w:rPr>
          <w:rFonts w:asciiTheme="majorBidi" w:eastAsia="Times New Roman" w:hAnsiTheme="majorBidi" w:cstheme="majorBidi"/>
          <w:bCs/>
          <w:sz w:val="24"/>
          <w:szCs w:val="24"/>
          <w:lang w:bidi="ar-EG"/>
        </w:rPr>
        <w:t xml:space="preserve"> </w:t>
      </w:r>
      <w:r w:rsidR="002B3BBC" w:rsidRPr="00834F66">
        <w:rPr>
          <w:rFonts w:asciiTheme="majorBidi" w:eastAsia="Times New Roman" w:hAnsiTheme="majorBidi" w:cstheme="majorBidi"/>
          <w:bCs/>
          <w:sz w:val="24"/>
          <w:szCs w:val="24"/>
          <w:vertAlign w:val="superscript"/>
          <w:lang w:bidi="ar-EG"/>
        </w:rPr>
        <w:t>14-15</w:t>
      </w:r>
      <w:r w:rsidRPr="00834F66">
        <w:rPr>
          <w:rFonts w:asciiTheme="majorBidi" w:eastAsia="Times New Roman" w:hAnsiTheme="majorBidi" w:cstheme="majorBidi"/>
          <w:bCs/>
          <w:sz w:val="24"/>
          <w:szCs w:val="24"/>
          <w:lang w:bidi="ar-EG"/>
        </w:rPr>
        <w:t>.</w:t>
      </w:r>
    </w:p>
    <w:p w14:paraId="7B96ACF0" w14:textId="29D3CD8F" w:rsidR="008727C3" w:rsidRPr="00834F66" w:rsidRDefault="008727C3"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This study highlights a notable relationship between fecal calprotectin (FCP) levels and the number of polyps in </w:t>
      </w:r>
      <w:r w:rsidR="00F72C67" w:rsidRPr="00834F66">
        <w:rPr>
          <w:rFonts w:asciiTheme="majorBidi" w:eastAsia="Times New Roman" w:hAnsiTheme="majorBidi" w:cstheme="majorBidi"/>
          <w:bCs/>
          <w:sz w:val="24"/>
          <w:szCs w:val="24"/>
          <w:lang w:bidi="ar-EG"/>
        </w:rPr>
        <w:t>the individuals</w:t>
      </w:r>
      <w:r w:rsidRPr="00834F66">
        <w:rPr>
          <w:rFonts w:asciiTheme="majorBidi" w:eastAsia="Times New Roman" w:hAnsiTheme="majorBidi" w:cstheme="majorBidi"/>
          <w:bCs/>
          <w:sz w:val="24"/>
          <w:szCs w:val="24"/>
          <w:lang w:bidi="ar-EG"/>
        </w:rPr>
        <w:t xml:space="preserve"> analyzed. The significantly higher mean FCP level in individuals with multiple polyps (409.3 ± 218.1) </w:t>
      </w:r>
      <w:r w:rsidR="00E67BA5">
        <w:rPr>
          <w:rFonts w:asciiTheme="majorBidi" w:eastAsia="Times New Roman" w:hAnsiTheme="majorBidi" w:cstheme="majorBidi"/>
          <w:bCs/>
          <w:sz w:val="24"/>
          <w:szCs w:val="24"/>
          <w:lang w:bidi="ar-EG"/>
        </w:rPr>
        <w:t>than</w:t>
      </w:r>
      <w:r w:rsidRPr="00834F66">
        <w:rPr>
          <w:rFonts w:asciiTheme="majorBidi" w:eastAsia="Times New Roman" w:hAnsiTheme="majorBidi" w:cstheme="majorBidi"/>
          <w:bCs/>
          <w:sz w:val="24"/>
          <w:szCs w:val="24"/>
          <w:lang w:bidi="ar-EG"/>
        </w:rPr>
        <w:t xml:space="preserve"> those with a single polyp (196.3 ± 60.51) suggests that FCP could potentially serve as a marker of polyp burden. The statistically significant difference (p-value &lt; 0.05) supports this observation. Furthermore, the </w:t>
      </w:r>
      <w:r w:rsidR="00E67BA5">
        <w:rPr>
          <w:rFonts w:asciiTheme="majorBidi" w:eastAsia="Times New Roman" w:hAnsiTheme="majorBidi" w:cstheme="majorBidi"/>
          <w:bCs/>
          <w:sz w:val="24"/>
          <w:szCs w:val="24"/>
          <w:lang w:bidi="ar-EG"/>
        </w:rPr>
        <w:t>broader</w:t>
      </w:r>
      <w:r w:rsidRPr="00834F66">
        <w:rPr>
          <w:rFonts w:asciiTheme="majorBidi" w:eastAsia="Times New Roman" w:hAnsiTheme="majorBidi" w:cstheme="majorBidi"/>
          <w:bCs/>
          <w:sz w:val="24"/>
          <w:szCs w:val="24"/>
          <w:lang w:bidi="ar-EG"/>
        </w:rPr>
        <w:t xml:space="preserve"> range of FCP levels in the multiple </w:t>
      </w:r>
      <w:r w:rsidR="000D25FB" w:rsidRPr="00834F66">
        <w:rPr>
          <w:rFonts w:asciiTheme="majorBidi" w:eastAsia="Times New Roman" w:hAnsiTheme="majorBidi" w:cstheme="majorBidi"/>
          <w:bCs/>
          <w:sz w:val="24"/>
          <w:szCs w:val="24"/>
          <w:lang w:bidi="ar-EG"/>
        </w:rPr>
        <w:t>polyps’</w:t>
      </w:r>
      <w:r w:rsidRPr="00834F66">
        <w:rPr>
          <w:rFonts w:asciiTheme="majorBidi" w:eastAsia="Times New Roman" w:hAnsiTheme="majorBidi" w:cstheme="majorBidi"/>
          <w:bCs/>
          <w:sz w:val="24"/>
          <w:szCs w:val="24"/>
          <w:lang w:bidi="ar-EG"/>
        </w:rPr>
        <w:t xml:space="preserve"> group (131 to 940) compared to the single polyp group (124 to 324) may reflect a more varied inflammatory response associated with </w:t>
      </w:r>
      <w:r w:rsidR="00E67BA5">
        <w:rPr>
          <w:rFonts w:asciiTheme="majorBidi" w:eastAsia="Times New Roman" w:hAnsiTheme="majorBidi" w:cstheme="majorBidi"/>
          <w:bCs/>
          <w:sz w:val="24"/>
          <w:szCs w:val="24"/>
          <w:lang w:bidi="ar-EG"/>
        </w:rPr>
        <w:t>various</w:t>
      </w:r>
      <w:r w:rsidRPr="00834F66">
        <w:rPr>
          <w:rFonts w:asciiTheme="majorBidi" w:eastAsia="Times New Roman" w:hAnsiTheme="majorBidi" w:cstheme="majorBidi"/>
          <w:bCs/>
          <w:sz w:val="24"/>
          <w:szCs w:val="24"/>
          <w:lang w:bidi="ar-EG"/>
        </w:rPr>
        <w:t xml:space="preserve"> lesions. This finding underscores the potential of FCP as a biomarker for evaluating the extent of polyps in pediatric patients.</w:t>
      </w:r>
    </w:p>
    <w:p w14:paraId="5E756CDF" w14:textId="2FE85544" w:rsidR="00A65ACE" w:rsidRPr="00834F66" w:rsidRDefault="00E67BA5" w:rsidP="00834F66">
      <w:pPr>
        <w:spacing w:after="0" w:line="360" w:lineRule="auto"/>
        <w:jc w:val="both"/>
        <w:rPr>
          <w:rFonts w:asciiTheme="majorBidi" w:eastAsia="Times New Roman" w:hAnsiTheme="majorBidi" w:cstheme="majorBidi"/>
          <w:bCs/>
          <w:sz w:val="24"/>
          <w:szCs w:val="24"/>
          <w:lang w:bidi="ar-EG"/>
        </w:rPr>
      </w:pPr>
      <w:r>
        <w:rPr>
          <w:rFonts w:asciiTheme="majorBidi" w:eastAsia="Times New Roman" w:hAnsiTheme="majorBidi" w:cstheme="majorBidi"/>
          <w:bCs/>
          <w:sz w:val="24"/>
          <w:szCs w:val="24"/>
          <w:lang w:bidi="ar-EG"/>
        </w:rPr>
        <w:t>The</w:t>
      </w:r>
      <w:r w:rsidR="008727C3" w:rsidRPr="00834F66">
        <w:rPr>
          <w:rFonts w:asciiTheme="majorBidi" w:eastAsia="Times New Roman" w:hAnsiTheme="majorBidi" w:cstheme="majorBidi"/>
          <w:bCs/>
          <w:sz w:val="24"/>
          <w:szCs w:val="24"/>
          <w:lang w:bidi="ar-EG"/>
        </w:rPr>
        <w:t xml:space="preserve"> laboratory results from patients indicate a generally healthy profile, with most values falling within the normal range. Albumin levels </w:t>
      </w:r>
      <w:r>
        <w:rPr>
          <w:rFonts w:asciiTheme="majorBidi" w:eastAsia="Times New Roman" w:hAnsiTheme="majorBidi" w:cstheme="majorBidi"/>
          <w:bCs/>
          <w:sz w:val="24"/>
          <w:szCs w:val="24"/>
          <w:lang w:bidi="ar-EG"/>
        </w:rPr>
        <w:t>were mainly</w:t>
      </w:r>
      <w:r w:rsidR="008727C3" w:rsidRPr="00834F66">
        <w:rPr>
          <w:rFonts w:asciiTheme="majorBidi" w:eastAsia="Times New Roman" w:hAnsiTheme="majorBidi" w:cstheme="majorBidi"/>
          <w:bCs/>
          <w:sz w:val="24"/>
          <w:szCs w:val="24"/>
          <w:lang w:bidi="ar-EG"/>
        </w:rPr>
        <w:t xml:space="preserve"> normal, with only a small percentage (4%) showing hypoalbuminemia, which may warrant further investigation in those cases. The low C-reactive protein (CRP) and erythrocyte sedimentation rate (ESR) suggest minimal systemic inflammation, reinforcing </w:t>
      </w:r>
      <w:r>
        <w:rPr>
          <w:rFonts w:asciiTheme="majorBidi" w:eastAsia="Times New Roman" w:hAnsiTheme="majorBidi" w:cstheme="majorBidi"/>
          <w:bCs/>
          <w:sz w:val="24"/>
          <w:szCs w:val="24"/>
          <w:lang w:bidi="ar-EG"/>
        </w:rPr>
        <w:t>most patients' relatively stable health status</w:t>
      </w:r>
      <w:r w:rsidR="008727C3" w:rsidRPr="00834F66">
        <w:rPr>
          <w:rFonts w:asciiTheme="majorBidi" w:eastAsia="Times New Roman" w:hAnsiTheme="majorBidi" w:cstheme="majorBidi"/>
          <w:bCs/>
          <w:sz w:val="24"/>
          <w:szCs w:val="24"/>
          <w:lang w:bidi="ar-EG"/>
        </w:rPr>
        <w:t xml:space="preserve">. However, anemia in 34% of </w:t>
      </w:r>
      <w:r w:rsidRPr="00834F66">
        <w:rPr>
          <w:rFonts w:asciiTheme="majorBidi" w:eastAsia="Times New Roman" w:hAnsiTheme="majorBidi" w:cstheme="majorBidi"/>
          <w:bCs/>
          <w:sz w:val="24"/>
          <w:szCs w:val="24"/>
          <w:lang w:bidi="ar-EG"/>
        </w:rPr>
        <w:t>patients</w:t>
      </w:r>
      <w:r w:rsidR="008727C3" w:rsidRPr="00834F66">
        <w:rPr>
          <w:rFonts w:asciiTheme="majorBidi" w:eastAsia="Times New Roman" w:hAnsiTheme="majorBidi" w:cstheme="majorBidi"/>
          <w:bCs/>
          <w:sz w:val="24"/>
          <w:szCs w:val="24"/>
          <w:lang w:bidi="ar-EG"/>
        </w:rPr>
        <w:t xml:space="preserve"> indicates a need for closer attention as a potential side effect.</w:t>
      </w:r>
    </w:p>
    <w:p w14:paraId="59DE8040" w14:textId="67033CC6" w:rsidR="00335E24" w:rsidRPr="00834F66" w:rsidRDefault="00E67BA5" w:rsidP="00834F66">
      <w:pPr>
        <w:spacing w:after="0" w:line="360" w:lineRule="auto"/>
        <w:jc w:val="both"/>
        <w:rPr>
          <w:rFonts w:asciiTheme="majorBidi" w:eastAsia="Times New Roman" w:hAnsiTheme="majorBidi" w:cstheme="majorBidi"/>
          <w:b/>
          <w:sz w:val="24"/>
          <w:szCs w:val="24"/>
          <w:lang w:bidi="ar-EG"/>
        </w:rPr>
      </w:pPr>
      <w:r>
        <w:rPr>
          <w:rFonts w:asciiTheme="majorBidi" w:eastAsia="Times New Roman" w:hAnsiTheme="majorBidi" w:cstheme="majorBidi"/>
          <w:bCs/>
          <w:sz w:val="24"/>
          <w:szCs w:val="24"/>
          <w:lang w:bidi="ar-EG"/>
        </w:rPr>
        <w:t xml:space="preserve">Our patients' analysis of fecal calprotectin (FCP) levels before and after polypectomy </w:t>
      </w:r>
      <w:r w:rsidR="00335E24" w:rsidRPr="00834F66">
        <w:rPr>
          <w:rFonts w:asciiTheme="majorBidi" w:eastAsia="Times New Roman" w:hAnsiTheme="majorBidi" w:cstheme="majorBidi"/>
          <w:bCs/>
          <w:sz w:val="24"/>
          <w:szCs w:val="24"/>
          <w:lang w:bidi="ar-EG"/>
        </w:rPr>
        <w:t xml:space="preserve">reveals a significant reduction in FCP levels following the procedure. </w:t>
      </w:r>
      <w:r>
        <w:rPr>
          <w:rFonts w:asciiTheme="majorBidi" w:eastAsia="Times New Roman" w:hAnsiTheme="majorBidi" w:cstheme="majorBidi"/>
          <w:bCs/>
          <w:sz w:val="24"/>
          <w:szCs w:val="24"/>
          <w:lang w:bidi="ar-EG"/>
        </w:rPr>
        <w:t>Before</w:t>
      </w:r>
      <w:r w:rsidR="00335E24" w:rsidRPr="00834F66">
        <w:rPr>
          <w:rFonts w:asciiTheme="majorBidi" w:eastAsia="Times New Roman" w:hAnsiTheme="majorBidi" w:cstheme="majorBidi"/>
          <w:bCs/>
          <w:sz w:val="24"/>
          <w:szCs w:val="24"/>
          <w:lang w:bidi="ar-EG"/>
        </w:rPr>
        <w:t xml:space="preserve"> polypectomy, all patients had FCP levels above 50 </w:t>
      </w:r>
      <w:proofErr w:type="spellStart"/>
      <w:r w:rsidR="00335E24" w:rsidRPr="00834F66">
        <w:rPr>
          <w:rFonts w:asciiTheme="majorBidi" w:eastAsia="Times New Roman" w:hAnsiTheme="majorBidi" w:cstheme="majorBidi"/>
          <w:bCs/>
          <w:sz w:val="24"/>
          <w:szCs w:val="24"/>
          <w:lang w:bidi="ar-EG"/>
        </w:rPr>
        <w:t>μg</w:t>
      </w:r>
      <w:proofErr w:type="spellEnd"/>
      <w:r w:rsidR="00335E24" w:rsidRPr="00834F66">
        <w:rPr>
          <w:rFonts w:asciiTheme="majorBidi" w:eastAsia="Times New Roman" w:hAnsiTheme="majorBidi" w:cstheme="majorBidi"/>
          <w:bCs/>
          <w:sz w:val="24"/>
          <w:szCs w:val="24"/>
          <w:lang w:bidi="ar-EG"/>
        </w:rPr>
        <w:t xml:space="preserve">/g, with a mean of 353 ± 200 </w:t>
      </w:r>
      <w:proofErr w:type="spellStart"/>
      <w:r w:rsidR="00335E24" w:rsidRPr="00834F66">
        <w:rPr>
          <w:rFonts w:asciiTheme="majorBidi" w:eastAsia="Times New Roman" w:hAnsiTheme="majorBidi" w:cstheme="majorBidi"/>
          <w:bCs/>
          <w:sz w:val="24"/>
          <w:szCs w:val="24"/>
          <w:lang w:bidi="ar-EG"/>
        </w:rPr>
        <w:t>μg</w:t>
      </w:r>
      <w:proofErr w:type="spellEnd"/>
      <w:r w:rsidR="00335E24" w:rsidRPr="00834F66">
        <w:rPr>
          <w:rFonts w:asciiTheme="majorBidi" w:eastAsia="Times New Roman" w:hAnsiTheme="majorBidi" w:cstheme="majorBidi"/>
          <w:bCs/>
          <w:sz w:val="24"/>
          <w:szCs w:val="24"/>
          <w:lang w:bidi="ar-EG"/>
        </w:rPr>
        <w:t xml:space="preserve">/g, and the levels ranged from 124 to 940 </w:t>
      </w:r>
      <w:proofErr w:type="spellStart"/>
      <w:r w:rsidR="00335E24" w:rsidRPr="00834F66">
        <w:rPr>
          <w:rFonts w:asciiTheme="majorBidi" w:eastAsia="Times New Roman" w:hAnsiTheme="majorBidi" w:cstheme="majorBidi"/>
          <w:bCs/>
          <w:sz w:val="24"/>
          <w:szCs w:val="24"/>
          <w:lang w:bidi="ar-EG"/>
        </w:rPr>
        <w:t>μg</w:t>
      </w:r>
      <w:proofErr w:type="spellEnd"/>
      <w:r w:rsidR="00335E24" w:rsidRPr="00834F66">
        <w:rPr>
          <w:rFonts w:asciiTheme="majorBidi" w:eastAsia="Times New Roman" w:hAnsiTheme="majorBidi" w:cstheme="majorBidi"/>
          <w:bCs/>
          <w:sz w:val="24"/>
          <w:szCs w:val="24"/>
          <w:lang w:bidi="ar-EG"/>
        </w:rPr>
        <w:t xml:space="preserve">/g. After polypectomy, there was a marked decrease in FCP levels, with 78% of patients exhibiting FCP levels ≤50 </w:t>
      </w:r>
      <w:proofErr w:type="spellStart"/>
      <w:r w:rsidR="00335E24" w:rsidRPr="00834F66">
        <w:rPr>
          <w:rFonts w:asciiTheme="majorBidi" w:eastAsia="Times New Roman" w:hAnsiTheme="majorBidi" w:cstheme="majorBidi"/>
          <w:bCs/>
          <w:sz w:val="24"/>
          <w:szCs w:val="24"/>
          <w:lang w:bidi="ar-EG"/>
        </w:rPr>
        <w:t>μg</w:t>
      </w:r>
      <w:proofErr w:type="spellEnd"/>
      <w:r w:rsidR="00335E24" w:rsidRPr="00834F66">
        <w:rPr>
          <w:rFonts w:asciiTheme="majorBidi" w:eastAsia="Times New Roman" w:hAnsiTheme="majorBidi" w:cstheme="majorBidi"/>
          <w:bCs/>
          <w:sz w:val="24"/>
          <w:szCs w:val="24"/>
          <w:lang w:bidi="ar-EG"/>
        </w:rPr>
        <w:t xml:space="preserve">/g, indicating a substantial reduction in gastrointestinal inflammation. The mean FCP level after the procedure dropped to 44.8 ± 16.4 </w:t>
      </w:r>
      <w:proofErr w:type="spellStart"/>
      <w:r w:rsidR="00335E24" w:rsidRPr="00834F66">
        <w:rPr>
          <w:rFonts w:asciiTheme="majorBidi" w:eastAsia="Times New Roman" w:hAnsiTheme="majorBidi" w:cstheme="majorBidi"/>
          <w:bCs/>
          <w:sz w:val="24"/>
          <w:szCs w:val="24"/>
          <w:lang w:bidi="ar-EG"/>
        </w:rPr>
        <w:t>μg</w:t>
      </w:r>
      <w:proofErr w:type="spellEnd"/>
      <w:r w:rsidR="00335E24" w:rsidRPr="00834F66">
        <w:rPr>
          <w:rFonts w:asciiTheme="majorBidi" w:eastAsia="Times New Roman" w:hAnsiTheme="majorBidi" w:cstheme="majorBidi"/>
          <w:bCs/>
          <w:sz w:val="24"/>
          <w:szCs w:val="24"/>
          <w:lang w:bidi="ar-EG"/>
        </w:rPr>
        <w:t xml:space="preserve">/g, with values ranging from 24 to 85 </w:t>
      </w:r>
      <w:proofErr w:type="spellStart"/>
      <w:r w:rsidR="00335E24" w:rsidRPr="00834F66">
        <w:rPr>
          <w:rFonts w:asciiTheme="majorBidi" w:eastAsia="Times New Roman" w:hAnsiTheme="majorBidi" w:cstheme="majorBidi"/>
          <w:bCs/>
          <w:sz w:val="24"/>
          <w:szCs w:val="24"/>
          <w:lang w:bidi="ar-EG"/>
        </w:rPr>
        <w:t>μg</w:t>
      </w:r>
      <w:proofErr w:type="spellEnd"/>
      <w:r w:rsidR="00335E24" w:rsidRPr="00834F66">
        <w:rPr>
          <w:rFonts w:asciiTheme="majorBidi" w:eastAsia="Times New Roman" w:hAnsiTheme="majorBidi" w:cstheme="majorBidi"/>
          <w:bCs/>
          <w:sz w:val="24"/>
          <w:szCs w:val="24"/>
          <w:lang w:bidi="ar-EG"/>
        </w:rPr>
        <w:t xml:space="preserve">/g. This reduction </w:t>
      </w:r>
      <w:r w:rsidRPr="00834F66">
        <w:rPr>
          <w:rFonts w:asciiTheme="majorBidi" w:eastAsia="Times New Roman" w:hAnsiTheme="majorBidi" w:cstheme="majorBidi"/>
          <w:bCs/>
          <w:sz w:val="24"/>
          <w:szCs w:val="24"/>
          <w:lang w:bidi="ar-EG"/>
        </w:rPr>
        <w:t>demonstrates</w:t>
      </w:r>
      <w:r w:rsidR="00335E24" w:rsidRPr="00834F66">
        <w:rPr>
          <w:rFonts w:asciiTheme="majorBidi" w:eastAsia="Times New Roman" w:hAnsiTheme="majorBidi" w:cstheme="majorBidi"/>
          <w:bCs/>
          <w:sz w:val="24"/>
          <w:szCs w:val="24"/>
          <w:lang w:bidi="ar-EG"/>
        </w:rPr>
        <w:t xml:space="preserve"> the effectiveness of polypectomy in lowering FCP levels and reducing inflammation in affected patients. </w:t>
      </w:r>
      <w:r w:rsidRPr="00834F66">
        <w:rPr>
          <w:rFonts w:asciiTheme="majorBidi" w:eastAsia="Times New Roman" w:hAnsiTheme="majorBidi" w:cstheme="majorBidi"/>
          <w:bCs/>
          <w:sz w:val="24"/>
          <w:szCs w:val="24"/>
          <w:lang w:bidi="ar-EG"/>
        </w:rPr>
        <w:t>Similar</w:t>
      </w:r>
      <w:r w:rsidR="00335E24" w:rsidRPr="00834F66">
        <w:rPr>
          <w:rFonts w:asciiTheme="majorBidi" w:eastAsia="Times New Roman" w:hAnsiTheme="majorBidi" w:cstheme="majorBidi"/>
          <w:bCs/>
          <w:sz w:val="24"/>
          <w:szCs w:val="24"/>
          <w:lang w:bidi="ar-EG"/>
        </w:rPr>
        <w:t xml:space="preserve"> </w:t>
      </w:r>
      <w:r w:rsidRPr="00834F66">
        <w:rPr>
          <w:rFonts w:asciiTheme="majorBidi" w:eastAsia="Times New Roman" w:hAnsiTheme="majorBidi" w:cstheme="majorBidi"/>
          <w:bCs/>
          <w:sz w:val="24"/>
          <w:szCs w:val="24"/>
          <w:lang w:bidi="ar-EG"/>
        </w:rPr>
        <w:t>findings were</w:t>
      </w:r>
      <w:r w:rsidR="00335E24" w:rsidRPr="00834F66">
        <w:rPr>
          <w:rFonts w:asciiTheme="majorBidi" w:eastAsia="Times New Roman" w:hAnsiTheme="majorBidi" w:cstheme="majorBidi"/>
          <w:bCs/>
          <w:sz w:val="24"/>
          <w:szCs w:val="24"/>
          <w:lang w:bidi="ar-EG"/>
        </w:rPr>
        <w:t xml:space="preserve"> conducted by </w:t>
      </w:r>
      <w:r w:rsidR="00335E24" w:rsidRPr="00744EFF">
        <w:rPr>
          <w:rFonts w:asciiTheme="majorBidi" w:eastAsia="Times New Roman" w:hAnsiTheme="majorBidi" w:cstheme="majorBidi"/>
          <w:bCs/>
          <w:sz w:val="24"/>
          <w:szCs w:val="24"/>
          <w:lang w:bidi="ar-EG"/>
        </w:rPr>
        <w:t>Das</w:t>
      </w:r>
      <w:r w:rsidR="00335E24" w:rsidRPr="00834F66">
        <w:rPr>
          <w:rFonts w:asciiTheme="majorBidi" w:eastAsia="Times New Roman" w:hAnsiTheme="majorBidi" w:cstheme="majorBidi"/>
          <w:bCs/>
          <w:sz w:val="24"/>
          <w:szCs w:val="24"/>
          <w:lang w:bidi="ar-EG"/>
        </w:rPr>
        <w:t xml:space="preserve"> </w:t>
      </w:r>
      <w:r w:rsidR="00834F66" w:rsidRPr="00744EFF">
        <w:rPr>
          <w:rFonts w:asciiTheme="majorBidi" w:eastAsia="Times New Roman" w:hAnsiTheme="majorBidi" w:cstheme="majorBidi"/>
          <w:bCs/>
          <w:sz w:val="24"/>
          <w:szCs w:val="24"/>
          <w:lang w:bidi="ar-EG"/>
        </w:rPr>
        <w:t>et al.,</w:t>
      </w:r>
      <w:r w:rsidR="00335E24" w:rsidRPr="00834F66">
        <w:rPr>
          <w:rFonts w:asciiTheme="majorBidi" w:eastAsia="Times New Roman" w:hAnsiTheme="majorBidi" w:cstheme="majorBidi"/>
          <w:bCs/>
          <w:sz w:val="24"/>
          <w:szCs w:val="24"/>
          <w:lang w:bidi="ar-EG"/>
        </w:rPr>
        <w:t xml:space="preserve"> </w:t>
      </w:r>
      <w:r w:rsidR="00335E24" w:rsidRPr="00834F66">
        <w:rPr>
          <w:rFonts w:asciiTheme="majorBidi" w:eastAsia="Times New Roman" w:hAnsiTheme="majorBidi" w:cstheme="majorBidi"/>
          <w:bCs/>
          <w:sz w:val="24"/>
          <w:szCs w:val="24"/>
          <w:vertAlign w:val="superscript"/>
          <w:lang w:bidi="ar-EG"/>
        </w:rPr>
        <w:t>13.</w:t>
      </w:r>
      <w:r w:rsidR="00217535" w:rsidRPr="00834F66">
        <w:rPr>
          <w:rFonts w:asciiTheme="majorBidi" w:hAnsiTheme="majorBidi" w:cstheme="majorBidi"/>
          <w:sz w:val="24"/>
          <w:szCs w:val="24"/>
        </w:rPr>
        <w:t xml:space="preserve"> </w:t>
      </w:r>
      <w:r w:rsidR="00217535" w:rsidRPr="00834F66">
        <w:rPr>
          <w:rFonts w:asciiTheme="majorBidi" w:eastAsia="Times New Roman" w:hAnsiTheme="majorBidi" w:cstheme="majorBidi"/>
          <w:bCs/>
          <w:sz w:val="24"/>
          <w:szCs w:val="24"/>
          <w:lang w:bidi="ar-EG"/>
        </w:rPr>
        <w:t xml:space="preserve">These findings are </w:t>
      </w:r>
      <w:r>
        <w:rPr>
          <w:rFonts w:asciiTheme="majorBidi" w:eastAsia="Times New Roman" w:hAnsiTheme="majorBidi" w:cstheme="majorBidi"/>
          <w:bCs/>
          <w:sz w:val="24"/>
          <w:szCs w:val="24"/>
          <w:lang w:bidi="ar-EG"/>
        </w:rPr>
        <w:t>identical</w:t>
      </w:r>
      <w:r w:rsidR="00217535" w:rsidRPr="00834F66">
        <w:rPr>
          <w:rFonts w:asciiTheme="majorBidi" w:eastAsia="Times New Roman" w:hAnsiTheme="majorBidi" w:cstheme="majorBidi"/>
          <w:bCs/>
          <w:sz w:val="24"/>
          <w:szCs w:val="24"/>
          <w:lang w:bidi="ar-EG"/>
        </w:rPr>
        <w:t xml:space="preserve"> to those of another study conducted by </w:t>
      </w:r>
      <w:r w:rsidR="00217535" w:rsidRPr="00744EFF">
        <w:rPr>
          <w:rFonts w:asciiTheme="majorBidi" w:eastAsia="Times New Roman" w:hAnsiTheme="majorBidi" w:cstheme="majorBidi"/>
          <w:bCs/>
          <w:sz w:val="24"/>
          <w:szCs w:val="24"/>
          <w:lang w:bidi="ar-EG"/>
        </w:rPr>
        <w:t>Olafsdottir et al</w:t>
      </w:r>
      <w:r w:rsidR="00217535" w:rsidRPr="00834F66">
        <w:rPr>
          <w:rFonts w:asciiTheme="majorBidi" w:eastAsia="Times New Roman" w:hAnsiTheme="majorBidi" w:cstheme="majorBidi"/>
          <w:bCs/>
          <w:sz w:val="24"/>
          <w:szCs w:val="24"/>
          <w:lang w:bidi="ar-EG"/>
        </w:rPr>
        <w:t xml:space="preserve">., </w:t>
      </w:r>
      <w:r w:rsidR="00834F66" w:rsidRPr="00834F66">
        <w:rPr>
          <w:rFonts w:asciiTheme="majorBidi" w:eastAsia="Times New Roman" w:hAnsiTheme="majorBidi" w:cstheme="majorBidi"/>
          <w:b/>
          <w:sz w:val="24"/>
          <w:szCs w:val="24"/>
          <w:vertAlign w:val="superscript"/>
          <w:lang w:bidi="ar-EG"/>
        </w:rPr>
        <w:t>16</w:t>
      </w:r>
      <w:r w:rsidR="00834F66">
        <w:rPr>
          <w:rFonts w:asciiTheme="majorBidi" w:eastAsia="Times New Roman" w:hAnsiTheme="majorBidi" w:cstheme="majorBidi"/>
          <w:b/>
          <w:sz w:val="24"/>
          <w:szCs w:val="24"/>
          <w:vertAlign w:val="superscript"/>
          <w:lang w:bidi="ar-EG"/>
        </w:rPr>
        <w:t xml:space="preserve"> </w:t>
      </w:r>
      <w:r w:rsidR="00217535" w:rsidRPr="00834F66">
        <w:rPr>
          <w:rFonts w:asciiTheme="majorBidi" w:eastAsia="Times New Roman" w:hAnsiTheme="majorBidi" w:cstheme="majorBidi"/>
          <w:bCs/>
          <w:sz w:val="24"/>
          <w:szCs w:val="24"/>
          <w:lang w:bidi="ar-EG"/>
        </w:rPr>
        <w:t xml:space="preserve">and of another </w:t>
      </w:r>
      <w:r>
        <w:rPr>
          <w:rFonts w:asciiTheme="majorBidi" w:eastAsia="Times New Roman" w:hAnsiTheme="majorBidi" w:cstheme="majorBidi"/>
          <w:bCs/>
          <w:sz w:val="24"/>
          <w:szCs w:val="24"/>
          <w:lang w:bidi="ar-EG"/>
        </w:rPr>
        <w:t>survey</w:t>
      </w:r>
      <w:r w:rsidR="00217535" w:rsidRPr="00834F66">
        <w:rPr>
          <w:rFonts w:asciiTheme="majorBidi" w:eastAsia="Times New Roman" w:hAnsiTheme="majorBidi" w:cstheme="majorBidi"/>
          <w:bCs/>
          <w:sz w:val="24"/>
          <w:szCs w:val="24"/>
          <w:lang w:bidi="ar-EG"/>
        </w:rPr>
        <w:t xml:space="preserve"> conducted by </w:t>
      </w:r>
      <w:proofErr w:type="spellStart"/>
      <w:r w:rsidR="00834F66" w:rsidRPr="00744EFF">
        <w:rPr>
          <w:rFonts w:asciiTheme="majorBidi" w:eastAsia="Times New Roman" w:hAnsiTheme="majorBidi" w:cstheme="majorBidi"/>
          <w:bCs/>
          <w:sz w:val="24"/>
          <w:szCs w:val="24"/>
          <w:lang w:bidi="ar-EG"/>
        </w:rPr>
        <w:t>Pezzilli</w:t>
      </w:r>
      <w:proofErr w:type="spellEnd"/>
      <w:r w:rsidR="00834F66" w:rsidRPr="00744EFF">
        <w:rPr>
          <w:rFonts w:asciiTheme="majorBidi" w:eastAsia="Times New Roman" w:hAnsiTheme="majorBidi" w:cstheme="majorBidi"/>
          <w:bCs/>
          <w:sz w:val="24"/>
          <w:szCs w:val="24"/>
          <w:lang w:bidi="ar-EG"/>
        </w:rPr>
        <w:t xml:space="preserve"> et al., </w:t>
      </w:r>
      <w:r w:rsidR="00217535" w:rsidRPr="00834F66">
        <w:rPr>
          <w:rFonts w:asciiTheme="majorBidi" w:eastAsia="Times New Roman" w:hAnsiTheme="majorBidi" w:cstheme="majorBidi"/>
          <w:b/>
          <w:sz w:val="24"/>
          <w:szCs w:val="24"/>
          <w:vertAlign w:val="superscript"/>
          <w:lang w:bidi="ar-EG"/>
        </w:rPr>
        <w:t>17</w:t>
      </w:r>
      <w:r w:rsidR="00217535" w:rsidRPr="00834F66">
        <w:rPr>
          <w:rFonts w:asciiTheme="majorBidi" w:eastAsia="Times New Roman" w:hAnsiTheme="majorBidi" w:cstheme="majorBidi"/>
          <w:bCs/>
          <w:sz w:val="24"/>
          <w:szCs w:val="24"/>
          <w:lang w:bidi="ar-EG"/>
        </w:rPr>
        <w:t>.</w:t>
      </w:r>
      <w:r w:rsidR="00217535" w:rsidRPr="00834F66">
        <w:rPr>
          <w:rFonts w:asciiTheme="majorBidi" w:eastAsia="Times New Roman" w:hAnsiTheme="majorBidi" w:cstheme="majorBidi"/>
          <w:b/>
          <w:sz w:val="24"/>
          <w:szCs w:val="24"/>
          <w:lang w:bidi="ar-EG"/>
        </w:rPr>
        <w:t xml:space="preserve"> </w:t>
      </w:r>
    </w:p>
    <w:p w14:paraId="47EAFDE7" w14:textId="6433902A" w:rsidR="00D1338A" w:rsidRPr="00834F66" w:rsidRDefault="00D1338A" w:rsidP="00834F66">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Several case studies have described the association between fecal calprotectin (FCP) and juvenile polyps in children. These studies found </w:t>
      </w:r>
      <w:r w:rsidR="00E67BA5">
        <w:rPr>
          <w:rFonts w:asciiTheme="majorBidi" w:eastAsia="Times New Roman" w:hAnsiTheme="majorBidi" w:cstheme="majorBidi"/>
          <w:bCs/>
          <w:sz w:val="24"/>
          <w:szCs w:val="24"/>
          <w:lang w:bidi="ar-EG"/>
        </w:rPr>
        <w:t>elevated FCP levels</w:t>
      </w:r>
      <w:r w:rsidRPr="00834F66">
        <w:rPr>
          <w:rFonts w:asciiTheme="majorBidi" w:eastAsia="Times New Roman" w:hAnsiTheme="majorBidi" w:cstheme="majorBidi"/>
          <w:bCs/>
          <w:sz w:val="24"/>
          <w:szCs w:val="24"/>
          <w:lang w:bidi="ar-EG"/>
        </w:rPr>
        <w:t xml:space="preserve"> significantly reduced or returned to near-normal levels following polypectomy</w:t>
      </w:r>
      <w:r w:rsidRPr="00834F66">
        <w:rPr>
          <w:rFonts w:asciiTheme="majorBidi" w:eastAsia="Times New Roman" w:hAnsiTheme="majorBidi" w:cstheme="majorBidi"/>
          <w:bCs/>
          <w:sz w:val="24"/>
          <w:szCs w:val="24"/>
          <w:vertAlign w:val="superscript"/>
          <w:lang w:bidi="ar-EG"/>
        </w:rPr>
        <w:t>18-19-20</w:t>
      </w:r>
      <w:r w:rsidRPr="00834F66">
        <w:rPr>
          <w:rFonts w:asciiTheme="majorBidi" w:eastAsia="Times New Roman" w:hAnsiTheme="majorBidi" w:cstheme="majorBidi"/>
          <w:bCs/>
          <w:sz w:val="24"/>
          <w:szCs w:val="24"/>
          <w:lang w:bidi="ar-EG"/>
        </w:rPr>
        <w:t>.</w:t>
      </w:r>
    </w:p>
    <w:p w14:paraId="480C7BB9" w14:textId="7A919E44" w:rsidR="00A65ACE" w:rsidRPr="00834F66" w:rsidRDefault="00A65ACE" w:rsidP="003A0732">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This study investigate</w:t>
      </w:r>
      <w:r w:rsidR="00335E24" w:rsidRPr="00834F66">
        <w:rPr>
          <w:rFonts w:asciiTheme="majorBidi" w:eastAsia="Times New Roman" w:hAnsiTheme="majorBidi" w:cstheme="majorBidi"/>
          <w:bCs/>
          <w:sz w:val="24"/>
          <w:szCs w:val="24"/>
          <w:lang w:bidi="ar-EG"/>
        </w:rPr>
        <w:t>d</w:t>
      </w:r>
      <w:r w:rsidRPr="00834F66">
        <w:rPr>
          <w:rFonts w:asciiTheme="majorBidi" w:eastAsia="Times New Roman" w:hAnsiTheme="majorBidi" w:cstheme="majorBidi"/>
          <w:bCs/>
          <w:sz w:val="24"/>
          <w:szCs w:val="24"/>
          <w:lang w:bidi="ar-EG"/>
        </w:rPr>
        <w:t xml:space="preserve"> the relationship between fecal calprotectin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and various clinical characteristics of juvenile polyps in pediatric patients. Patients were divided into two groups based on median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those with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below 400 (</w:t>
      </w:r>
      <w:r w:rsidR="003A0732" w:rsidRPr="003A0732">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 xml:space="preserve">&lt;400) and those with FC levels at or above 400 (FC≥400). Several key findings emerged from this analysis, which may have implications for understanding the clinical significance of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in juvenile polyps.</w:t>
      </w:r>
      <w:r w:rsidR="003A0732">
        <w:rPr>
          <w:rFonts w:asciiTheme="majorBidi" w:eastAsia="Times New Roman" w:hAnsiTheme="majorBidi" w:cstheme="majorBidi"/>
          <w:bCs/>
          <w:sz w:val="24"/>
          <w:szCs w:val="24"/>
          <w:lang w:bidi="ar-EG"/>
        </w:rPr>
        <w:t xml:space="preserve"> </w:t>
      </w:r>
      <w:r w:rsidRPr="00834F66">
        <w:rPr>
          <w:rFonts w:asciiTheme="majorBidi" w:eastAsia="Times New Roman" w:hAnsiTheme="majorBidi" w:cstheme="majorBidi"/>
          <w:bCs/>
          <w:sz w:val="24"/>
          <w:szCs w:val="24"/>
          <w:lang w:bidi="ar-EG"/>
        </w:rPr>
        <w:t xml:space="preserve">First, the study found no significant difference in the age at diagnosis between the two groups (p-value = 0.167). This suggests that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do not correlate with the age at which juvenile polyps are typically detected. Previous research has shown that juvenile polyps most commonly present in children between the ages of 3 and 10 years, and this trend appeared to be consistent across both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groups in our study. Given the absence of a significant age-related difference, it seems that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may not be a reliable marker for predicting the age at </w:t>
      </w:r>
      <w:r w:rsidR="00E67BA5">
        <w:rPr>
          <w:rFonts w:asciiTheme="majorBidi" w:eastAsia="Times New Roman" w:hAnsiTheme="majorBidi" w:cstheme="majorBidi"/>
          <w:bCs/>
          <w:sz w:val="24"/>
          <w:szCs w:val="24"/>
          <w:lang w:bidi="ar-EG"/>
        </w:rPr>
        <w:t>which juvenile polyps are diagnosed</w:t>
      </w:r>
      <w:r w:rsidRPr="00834F66">
        <w:rPr>
          <w:rFonts w:asciiTheme="majorBidi" w:eastAsia="Times New Roman" w:hAnsiTheme="majorBidi" w:cstheme="majorBidi"/>
          <w:bCs/>
          <w:sz w:val="24"/>
          <w:szCs w:val="24"/>
          <w:lang w:bidi="ar-EG"/>
        </w:rPr>
        <w:t>.</w:t>
      </w:r>
      <w:r w:rsidR="0019428B">
        <w:rPr>
          <w:rFonts w:asciiTheme="majorBidi" w:eastAsia="Times New Roman" w:hAnsiTheme="majorBidi" w:cstheme="majorBidi"/>
          <w:bCs/>
          <w:sz w:val="24"/>
          <w:szCs w:val="24"/>
          <w:lang w:bidi="ar-EG"/>
        </w:rPr>
        <w:t xml:space="preserve"> </w:t>
      </w:r>
      <w:r w:rsidR="00E67BA5">
        <w:rPr>
          <w:rFonts w:asciiTheme="majorBidi" w:eastAsia="Times New Roman" w:hAnsiTheme="majorBidi" w:cstheme="majorBidi"/>
          <w:bCs/>
          <w:sz w:val="24"/>
          <w:szCs w:val="24"/>
          <w:lang w:bidi="ar-EG"/>
        </w:rPr>
        <w:t>Regarding</w:t>
      </w:r>
      <w:r w:rsidRPr="00834F66">
        <w:rPr>
          <w:rFonts w:asciiTheme="majorBidi" w:eastAsia="Times New Roman" w:hAnsiTheme="majorBidi" w:cstheme="majorBidi"/>
          <w:bCs/>
          <w:sz w:val="24"/>
          <w:szCs w:val="24"/>
          <w:lang w:bidi="ar-EG"/>
        </w:rPr>
        <w:t xml:space="preserve"> polyp number, </w:t>
      </w:r>
      <w:r w:rsidR="00E67BA5">
        <w:rPr>
          <w:rFonts w:asciiTheme="majorBidi" w:eastAsia="Times New Roman" w:hAnsiTheme="majorBidi" w:cstheme="majorBidi"/>
          <w:bCs/>
          <w:sz w:val="24"/>
          <w:szCs w:val="24"/>
          <w:lang w:bidi="ar-EG"/>
        </w:rPr>
        <w:t>most</w:t>
      </w:r>
      <w:r w:rsidRPr="00834F66">
        <w:rPr>
          <w:rFonts w:asciiTheme="majorBidi" w:eastAsia="Times New Roman" w:hAnsiTheme="majorBidi" w:cstheme="majorBidi"/>
          <w:bCs/>
          <w:sz w:val="24"/>
          <w:szCs w:val="24"/>
          <w:lang w:bidi="ar-EG"/>
        </w:rPr>
        <w:t xml:space="preserve"> patients in the </w:t>
      </w:r>
      <w:r w:rsidR="0019428B" w:rsidRPr="0019428B">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 xml:space="preserve">&lt;400 group (83.3%) had a solitary polyp, whereas only 9.4% of patients in the </w:t>
      </w:r>
      <w:r w:rsidR="0019428B" w:rsidRPr="0019428B">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 xml:space="preserve">≥400 group had </w:t>
      </w:r>
      <w:proofErr w:type="gramStart"/>
      <w:r w:rsidR="00385D49">
        <w:rPr>
          <w:rFonts w:asciiTheme="majorBidi" w:eastAsia="Times New Roman" w:hAnsiTheme="majorBidi" w:cstheme="majorBidi"/>
          <w:bCs/>
          <w:sz w:val="24"/>
          <w:szCs w:val="24"/>
          <w:lang w:bidi="ar-EG"/>
        </w:rPr>
        <w:t>a</w:t>
      </w:r>
      <w:r w:rsidR="004E5F14">
        <w:rPr>
          <w:rFonts w:asciiTheme="majorBidi" w:eastAsia="Times New Roman" w:hAnsiTheme="majorBidi" w:cstheme="majorBidi"/>
          <w:bCs/>
          <w:sz w:val="24"/>
          <w:szCs w:val="24"/>
          <w:lang w:bidi="ar-EG"/>
        </w:rPr>
        <w:t xml:space="preserve"> </w:t>
      </w:r>
      <w:r w:rsidR="00385D49" w:rsidRPr="00834F66">
        <w:rPr>
          <w:rFonts w:asciiTheme="majorBidi" w:eastAsia="Times New Roman" w:hAnsiTheme="majorBidi" w:cstheme="majorBidi"/>
          <w:bCs/>
          <w:sz w:val="24"/>
          <w:szCs w:val="24"/>
          <w:lang w:bidi="ar-EG"/>
        </w:rPr>
        <w:t>solitary</w:t>
      </w:r>
      <w:proofErr w:type="gramEnd"/>
      <w:r w:rsidRPr="00834F66">
        <w:rPr>
          <w:rFonts w:asciiTheme="majorBidi" w:eastAsia="Times New Roman" w:hAnsiTheme="majorBidi" w:cstheme="majorBidi"/>
          <w:bCs/>
          <w:sz w:val="24"/>
          <w:szCs w:val="24"/>
          <w:lang w:bidi="ar-EG"/>
        </w:rPr>
        <w:t xml:space="preserve"> polyp. However, this difference was not statistically significant (p-value = 1.000). Although solitary polyps were more common in the lower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group, the lack of statistical significance indicates that </w:t>
      </w:r>
      <w:r w:rsidR="0019428B" w:rsidRPr="0019428B">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may not be strongly associated with the number of polyps present in individual patients. This result suggests that multiple polyps may not necessarily correlate with elevated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which could have implications for using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as a screening tool for polyposis.</w:t>
      </w:r>
    </w:p>
    <w:p w14:paraId="21F33F93" w14:textId="0CC67BE9" w:rsidR="00A65ACE" w:rsidRPr="00834F66" w:rsidRDefault="00A65ACE" w:rsidP="003A0732">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One of the most notable findings in this study was the significant difference in polyp size between the two groups. The median size of polyps in the </w:t>
      </w:r>
      <w:r w:rsidR="003A0732" w:rsidRPr="003A0732">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 xml:space="preserve">≥400 group was significantly larger (20 mm) compared to the </w:t>
      </w:r>
      <w:r w:rsidR="003A0732" w:rsidRPr="003A0732">
        <w:rPr>
          <w:rFonts w:asciiTheme="majorBidi" w:eastAsia="Times New Roman" w:hAnsiTheme="majorBidi" w:cstheme="majorBidi"/>
          <w:bCs/>
          <w:sz w:val="24"/>
          <w:szCs w:val="24"/>
          <w:lang w:bidi="ar-EG"/>
        </w:rPr>
        <w:t>FCP</w:t>
      </w:r>
      <w:r w:rsidR="003A0732">
        <w:rPr>
          <w:rFonts w:asciiTheme="majorBidi" w:eastAsia="Times New Roman" w:hAnsiTheme="majorBidi" w:cstheme="majorBidi"/>
          <w:bCs/>
          <w:sz w:val="24"/>
          <w:szCs w:val="24"/>
          <w:lang w:bidi="ar-EG"/>
        </w:rPr>
        <w:t xml:space="preserve"> </w:t>
      </w:r>
      <w:r w:rsidRPr="00834F66">
        <w:rPr>
          <w:rFonts w:asciiTheme="majorBidi" w:eastAsia="Times New Roman" w:hAnsiTheme="majorBidi" w:cstheme="majorBidi"/>
          <w:bCs/>
          <w:sz w:val="24"/>
          <w:szCs w:val="24"/>
          <w:lang w:bidi="ar-EG"/>
        </w:rPr>
        <w:t>&lt;</w:t>
      </w:r>
      <w:r w:rsidR="003A0732">
        <w:rPr>
          <w:rFonts w:asciiTheme="majorBidi" w:eastAsia="Times New Roman" w:hAnsiTheme="majorBidi" w:cstheme="majorBidi"/>
          <w:bCs/>
          <w:sz w:val="24"/>
          <w:szCs w:val="24"/>
          <w:lang w:bidi="ar-EG"/>
        </w:rPr>
        <w:t xml:space="preserve"> </w:t>
      </w:r>
      <w:r w:rsidRPr="00834F66">
        <w:rPr>
          <w:rFonts w:asciiTheme="majorBidi" w:eastAsia="Times New Roman" w:hAnsiTheme="majorBidi" w:cstheme="majorBidi"/>
          <w:bCs/>
          <w:sz w:val="24"/>
          <w:szCs w:val="24"/>
          <w:lang w:bidi="ar-EG"/>
        </w:rPr>
        <w:t xml:space="preserve">400 group (12 mm), with a p-value of 0.016. This suggests that higher FC levels are associated with larger polyps, which could </w:t>
      </w:r>
      <w:r w:rsidR="00E67BA5">
        <w:rPr>
          <w:rFonts w:asciiTheme="majorBidi" w:eastAsia="Times New Roman" w:hAnsiTheme="majorBidi" w:cstheme="majorBidi"/>
          <w:bCs/>
          <w:sz w:val="24"/>
          <w:szCs w:val="24"/>
          <w:lang w:bidi="ar-EG"/>
        </w:rPr>
        <w:t>indicate</w:t>
      </w:r>
      <w:r w:rsidRPr="00834F66">
        <w:rPr>
          <w:rFonts w:asciiTheme="majorBidi" w:eastAsia="Times New Roman" w:hAnsiTheme="majorBidi" w:cstheme="majorBidi"/>
          <w:bCs/>
          <w:sz w:val="24"/>
          <w:szCs w:val="24"/>
          <w:lang w:bidi="ar-EG"/>
        </w:rPr>
        <w:t xml:space="preserve"> increased disease severity or a more active inflammatory process. Larger polyps are often associated with higher levels of inflammation, which might explain the higher FC levels in this group. This finding may highlight the potential role of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as a biomarker for disease progression and polyp size in juvenile polyps.</w:t>
      </w:r>
    </w:p>
    <w:p w14:paraId="0BDABC4D" w14:textId="29FAB77E" w:rsidR="00A65ACE" w:rsidRPr="00834F66" w:rsidRDefault="00A65ACE" w:rsidP="003A0732">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Additionally, a higher proportion of patients in the </w:t>
      </w:r>
      <w:r w:rsidR="003A0732" w:rsidRPr="003A0732">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 xml:space="preserve">≥400 group had pedunculated polyps (78.1%) compared to those in the </w:t>
      </w:r>
      <w:r w:rsidR="003A0732" w:rsidRPr="003A0732">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 xml:space="preserve">&lt;400 group (44.4%), with a statistically significant p-value of 0.026. Pedunculated polyps are typically considered to have a higher risk of complications such as bleeding or torsion, and the association between elevated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and pedunculated polyps may reflect a more active or aggressive pathological process. This observation suggests that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could be used to distinguish between different polyp morphologies, providing further insights into the clinical management of juvenile polyps.</w:t>
      </w:r>
    </w:p>
    <w:p w14:paraId="61769DE7" w14:textId="68C3015A" w:rsidR="008727C3" w:rsidRPr="00834F66" w:rsidRDefault="00015197" w:rsidP="003A0732">
      <w:pPr>
        <w:spacing w:after="0" w:line="360" w:lineRule="auto"/>
        <w:jc w:val="both"/>
        <w:rPr>
          <w:rFonts w:asciiTheme="majorBidi" w:eastAsia="Times New Roman" w:hAnsiTheme="majorBidi" w:cstheme="majorBidi"/>
          <w:bCs/>
          <w:sz w:val="24"/>
          <w:szCs w:val="24"/>
          <w:lang w:bidi="ar-EG"/>
        </w:rPr>
      </w:pPr>
      <w:r w:rsidRPr="00834F66">
        <w:rPr>
          <w:rFonts w:asciiTheme="majorBidi" w:eastAsia="Times New Roman" w:hAnsiTheme="majorBidi" w:cstheme="majorBidi"/>
          <w:bCs/>
          <w:sz w:val="24"/>
          <w:szCs w:val="24"/>
          <w:lang w:bidi="ar-EG"/>
        </w:rPr>
        <w:t xml:space="preserve">The analysis indicates that polyp size and pedunculated morphology </w:t>
      </w:r>
      <w:r w:rsidR="006D156A">
        <w:rPr>
          <w:rFonts w:asciiTheme="majorBidi" w:eastAsia="Times New Roman" w:hAnsiTheme="majorBidi" w:cstheme="majorBidi"/>
          <w:bCs/>
          <w:sz w:val="24"/>
          <w:szCs w:val="24"/>
          <w:lang w:bidi="ar-EG"/>
        </w:rPr>
        <w:t>significantly predict</w:t>
      </w:r>
      <w:r w:rsidRPr="00834F66">
        <w:rPr>
          <w:rFonts w:asciiTheme="majorBidi" w:eastAsia="Times New Roman" w:hAnsiTheme="majorBidi" w:cstheme="majorBidi"/>
          <w:bCs/>
          <w:sz w:val="24"/>
          <w:szCs w:val="24"/>
          <w:lang w:bidi="ar-EG"/>
        </w:rPr>
        <w:t xml:space="preserve"> elevated </w:t>
      </w:r>
      <w:r w:rsidR="003A0732" w:rsidRPr="003A0732">
        <w:rPr>
          <w:rFonts w:asciiTheme="majorBidi" w:eastAsia="Times New Roman" w:hAnsiTheme="majorBidi" w:cstheme="majorBidi"/>
          <w:bCs/>
          <w:sz w:val="24"/>
          <w:szCs w:val="24"/>
          <w:lang w:bidi="ar-EG"/>
        </w:rPr>
        <w:t xml:space="preserve">FCP </w:t>
      </w:r>
      <w:r w:rsidRPr="00834F66">
        <w:rPr>
          <w:rFonts w:asciiTheme="majorBidi" w:eastAsia="Times New Roman" w:hAnsiTheme="majorBidi" w:cstheme="majorBidi"/>
          <w:bCs/>
          <w:sz w:val="24"/>
          <w:szCs w:val="24"/>
          <w:lang w:bidi="ar-EG"/>
        </w:rPr>
        <w:t>levels</w:t>
      </w:r>
      <w:r w:rsidR="006D156A">
        <w:rPr>
          <w:rFonts w:asciiTheme="majorBidi" w:eastAsia="Times New Roman" w:hAnsiTheme="majorBidi" w:cstheme="majorBidi"/>
          <w:bCs/>
          <w:sz w:val="24"/>
          <w:szCs w:val="24"/>
          <w:lang w:bidi="ar-EG"/>
        </w:rPr>
        <w:t>. In contrast, age</w:t>
      </w:r>
      <w:r w:rsidRPr="00834F66">
        <w:rPr>
          <w:rFonts w:asciiTheme="majorBidi" w:eastAsia="Times New Roman" w:hAnsiTheme="majorBidi" w:cstheme="majorBidi"/>
          <w:bCs/>
          <w:sz w:val="24"/>
          <w:szCs w:val="24"/>
          <w:lang w:bidi="ar-EG"/>
        </w:rPr>
        <w:t xml:space="preserve"> at diagnosis and the presence of a solitary polyp do not appear to have a meaningful impact on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in this dataset. Specifically, larger polyps and those with </w:t>
      </w:r>
      <w:r w:rsidR="006D156A" w:rsidRPr="00834F66">
        <w:rPr>
          <w:rFonts w:asciiTheme="majorBidi" w:eastAsia="Times New Roman" w:hAnsiTheme="majorBidi" w:cstheme="majorBidi"/>
          <w:bCs/>
          <w:sz w:val="24"/>
          <w:szCs w:val="24"/>
          <w:lang w:bidi="ar-EG"/>
        </w:rPr>
        <w:t>pedunculated</w:t>
      </w:r>
      <w:r w:rsidRPr="00834F66">
        <w:rPr>
          <w:rFonts w:asciiTheme="majorBidi" w:eastAsia="Times New Roman" w:hAnsiTheme="majorBidi" w:cstheme="majorBidi"/>
          <w:bCs/>
          <w:sz w:val="24"/>
          <w:szCs w:val="24"/>
          <w:lang w:bidi="ar-EG"/>
        </w:rPr>
        <w:t xml:space="preserve"> morphology were more strongly associated with higher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values, suggesting that these features may reflect </w:t>
      </w:r>
      <w:r w:rsidR="006D156A">
        <w:rPr>
          <w:rFonts w:asciiTheme="majorBidi" w:eastAsia="Times New Roman" w:hAnsiTheme="majorBidi" w:cstheme="majorBidi"/>
          <w:bCs/>
          <w:sz w:val="24"/>
          <w:szCs w:val="24"/>
          <w:lang w:bidi="ar-EG"/>
        </w:rPr>
        <w:t xml:space="preserve">greater </w:t>
      </w:r>
      <w:r w:rsidRPr="00834F66">
        <w:rPr>
          <w:rFonts w:asciiTheme="majorBidi" w:eastAsia="Times New Roman" w:hAnsiTheme="majorBidi" w:cstheme="majorBidi"/>
          <w:bCs/>
          <w:sz w:val="24"/>
          <w:szCs w:val="24"/>
          <w:lang w:bidi="ar-EG"/>
        </w:rPr>
        <w:t xml:space="preserve">inflammation or disease activity. These findings align with the notion that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as a biomarker of intestinal inflammation, could be a </w:t>
      </w:r>
      <w:r w:rsidR="006D156A">
        <w:rPr>
          <w:rFonts w:asciiTheme="majorBidi" w:eastAsia="Times New Roman" w:hAnsiTheme="majorBidi" w:cstheme="majorBidi"/>
          <w:bCs/>
          <w:sz w:val="24"/>
          <w:szCs w:val="24"/>
          <w:lang w:bidi="ar-EG"/>
        </w:rPr>
        <w:t>valuable</w:t>
      </w:r>
      <w:r w:rsidRPr="00834F66">
        <w:rPr>
          <w:rFonts w:asciiTheme="majorBidi" w:eastAsia="Times New Roman" w:hAnsiTheme="majorBidi" w:cstheme="majorBidi"/>
          <w:bCs/>
          <w:sz w:val="24"/>
          <w:szCs w:val="24"/>
          <w:lang w:bidi="ar-EG"/>
        </w:rPr>
        <w:t xml:space="preserve"> indicator of polyp size and type, particularly in juvenile polyps. However, further investigation is needed to determine the clinical implications of these associations, especially </w:t>
      </w:r>
      <w:r w:rsidR="006D156A">
        <w:rPr>
          <w:rFonts w:asciiTheme="majorBidi" w:eastAsia="Times New Roman" w:hAnsiTheme="majorBidi" w:cstheme="majorBidi"/>
          <w:bCs/>
          <w:sz w:val="24"/>
          <w:szCs w:val="24"/>
          <w:lang w:bidi="ar-EG"/>
        </w:rPr>
        <w:t>regarding</w:t>
      </w:r>
      <w:r w:rsidRPr="00834F66">
        <w:rPr>
          <w:rFonts w:asciiTheme="majorBidi" w:eastAsia="Times New Roman" w:hAnsiTheme="majorBidi" w:cstheme="majorBidi"/>
          <w:bCs/>
          <w:sz w:val="24"/>
          <w:szCs w:val="24"/>
          <w:lang w:bidi="ar-EG"/>
        </w:rPr>
        <w:t xml:space="preserve"> monitoring disease progression or predicting patient outcomes.</w:t>
      </w:r>
    </w:p>
    <w:p w14:paraId="1E948F25" w14:textId="515AAF5F" w:rsidR="006C1570" w:rsidRPr="00834F66" w:rsidRDefault="006C1570" w:rsidP="003A0732">
      <w:pPr>
        <w:spacing w:after="0" w:line="360" w:lineRule="auto"/>
        <w:jc w:val="both"/>
        <w:rPr>
          <w:rFonts w:asciiTheme="majorBidi" w:eastAsia="Times New Roman" w:hAnsiTheme="majorBidi" w:cstheme="majorBidi"/>
          <w:bCs/>
          <w:sz w:val="24"/>
          <w:szCs w:val="24"/>
          <w:rtl/>
          <w:lang w:bidi="ar-EG"/>
        </w:rPr>
      </w:pPr>
      <w:r w:rsidRPr="00834F66">
        <w:rPr>
          <w:rFonts w:asciiTheme="majorBidi" w:eastAsia="Times New Roman" w:hAnsiTheme="majorBidi" w:cstheme="majorBidi"/>
          <w:bCs/>
          <w:sz w:val="24"/>
          <w:szCs w:val="24"/>
          <w:lang w:bidi="ar-EG"/>
        </w:rPr>
        <w:t xml:space="preserve">Similarly, </w:t>
      </w:r>
      <w:r w:rsidRPr="00385D49">
        <w:rPr>
          <w:rFonts w:asciiTheme="majorBidi" w:eastAsia="Times New Roman" w:hAnsiTheme="majorBidi" w:cstheme="majorBidi"/>
          <w:sz w:val="24"/>
          <w:szCs w:val="24"/>
          <w:lang w:bidi="ar-EG"/>
        </w:rPr>
        <w:t xml:space="preserve">Kim </w:t>
      </w:r>
      <w:r w:rsidR="00834F66" w:rsidRPr="00385D49">
        <w:rPr>
          <w:rFonts w:asciiTheme="majorBidi" w:eastAsia="Times New Roman" w:hAnsiTheme="majorBidi" w:cstheme="majorBidi"/>
          <w:sz w:val="24"/>
          <w:szCs w:val="24"/>
          <w:lang w:bidi="ar-EG"/>
        </w:rPr>
        <w:t>et al.,</w:t>
      </w:r>
      <w:r w:rsidR="00385D49">
        <w:rPr>
          <w:rFonts w:asciiTheme="majorBidi" w:eastAsia="Times New Roman" w:hAnsiTheme="majorBidi" w:cstheme="majorBidi"/>
          <w:sz w:val="24"/>
          <w:szCs w:val="24"/>
          <w:lang w:bidi="ar-EG"/>
        </w:rPr>
        <w:t xml:space="preserve"> </w:t>
      </w:r>
      <w:r w:rsidRPr="00834F66">
        <w:rPr>
          <w:rFonts w:asciiTheme="majorBidi" w:eastAsia="Times New Roman" w:hAnsiTheme="majorBidi" w:cstheme="majorBidi"/>
          <w:bCs/>
          <w:sz w:val="24"/>
          <w:szCs w:val="24"/>
          <w:vertAlign w:val="superscript"/>
          <w:lang w:bidi="ar-EG"/>
        </w:rPr>
        <w:t>7</w:t>
      </w:r>
      <w:r w:rsidRPr="00834F66">
        <w:rPr>
          <w:rFonts w:asciiTheme="majorBidi" w:eastAsia="Times New Roman" w:hAnsiTheme="majorBidi" w:cstheme="majorBidi"/>
          <w:bCs/>
          <w:sz w:val="24"/>
          <w:szCs w:val="24"/>
          <w:lang w:bidi="ar-EG"/>
        </w:rPr>
        <w:t xml:space="preserve"> stated that a positive correlation was found between the size of JPs and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This means that as the size of the JPs increased, the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levels in the patients also tended to be higher. </w:t>
      </w:r>
      <w:r w:rsidR="003A0732" w:rsidRPr="003A0732">
        <w:rPr>
          <w:rFonts w:asciiTheme="majorBidi" w:eastAsia="Times New Roman" w:hAnsiTheme="majorBidi" w:cstheme="majorBidi"/>
          <w:bCs/>
          <w:sz w:val="24"/>
          <w:szCs w:val="24"/>
          <w:lang w:bidi="ar-EG"/>
        </w:rPr>
        <w:t>FCP</w:t>
      </w:r>
      <w:r w:rsidRPr="00834F66">
        <w:rPr>
          <w:rFonts w:asciiTheme="majorBidi" w:eastAsia="Times New Roman" w:hAnsiTheme="majorBidi" w:cstheme="majorBidi"/>
          <w:bCs/>
          <w:sz w:val="24"/>
          <w:szCs w:val="24"/>
          <w:lang w:bidi="ar-EG"/>
        </w:rPr>
        <w:t xml:space="preserve"> is a protein released by activated neutrophils during inflammation, and its levels are commonly used as a marker of gastrointestinal inflammation. Larger polyps, particularly those with greater vascularization and inflammatory activity, may lead to more significant local inflammation, which could explain the elevated FC levels associated with larger polyps.</w:t>
      </w:r>
    </w:p>
    <w:p w14:paraId="0B0A4A34" w14:textId="77777777" w:rsidR="000C239B" w:rsidRPr="00834F66" w:rsidRDefault="009D52AF" w:rsidP="00834F66">
      <w:pPr>
        <w:spacing w:after="0" w:line="360" w:lineRule="auto"/>
        <w:rPr>
          <w:rFonts w:asciiTheme="majorBidi" w:eastAsia="Times New Roman" w:hAnsiTheme="majorBidi" w:cstheme="majorBidi"/>
          <w:b/>
          <w:bCs/>
          <w:sz w:val="24"/>
          <w:szCs w:val="24"/>
          <w:lang w:bidi="ar-EG"/>
        </w:rPr>
      </w:pPr>
      <w:r w:rsidRPr="00834F66">
        <w:rPr>
          <w:rFonts w:asciiTheme="majorBidi" w:eastAsia="Times New Roman" w:hAnsiTheme="majorBidi" w:cstheme="majorBidi"/>
          <w:b/>
          <w:bCs/>
          <w:sz w:val="24"/>
          <w:szCs w:val="24"/>
          <w:lang w:bidi="ar-EG"/>
        </w:rPr>
        <w:t xml:space="preserve">Conclusion </w:t>
      </w:r>
    </w:p>
    <w:p w14:paraId="7C19D78E" w14:textId="23288145" w:rsidR="00834F66" w:rsidRDefault="00A96099" w:rsidP="006D156A">
      <w:pPr>
        <w:spacing w:after="0" w:line="360" w:lineRule="auto"/>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This study </w:t>
      </w:r>
      <w:r w:rsidR="009D52AF" w:rsidRPr="00834F66">
        <w:rPr>
          <w:rFonts w:asciiTheme="majorBidi" w:eastAsia="Times New Roman" w:hAnsiTheme="majorBidi" w:cstheme="majorBidi"/>
          <w:sz w:val="24"/>
          <w:szCs w:val="24"/>
          <w:lang w:bidi="ar-EG"/>
        </w:rPr>
        <w:t>highlight</w:t>
      </w:r>
      <w:r w:rsidRPr="00834F66">
        <w:rPr>
          <w:rFonts w:asciiTheme="majorBidi" w:eastAsia="Times New Roman" w:hAnsiTheme="majorBidi" w:cstheme="majorBidi"/>
          <w:sz w:val="24"/>
          <w:szCs w:val="24"/>
          <w:lang w:bidi="ar-EG"/>
        </w:rPr>
        <w:t xml:space="preserve">ed </w:t>
      </w:r>
      <w:r w:rsidR="009D52AF" w:rsidRPr="00834F66">
        <w:rPr>
          <w:rFonts w:asciiTheme="majorBidi" w:eastAsia="Times New Roman" w:hAnsiTheme="majorBidi" w:cstheme="majorBidi"/>
          <w:sz w:val="24"/>
          <w:szCs w:val="24"/>
          <w:lang w:bidi="ar-EG"/>
        </w:rPr>
        <w:t xml:space="preserve">the potential role of </w:t>
      </w:r>
      <w:r w:rsidR="003A0732" w:rsidRPr="003A0732">
        <w:rPr>
          <w:rFonts w:asciiTheme="majorBidi" w:eastAsia="Times New Roman" w:hAnsiTheme="majorBidi" w:cstheme="majorBidi"/>
          <w:sz w:val="24"/>
          <w:szCs w:val="24"/>
          <w:lang w:bidi="ar-EG"/>
        </w:rPr>
        <w:t xml:space="preserve">FCP </w:t>
      </w:r>
      <w:r w:rsidR="009D52AF" w:rsidRPr="00834F66">
        <w:rPr>
          <w:rFonts w:asciiTheme="majorBidi" w:eastAsia="Times New Roman" w:hAnsiTheme="majorBidi" w:cstheme="majorBidi"/>
          <w:sz w:val="24"/>
          <w:szCs w:val="24"/>
          <w:lang w:bidi="ar-EG"/>
        </w:rPr>
        <w:t>as a useful biomarker in pediatric patients with juvenile polyps. The significant difference in FCP levels between those with multiple versus single polyps</w:t>
      </w:r>
      <w:r w:rsidR="006D156A">
        <w:rPr>
          <w:rFonts w:asciiTheme="majorBidi" w:eastAsia="Times New Roman" w:hAnsiTheme="majorBidi" w:cstheme="majorBidi"/>
          <w:sz w:val="24"/>
          <w:szCs w:val="24"/>
          <w:lang w:bidi="ar-EG"/>
        </w:rPr>
        <w:t xml:space="preserve"> and the marked decrease in FCP levels after polypectomy suggest that FCP could reflect the extent of polyposis and the associated inflammatory burden</w:t>
      </w:r>
      <w:r w:rsidR="009D52AF" w:rsidRPr="00834F66">
        <w:rPr>
          <w:rFonts w:asciiTheme="majorBidi" w:eastAsia="Times New Roman" w:hAnsiTheme="majorBidi" w:cstheme="majorBidi"/>
          <w:sz w:val="24"/>
          <w:szCs w:val="24"/>
          <w:lang w:bidi="ar-EG"/>
        </w:rPr>
        <w:t xml:space="preserve">. The correlation between higher FCP levels and larger, pedunculated polyps further supports the idea that FCP could </w:t>
      </w:r>
      <w:r w:rsidR="006D156A">
        <w:rPr>
          <w:rFonts w:asciiTheme="majorBidi" w:eastAsia="Times New Roman" w:hAnsiTheme="majorBidi" w:cstheme="majorBidi"/>
          <w:sz w:val="24"/>
          <w:szCs w:val="24"/>
          <w:lang w:bidi="ar-EG"/>
        </w:rPr>
        <w:t>indicate</w:t>
      </w:r>
      <w:r w:rsidR="009D52AF" w:rsidRPr="00834F66">
        <w:rPr>
          <w:rFonts w:asciiTheme="majorBidi" w:eastAsia="Times New Roman" w:hAnsiTheme="majorBidi" w:cstheme="majorBidi"/>
          <w:sz w:val="24"/>
          <w:szCs w:val="24"/>
          <w:lang w:bidi="ar-EG"/>
        </w:rPr>
        <w:t xml:space="preserve"> disease severity. Monitoring FCP levels over time may offer valuable insights into disease progression and the effectiveness of treatments, providing clinicians with a non-invasive tool to track outcomes. However, further studies are needed to confirm its reliability and determine optimal thresholds for clinical use in this context.</w:t>
      </w:r>
    </w:p>
    <w:p w14:paraId="30311069" w14:textId="77777777" w:rsidR="00785B23" w:rsidRPr="00785B23" w:rsidRDefault="00785B23" w:rsidP="00785B23">
      <w:pPr>
        <w:shd w:val="clear" w:color="auto" w:fill="FFFFFF"/>
        <w:spacing w:after="0" w:line="240" w:lineRule="auto"/>
        <w:rPr>
          <w:rFonts w:ascii="Arial" w:eastAsia="SimSun" w:hAnsi="Arial" w:cs="Arial"/>
          <w:b/>
          <w:bCs/>
          <w:color w:val="000000"/>
          <w:sz w:val="24"/>
          <w:szCs w:val="24"/>
        </w:rPr>
      </w:pPr>
      <w:r w:rsidRPr="00785B23">
        <w:rPr>
          <w:rFonts w:ascii="Arial" w:eastAsia="SimSun" w:hAnsi="Arial" w:cs="Arial"/>
          <w:b/>
          <w:bCs/>
          <w:color w:val="000000"/>
          <w:sz w:val="24"/>
          <w:szCs w:val="24"/>
        </w:rPr>
        <w:t>Footnotes.</w:t>
      </w:r>
    </w:p>
    <w:p w14:paraId="654F51E7" w14:textId="5824AC63" w:rsidR="00785B23" w:rsidRPr="00785B23" w:rsidRDefault="00785B23" w:rsidP="00785B23">
      <w:pPr>
        <w:shd w:val="clear" w:color="auto" w:fill="FFFFFF"/>
        <w:spacing w:after="0" w:line="240" w:lineRule="auto"/>
        <w:rPr>
          <w:rFonts w:ascii="Arial" w:eastAsia="SimSun" w:hAnsi="Arial" w:cs="Arial"/>
          <w:color w:val="000000"/>
          <w:sz w:val="20"/>
          <w:szCs w:val="20"/>
        </w:rPr>
      </w:pPr>
      <w:bookmarkStart w:id="4" w:name="_Hlk175576913"/>
      <w:r w:rsidRPr="00785B23">
        <w:rPr>
          <w:rFonts w:ascii="Arial" w:eastAsia="SimSun" w:hAnsi="Arial" w:cs="Arial"/>
          <w:color w:val="000000"/>
          <w:sz w:val="20"/>
          <w:szCs w:val="20"/>
        </w:rPr>
        <w:t xml:space="preserve">Ahmed </w:t>
      </w:r>
      <w:bookmarkEnd w:id="4"/>
      <w:r w:rsidRPr="00785B23">
        <w:rPr>
          <w:rFonts w:ascii="Arial" w:eastAsia="SimSun" w:hAnsi="Arial" w:cs="Arial"/>
          <w:color w:val="000000"/>
          <w:sz w:val="20"/>
          <w:szCs w:val="20"/>
        </w:rPr>
        <w:t xml:space="preserve">Fathy (Professor of internal medicine, gastroenterology, and hepatology unit), </w:t>
      </w:r>
      <w:r w:rsidR="008E2785">
        <w:rPr>
          <w:rFonts w:ascii="Arial" w:eastAsia="SimSun" w:hAnsi="Arial" w:cs="Arial"/>
          <w:color w:val="000000"/>
          <w:sz w:val="20"/>
          <w:szCs w:val="20"/>
        </w:rPr>
        <w:t>Sara Salem (lecturer of internal medicine, gastroenterology, and hepatology unit), and Amany Mohamed (Professor of family medicine and</w:t>
      </w:r>
      <w:r w:rsidRPr="00785B23">
        <w:rPr>
          <w:rFonts w:ascii="Arial" w:eastAsia="SimSun" w:hAnsi="Arial" w:cs="Arial"/>
          <w:color w:val="000000"/>
          <w:sz w:val="20"/>
          <w:szCs w:val="20"/>
        </w:rPr>
        <w:t xml:space="preserve"> biostatistician) were </w:t>
      </w:r>
      <w:proofErr w:type="gramStart"/>
      <w:r w:rsidRPr="00785B23">
        <w:rPr>
          <w:rFonts w:ascii="Arial" w:eastAsia="SimSun" w:hAnsi="Arial" w:cs="Arial"/>
          <w:color w:val="000000"/>
          <w:sz w:val="20"/>
          <w:szCs w:val="20"/>
        </w:rPr>
        <w:t>the peer</w:t>
      </w:r>
      <w:proofErr w:type="gramEnd"/>
      <w:r w:rsidRPr="00785B23">
        <w:rPr>
          <w:rFonts w:ascii="Arial" w:eastAsia="SimSun" w:hAnsi="Arial" w:cs="Arial"/>
          <w:color w:val="000000"/>
          <w:sz w:val="20"/>
          <w:szCs w:val="20"/>
        </w:rPr>
        <w:t xml:space="preserve"> reviewers.</w:t>
      </w:r>
    </w:p>
    <w:p w14:paraId="2F05E8E1" w14:textId="77777777" w:rsidR="00785B23" w:rsidRPr="00785B23" w:rsidRDefault="00785B23" w:rsidP="00785B23">
      <w:pPr>
        <w:shd w:val="clear" w:color="auto" w:fill="FFFFFF"/>
        <w:spacing w:after="0" w:line="240" w:lineRule="auto"/>
        <w:rPr>
          <w:rFonts w:ascii="Arial" w:eastAsia="SimSun" w:hAnsi="Arial" w:cs="Arial"/>
          <w:color w:val="000000"/>
          <w:sz w:val="20"/>
          <w:szCs w:val="20"/>
        </w:rPr>
      </w:pPr>
      <w:r w:rsidRPr="00785B23">
        <w:rPr>
          <w:rFonts w:ascii="Arial" w:eastAsia="SimSun" w:hAnsi="Arial" w:cs="Arial"/>
          <w:b/>
          <w:bCs/>
          <w:color w:val="000000"/>
          <w:sz w:val="24"/>
          <w:szCs w:val="24"/>
        </w:rPr>
        <w:t>E- Editor:</w:t>
      </w:r>
      <w:r w:rsidRPr="00785B23">
        <w:rPr>
          <w:rFonts w:ascii="Arial" w:eastAsia="SimSun" w:hAnsi="Arial" w:cs="Arial"/>
          <w:color w:val="000000"/>
          <w:sz w:val="24"/>
          <w:szCs w:val="24"/>
        </w:rPr>
        <w:t xml:space="preserve"> </w:t>
      </w:r>
      <w:r w:rsidRPr="00785B23">
        <w:rPr>
          <w:rFonts w:ascii="Arial" w:eastAsia="SimSun" w:hAnsi="Arial" w:cs="Arial"/>
          <w:color w:val="000000"/>
          <w:sz w:val="20"/>
          <w:szCs w:val="20"/>
        </w:rPr>
        <w:t>Salem Youssef Mohamed, Osama Ahmed Khalil, Amany Mohammed.</w:t>
      </w:r>
    </w:p>
    <w:p w14:paraId="10C3D10A" w14:textId="77777777" w:rsidR="00785B23" w:rsidRPr="00785B23" w:rsidRDefault="00785B23" w:rsidP="00785B23">
      <w:pPr>
        <w:shd w:val="clear" w:color="auto" w:fill="FFFFFF"/>
        <w:spacing w:after="0" w:line="240" w:lineRule="auto"/>
        <w:rPr>
          <w:rFonts w:ascii="Arial" w:eastAsia="SimSun" w:hAnsi="Arial" w:cs="Arial"/>
          <w:color w:val="000000"/>
          <w:sz w:val="24"/>
          <w:szCs w:val="24"/>
        </w:rPr>
      </w:pPr>
      <w:r w:rsidRPr="00785B23">
        <w:rPr>
          <w:rFonts w:ascii="Arial" w:eastAsia="SimSun" w:hAnsi="Arial" w:cs="Arial"/>
          <w:b/>
          <w:bCs/>
          <w:color w:val="000000"/>
          <w:sz w:val="24"/>
          <w:szCs w:val="24"/>
        </w:rPr>
        <w:t>Copyright ©.</w:t>
      </w:r>
      <w:r w:rsidRPr="00785B23">
        <w:rPr>
          <w:rFonts w:ascii="Arial" w:eastAsia="SimSun" w:hAnsi="Arial" w:cs="Arial"/>
          <w:color w:val="000000"/>
          <w:sz w:val="24"/>
          <w:szCs w:val="24"/>
        </w:rPr>
        <w:t xml:space="preserve"> </w:t>
      </w:r>
      <w:r w:rsidRPr="00785B23">
        <w:rPr>
          <w:rFonts w:ascii="Arial" w:eastAsia="SimSun" w:hAnsi="Arial" w:cs="Arial"/>
          <w:color w:val="000000"/>
          <w:sz w:val="20"/>
          <w:szCs w:val="20"/>
        </w:rPr>
        <w:t>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w:t>
      </w:r>
      <w:r w:rsidRPr="00785B23">
        <w:rPr>
          <w:rFonts w:ascii="Arial" w:eastAsia="SimSun" w:hAnsi="Arial" w:cs="Arial"/>
          <w:color w:val="000000"/>
          <w:sz w:val="24"/>
          <w:szCs w:val="24"/>
        </w:rPr>
        <w:t xml:space="preserve"> </w:t>
      </w:r>
    </w:p>
    <w:p w14:paraId="4337232E" w14:textId="77777777" w:rsidR="00785B23" w:rsidRPr="00785B23" w:rsidRDefault="00785B23" w:rsidP="00785B23">
      <w:pPr>
        <w:shd w:val="clear" w:color="auto" w:fill="FFFFFF"/>
        <w:spacing w:after="0" w:line="240" w:lineRule="auto"/>
        <w:rPr>
          <w:rFonts w:ascii="Arial" w:eastAsia="SimSun" w:hAnsi="Arial" w:cs="Arial"/>
          <w:color w:val="000000"/>
          <w:sz w:val="24"/>
          <w:szCs w:val="24"/>
        </w:rPr>
      </w:pPr>
      <w:r w:rsidRPr="00785B23">
        <w:rPr>
          <w:rFonts w:ascii="Arial" w:eastAsia="SimSun" w:hAnsi="Arial" w:cs="Arial"/>
          <w:b/>
          <w:bCs/>
          <w:color w:val="000000"/>
          <w:sz w:val="24"/>
          <w:szCs w:val="24"/>
        </w:rPr>
        <w:t>Disclaimer:</w:t>
      </w:r>
      <w:r w:rsidRPr="00785B23">
        <w:rPr>
          <w:rFonts w:ascii="Arial" w:eastAsia="SimSun" w:hAnsi="Arial" w:cs="Arial"/>
          <w:color w:val="000000"/>
          <w:sz w:val="24"/>
          <w:szCs w:val="24"/>
        </w:rPr>
        <w:t xml:space="preserve"> </w:t>
      </w:r>
      <w:r w:rsidRPr="00785B23">
        <w:rPr>
          <w:rFonts w:ascii="Arial" w:eastAsia="SimSun" w:hAnsi="Arial" w:cs="Arial"/>
          <w:color w:val="000000"/>
          <w:sz w:val="20"/>
          <w:szCs w:val="20"/>
        </w:rPr>
        <w:t>The authors' claims in this article are solely their own and do not necessarily represent their affiliated organizations or those of the publisher, the editors, and the reviewers. Any product evaluated in this article or its manufacturer's claim is not guaranteed or endorsed by the publisher.</w:t>
      </w:r>
    </w:p>
    <w:p w14:paraId="354D7E8B" w14:textId="77777777" w:rsidR="00785B23" w:rsidRPr="00785B23" w:rsidRDefault="00785B23" w:rsidP="00785B23">
      <w:pPr>
        <w:shd w:val="clear" w:color="auto" w:fill="FFFFFF"/>
        <w:spacing w:after="0" w:line="240" w:lineRule="auto"/>
        <w:rPr>
          <w:rFonts w:ascii="Arial" w:eastAsia="SimSun" w:hAnsi="Arial" w:cs="Arial"/>
          <w:b/>
          <w:color w:val="000000"/>
          <w:sz w:val="24"/>
          <w:szCs w:val="24"/>
          <w:lang w:val="yo-NG"/>
        </w:rPr>
      </w:pPr>
      <w:r w:rsidRPr="00785B23">
        <w:rPr>
          <w:rFonts w:ascii="Arial" w:eastAsia="SimSun" w:hAnsi="Arial" w:cs="Arial"/>
          <w:b/>
          <w:color w:val="000000"/>
          <w:sz w:val="24"/>
          <w:szCs w:val="24"/>
          <w:lang w:val="yo-NG"/>
        </w:rPr>
        <w:t>Ethics approval</w:t>
      </w:r>
    </w:p>
    <w:p w14:paraId="4ACAF35F" w14:textId="13BDF030" w:rsidR="00CB4F66" w:rsidRPr="00CB4F66" w:rsidRDefault="008E2785" w:rsidP="00CB4F66">
      <w:pPr>
        <w:shd w:val="clear" w:color="auto" w:fill="FFFFFF"/>
        <w:spacing w:after="0" w:line="240" w:lineRule="auto"/>
        <w:rPr>
          <w:rFonts w:ascii="Arial" w:eastAsia="SimSun" w:hAnsi="Arial" w:cs="Arial"/>
          <w:color w:val="000000"/>
          <w:sz w:val="20"/>
          <w:szCs w:val="20"/>
          <w:lang w:val="en-CA"/>
        </w:rPr>
      </w:pPr>
      <w:r>
        <w:rPr>
          <w:rFonts w:ascii="Arial" w:eastAsia="SimSun" w:hAnsi="Arial" w:cs="Arial"/>
          <w:color w:val="000000"/>
          <w:sz w:val="20"/>
          <w:szCs w:val="20"/>
          <w:lang w:val="en-CA"/>
        </w:rPr>
        <w:t>Before</w:t>
      </w:r>
      <w:r w:rsidR="00CB4F66" w:rsidRPr="00CB4F66">
        <w:rPr>
          <w:rFonts w:ascii="Arial" w:eastAsia="SimSun" w:hAnsi="Arial" w:cs="Arial"/>
          <w:color w:val="000000"/>
          <w:sz w:val="20"/>
          <w:szCs w:val="20"/>
          <w:lang w:val="en-CA"/>
        </w:rPr>
        <w:t xml:space="preserve"> </w:t>
      </w:r>
      <w:r>
        <w:rPr>
          <w:rFonts w:ascii="Arial" w:eastAsia="SimSun" w:hAnsi="Arial" w:cs="Arial"/>
          <w:color w:val="000000"/>
          <w:sz w:val="20"/>
          <w:szCs w:val="20"/>
          <w:lang w:val="en-CA"/>
        </w:rPr>
        <w:t>the study commenced, each participant completed a written consent form</w:t>
      </w:r>
      <w:r w:rsidR="00CB4F66" w:rsidRPr="00CB4F66">
        <w:rPr>
          <w:rFonts w:ascii="Arial" w:eastAsia="SimSun" w:hAnsi="Arial" w:cs="Arial"/>
          <w:color w:val="000000"/>
          <w:sz w:val="20"/>
          <w:szCs w:val="20"/>
          <w:lang w:val="en-CA"/>
        </w:rPr>
        <w:t xml:space="preserve"> authorized by Menoufia Faculty of Medicine’s local Ethical Research Committee. Additionally, the Institutional Review Board was obtained </w:t>
      </w:r>
      <w:r w:rsidR="00CB4F66" w:rsidRPr="00CB4F66">
        <w:rPr>
          <w:rFonts w:ascii="Arial" w:eastAsia="SimSun" w:hAnsi="Arial" w:cs="Arial"/>
          <w:color w:val="000000"/>
          <w:sz w:val="20"/>
          <w:szCs w:val="20"/>
        </w:rPr>
        <w:t>[N-00373-2022].</w:t>
      </w:r>
    </w:p>
    <w:p w14:paraId="719FBAFD" w14:textId="77777777" w:rsidR="00CB4F66" w:rsidRPr="00841D94" w:rsidRDefault="00785B23" w:rsidP="00CB4F66">
      <w:pPr>
        <w:shd w:val="clear" w:color="auto" w:fill="FFFFFF"/>
        <w:spacing w:after="0" w:line="240" w:lineRule="auto"/>
        <w:rPr>
          <w:rFonts w:ascii="Arial" w:eastAsia="SimSun" w:hAnsi="Arial" w:cs="Arial"/>
          <w:color w:val="000000"/>
          <w:sz w:val="20"/>
          <w:szCs w:val="20"/>
        </w:rPr>
      </w:pPr>
      <w:r w:rsidRPr="00785B23">
        <w:rPr>
          <w:rFonts w:ascii="Arial" w:eastAsia="SimSun" w:hAnsi="Arial" w:cs="Arial"/>
          <w:b/>
          <w:bCs/>
          <w:color w:val="000000"/>
          <w:sz w:val="24"/>
          <w:szCs w:val="24"/>
        </w:rPr>
        <w:t>Data and materials availability:</w:t>
      </w:r>
      <w:r w:rsidRPr="00785B23">
        <w:rPr>
          <w:rFonts w:ascii="Arial" w:eastAsia="SimSun" w:hAnsi="Arial" w:cs="Arial"/>
          <w:color w:val="000000"/>
          <w:sz w:val="24"/>
          <w:szCs w:val="24"/>
        </w:rPr>
        <w:t xml:space="preserve"> </w:t>
      </w:r>
      <w:r w:rsidR="00CB4F66" w:rsidRPr="00841D94">
        <w:rPr>
          <w:rFonts w:ascii="Arial" w:eastAsia="SimSun" w:hAnsi="Arial" w:cs="Arial"/>
          <w:color w:val="000000"/>
          <w:sz w:val="20"/>
          <w:szCs w:val="20"/>
        </w:rPr>
        <w:t xml:space="preserve">The datasets used and/or analyzed during the current study are available from the corresponding author on reasonable request. </w:t>
      </w:r>
    </w:p>
    <w:p w14:paraId="29711B34" w14:textId="17D57ED0" w:rsidR="00785B23" w:rsidRPr="00785B23" w:rsidRDefault="00785B23" w:rsidP="00CB4F66">
      <w:pPr>
        <w:shd w:val="clear" w:color="auto" w:fill="FFFFFF"/>
        <w:spacing w:after="0" w:line="240" w:lineRule="auto"/>
        <w:rPr>
          <w:rFonts w:ascii="Arial" w:eastAsia="SimSun" w:hAnsi="Arial" w:cs="Arial"/>
          <w:color w:val="000000"/>
          <w:sz w:val="20"/>
          <w:szCs w:val="20"/>
        </w:rPr>
      </w:pPr>
      <w:r w:rsidRPr="00785B23">
        <w:rPr>
          <w:rFonts w:ascii="Arial" w:eastAsia="SimSun" w:hAnsi="Arial" w:cs="Arial"/>
          <w:b/>
          <w:bCs/>
          <w:color w:val="000000"/>
          <w:sz w:val="24"/>
          <w:szCs w:val="24"/>
        </w:rPr>
        <w:t>Competing interests</w:t>
      </w:r>
      <w:r w:rsidRPr="00785B23">
        <w:rPr>
          <w:rFonts w:ascii="Arial" w:eastAsia="SimSun" w:hAnsi="Arial" w:cs="Arial"/>
          <w:color w:val="000000"/>
          <w:sz w:val="24"/>
          <w:szCs w:val="24"/>
        </w:rPr>
        <w:t xml:space="preserve">: </w:t>
      </w:r>
      <w:r w:rsidRPr="00785B23">
        <w:rPr>
          <w:rFonts w:ascii="Arial" w:eastAsia="SimSun" w:hAnsi="Arial" w:cs="Arial"/>
          <w:color w:val="000000"/>
          <w:sz w:val="20"/>
          <w:szCs w:val="20"/>
        </w:rPr>
        <w:t>The authors declare that they have no competing interests.</w:t>
      </w:r>
    </w:p>
    <w:p w14:paraId="732D75C0" w14:textId="77777777" w:rsidR="00785B23" w:rsidRPr="00785B23" w:rsidRDefault="00785B23" w:rsidP="00785B23">
      <w:pPr>
        <w:shd w:val="clear" w:color="auto" w:fill="FFFFFF"/>
        <w:spacing w:after="0" w:line="240" w:lineRule="auto"/>
        <w:rPr>
          <w:rFonts w:ascii="Arial" w:eastAsia="SimSun" w:hAnsi="Arial" w:cs="Arial"/>
          <w:color w:val="000000"/>
          <w:sz w:val="20"/>
          <w:szCs w:val="20"/>
        </w:rPr>
      </w:pPr>
      <w:r w:rsidRPr="00785B23">
        <w:rPr>
          <w:rFonts w:ascii="Arial" w:eastAsia="SimSun" w:hAnsi="Arial" w:cs="Arial"/>
          <w:b/>
          <w:bCs/>
          <w:color w:val="000000"/>
          <w:sz w:val="24"/>
          <w:szCs w:val="24"/>
        </w:rPr>
        <w:t>Funding</w:t>
      </w:r>
      <w:r w:rsidRPr="00785B23">
        <w:rPr>
          <w:rFonts w:ascii="Arial" w:eastAsia="SimSun" w:hAnsi="Arial" w:cs="Arial"/>
          <w:color w:val="000000"/>
          <w:sz w:val="24"/>
          <w:szCs w:val="24"/>
        </w:rPr>
        <w:t xml:space="preserve">: </w:t>
      </w:r>
      <w:r w:rsidRPr="00785B23">
        <w:rPr>
          <w:rFonts w:ascii="Arial" w:eastAsia="SimSun" w:hAnsi="Arial" w:cs="Arial"/>
          <w:color w:val="000000"/>
          <w:sz w:val="20"/>
          <w:szCs w:val="20"/>
        </w:rPr>
        <w:t>This study had no funding from any source.</w:t>
      </w:r>
    </w:p>
    <w:p w14:paraId="320B3B1D" w14:textId="52469259" w:rsidR="00785B23" w:rsidRPr="00785B23" w:rsidRDefault="00785B23" w:rsidP="00785B23">
      <w:pPr>
        <w:shd w:val="clear" w:color="auto" w:fill="FFFFFF"/>
        <w:spacing w:after="0" w:line="240" w:lineRule="auto"/>
        <w:rPr>
          <w:rFonts w:ascii="Arial" w:eastAsia="SimSun" w:hAnsi="Arial" w:cs="Arial"/>
          <w:color w:val="000000"/>
          <w:sz w:val="20"/>
          <w:szCs w:val="20"/>
        </w:rPr>
      </w:pPr>
      <w:r w:rsidRPr="00785B23">
        <w:rPr>
          <w:rFonts w:ascii="Arial" w:eastAsia="SimSun" w:hAnsi="Arial" w:cs="Arial"/>
          <w:color w:val="000000"/>
          <w:sz w:val="20"/>
          <w:szCs w:val="20"/>
        </w:rPr>
        <w:t>This work was done according to</w:t>
      </w:r>
      <w:r w:rsidR="00841D94" w:rsidRPr="00841D94">
        <w:rPr>
          <w:rFonts w:ascii="Arial" w:eastAsia="SimSun" w:hAnsi="Arial" w:cs="Arial"/>
          <w:color w:val="000000"/>
          <w:sz w:val="20"/>
          <w:szCs w:val="20"/>
        </w:rPr>
        <w:t xml:space="preserve"> </w:t>
      </w:r>
      <w:r w:rsidR="008E2785">
        <w:rPr>
          <w:rFonts w:ascii="Arial" w:eastAsia="SimSun" w:hAnsi="Arial" w:cs="Arial"/>
          <w:color w:val="000000"/>
          <w:sz w:val="20"/>
          <w:szCs w:val="20"/>
        </w:rPr>
        <w:t>the STROBE</w:t>
      </w:r>
      <w:r w:rsidRPr="00785B23">
        <w:rPr>
          <w:rFonts w:ascii="Arial" w:eastAsia="SimSun" w:hAnsi="Arial" w:cs="Arial"/>
          <w:color w:val="000000"/>
          <w:sz w:val="20"/>
          <w:szCs w:val="20"/>
        </w:rPr>
        <w:t xml:space="preserve"> guidelines.</w:t>
      </w:r>
      <w:bookmarkStart w:id="5" w:name="h11"/>
      <w:bookmarkEnd w:id="5"/>
    </w:p>
    <w:p w14:paraId="73E7A4D1" w14:textId="77777777" w:rsidR="00785B23" w:rsidRPr="00785B23" w:rsidRDefault="00785B23" w:rsidP="00785B23">
      <w:pPr>
        <w:shd w:val="clear" w:color="auto" w:fill="FFFFFF"/>
        <w:spacing w:after="0" w:line="240" w:lineRule="auto"/>
        <w:rPr>
          <w:rFonts w:ascii="Arial" w:eastAsia="SimSun" w:hAnsi="Arial" w:cs="Arial"/>
          <w:b/>
          <w:bCs/>
          <w:color w:val="000000"/>
          <w:sz w:val="24"/>
          <w:szCs w:val="24"/>
          <w:lang w:val="yo-NG"/>
        </w:rPr>
      </w:pPr>
      <w:r w:rsidRPr="00785B23">
        <w:rPr>
          <w:rFonts w:ascii="Arial" w:eastAsia="SimSun" w:hAnsi="Arial" w:cs="Arial"/>
          <w:b/>
          <w:bCs/>
          <w:color w:val="000000"/>
          <w:sz w:val="24"/>
          <w:szCs w:val="24"/>
        </w:rPr>
        <w:t xml:space="preserve">Authors' contributions: </w:t>
      </w:r>
    </w:p>
    <w:p w14:paraId="117134E7" w14:textId="1DEDF27F" w:rsidR="00CB4F66" w:rsidRPr="00CB4F66" w:rsidRDefault="00CB4F66" w:rsidP="00CB4F66">
      <w:pPr>
        <w:shd w:val="clear" w:color="auto" w:fill="FFFFFF"/>
        <w:spacing w:after="0" w:line="240" w:lineRule="auto"/>
        <w:rPr>
          <w:rFonts w:ascii="Arial" w:eastAsia="SimSun" w:hAnsi="Arial" w:cs="Arial"/>
          <w:color w:val="000000"/>
          <w:sz w:val="20"/>
          <w:szCs w:val="20"/>
        </w:rPr>
      </w:pPr>
      <w:r w:rsidRPr="00CB4F66">
        <w:rPr>
          <w:rFonts w:ascii="Arial" w:eastAsia="SimSun" w:hAnsi="Arial" w:cs="Arial"/>
          <w:color w:val="000000"/>
          <w:sz w:val="20"/>
          <w:szCs w:val="20"/>
        </w:rPr>
        <w:t xml:space="preserve">MAA revised the results and shared </w:t>
      </w:r>
      <w:r w:rsidR="008E2785">
        <w:rPr>
          <w:rFonts w:ascii="Arial" w:eastAsia="SimSun" w:hAnsi="Arial" w:cs="Arial"/>
          <w:color w:val="000000"/>
          <w:sz w:val="20"/>
          <w:szCs w:val="20"/>
        </w:rPr>
        <w:t xml:space="preserve">them in the </w:t>
      </w:r>
      <w:r w:rsidRPr="00CB4F66">
        <w:rPr>
          <w:rFonts w:ascii="Arial" w:eastAsia="SimSun" w:hAnsi="Arial" w:cs="Arial"/>
          <w:color w:val="000000"/>
          <w:sz w:val="20"/>
          <w:szCs w:val="20"/>
        </w:rPr>
        <w:t xml:space="preserve">manuscript writing and editing. HAG established the </w:t>
      </w:r>
      <w:r w:rsidR="008E2785">
        <w:rPr>
          <w:rFonts w:ascii="Arial" w:eastAsia="SimSun" w:hAnsi="Arial" w:cs="Arial"/>
          <w:color w:val="000000"/>
          <w:sz w:val="20"/>
          <w:szCs w:val="20"/>
        </w:rPr>
        <w:t>study concept</w:t>
      </w:r>
      <w:r w:rsidRPr="00CB4F66">
        <w:rPr>
          <w:rFonts w:ascii="Arial" w:eastAsia="SimSun" w:hAnsi="Arial" w:cs="Arial"/>
          <w:color w:val="000000"/>
          <w:sz w:val="20"/>
          <w:szCs w:val="20"/>
        </w:rPr>
        <w:t xml:space="preserve"> and analyzed data. AAS constructed the idea, shared in interpreting the results, and revised the manuscript. MAA provided the study design and conducted data analysis. HAG applied clinical studies, collected data, and shared in writing the manuscript. MAA and HAG collected data, analyzed results</w:t>
      </w:r>
      <w:r w:rsidR="008E2785">
        <w:rPr>
          <w:rFonts w:ascii="Arial" w:eastAsia="SimSun" w:hAnsi="Arial" w:cs="Arial"/>
          <w:color w:val="000000"/>
          <w:sz w:val="20"/>
          <w:szCs w:val="20"/>
        </w:rPr>
        <w:t xml:space="preserve">, and prepared the </w:t>
      </w:r>
      <w:r w:rsidRPr="00CB4F66">
        <w:rPr>
          <w:rFonts w:ascii="Arial" w:eastAsia="SimSun" w:hAnsi="Arial" w:cs="Arial"/>
          <w:color w:val="000000"/>
          <w:sz w:val="20"/>
          <w:szCs w:val="20"/>
        </w:rPr>
        <w:t>manuscript. All authors read, revised</w:t>
      </w:r>
      <w:r w:rsidR="008E2785">
        <w:rPr>
          <w:rFonts w:ascii="Arial" w:eastAsia="SimSun" w:hAnsi="Arial" w:cs="Arial"/>
          <w:color w:val="000000"/>
          <w:sz w:val="20"/>
          <w:szCs w:val="20"/>
        </w:rPr>
        <w:t>,</w:t>
      </w:r>
      <w:r w:rsidRPr="00CB4F66">
        <w:rPr>
          <w:rFonts w:ascii="Arial" w:eastAsia="SimSun" w:hAnsi="Arial" w:cs="Arial"/>
          <w:color w:val="000000"/>
          <w:sz w:val="20"/>
          <w:szCs w:val="20"/>
        </w:rPr>
        <w:t xml:space="preserve"> and approved the final manuscript</w:t>
      </w:r>
      <w:r w:rsidR="008E2785">
        <w:rPr>
          <w:rFonts w:ascii="Arial" w:eastAsia="SimSun" w:hAnsi="Arial" w:cs="Arial"/>
          <w:color w:val="000000"/>
          <w:sz w:val="20"/>
          <w:szCs w:val="20"/>
        </w:rPr>
        <w:t>.</w:t>
      </w:r>
      <w:r w:rsidRPr="00CB4F66">
        <w:rPr>
          <w:rFonts w:ascii="Arial" w:eastAsia="SimSun" w:hAnsi="Arial" w:cs="Arial"/>
          <w:color w:val="000000"/>
          <w:sz w:val="20"/>
          <w:szCs w:val="20"/>
        </w:rPr>
        <w:t xml:space="preserve"> </w:t>
      </w:r>
    </w:p>
    <w:p w14:paraId="455A5DF7" w14:textId="77777777" w:rsidR="00CB4F66" w:rsidRPr="00CB4F66" w:rsidRDefault="00785B23" w:rsidP="00CB4F66">
      <w:pPr>
        <w:shd w:val="clear" w:color="auto" w:fill="FFFFFF"/>
        <w:spacing w:after="0" w:line="240" w:lineRule="auto"/>
        <w:rPr>
          <w:rFonts w:ascii="Arial" w:eastAsia="SimSun" w:hAnsi="Arial" w:cs="Arial"/>
          <w:color w:val="000000"/>
          <w:sz w:val="24"/>
          <w:szCs w:val="24"/>
        </w:rPr>
      </w:pPr>
      <w:r w:rsidRPr="00785B23">
        <w:rPr>
          <w:rFonts w:ascii="Arial" w:eastAsia="SimSun" w:hAnsi="Arial" w:cs="Arial"/>
          <w:b/>
          <w:bCs/>
          <w:color w:val="000000"/>
          <w:sz w:val="24"/>
          <w:szCs w:val="24"/>
          <w:lang w:val="en-GB"/>
        </w:rPr>
        <w:t>Acknowledgments</w:t>
      </w:r>
      <w:r w:rsidRPr="00785B23">
        <w:rPr>
          <w:rFonts w:ascii="Arial" w:eastAsia="SimSun" w:hAnsi="Arial" w:cs="Arial"/>
          <w:color w:val="000000"/>
          <w:sz w:val="24"/>
          <w:szCs w:val="24"/>
          <w:lang w:val="en-GB"/>
        </w:rPr>
        <w:t xml:space="preserve">: </w:t>
      </w:r>
      <w:r w:rsidR="00CB4F66" w:rsidRPr="00841D94">
        <w:rPr>
          <w:rFonts w:ascii="Arial" w:eastAsia="SimSun" w:hAnsi="Arial" w:cs="Arial"/>
          <w:color w:val="000000"/>
          <w:sz w:val="20"/>
          <w:szCs w:val="20"/>
        </w:rPr>
        <w:t>Not applicable.</w:t>
      </w:r>
      <w:r w:rsidR="00CB4F66" w:rsidRPr="00CB4F66">
        <w:rPr>
          <w:rFonts w:ascii="Arial" w:eastAsia="SimSun" w:hAnsi="Arial" w:cs="Arial"/>
          <w:color w:val="000000"/>
          <w:sz w:val="24"/>
          <w:szCs w:val="24"/>
        </w:rPr>
        <w:t xml:space="preserve"> </w:t>
      </w:r>
    </w:p>
    <w:p w14:paraId="2DD9D14F" w14:textId="77777777" w:rsidR="00841D94" w:rsidRDefault="00841D94" w:rsidP="00834F66">
      <w:pPr>
        <w:spacing w:after="0" w:line="360" w:lineRule="auto"/>
        <w:rPr>
          <w:rFonts w:asciiTheme="majorBidi" w:eastAsia="Times New Roman" w:hAnsiTheme="majorBidi" w:cstheme="majorBidi"/>
          <w:b/>
          <w:bCs/>
          <w:sz w:val="24"/>
          <w:szCs w:val="24"/>
          <w:lang w:bidi="ar-EG"/>
        </w:rPr>
      </w:pPr>
    </w:p>
    <w:p w14:paraId="794101ED" w14:textId="399F42FE" w:rsidR="009246AC" w:rsidRPr="00834F66" w:rsidRDefault="009246AC" w:rsidP="00834F66">
      <w:pPr>
        <w:spacing w:after="0" w:line="360" w:lineRule="auto"/>
        <w:rPr>
          <w:rFonts w:asciiTheme="majorBidi" w:eastAsia="Times New Roman" w:hAnsiTheme="majorBidi" w:cstheme="majorBidi"/>
          <w:sz w:val="24"/>
          <w:szCs w:val="24"/>
          <w:lang w:bidi="ar-EG"/>
        </w:rPr>
      </w:pPr>
      <w:r w:rsidRPr="00834F66">
        <w:rPr>
          <w:rFonts w:asciiTheme="majorBidi" w:eastAsia="Times New Roman" w:hAnsiTheme="majorBidi" w:cstheme="majorBidi"/>
          <w:b/>
          <w:bCs/>
          <w:sz w:val="24"/>
          <w:szCs w:val="24"/>
          <w:lang w:bidi="ar-EG"/>
        </w:rPr>
        <w:t xml:space="preserve">References </w:t>
      </w:r>
    </w:p>
    <w:p w14:paraId="4DF3CEA4" w14:textId="77777777" w:rsidR="009246AC" w:rsidRPr="00834F66" w:rsidRDefault="009246AC"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Wang Y, Fang L, Huang K, Pan T, Lu H, Yan X. Characteristics and risk factors for colorectal polyps among children in an urban area of Wenzhou, China: a retrospective case control study. BMC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2023 Aug 19;23(1):408.</w:t>
      </w:r>
    </w:p>
    <w:p w14:paraId="1D4B5900" w14:textId="2A45A7A9" w:rsidR="00F33353" w:rsidRPr="00834F66" w:rsidRDefault="009246AC"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Kudoh M, </w:t>
      </w:r>
      <w:proofErr w:type="spellStart"/>
      <w:r w:rsidRPr="00834F66">
        <w:rPr>
          <w:rFonts w:asciiTheme="majorBidi" w:eastAsia="Times New Roman" w:hAnsiTheme="majorBidi" w:cstheme="majorBidi"/>
          <w:sz w:val="24"/>
          <w:szCs w:val="24"/>
          <w:lang w:bidi="ar-EG"/>
        </w:rPr>
        <w:t>Kakiuchi</w:t>
      </w:r>
      <w:proofErr w:type="spellEnd"/>
      <w:r w:rsidRPr="00834F66">
        <w:rPr>
          <w:rFonts w:asciiTheme="majorBidi" w:eastAsia="Times New Roman" w:hAnsiTheme="majorBidi" w:cstheme="majorBidi"/>
          <w:sz w:val="24"/>
          <w:szCs w:val="24"/>
          <w:lang w:bidi="ar-EG"/>
        </w:rPr>
        <w:t xml:space="preserve"> T, </w:t>
      </w:r>
      <w:proofErr w:type="spellStart"/>
      <w:r w:rsidRPr="00834F66">
        <w:rPr>
          <w:rFonts w:asciiTheme="majorBidi" w:eastAsia="Times New Roman" w:hAnsiTheme="majorBidi" w:cstheme="majorBidi"/>
          <w:sz w:val="24"/>
          <w:szCs w:val="24"/>
          <w:lang w:bidi="ar-EG"/>
        </w:rPr>
        <w:t>Yoshiura</w:t>
      </w:r>
      <w:proofErr w:type="spellEnd"/>
      <w:r w:rsidRPr="00834F66">
        <w:rPr>
          <w:rFonts w:asciiTheme="majorBidi" w:eastAsia="Times New Roman" w:hAnsiTheme="majorBidi" w:cstheme="majorBidi"/>
          <w:sz w:val="24"/>
          <w:szCs w:val="24"/>
          <w:lang w:bidi="ar-EG"/>
        </w:rPr>
        <w:t xml:space="preserve"> M, Esaki M, Matsuo M. Fecal calprotectin measurement to detect recurrence of solitary juvenile polyps: A case report. Medicine (Baltimore). 2023 Oct 27;102(43</w:t>
      </w:r>
      <w:r w:rsidR="006D156A" w:rsidRPr="00834F66">
        <w:rPr>
          <w:rFonts w:asciiTheme="majorBidi" w:eastAsia="Times New Roman" w:hAnsiTheme="majorBidi" w:cstheme="majorBidi"/>
          <w:sz w:val="24"/>
          <w:szCs w:val="24"/>
          <w:lang w:bidi="ar-EG"/>
        </w:rPr>
        <w:t>): e</w:t>
      </w:r>
      <w:r w:rsidRPr="00834F66">
        <w:rPr>
          <w:rFonts w:asciiTheme="majorBidi" w:eastAsia="Times New Roman" w:hAnsiTheme="majorBidi" w:cstheme="majorBidi"/>
          <w:sz w:val="24"/>
          <w:szCs w:val="24"/>
          <w:lang w:bidi="ar-EG"/>
        </w:rPr>
        <w:t>35448.</w:t>
      </w:r>
    </w:p>
    <w:p w14:paraId="6EA20C4B" w14:textId="77777777" w:rsidR="00F33353" w:rsidRPr="00834F66" w:rsidRDefault="00F33353"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Das S, Dey MK, Devireddy R, </w:t>
      </w:r>
      <w:proofErr w:type="spellStart"/>
      <w:r w:rsidRPr="00834F66">
        <w:rPr>
          <w:rFonts w:asciiTheme="majorBidi" w:eastAsia="Times New Roman" w:hAnsiTheme="majorBidi" w:cstheme="majorBidi"/>
          <w:sz w:val="24"/>
          <w:szCs w:val="24"/>
          <w:lang w:bidi="ar-EG"/>
        </w:rPr>
        <w:t>Gartia</w:t>
      </w:r>
      <w:proofErr w:type="spellEnd"/>
      <w:r w:rsidRPr="00834F66">
        <w:rPr>
          <w:rFonts w:asciiTheme="majorBidi" w:eastAsia="Times New Roman" w:hAnsiTheme="majorBidi" w:cstheme="majorBidi"/>
          <w:sz w:val="24"/>
          <w:szCs w:val="24"/>
          <w:lang w:bidi="ar-EG"/>
        </w:rPr>
        <w:t xml:space="preserve"> MR. Biomarkers in Cancer Detection, Diagnosis, and Prognosis. </w:t>
      </w:r>
      <w:r w:rsidRPr="00834F66">
        <w:rPr>
          <w:rFonts w:asciiTheme="majorBidi" w:eastAsia="Times New Roman" w:hAnsiTheme="majorBidi" w:cstheme="majorBidi"/>
          <w:i/>
          <w:iCs/>
          <w:sz w:val="24"/>
          <w:szCs w:val="24"/>
          <w:lang w:bidi="ar-EG"/>
        </w:rPr>
        <w:t>Sensors</w:t>
      </w:r>
      <w:r w:rsidRPr="00834F66">
        <w:rPr>
          <w:rFonts w:asciiTheme="majorBidi" w:eastAsia="Times New Roman" w:hAnsiTheme="majorBidi" w:cstheme="majorBidi"/>
          <w:sz w:val="24"/>
          <w:szCs w:val="24"/>
          <w:lang w:bidi="ar-EG"/>
        </w:rPr>
        <w:t>. 2024; 24(1):37.</w:t>
      </w:r>
    </w:p>
    <w:p w14:paraId="59BE9B65" w14:textId="77777777" w:rsidR="001B72D0" w:rsidRPr="00834F66" w:rsidRDefault="00F33353"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Di Nardo G, Esposito F, </w:t>
      </w:r>
      <w:proofErr w:type="spellStart"/>
      <w:r w:rsidRPr="00834F66">
        <w:rPr>
          <w:rFonts w:asciiTheme="majorBidi" w:eastAsia="Times New Roman" w:hAnsiTheme="majorBidi" w:cstheme="majorBidi"/>
          <w:sz w:val="24"/>
          <w:szCs w:val="24"/>
          <w:lang w:bidi="ar-EG"/>
        </w:rPr>
        <w:t>Ziparo</w:t>
      </w:r>
      <w:proofErr w:type="spellEnd"/>
      <w:r w:rsidRPr="00834F66">
        <w:rPr>
          <w:rFonts w:asciiTheme="majorBidi" w:eastAsia="Times New Roman" w:hAnsiTheme="majorBidi" w:cstheme="majorBidi"/>
          <w:sz w:val="24"/>
          <w:szCs w:val="24"/>
          <w:lang w:bidi="ar-EG"/>
        </w:rPr>
        <w:t xml:space="preserve"> C, </w:t>
      </w:r>
      <w:proofErr w:type="spellStart"/>
      <w:r w:rsidRPr="00834F66">
        <w:rPr>
          <w:rFonts w:asciiTheme="majorBidi" w:eastAsia="Times New Roman" w:hAnsiTheme="majorBidi" w:cstheme="majorBidi"/>
          <w:sz w:val="24"/>
          <w:szCs w:val="24"/>
          <w:lang w:bidi="ar-EG"/>
        </w:rPr>
        <w:t>Strisciuglio</w:t>
      </w:r>
      <w:proofErr w:type="spellEnd"/>
      <w:r w:rsidRPr="00834F66">
        <w:rPr>
          <w:rFonts w:asciiTheme="majorBidi" w:eastAsia="Times New Roman" w:hAnsiTheme="majorBidi" w:cstheme="majorBidi"/>
          <w:sz w:val="24"/>
          <w:szCs w:val="24"/>
          <w:lang w:bidi="ar-EG"/>
        </w:rPr>
        <w:t xml:space="preserve"> C, Vassallo F, Di Serafino M, Villa MP, Parisi P, Evangelisti M, </w:t>
      </w:r>
      <w:proofErr w:type="spellStart"/>
      <w:r w:rsidRPr="00834F66">
        <w:rPr>
          <w:rFonts w:asciiTheme="majorBidi" w:eastAsia="Times New Roman" w:hAnsiTheme="majorBidi" w:cstheme="majorBidi"/>
          <w:sz w:val="24"/>
          <w:szCs w:val="24"/>
          <w:lang w:bidi="ar-EG"/>
        </w:rPr>
        <w:t>Pacchiarotti</w:t>
      </w:r>
      <w:proofErr w:type="spellEnd"/>
      <w:r w:rsidRPr="00834F66">
        <w:rPr>
          <w:rFonts w:asciiTheme="majorBidi" w:eastAsia="Times New Roman" w:hAnsiTheme="majorBidi" w:cstheme="majorBidi"/>
          <w:sz w:val="24"/>
          <w:szCs w:val="24"/>
          <w:lang w:bidi="ar-EG"/>
        </w:rPr>
        <w:t xml:space="preserve"> C, Corleto VD. </w:t>
      </w:r>
      <w:proofErr w:type="spellStart"/>
      <w:r w:rsidRPr="00834F66">
        <w:rPr>
          <w:rFonts w:asciiTheme="majorBidi" w:eastAsia="Times New Roman" w:hAnsiTheme="majorBidi" w:cstheme="majorBidi"/>
          <w:sz w:val="24"/>
          <w:szCs w:val="24"/>
          <w:lang w:bidi="ar-EG"/>
        </w:rPr>
        <w:t>Faecal</w:t>
      </w:r>
      <w:proofErr w:type="spellEnd"/>
      <w:r w:rsidRPr="00834F66">
        <w:rPr>
          <w:rFonts w:asciiTheme="majorBidi" w:eastAsia="Times New Roman" w:hAnsiTheme="majorBidi" w:cstheme="majorBidi"/>
          <w:sz w:val="24"/>
          <w:szCs w:val="24"/>
          <w:lang w:bidi="ar-EG"/>
        </w:rPr>
        <w:t xml:space="preserve"> calprotectin and ultrasonography as non-invasive screening tools for detecting colorectal polyps in children with sporadic rectal bleeding: a prospective study. Ital J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2020 May 20;46(1):66.</w:t>
      </w:r>
    </w:p>
    <w:p w14:paraId="005C5F2A" w14:textId="77777777" w:rsidR="00982302" w:rsidRPr="00834F66" w:rsidRDefault="001B72D0"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Tripathi PR, Sen Sarma M, </w:t>
      </w:r>
      <w:proofErr w:type="spellStart"/>
      <w:r w:rsidRPr="00834F66">
        <w:rPr>
          <w:rFonts w:asciiTheme="majorBidi" w:eastAsia="Times New Roman" w:hAnsiTheme="majorBidi" w:cstheme="majorBidi"/>
          <w:sz w:val="24"/>
          <w:szCs w:val="24"/>
          <w:lang w:bidi="ar-EG"/>
        </w:rPr>
        <w:t>Yachha</w:t>
      </w:r>
      <w:proofErr w:type="spellEnd"/>
      <w:r w:rsidRPr="00834F66">
        <w:rPr>
          <w:rFonts w:asciiTheme="majorBidi" w:eastAsia="Times New Roman" w:hAnsiTheme="majorBidi" w:cstheme="majorBidi"/>
          <w:sz w:val="24"/>
          <w:szCs w:val="24"/>
          <w:lang w:bidi="ar-EG"/>
        </w:rPr>
        <w:t xml:space="preserve"> SK, Lal R, Srivastava A, Poddar U. Gastrointestinal Polyps and Polyposis in Children: Experience of Endoscopic and Surgical Outcomes. Dig Dis. 2021;39(1):25-32.</w:t>
      </w:r>
    </w:p>
    <w:p w14:paraId="72BB9031" w14:textId="77777777" w:rsidR="005B6BBA" w:rsidRPr="00834F66" w:rsidRDefault="005B6BB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Murray J, Kok KB, Ayling RM. Fecal Calprotectin in Gastrointestinal Disease. Clin Chem. 2023 Jul 5;69(7):699-710.</w:t>
      </w:r>
    </w:p>
    <w:p w14:paraId="2097A203" w14:textId="77777777" w:rsidR="005B6BBA" w:rsidRPr="00834F66" w:rsidRDefault="005B6BB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Kim YB, Kim JY, Choi S, Lee YM, Choi SY, Kim SC, Jang HJ, Lee Y, Jeong IS, Yi DY, Kang Y, Lee KJ, Choe BH, Kang B. Fecal Calprotectin Levels Significantly Correlate with Polyp Size in Children and Adolescents with Juvenile Colorectal Polyps.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Gastroenterol Hepatol </w:t>
      </w:r>
      <w:proofErr w:type="spellStart"/>
      <w:r w:rsidRPr="00834F66">
        <w:rPr>
          <w:rFonts w:asciiTheme="majorBidi" w:eastAsia="Times New Roman" w:hAnsiTheme="majorBidi" w:cstheme="majorBidi"/>
          <w:sz w:val="24"/>
          <w:szCs w:val="24"/>
          <w:lang w:bidi="ar-EG"/>
        </w:rPr>
        <w:t>Nutr</w:t>
      </w:r>
      <w:proofErr w:type="spellEnd"/>
      <w:r w:rsidRPr="00834F66">
        <w:rPr>
          <w:rFonts w:asciiTheme="majorBidi" w:eastAsia="Times New Roman" w:hAnsiTheme="majorBidi" w:cstheme="majorBidi"/>
          <w:sz w:val="24"/>
          <w:szCs w:val="24"/>
          <w:lang w:bidi="ar-EG"/>
        </w:rPr>
        <w:t>. 2023 Jan;26(1):34-42.</w:t>
      </w:r>
    </w:p>
    <w:p w14:paraId="742F18D7" w14:textId="77777777" w:rsidR="005B6BBA" w:rsidRPr="00834F66" w:rsidRDefault="005B6BB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proofErr w:type="spellStart"/>
      <w:r w:rsidRPr="00834F66">
        <w:rPr>
          <w:rFonts w:asciiTheme="majorBidi" w:eastAsia="Times New Roman" w:hAnsiTheme="majorBidi" w:cstheme="majorBidi"/>
          <w:sz w:val="24"/>
          <w:szCs w:val="24"/>
          <w:lang w:bidi="ar-EG"/>
        </w:rPr>
        <w:t>Koninckx</w:t>
      </w:r>
      <w:proofErr w:type="spellEnd"/>
      <w:r w:rsidRPr="00834F66">
        <w:rPr>
          <w:rFonts w:asciiTheme="majorBidi" w:eastAsia="Times New Roman" w:hAnsiTheme="majorBidi" w:cstheme="majorBidi"/>
          <w:sz w:val="24"/>
          <w:szCs w:val="24"/>
          <w:lang w:bidi="ar-EG"/>
        </w:rPr>
        <w:t xml:space="preserve"> CR, Donat E, </w:t>
      </w:r>
      <w:proofErr w:type="spellStart"/>
      <w:r w:rsidRPr="00834F66">
        <w:rPr>
          <w:rFonts w:asciiTheme="majorBidi" w:eastAsia="Times New Roman" w:hAnsiTheme="majorBidi" w:cstheme="majorBidi"/>
          <w:sz w:val="24"/>
          <w:szCs w:val="24"/>
          <w:lang w:bidi="ar-EG"/>
        </w:rPr>
        <w:t>Benninga</w:t>
      </w:r>
      <w:proofErr w:type="spellEnd"/>
      <w:r w:rsidRPr="00834F66">
        <w:rPr>
          <w:rFonts w:asciiTheme="majorBidi" w:eastAsia="Times New Roman" w:hAnsiTheme="majorBidi" w:cstheme="majorBidi"/>
          <w:sz w:val="24"/>
          <w:szCs w:val="24"/>
          <w:lang w:bidi="ar-EG"/>
        </w:rPr>
        <w:t xml:space="preserve"> MA, </w:t>
      </w:r>
      <w:proofErr w:type="spellStart"/>
      <w:r w:rsidRPr="00834F66">
        <w:rPr>
          <w:rFonts w:asciiTheme="majorBidi" w:eastAsia="Times New Roman" w:hAnsiTheme="majorBidi" w:cstheme="majorBidi"/>
          <w:sz w:val="24"/>
          <w:szCs w:val="24"/>
          <w:lang w:bidi="ar-EG"/>
        </w:rPr>
        <w:t>Broekaert</w:t>
      </w:r>
      <w:proofErr w:type="spellEnd"/>
      <w:r w:rsidRPr="00834F66">
        <w:rPr>
          <w:rFonts w:asciiTheme="majorBidi" w:eastAsia="Times New Roman" w:hAnsiTheme="majorBidi" w:cstheme="majorBidi"/>
          <w:sz w:val="24"/>
          <w:szCs w:val="24"/>
          <w:lang w:bidi="ar-EG"/>
        </w:rPr>
        <w:t xml:space="preserve"> IJ, </w:t>
      </w:r>
      <w:proofErr w:type="spellStart"/>
      <w:r w:rsidRPr="00834F66">
        <w:rPr>
          <w:rFonts w:asciiTheme="majorBidi" w:eastAsia="Times New Roman" w:hAnsiTheme="majorBidi" w:cstheme="majorBidi"/>
          <w:sz w:val="24"/>
          <w:szCs w:val="24"/>
          <w:lang w:bidi="ar-EG"/>
        </w:rPr>
        <w:t>Gottrand</w:t>
      </w:r>
      <w:proofErr w:type="spellEnd"/>
      <w:r w:rsidRPr="00834F66">
        <w:rPr>
          <w:rFonts w:asciiTheme="majorBidi" w:eastAsia="Times New Roman" w:hAnsiTheme="majorBidi" w:cstheme="majorBidi"/>
          <w:sz w:val="24"/>
          <w:szCs w:val="24"/>
          <w:lang w:bidi="ar-EG"/>
        </w:rPr>
        <w:t xml:space="preserve"> F, </w:t>
      </w:r>
      <w:proofErr w:type="spellStart"/>
      <w:r w:rsidRPr="00834F66">
        <w:rPr>
          <w:rFonts w:asciiTheme="majorBidi" w:eastAsia="Times New Roman" w:hAnsiTheme="majorBidi" w:cstheme="majorBidi"/>
          <w:sz w:val="24"/>
          <w:szCs w:val="24"/>
          <w:lang w:bidi="ar-EG"/>
        </w:rPr>
        <w:t>Kolho</w:t>
      </w:r>
      <w:proofErr w:type="spellEnd"/>
      <w:r w:rsidRPr="00834F66">
        <w:rPr>
          <w:rFonts w:asciiTheme="majorBidi" w:eastAsia="Times New Roman" w:hAnsiTheme="majorBidi" w:cstheme="majorBidi"/>
          <w:sz w:val="24"/>
          <w:szCs w:val="24"/>
          <w:lang w:bidi="ar-EG"/>
        </w:rPr>
        <w:t xml:space="preserve"> KL, Lionetti P, Miele E, Orel R, Papadopoulou A, </w:t>
      </w:r>
      <w:proofErr w:type="spellStart"/>
      <w:r w:rsidRPr="00834F66">
        <w:rPr>
          <w:rFonts w:asciiTheme="majorBidi" w:eastAsia="Times New Roman" w:hAnsiTheme="majorBidi" w:cstheme="majorBidi"/>
          <w:sz w:val="24"/>
          <w:szCs w:val="24"/>
          <w:lang w:bidi="ar-EG"/>
        </w:rPr>
        <w:t>Pienar</w:t>
      </w:r>
      <w:proofErr w:type="spellEnd"/>
      <w:r w:rsidRPr="00834F66">
        <w:rPr>
          <w:rFonts w:asciiTheme="majorBidi" w:eastAsia="Times New Roman" w:hAnsiTheme="majorBidi" w:cstheme="majorBidi"/>
          <w:sz w:val="24"/>
          <w:szCs w:val="24"/>
          <w:lang w:bidi="ar-EG"/>
        </w:rPr>
        <w:t xml:space="preserve"> C, </w:t>
      </w:r>
      <w:proofErr w:type="spellStart"/>
      <w:r w:rsidRPr="00834F66">
        <w:rPr>
          <w:rFonts w:asciiTheme="majorBidi" w:eastAsia="Times New Roman" w:hAnsiTheme="majorBidi" w:cstheme="majorBidi"/>
          <w:sz w:val="24"/>
          <w:szCs w:val="24"/>
          <w:lang w:bidi="ar-EG"/>
        </w:rPr>
        <w:t>Schäppi</w:t>
      </w:r>
      <w:proofErr w:type="spellEnd"/>
      <w:r w:rsidRPr="00834F66">
        <w:rPr>
          <w:rFonts w:asciiTheme="majorBidi" w:eastAsia="Times New Roman" w:hAnsiTheme="majorBidi" w:cstheme="majorBidi"/>
          <w:sz w:val="24"/>
          <w:szCs w:val="24"/>
          <w:lang w:bidi="ar-EG"/>
        </w:rPr>
        <w:t xml:space="preserve"> MG, </w:t>
      </w:r>
      <w:proofErr w:type="spellStart"/>
      <w:r w:rsidRPr="00834F66">
        <w:rPr>
          <w:rFonts w:asciiTheme="majorBidi" w:eastAsia="Times New Roman" w:hAnsiTheme="majorBidi" w:cstheme="majorBidi"/>
          <w:sz w:val="24"/>
          <w:szCs w:val="24"/>
          <w:lang w:bidi="ar-EG"/>
        </w:rPr>
        <w:t>Wilschanski</w:t>
      </w:r>
      <w:proofErr w:type="spellEnd"/>
      <w:r w:rsidRPr="00834F66">
        <w:rPr>
          <w:rFonts w:asciiTheme="majorBidi" w:eastAsia="Times New Roman" w:hAnsiTheme="majorBidi" w:cstheme="majorBidi"/>
          <w:sz w:val="24"/>
          <w:szCs w:val="24"/>
          <w:lang w:bidi="ar-EG"/>
        </w:rPr>
        <w:t xml:space="preserve"> M, Thapar N. The Use of Fecal Calprotectin Testing in </w:t>
      </w:r>
      <w:proofErr w:type="spellStart"/>
      <w:r w:rsidRPr="00834F66">
        <w:rPr>
          <w:rFonts w:asciiTheme="majorBidi" w:eastAsia="Times New Roman" w:hAnsiTheme="majorBidi" w:cstheme="majorBidi"/>
          <w:sz w:val="24"/>
          <w:szCs w:val="24"/>
          <w:lang w:bidi="ar-EG"/>
        </w:rPr>
        <w:t>Paediatric</w:t>
      </w:r>
      <w:proofErr w:type="spellEnd"/>
      <w:r w:rsidRPr="00834F66">
        <w:rPr>
          <w:rFonts w:asciiTheme="majorBidi" w:eastAsia="Times New Roman" w:hAnsiTheme="majorBidi" w:cstheme="majorBidi"/>
          <w:sz w:val="24"/>
          <w:szCs w:val="24"/>
          <w:lang w:bidi="ar-EG"/>
        </w:rPr>
        <w:t xml:space="preserve"> Disorders: A Position Paper of the European Society for </w:t>
      </w:r>
      <w:proofErr w:type="spellStart"/>
      <w:r w:rsidRPr="00834F66">
        <w:rPr>
          <w:rFonts w:asciiTheme="majorBidi" w:eastAsia="Times New Roman" w:hAnsiTheme="majorBidi" w:cstheme="majorBidi"/>
          <w:sz w:val="24"/>
          <w:szCs w:val="24"/>
          <w:lang w:bidi="ar-EG"/>
        </w:rPr>
        <w:t>Paediatric</w:t>
      </w:r>
      <w:proofErr w:type="spellEnd"/>
      <w:r w:rsidRPr="00834F66">
        <w:rPr>
          <w:rFonts w:asciiTheme="majorBidi" w:eastAsia="Times New Roman" w:hAnsiTheme="majorBidi" w:cstheme="majorBidi"/>
          <w:sz w:val="24"/>
          <w:szCs w:val="24"/>
          <w:lang w:bidi="ar-EG"/>
        </w:rPr>
        <w:t xml:space="preserve"> Gastroenterology and Nutrition Gastroenterology Committee. J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Gastroenterol </w:t>
      </w:r>
      <w:proofErr w:type="spellStart"/>
      <w:r w:rsidRPr="00834F66">
        <w:rPr>
          <w:rFonts w:asciiTheme="majorBidi" w:eastAsia="Times New Roman" w:hAnsiTheme="majorBidi" w:cstheme="majorBidi"/>
          <w:sz w:val="24"/>
          <w:szCs w:val="24"/>
          <w:lang w:bidi="ar-EG"/>
        </w:rPr>
        <w:t>Nutr</w:t>
      </w:r>
      <w:proofErr w:type="spellEnd"/>
      <w:r w:rsidRPr="00834F66">
        <w:rPr>
          <w:rFonts w:asciiTheme="majorBidi" w:eastAsia="Times New Roman" w:hAnsiTheme="majorBidi" w:cstheme="majorBidi"/>
          <w:sz w:val="24"/>
          <w:szCs w:val="24"/>
          <w:lang w:bidi="ar-EG"/>
        </w:rPr>
        <w:t>. 2021 Apr 1;72(4):617-640.</w:t>
      </w:r>
    </w:p>
    <w:p w14:paraId="4DD8E272" w14:textId="4D3DDA2E" w:rsidR="008775E0" w:rsidRPr="00834F66" w:rsidRDefault="008775E0"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Soyer T. Polypoid disease of </w:t>
      </w:r>
      <w:r w:rsidR="006D156A">
        <w:rPr>
          <w:rFonts w:asciiTheme="majorBidi" w:eastAsia="Times New Roman" w:hAnsiTheme="majorBidi" w:cstheme="majorBidi"/>
          <w:sz w:val="24"/>
          <w:szCs w:val="24"/>
          <w:lang w:bidi="ar-EG"/>
        </w:rPr>
        <w:t xml:space="preserve">the </w:t>
      </w:r>
      <w:r w:rsidRPr="00834F66">
        <w:rPr>
          <w:rFonts w:asciiTheme="majorBidi" w:eastAsia="Times New Roman" w:hAnsiTheme="majorBidi" w:cstheme="majorBidi"/>
          <w:sz w:val="24"/>
          <w:szCs w:val="24"/>
          <w:lang w:bidi="ar-EG"/>
        </w:rPr>
        <w:t xml:space="preserve">colon in children.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Surg Int. 2020 Apr;36(4):447-455.</w:t>
      </w:r>
    </w:p>
    <w:p w14:paraId="14741073" w14:textId="7DC13EC6" w:rsidR="00DF7D8A" w:rsidRPr="00834F66" w:rsidRDefault="00DF7D8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Shimizu H, </w:t>
      </w:r>
      <w:proofErr w:type="spellStart"/>
      <w:r w:rsidRPr="00834F66">
        <w:rPr>
          <w:rFonts w:asciiTheme="majorBidi" w:eastAsia="Times New Roman" w:hAnsiTheme="majorBidi" w:cstheme="majorBidi"/>
          <w:sz w:val="24"/>
          <w:szCs w:val="24"/>
          <w:lang w:bidi="ar-EG"/>
        </w:rPr>
        <w:t>Ebana</w:t>
      </w:r>
      <w:proofErr w:type="spellEnd"/>
      <w:r w:rsidRPr="00834F66">
        <w:rPr>
          <w:rFonts w:asciiTheme="majorBidi" w:eastAsia="Times New Roman" w:hAnsiTheme="majorBidi" w:cstheme="majorBidi"/>
          <w:sz w:val="24"/>
          <w:szCs w:val="24"/>
          <w:lang w:bidi="ar-EG"/>
        </w:rPr>
        <w:t xml:space="preserve"> R, Kudo T, Sato T, Hara T, Hosoi K, Usami M, Yoshida M, Takeuchi I, Nakase H, Iwama I, Arai K, Shimizu T. Both fecal calprotectin and fecal immunochemical tests are </w:t>
      </w:r>
      <w:r w:rsidR="008E2785">
        <w:rPr>
          <w:rFonts w:asciiTheme="majorBidi" w:eastAsia="Times New Roman" w:hAnsiTheme="majorBidi" w:cstheme="majorBidi"/>
          <w:sz w:val="24"/>
          <w:szCs w:val="24"/>
          <w:lang w:bidi="ar-EG"/>
        </w:rPr>
        <w:t>helpful</w:t>
      </w:r>
      <w:r w:rsidRPr="00834F66">
        <w:rPr>
          <w:rFonts w:asciiTheme="majorBidi" w:eastAsia="Times New Roman" w:hAnsiTheme="majorBidi" w:cstheme="majorBidi"/>
          <w:sz w:val="24"/>
          <w:szCs w:val="24"/>
          <w:lang w:bidi="ar-EG"/>
        </w:rPr>
        <w:t xml:space="preserve"> in children with inflammatory bowel disease. J Gastroenterol. 2022 May;57(5):344-356.</w:t>
      </w:r>
    </w:p>
    <w:p w14:paraId="43A7C7DF" w14:textId="77777777" w:rsidR="00DF7D8A" w:rsidRPr="00834F66" w:rsidRDefault="00DF7D8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Costa D, Ramai D, Tringali A. Novel classification of gastric polyps: The good, the bad and the ugly. World J Gastroenterol. 2024 Aug 21;30(31):3640-3653.</w:t>
      </w:r>
    </w:p>
    <w:p w14:paraId="16AB836A" w14:textId="77777777" w:rsidR="00382DA1" w:rsidRPr="00834F66" w:rsidRDefault="000A48FF"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Al-</w:t>
      </w:r>
      <w:proofErr w:type="spellStart"/>
      <w:r w:rsidRPr="00834F66">
        <w:rPr>
          <w:rFonts w:asciiTheme="majorBidi" w:eastAsia="Times New Roman" w:hAnsiTheme="majorBidi" w:cstheme="majorBidi"/>
          <w:sz w:val="24"/>
          <w:szCs w:val="24"/>
          <w:lang w:bidi="ar-EG"/>
        </w:rPr>
        <w:t>Beltagi</w:t>
      </w:r>
      <w:proofErr w:type="spellEnd"/>
      <w:r w:rsidRPr="00834F66">
        <w:rPr>
          <w:rFonts w:asciiTheme="majorBidi" w:eastAsia="Times New Roman" w:hAnsiTheme="majorBidi" w:cstheme="majorBidi"/>
          <w:sz w:val="24"/>
          <w:szCs w:val="24"/>
          <w:lang w:bidi="ar-EG"/>
        </w:rPr>
        <w:t xml:space="preserve"> M, Saeed NK, </w:t>
      </w:r>
      <w:proofErr w:type="spellStart"/>
      <w:r w:rsidRPr="00834F66">
        <w:rPr>
          <w:rFonts w:asciiTheme="majorBidi" w:eastAsia="Times New Roman" w:hAnsiTheme="majorBidi" w:cstheme="majorBidi"/>
          <w:sz w:val="24"/>
          <w:szCs w:val="24"/>
          <w:lang w:bidi="ar-EG"/>
        </w:rPr>
        <w:t>Bediwy</w:t>
      </w:r>
      <w:proofErr w:type="spellEnd"/>
      <w:r w:rsidRPr="00834F66">
        <w:rPr>
          <w:rFonts w:asciiTheme="majorBidi" w:eastAsia="Times New Roman" w:hAnsiTheme="majorBidi" w:cstheme="majorBidi"/>
          <w:sz w:val="24"/>
          <w:szCs w:val="24"/>
          <w:lang w:bidi="ar-EG"/>
        </w:rPr>
        <w:t xml:space="preserve"> AS, </w:t>
      </w:r>
      <w:proofErr w:type="spellStart"/>
      <w:r w:rsidRPr="00834F66">
        <w:rPr>
          <w:rFonts w:asciiTheme="majorBidi" w:eastAsia="Times New Roman" w:hAnsiTheme="majorBidi" w:cstheme="majorBidi"/>
          <w:sz w:val="24"/>
          <w:szCs w:val="24"/>
          <w:lang w:bidi="ar-EG"/>
        </w:rPr>
        <w:t>Elbeltagi</w:t>
      </w:r>
      <w:proofErr w:type="spellEnd"/>
      <w:r w:rsidRPr="00834F66">
        <w:rPr>
          <w:rFonts w:asciiTheme="majorBidi" w:eastAsia="Times New Roman" w:hAnsiTheme="majorBidi" w:cstheme="majorBidi"/>
          <w:sz w:val="24"/>
          <w:szCs w:val="24"/>
          <w:lang w:bidi="ar-EG"/>
        </w:rPr>
        <w:t xml:space="preserve"> R. Fecal calprotectin in pediatric gastrointestinal diseases: Pros and cons. World J Clin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2024 Jun 9;13(2):93341.</w:t>
      </w:r>
    </w:p>
    <w:p w14:paraId="4CDD4556" w14:textId="77777777" w:rsidR="009C05C4" w:rsidRPr="00834F66" w:rsidRDefault="009C05C4"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Das SR, Karim ASMB, </w:t>
      </w:r>
      <w:proofErr w:type="spellStart"/>
      <w:r w:rsidRPr="00834F66">
        <w:rPr>
          <w:rFonts w:asciiTheme="majorBidi" w:eastAsia="Times New Roman" w:hAnsiTheme="majorBidi" w:cstheme="majorBidi"/>
          <w:sz w:val="24"/>
          <w:szCs w:val="24"/>
          <w:lang w:bidi="ar-EG"/>
        </w:rPr>
        <w:t>RukonUzzaman</w:t>
      </w:r>
      <w:proofErr w:type="spellEnd"/>
      <w:r w:rsidRPr="00834F66">
        <w:rPr>
          <w:rFonts w:asciiTheme="majorBidi" w:eastAsia="Times New Roman" w:hAnsiTheme="majorBidi" w:cstheme="majorBidi"/>
          <w:sz w:val="24"/>
          <w:szCs w:val="24"/>
          <w:lang w:bidi="ar-EG"/>
        </w:rPr>
        <w:t xml:space="preserve"> M, Mazumder MW, Alam R, </w:t>
      </w:r>
      <w:proofErr w:type="spellStart"/>
      <w:r w:rsidRPr="00834F66">
        <w:rPr>
          <w:rFonts w:asciiTheme="majorBidi" w:eastAsia="Times New Roman" w:hAnsiTheme="majorBidi" w:cstheme="majorBidi"/>
          <w:sz w:val="24"/>
          <w:szCs w:val="24"/>
          <w:lang w:bidi="ar-EG"/>
        </w:rPr>
        <w:t>Benzamin</w:t>
      </w:r>
      <w:proofErr w:type="spellEnd"/>
      <w:r w:rsidRPr="00834F66">
        <w:rPr>
          <w:rFonts w:asciiTheme="majorBidi" w:eastAsia="Times New Roman" w:hAnsiTheme="majorBidi" w:cstheme="majorBidi"/>
          <w:sz w:val="24"/>
          <w:szCs w:val="24"/>
          <w:lang w:bidi="ar-EG"/>
        </w:rPr>
        <w:t xml:space="preserve"> M, Marjan P, Sarker MN, Akther H, Mondal M. Juvenile Polyps in Bangladeshi Children and Their Association with Fecal Calprotectin as a Biomarker.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Gastroenterol Hepatol </w:t>
      </w:r>
      <w:proofErr w:type="spellStart"/>
      <w:r w:rsidRPr="00834F66">
        <w:rPr>
          <w:rFonts w:asciiTheme="majorBidi" w:eastAsia="Times New Roman" w:hAnsiTheme="majorBidi" w:cstheme="majorBidi"/>
          <w:sz w:val="24"/>
          <w:szCs w:val="24"/>
          <w:lang w:bidi="ar-EG"/>
        </w:rPr>
        <w:t>Nutr</w:t>
      </w:r>
      <w:proofErr w:type="spellEnd"/>
      <w:r w:rsidRPr="00834F66">
        <w:rPr>
          <w:rFonts w:asciiTheme="majorBidi" w:eastAsia="Times New Roman" w:hAnsiTheme="majorBidi" w:cstheme="majorBidi"/>
          <w:sz w:val="24"/>
          <w:szCs w:val="24"/>
          <w:lang w:bidi="ar-EG"/>
        </w:rPr>
        <w:t>. 2022 Jan;25(1):52-60.</w:t>
      </w:r>
    </w:p>
    <w:p w14:paraId="5FB9C730" w14:textId="2BA4B26C" w:rsidR="00C22E58" w:rsidRPr="00834F66" w:rsidRDefault="00C22E58"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proofErr w:type="spellStart"/>
      <w:r w:rsidRPr="00834F66">
        <w:rPr>
          <w:rFonts w:asciiTheme="majorBidi" w:eastAsia="Times New Roman" w:hAnsiTheme="majorBidi" w:cstheme="majorBidi"/>
          <w:sz w:val="24"/>
          <w:szCs w:val="24"/>
          <w:lang w:bidi="ar-EG"/>
        </w:rPr>
        <w:t>Mandhan</w:t>
      </w:r>
      <w:proofErr w:type="spellEnd"/>
      <w:r w:rsidRPr="00834F66">
        <w:rPr>
          <w:rFonts w:asciiTheme="majorBidi" w:eastAsia="Times New Roman" w:hAnsiTheme="majorBidi" w:cstheme="majorBidi"/>
          <w:sz w:val="24"/>
          <w:szCs w:val="24"/>
          <w:lang w:bidi="ar-EG"/>
        </w:rPr>
        <w:t xml:space="preserve"> P. Juvenile colorectal polyps in children: experience in Pakistan.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Surg Int </w:t>
      </w:r>
      <w:r w:rsidR="00744EFF" w:rsidRPr="00834F66">
        <w:rPr>
          <w:rFonts w:asciiTheme="majorBidi" w:eastAsia="Times New Roman" w:hAnsiTheme="majorBidi" w:cstheme="majorBidi"/>
          <w:sz w:val="24"/>
          <w:szCs w:val="24"/>
          <w:lang w:bidi="ar-EG"/>
        </w:rPr>
        <w:t>2004; 20:339</w:t>
      </w:r>
      <w:r w:rsidRPr="00834F66">
        <w:rPr>
          <w:rFonts w:asciiTheme="majorBidi" w:eastAsia="Times New Roman" w:hAnsiTheme="majorBidi" w:cstheme="majorBidi"/>
          <w:sz w:val="24"/>
          <w:szCs w:val="24"/>
          <w:lang w:bidi="ar-EG"/>
        </w:rPr>
        <w:t>–342.</w:t>
      </w:r>
    </w:p>
    <w:p w14:paraId="751B5932" w14:textId="159B4E56" w:rsidR="00AB7DB7" w:rsidRPr="00834F66" w:rsidRDefault="00AB7DB7"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Rathi C, Ingle M, Pandav N, </w:t>
      </w:r>
      <w:proofErr w:type="spellStart"/>
      <w:r w:rsidRPr="00834F66">
        <w:rPr>
          <w:rFonts w:asciiTheme="majorBidi" w:eastAsia="Times New Roman" w:hAnsiTheme="majorBidi" w:cstheme="majorBidi"/>
          <w:sz w:val="24"/>
          <w:szCs w:val="24"/>
          <w:lang w:bidi="ar-EG"/>
        </w:rPr>
        <w:t>Pipaliya</w:t>
      </w:r>
      <w:proofErr w:type="spellEnd"/>
      <w:r w:rsidRPr="00834F66">
        <w:rPr>
          <w:rFonts w:asciiTheme="majorBidi" w:eastAsia="Times New Roman" w:hAnsiTheme="majorBidi" w:cstheme="majorBidi"/>
          <w:sz w:val="24"/>
          <w:szCs w:val="24"/>
          <w:lang w:bidi="ar-EG"/>
        </w:rPr>
        <w:t xml:space="preserve"> N, Choksi D, Sawant P. Clinical, endoscopic, and pathologic characteristics of colorectal polyps in Indian children and adolescents. Indian J Gastroenterol </w:t>
      </w:r>
      <w:r w:rsidR="006D156A" w:rsidRPr="00834F66">
        <w:rPr>
          <w:rFonts w:asciiTheme="majorBidi" w:eastAsia="Times New Roman" w:hAnsiTheme="majorBidi" w:cstheme="majorBidi"/>
          <w:sz w:val="24"/>
          <w:szCs w:val="24"/>
          <w:lang w:bidi="ar-EG"/>
        </w:rPr>
        <w:t>2015; 34:453</w:t>
      </w:r>
      <w:r w:rsidRPr="00834F66">
        <w:rPr>
          <w:rFonts w:asciiTheme="majorBidi" w:eastAsia="Times New Roman" w:hAnsiTheme="majorBidi" w:cstheme="majorBidi"/>
          <w:sz w:val="24"/>
          <w:szCs w:val="24"/>
          <w:lang w:bidi="ar-EG"/>
        </w:rPr>
        <w:t>–457.</w:t>
      </w:r>
    </w:p>
    <w:p w14:paraId="3539CE6C" w14:textId="2EC1668A" w:rsidR="00217535" w:rsidRPr="00834F66" w:rsidRDefault="00217535"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Olafsdottir I, Nemeth A, </w:t>
      </w:r>
      <w:proofErr w:type="spellStart"/>
      <w:r w:rsidRPr="00834F66">
        <w:rPr>
          <w:rFonts w:asciiTheme="majorBidi" w:eastAsia="Times New Roman" w:hAnsiTheme="majorBidi" w:cstheme="majorBidi"/>
          <w:sz w:val="24"/>
          <w:szCs w:val="24"/>
          <w:lang w:bidi="ar-EG"/>
        </w:rPr>
        <w:t>Lörinc</w:t>
      </w:r>
      <w:proofErr w:type="spellEnd"/>
      <w:r w:rsidRPr="00834F66">
        <w:rPr>
          <w:rFonts w:asciiTheme="majorBidi" w:eastAsia="Times New Roman" w:hAnsiTheme="majorBidi" w:cstheme="majorBidi"/>
          <w:sz w:val="24"/>
          <w:szCs w:val="24"/>
          <w:lang w:bidi="ar-EG"/>
        </w:rPr>
        <w:t xml:space="preserve"> E, Toth E, </w:t>
      </w:r>
      <w:proofErr w:type="spellStart"/>
      <w:r w:rsidRPr="00834F66">
        <w:rPr>
          <w:rFonts w:asciiTheme="majorBidi" w:eastAsia="Times New Roman" w:hAnsiTheme="majorBidi" w:cstheme="majorBidi"/>
          <w:sz w:val="24"/>
          <w:szCs w:val="24"/>
          <w:lang w:bidi="ar-EG"/>
        </w:rPr>
        <w:t>Agardh</w:t>
      </w:r>
      <w:proofErr w:type="spellEnd"/>
      <w:r w:rsidRPr="00834F66">
        <w:rPr>
          <w:rFonts w:asciiTheme="majorBidi" w:eastAsia="Times New Roman" w:hAnsiTheme="majorBidi" w:cstheme="majorBidi"/>
          <w:sz w:val="24"/>
          <w:szCs w:val="24"/>
          <w:lang w:bidi="ar-EG"/>
        </w:rPr>
        <w:t xml:space="preserve"> D. Value of fecal calprotectin as a biomarker for juvenile polyps in children investigated with colonoscopy. J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Gastroenterol </w:t>
      </w:r>
      <w:proofErr w:type="spellStart"/>
      <w:r w:rsidRPr="00834F66">
        <w:rPr>
          <w:rFonts w:asciiTheme="majorBidi" w:eastAsia="Times New Roman" w:hAnsiTheme="majorBidi" w:cstheme="majorBidi"/>
          <w:sz w:val="24"/>
          <w:szCs w:val="24"/>
          <w:lang w:bidi="ar-EG"/>
        </w:rPr>
        <w:t>Nutr</w:t>
      </w:r>
      <w:proofErr w:type="spellEnd"/>
      <w:r w:rsidRPr="00834F66">
        <w:rPr>
          <w:rFonts w:asciiTheme="majorBidi" w:eastAsia="Times New Roman" w:hAnsiTheme="majorBidi" w:cstheme="majorBidi"/>
          <w:sz w:val="24"/>
          <w:szCs w:val="24"/>
          <w:lang w:bidi="ar-EG"/>
        </w:rPr>
        <w:t xml:space="preserve"> </w:t>
      </w:r>
      <w:r w:rsidR="006D156A" w:rsidRPr="00834F66">
        <w:rPr>
          <w:rFonts w:asciiTheme="majorBidi" w:eastAsia="Times New Roman" w:hAnsiTheme="majorBidi" w:cstheme="majorBidi"/>
          <w:sz w:val="24"/>
          <w:szCs w:val="24"/>
          <w:lang w:bidi="ar-EG"/>
        </w:rPr>
        <w:t>2016; 62:43</w:t>
      </w:r>
      <w:r w:rsidRPr="00834F66">
        <w:rPr>
          <w:rFonts w:asciiTheme="majorBidi" w:eastAsia="Times New Roman" w:hAnsiTheme="majorBidi" w:cstheme="majorBidi"/>
          <w:sz w:val="24"/>
          <w:szCs w:val="24"/>
          <w:lang w:bidi="ar-EG"/>
        </w:rPr>
        <w:t>–46.</w:t>
      </w:r>
    </w:p>
    <w:p w14:paraId="05B0D76F" w14:textId="1C7C2BB1" w:rsidR="00D1338A" w:rsidRPr="00834F66" w:rsidRDefault="00217535"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proofErr w:type="spellStart"/>
      <w:r w:rsidRPr="00834F66">
        <w:rPr>
          <w:rFonts w:asciiTheme="majorBidi" w:eastAsia="Times New Roman" w:hAnsiTheme="majorBidi" w:cstheme="majorBidi"/>
          <w:sz w:val="24"/>
          <w:szCs w:val="24"/>
          <w:lang w:bidi="ar-EG"/>
        </w:rPr>
        <w:t>Pezzilli</w:t>
      </w:r>
      <w:proofErr w:type="spellEnd"/>
      <w:r w:rsidRPr="00834F66">
        <w:rPr>
          <w:rFonts w:asciiTheme="majorBidi" w:eastAsia="Times New Roman" w:hAnsiTheme="majorBidi" w:cstheme="majorBidi"/>
          <w:sz w:val="24"/>
          <w:szCs w:val="24"/>
          <w:lang w:bidi="ar-EG"/>
        </w:rPr>
        <w:t xml:space="preserve"> R, </w:t>
      </w:r>
      <w:proofErr w:type="spellStart"/>
      <w:r w:rsidRPr="00834F66">
        <w:rPr>
          <w:rFonts w:asciiTheme="majorBidi" w:eastAsia="Times New Roman" w:hAnsiTheme="majorBidi" w:cstheme="majorBidi"/>
          <w:sz w:val="24"/>
          <w:szCs w:val="24"/>
          <w:lang w:bidi="ar-EG"/>
        </w:rPr>
        <w:t>Barassi</w:t>
      </w:r>
      <w:proofErr w:type="spellEnd"/>
      <w:r w:rsidRPr="00834F66">
        <w:rPr>
          <w:rFonts w:asciiTheme="majorBidi" w:eastAsia="Times New Roman" w:hAnsiTheme="majorBidi" w:cstheme="majorBidi"/>
          <w:sz w:val="24"/>
          <w:szCs w:val="24"/>
          <w:lang w:bidi="ar-EG"/>
        </w:rPr>
        <w:t xml:space="preserve"> A, </w:t>
      </w:r>
      <w:proofErr w:type="spellStart"/>
      <w:r w:rsidRPr="00834F66">
        <w:rPr>
          <w:rFonts w:asciiTheme="majorBidi" w:eastAsia="Times New Roman" w:hAnsiTheme="majorBidi" w:cstheme="majorBidi"/>
          <w:sz w:val="24"/>
          <w:szCs w:val="24"/>
          <w:lang w:bidi="ar-EG"/>
        </w:rPr>
        <w:t>Morselli</w:t>
      </w:r>
      <w:proofErr w:type="spellEnd"/>
      <w:r w:rsidRPr="00834F66">
        <w:rPr>
          <w:rFonts w:asciiTheme="majorBidi" w:eastAsia="Times New Roman" w:hAnsiTheme="majorBidi" w:cstheme="majorBidi"/>
          <w:sz w:val="24"/>
          <w:szCs w:val="24"/>
          <w:lang w:bidi="ar-EG"/>
        </w:rPr>
        <w:t xml:space="preserve"> Labate AM, </w:t>
      </w:r>
      <w:proofErr w:type="spellStart"/>
      <w:r w:rsidRPr="00834F66">
        <w:rPr>
          <w:rFonts w:asciiTheme="majorBidi" w:eastAsia="Times New Roman" w:hAnsiTheme="majorBidi" w:cstheme="majorBidi"/>
          <w:sz w:val="24"/>
          <w:szCs w:val="24"/>
          <w:lang w:bidi="ar-EG"/>
        </w:rPr>
        <w:t>Finazzi</w:t>
      </w:r>
      <w:proofErr w:type="spellEnd"/>
      <w:r w:rsidRPr="00834F66">
        <w:rPr>
          <w:rFonts w:asciiTheme="majorBidi" w:eastAsia="Times New Roman" w:hAnsiTheme="majorBidi" w:cstheme="majorBidi"/>
          <w:sz w:val="24"/>
          <w:szCs w:val="24"/>
          <w:lang w:bidi="ar-EG"/>
        </w:rPr>
        <w:t xml:space="preserve"> S, Fantini L, Gizzi G, et al. Fecal calprotectin levels in patients with colonic polyposis. Dig Dis Sci </w:t>
      </w:r>
      <w:r w:rsidR="006D156A" w:rsidRPr="00834F66">
        <w:rPr>
          <w:rFonts w:asciiTheme="majorBidi" w:eastAsia="Times New Roman" w:hAnsiTheme="majorBidi" w:cstheme="majorBidi"/>
          <w:sz w:val="24"/>
          <w:szCs w:val="24"/>
          <w:lang w:bidi="ar-EG"/>
        </w:rPr>
        <w:t>2008; 53:47</w:t>
      </w:r>
      <w:r w:rsidRPr="00834F66">
        <w:rPr>
          <w:rFonts w:asciiTheme="majorBidi" w:eastAsia="Times New Roman" w:hAnsiTheme="majorBidi" w:cstheme="majorBidi"/>
          <w:sz w:val="24"/>
          <w:szCs w:val="24"/>
          <w:lang w:bidi="ar-EG"/>
        </w:rPr>
        <w:t>–51.</w:t>
      </w:r>
    </w:p>
    <w:p w14:paraId="6C457AC3" w14:textId="0C7785A6" w:rsidR="00D1338A" w:rsidRPr="00834F66" w:rsidRDefault="00D1338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Pauley-Hunter RJ, Kunnath S, Wolff K, Vanderhoof JA. Fecal calprotectin and pediatric juvenile polyps. J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Gastroenterol </w:t>
      </w:r>
      <w:proofErr w:type="spellStart"/>
      <w:r w:rsidRPr="00834F66">
        <w:rPr>
          <w:rFonts w:asciiTheme="majorBidi" w:eastAsia="Times New Roman" w:hAnsiTheme="majorBidi" w:cstheme="majorBidi"/>
          <w:sz w:val="24"/>
          <w:szCs w:val="24"/>
          <w:lang w:bidi="ar-EG"/>
        </w:rPr>
        <w:t>Nutr</w:t>
      </w:r>
      <w:proofErr w:type="spellEnd"/>
      <w:r w:rsidRPr="00834F66">
        <w:rPr>
          <w:rFonts w:asciiTheme="majorBidi" w:eastAsia="Times New Roman" w:hAnsiTheme="majorBidi" w:cstheme="majorBidi"/>
          <w:sz w:val="24"/>
          <w:szCs w:val="24"/>
          <w:lang w:bidi="ar-EG"/>
        </w:rPr>
        <w:t xml:space="preserve"> 2015;</w:t>
      </w:r>
      <w:r w:rsidR="006D156A" w:rsidRPr="00834F66">
        <w:rPr>
          <w:rFonts w:asciiTheme="majorBidi" w:eastAsia="Times New Roman" w:hAnsiTheme="majorBidi" w:cstheme="majorBidi"/>
          <w:sz w:val="24"/>
          <w:szCs w:val="24"/>
          <w:lang w:bidi="ar-EG"/>
        </w:rPr>
        <w:t>60: e</w:t>
      </w:r>
      <w:r w:rsidRPr="00834F66">
        <w:rPr>
          <w:rFonts w:asciiTheme="majorBidi" w:eastAsia="Times New Roman" w:hAnsiTheme="majorBidi" w:cstheme="majorBidi"/>
          <w:sz w:val="24"/>
          <w:szCs w:val="24"/>
          <w:lang w:bidi="ar-EG"/>
        </w:rPr>
        <w:t>30–e31.</w:t>
      </w:r>
    </w:p>
    <w:p w14:paraId="408388F2" w14:textId="77777777" w:rsidR="00D1338A" w:rsidRPr="00834F66" w:rsidRDefault="00D1338A" w:rsidP="00834F66">
      <w:pPr>
        <w:pStyle w:val="ListParagraph"/>
        <w:numPr>
          <w:ilvl w:val="0"/>
          <w:numId w:val="2"/>
        </w:numPr>
        <w:spacing w:after="0" w:line="360" w:lineRule="auto"/>
        <w:ind w:left="426" w:hanging="426"/>
        <w:contextualSpacing w:val="0"/>
        <w:jc w:val="both"/>
        <w:rPr>
          <w:rFonts w:asciiTheme="majorBidi" w:eastAsia="Times New Roman" w:hAnsiTheme="majorBidi" w:cstheme="majorBidi"/>
          <w:sz w:val="24"/>
          <w:szCs w:val="24"/>
          <w:lang w:bidi="ar-EG"/>
        </w:rPr>
      </w:pPr>
      <w:r w:rsidRPr="00834F66">
        <w:rPr>
          <w:rFonts w:asciiTheme="majorBidi" w:eastAsia="Times New Roman" w:hAnsiTheme="majorBidi" w:cstheme="majorBidi"/>
          <w:sz w:val="24"/>
          <w:szCs w:val="24"/>
          <w:lang w:bidi="ar-EG"/>
        </w:rPr>
        <w:t xml:space="preserve">Khan F, Mani H, Chao C, Hourigan S. Fecal calprotectin as a future screening tool for large juvenile polyps. Glob </w:t>
      </w:r>
      <w:proofErr w:type="spellStart"/>
      <w:r w:rsidRPr="00834F66">
        <w:rPr>
          <w:rFonts w:asciiTheme="majorBidi" w:eastAsia="Times New Roman" w:hAnsiTheme="majorBidi" w:cstheme="majorBidi"/>
          <w:sz w:val="24"/>
          <w:szCs w:val="24"/>
          <w:lang w:bidi="ar-EG"/>
        </w:rPr>
        <w:t>Pediatr</w:t>
      </w:r>
      <w:proofErr w:type="spellEnd"/>
      <w:r w:rsidRPr="00834F66">
        <w:rPr>
          <w:rFonts w:asciiTheme="majorBidi" w:eastAsia="Times New Roman" w:hAnsiTheme="majorBidi" w:cstheme="majorBidi"/>
          <w:sz w:val="24"/>
          <w:szCs w:val="24"/>
          <w:lang w:bidi="ar-EG"/>
        </w:rPr>
        <w:t xml:space="preserve"> Health 2015;2:2333794X15623716 </w:t>
      </w:r>
    </w:p>
    <w:p w14:paraId="7F482270" w14:textId="664723F0" w:rsidR="00C653BF" w:rsidRPr="006D156A" w:rsidRDefault="00D1338A" w:rsidP="00E3236E">
      <w:pPr>
        <w:pStyle w:val="ListParagraph"/>
        <w:numPr>
          <w:ilvl w:val="0"/>
          <w:numId w:val="2"/>
        </w:numPr>
        <w:spacing w:after="0" w:line="360" w:lineRule="auto"/>
        <w:ind w:left="426" w:hanging="426"/>
        <w:contextualSpacing w:val="0"/>
        <w:rPr>
          <w:rFonts w:asciiTheme="majorBidi" w:eastAsia="Times New Roman" w:hAnsiTheme="majorBidi" w:cstheme="majorBidi"/>
          <w:sz w:val="24"/>
          <w:szCs w:val="24"/>
          <w:lang w:bidi="ar-EG"/>
        </w:rPr>
      </w:pPr>
      <w:r w:rsidRPr="00E3236E">
        <w:rPr>
          <w:rFonts w:asciiTheme="majorBidi" w:eastAsia="Times New Roman" w:hAnsiTheme="majorBidi" w:cstheme="majorBidi"/>
          <w:sz w:val="24"/>
          <w:szCs w:val="24"/>
          <w:lang w:bidi="ar-EG"/>
        </w:rPr>
        <w:t xml:space="preserve">Teitelbaum JE, Adu-Darko MA. Fecal calprotectin in juvenile polyposis coli. J Clin Gastroenterol </w:t>
      </w:r>
      <w:r w:rsidR="006D156A" w:rsidRPr="00E3236E">
        <w:rPr>
          <w:rFonts w:asciiTheme="majorBidi" w:eastAsia="Times New Roman" w:hAnsiTheme="majorBidi" w:cstheme="majorBidi"/>
          <w:sz w:val="24"/>
          <w:szCs w:val="24"/>
          <w:lang w:bidi="ar-EG"/>
        </w:rPr>
        <w:t>2010; 44:593</w:t>
      </w:r>
      <w:r w:rsidRPr="00E3236E">
        <w:rPr>
          <w:rFonts w:asciiTheme="majorBidi" w:eastAsia="Times New Roman" w:hAnsiTheme="majorBidi" w:cstheme="majorBidi"/>
          <w:sz w:val="24"/>
          <w:szCs w:val="24"/>
          <w:lang w:bidi="ar-EG"/>
        </w:rPr>
        <w:t>.</w:t>
      </w:r>
    </w:p>
    <w:sectPr w:rsidR="00C653BF" w:rsidRPr="006D156A" w:rsidSect="00C07F15">
      <w:headerReference w:type="default" r:id="rId13"/>
      <w:footerReference w:type="default" r:id="rId14"/>
      <w:pgSz w:w="12240" w:h="15840"/>
      <w:pgMar w:top="1440" w:right="1440" w:bottom="1440" w:left="144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3506" w14:textId="77777777" w:rsidR="00E76516" w:rsidRDefault="00E76516" w:rsidP="00D51FDF">
      <w:pPr>
        <w:spacing w:after="0" w:line="240" w:lineRule="auto"/>
      </w:pPr>
      <w:r>
        <w:separator/>
      </w:r>
    </w:p>
  </w:endnote>
  <w:endnote w:type="continuationSeparator" w:id="0">
    <w:p w14:paraId="23E0468B" w14:textId="77777777" w:rsidR="00E76516" w:rsidRDefault="00E76516" w:rsidP="00D5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1A0E" w14:textId="164AF7E3" w:rsidR="00C07F15" w:rsidRPr="00C07F15" w:rsidRDefault="00C07F15" w:rsidP="00C07F15">
    <w:pPr>
      <w:pBdr>
        <w:top w:val="thinThickSmallGap" w:sz="24" w:space="1" w:color="823B0B"/>
      </w:pBdr>
      <w:tabs>
        <w:tab w:val="left" w:pos="7080"/>
        <w:tab w:val="right" w:pos="9360"/>
      </w:tabs>
      <w:spacing w:after="240" w:line="256" w:lineRule="auto"/>
      <w:ind w:firstLine="357"/>
      <w:rPr>
        <w:rFonts w:ascii="Calibri" w:eastAsia="SimSun" w:hAnsi="Calibri" w:cs="Arial"/>
        <w:lang w:val="yo-NG"/>
      </w:rPr>
    </w:pPr>
    <w:r>
      <w:rPr>
        <w:rFonts w:ascii="Calibri" w:eastAsia="SimSun" w:hAnsi="Calibri" w:cs="Calibri"/>
        <w:color w:val="000000"/>
        <w:kern w:val="2"/>
        <w:sz w:val="24"/>
        <w:szCs w:val="24"/>
        <w:lang w:val="yo-NG" w:eastAsia="en-GB"/>
      </w:rPr>
      <w:t>Ali MA</w:t>
    </w:r>
    <w:r w:rsidRPr="00C07F15">
      <w:rPr>
        <w:rFonts w:ascii="Calibri" w:eastAsia="SimSun" w:hAnsi="Calibri" w:cs="Calibri"/>
        <w:color w:val="000000"/>
        <w:kern w:val="2"/>
        <w:sz w:val="24"/>
        <w:szCs w:val="24"/>
        <w:lang w:eastAsia="en-GB"/>
      </w:rPr>
      <w:t xml:space="preserve"> </w:t>
    </w:r>
    <w:r w:rsidRPr="00C07F15">
      <w:rPr>
        <w:rFonts w:ascii="Calibri" w:eastAsia="SimSun" w:hAnsi="Calibri" w:cs="Arial"/>
      </w:rPr>
      <w:t>et al.2025</w:t>
    </w:r>
    <w:r w:rsidRPr="00C07F15">
      <w:rPr>
        <w:rFonts w:ascii="Calibri" w:eastAsia="SimSun" w:hAnsi="Calibri" w:cs="Arial"/>
      </w:rPr>
      <w:tab/>
    </w:r>
    <w:r w:rsidRPr="00C07F15">
      <w:rPr>
        <w:rFonts w:ascii="Times New Roman" w:eastAsia="SimSun" w:hAnsi="Times New Roman" w:cs="Times New Roman"/>
        <w:sz w:val="24"/>
        <w:szCs w:val="24"/>
      </w:rPr>
      <w:fldChar w:fldCharType="begin"/>
    </w:r>
    <w:r w:rsidRPr="00C07F15">
      <w:rPr>
        <w:rFonts w:ascii="Times New Roman" w:eastAsia="SimSun" w:hAnsi="Times New Roman" w:cs="Times New Roman"/>
        <w:sz w:val="24"/>
        <w:szCs w:val="24"/>
      </w:rPr>
      <w:instrText xml:space="preserve"> PAGE   \* MERGEFORMAT </w:instrText>
    </w:r>
    <w:r w:rsidRPr="00C07F15">
      <w:rPr>
        <w:rFonts w:ascii="Times New Roman" w:eastAsia="SimSun" w:hAnsi="Times New Roman" w:cs="Times New Roman"/>
        <w:sz w:val="24"/>
        <w:szCs w:val="24"/>
      </w:rPr>
      <w:fldChar w:fldCharType="separate"/>
    </w:r>
    <w:r w:rsidRPr="00C07F15">
      <w:rPr>
        <w:rFonts w:ascii="Times New Roman" w:eastAsia="SimSun" w:hAnsi="Times New Roman" w:cs="Times New Roman"/>
        <w:sz w:val="24"/>
        <w:szCs w:val="24"/>
      </w:rPr>
      <w:t>51</w:t>
    </w:r>
    <w:r w:rsidRPr="00C07F15">
      <w:rPr>
        <w:rFonts w:ascii="Times New Roman" w:eastAsia="SimSun" w:hAnsi="Times New Roman" w:cs="Times New Roman"/>
        <w:sz w:val="24"/>
        <w:szCs w:val="24"/>
      </w:rPr>
      <w:fldChar w:fldCharType="end"/>
    </w:r>
  </w:p>
  <w:p w14:paraId="36437971" w14:textId="77777777" w:rsidR="00D51FDF" w:rsidRDefault="00D51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D73A" w14:textId="77777777" w:rsidR="00E76516" w:rsidRDefault="00E76516" w:rsidP="00D51FDF">
      <w:pPr>
        <w:spacing w:after="0" w:line="240" w:lineRule="auto"/>
      </w:pPr>
      <w:r>
        <w:separator/>
      </w:r>
    </w:p>
  </w:footnote>
  <w:footnote w:type="continuationSeparator" w:id="0">
    <w:p w14:paraId="579360A4" w14:textId="77777777" w:rsidR="00E76516" w:rsidRDefault="00E76516" w:rsidP="00D51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CCC9" w14:textId="3E56EF44" w:rsidR="00D51FDF" w:rsidRPr="00D51FDF" w:rsidRDefault="00D51FDF" w:rsidP="00D51FDF">
    <w:pPr>
      <w:pBdr>
        <w:bottom w:val="thickThinSmallGap" w:sz="24" w:space="21" w:color="622423"/>
      </w:pBdr>
      <w:tabs>
        <w:tab w:val="right" w:pos="8640"/>
      </w:tabs>
      <w:spacing w:after="0" w:line="240" w:lineRule="auto"/>
      <w:rPr>
        <w:rFonts w:ascii="Cambria" w:eastAsia="SimSun" w:hAnsi="Cambria" w:cs="Times New Roman"/>
        <w:sz w:val="18"/>
        <w:szCs w:val="18"/>
      </w:rPr>
    </w:pPr>
    <w:r w:rsidRPr="00D51FDF">
      <w:rPr>
        <w:rFonts w:ascii="Cambria" w:eastAsia="SimSun" w:hAnsi="Cambria" w:cs="Times New Roman"/>
        <w:sz w:val="18"/>
        <w:szCs w:val="18"/>
      </w:rPr>
      <w:t>African journal of gastroenterology and hepatology</w:t>
    </w:r>
    <w:r w:rsidRPr="00D51FDF">
      <w:rPr>
        <w:rFonts w:ascii="Cambria" w:eastAsia="SimSun" w:hAnsi="Cambria" w:cs="Times New Roman"/>
        <w:sz w:val="18"/>
        <w:szCs w:val="18"/>
      </w:rPr>
      <w:tab/>
    </w:r>
    <w:r w:rsidRPr="00D51FDF">
      <w:rPr>
        <w:rFonts w:ascii="Calibri Light" w:eastAsia="SimSun" w:hAnsi="Calibri Light" w:cs="Times New Roman"/>
        <w:noProof/>
        <w:sz w:val="32"/>
        <w:szCs w:val="32"/>
      </w:rPr>
      <w:drawing>
        <wp:inline distT="0" distB="0" distL="0" distR="0" wp14:anchorId="34B3C322" wp14:editId="64D79AB5">
          <wp:extent cx="1424305" cy="205105"/>
          <wp:effectExtent l="0" t="0" r="0" b="4445"/>
          <wp:docPr id="60378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305" cy="205105"/>
                  </a:xfrm>
                  <a:prstGeom prst="rect">
                    <a:avLst/>
                  </a:prstGeom>
                  <a:noFill/>
                  <a:ln>
                    <a:noFill/>
                  </a:ln>
                </pic:spPr>
              </pic:pic>
            </a:graphicData>
          </a:graphic>
        </wp:inline>
      </w:drawing>
    </w:r>
  </w:p>
  <w:p w14:paraId="302A2844" w14:textId="77777777" w:rsidR="00D51FDF" w:rsidRPr="00D51FDF" w:rsidRDefault="00D51FDF" w:rsidP="00D51FDF">
    <w:pPr>
      <w:tabs>
        <w:tab w:val="center" w:pos="4680"/>
        <w:tab w:val="right" w:pos="9360"/>
      </w:tabs>
      <w:spacing w:after="0" w:line="240" w:lineRule="auto"/>
      <w:rPr>
        <w:rFonts w:ascii="Calibri" w:eastAsia="SimSun"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24B31"/>
    <w:multiLevelType w:val="hybridMultilevel"/>
    <w:tmpl w:val="C6B47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8D342E"/>
    <w:multiLevelType w:val="multilevel"/>
    <w:tmpl w:val="070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426827">
    <w:abstractNumId w:val="1"/>
  </w:num>
  <w:num w:numId="2" w16cid:durableId="187931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es-ES" w:vendorID="64" w:dllVersion="6" w:nlCheck="1" w:checkStyle="0"/>
  <w:activeWritingStyle w:appName="MSWord" w:lang="en-US" w:vendorID="64" w:dllVersion="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A9"/>
    <w:rsid w:val="00000155"/>
    <w:rsid w:val="000075C6"/>
    <w:rsid w:val="00015197"/>
    <w:rsid w:val="000266E9"/>
    <w:rsid w:val="00034431"/>
    <w:rsid w:val="0005719E"/>
    <w:rsid w:val="00086B71"/>
    <w:rsid w:val="000A48FF"/>
    <w:rsid w:val="000A5D75"/>
    <w:rsid w:val="000C239B"/>
    <w:rsid w:val="000D25FB"/>
    <w:rsid w:val="000F5C6E"/>
    <w:rsid w:val="00114A6F"/>
    <w:rsid w:val="0012081D"/>
    <w:rsid w:val="00156225"/>
    <w:rsid w:val="00180C65"/>
    <w:rsid w:val="00192FD8"/>
    <w:rsid w:val="0019428B"/>
    <w:rsid w:val="001A00E0"/>
    <w:rsid w:val="001A651D"/>
    <w:rsid w:val="001B224D"/>
    <w:rsid w:val="001B72D0"/>
    <w:rsid w:val="00217535"/>
    <w:rsid w:val="00237F51"/>
    <w:rsid w:val="0024757F"/>
    <w:rsid w:val="00250052"/>
    <w:rsid w:val="00263A30"/>
    <w:rsid w:val="0027066A"/>
    <w:rsid w:val="00272DF0"/>
    <w:rsid w:val="0027374F"/>
    <w:rsid w:val="00282BA3"/>
    <w:rsid w:val="002A7B0D"/>
    <w:rsid w:val="002B3BBC"/>
    <w:rsid w:val="002C769D"/>
    <w:rsid w:val="002D3F5F"/>
    <w:rsid w:val="002D594F"/>
    <w:rsid w:val="00301B7D"/>
    <w:rsid w:val="003073FB"/>
    <w:rsid w:val="0031048F"/>
    <w:rsid w:val="00315E04"/>
    <w:rsid w:val="00326150"/>
    <w:rsid w:val="00327DF6"/>
    <w:rsid w:val="0033371D"/>
    <w:rsid w:val="00335E24"/>
    <w:rsid w:val="00353F7A"/>
    <w:rsid w:val="00382DA1"/>
    <w:rsid w:val="00383809"/>
    <w:rsid w:val="00385902"/>
    <w:rsid w:val="00385D49"/>
    <w:rsid w:val="003A0732"/>
    <w:rsid w:val="003B46F0"/>
    <w:rsid w:val="003C6A9E"/>
    <w:rsid w:val="003D196B"/>
    <w:rsid w:val="003E0443"/>
    <w:rsid w:val="003E192D"/>
    <w:rsid w:val="003F131D"/>
    <w:rsid w:val="003F7835"/>
    <w:rsid w:val="00421EB2"/>
    <w:rsid w:val="00430966"/>
    <w:rsid w:val="0046065F"/>
    <w:rsid w:val="004615D2"/>
    <w:rsid w:val="004926DE"/>
    <w:rsid w:val="004946F0"/>
    <w:rsid w:val="004A2592"/>
    <w:rsid w:val="004B3DE7"/>
    <w:rsid w:val="004E5F14"/>
    <w:rsid w:val="004F5610"/>
    <w:rsid w:val="00511A58"/>
    <w:rsid w:val="00536F4E"/>
    <w:rsid w:val="00542575"/>
    <w:rsid w:val="00556E73"/>
    <w:rsid w:val="00562646"/>
    <w:rsid w:val="005669F6"/>
    <w:rsid w:val="00582118"/>
    <w:rsid w:val="00592E21"/>
    <w:rsid w:val="00597770"/>
    <w:rsid w:val="005A1A9D"/>
    <w:rsid w:val="005B60FD"/>
    <w:rsid w:val="005B6BBA"/>
    <w:rsid w:val="005D1BCE"/>
    <w:rsid w:val="005F654D"/>
    <w:rsid w:val="005F7A4B"/>
    <w:rsid w:val="0062551D"/>
    <w:rsid w:val="0062692A"/>
    <w:rsid w:val="0063131C"/>
    <w:rsid w:val="00674846"/>
    <w:rsid w:val="006848EA"/>
    <w:rsid w:val="006A15DC"/>
    <w:rsid w:val="006B0207"/>
    <w:rsid w:val="006B6D93"/>
    <w:rsid w:val="006C1570"/>
    <w:rsid w:val="006D156A"/>
    <w:rsid w:val="006E1746"/>
    <w:rsid w:val="006F3A2C"/>
    <w:rsid w:val="007009D2"/>
    <w:rsid w:val="0070128D"/>
    <w:rsid w:val="00706EA8"/>
    <w:rsid w:val="007136E3"/>
    <w:rsid w:val="00715685"/>
    <w:rsid w:val="00744EFF"/>
    <w:rsid w:val="00752628"/>
    <w:rsid w:val="00752FB3"/>
    <w:rsid w:val="00755572"/>
    <w:rsid w:val="00770778"/>
    <w:rsid w:val="00771661"/>
    <w:rsid w:val="007736C5"/>
    <w:rsid w:val="00773C57"/>
    <w:rsid w:val="00781DD9"/>
    <w:rsid w:val="00785B23"/>
    <w:rsid w:val="00785EEF"/>
    <w:rsid w:val="007C0BCE"/>
    <w:rsid w:val="007C7EE1"/>
    <w:rsid w:val="007D27D3"/>
    <w:rsid w:val="007F460C"/>
    <w:rsid w:val="00813699"/>
    <w:rsid w:val="00813E56"/>
    <w:rsid w:val="00825D58"/>
    <w:rsid w:val="0083100F"/>
    <w:rsid w:val="00834F66"/>
    <w:rsid w:val="00841D94"/>
    <w:rsid w:val="008439A4"/>
    <w:rsid w:val="0085397E"/>
    <w:rsid w:val="0085450D"/>
    <w:rsid w:val="00862FEF"/>
    <w:rsid w:val="00865C60"/>
    <w:rsid w:val="008727C3"/>
    <w:rsid w:val="008775E0"/>
    <w:rsid w:val="0089125F"/>
    <w:rsid w:val="008B2071"/>
    <w:rsid w:val="008B74AD"/>
    <w:rsid w:val="008C6166"/>
    <w:rsid w:val="008D194D"/>
    <w:rsid w:val="008E2785"/>
    <w:rsid w:val="008F2625"/>
    <w:rsid w:val="008F3C26"/>
    <w:rsid w:val="0091620C"/>
    <w:rsid w:val="00917484"/>
    <w:rsid w:val="009246AC"/>
    <w:rsid w:val="00930CAD"/>
    <w:rsid w:val="009523FB"/>
    <w:rsid w:val="00953AA9"/>
    <w:rsid w:val="00955262"/>
    <w:rsid w:val="009645F8"/>
    <w:rsid w:val="00972DC8"/>
    <w:rsid w:val="009764A7"/>
    <w:rsid w:val="00980C37"/>
    <w:rsid w:val="00982302"/>
    <w:rsid w:val="009935A5"/>
    <w:rsid w:val="00997546"/>
    <w:rsid w:val="009C05C4"/>
    <w:rsid w:val="009D1BA3"/>
    <w:rsid w:val="009D52AF"/>
    <w:rsid w:val="009F5C11"/>
    <w:rsid w:val="00A33972"/>
    <w:rsid w:val="00A50642"/>
    <w:rsid w:val="00A549C9"/>
    <w:rsid w:val="00A6058D"/>
    <w:rsid w:val="00A65ACE"/>
    <w:rsid w:val="00A73EB8"/>
    <w:rsid w:val="00A76557"/>
    <w:rsid w:val="00A77125"/>
    <w:rsid w:val="00A87AE3"/>
    <w:rsid w:val="00A96099"/>
    <w:rsid w:val="00AB7009"/>
    <w:rsid w:val="00AB7DB7"/>
    <w:rsid w:val="00AC344A"/>
    <w:rsid w:val="00AD2F46"/>
    <w:rsid w:val="00AF61CB"/>
    <w:rsid w:val="00B0657D"/>
    <w:rsid w:val="00B2330D"/>
    <w:rsid w:val="00B2562E"/>
    <w:rsid w:val="00B3255D"/>
    <w:rsid w:val="00B43FCB"/>
    <w:rsid w:val="00B45C19"/>
    <w:rsid w:val="00B71F8A"/>
    <w:rsid w:val="00B82F3A"/>
    <w:rsid w:val="00B85916"/>
    <w:rsid w:val="00B92330"/>
    <w:rsid w:val="00B95748"/>
    <w:rsid w:val="00B9791C"/>
    <w:rsid w:val="00BA3C0F"/>
    <w:rsid w:val="00BB2199"/>
    <w:rsid w:val="00BC2D37"/>
    <w:rsid w:val="00BE5A17"/>
    <w:rsid w:val="00BF4091"/>
    <w:rsid w:val="00C07F15"/>
    <w:rsid w:val="00C22E58"/>
    <w:rsid w:val="00C32EB3"/>
    <w:rsid w:val="00C43AEA"/>
    <w:rsid w:val="00C50D7E"/>
    <w:rsid w:val="00C51582"/>
    <w:rsid w:val="00C52D83"/>
    <w:rsid w:val="00C55669"/>
    <w:rsid w:val="00C569C3"/>
    <w:rsid w:val="00C653BF"/>
    <w:rsid w:val="00C74E84"/>
    <w:rsid w:val="00C87A0D"/>
    <w:rsid w:val="00CA03F9"/>
    <w:rsid w:val="00CA0844"/>
    <w:rsid w:val="00CA2451"/>
    <w:rsid w:val="00CB4F66"/>
    <w:rsid w:val="00CE0AD6"/>
    <w:rsid w:val="00CE11A6"/>
    <w:rsid w:val="00D04172"/>
    <w:rsid w:val="00D06A9F"/>
    <w:rsid w:val="00D1338A"/>
    <w:rsid w:val="00D253B8"/>
    <w:rsid w:val="00D310CD"/>
    <w:rsid w:val="00D41F72"/>
    <w:rsid w:val="00D50325"/>
    <w:rsid w:val="00D51FDF"/>
    <w:rsid w:val="00D53F80"/>
    <w:rsid w:val="00D74B2B"/>
    <w:rsid w:val="00D808DB"/>
    <w:rsid w:val="00D90EFA"/>
    <w:rsid w:val="00D953C1"/>
    <w:rsid w:val="00D97271"/>
    <w:rsid w:val="00D97654"/>
    <w:rsid w:val="00DA5A8C"/>
    <w:rsid w:val="00DB2759"/>
    <w:rsid w:val="00DC48D5"/>
    <w:rsid w:val="00DD54F7"/>
    <w:rsid w:val="00DE40C1"/>
    <w:rsid w:val="00DF65BB"/>
    <w:rsid w:val="00DF7D8A"/>
    <w:rsid w:val="00E06B48"/>
    <w:rsid w:val="00E3085A"/>
    <w:rsid w:val="00E3236E"/>
    <w:rsid w:val="00E32A7C"/>
    <w:rsid w:val="00E33453"/>
    <w:rsid w:val="00E433A3"/>
    <w:rsid w:val="00E621A3"/>
    <w:rsid w:val="00E67BA5"/>
    <w:rsid w:val="00E76516"/>
    <w:rsid w:val="00E83DAE"/>
    <w:rsid w:val="00E969A5"/>
    <w:rsid w:val="00EA722D"/>
    <w:rsid w:val="00EE1C0C"/>
    <w:rsid w:val="00EE4DBA"/>
    <w:rsid w:val="00EF2618"/>
    <w:rsid w:val="00EF381C"/>
    <w:rsid w:val="00F03243"/>
    <w:rsid w:val="00F11912"/>
    <w:rsid w:val="00F17B0F"/>
    <w:rsid w:val="00F2585A"/>
    <w:rsid w:val="00F258C4"/>
    <w:rsid w:val="00F32E9A"/>
    <w:rsid w:val="00F33353"/>
    <w:rsid w:val="00F4082B"/>
    <w:rsid w:val="00F65FBB"/>
    <w:rsid w:val="00F707A6"/>
    <w:rsid w:val="00F72C67"/>
    <w:rsid w:val="00F810D0"/>
    <w:rsid w:val="00F833B9"/>
    <w:rsid w:val="00F97B6A"/>
    <w:rsid w:val="00FA13AA"/>
    <w:rsid w:val="00FC0351"/>
    <w:rsid w:val="00FC052B"/>
    <w:rsid w:val="00FD4D68"/>
    <w:rsid w:val="00FD634E"/>
    <w:rsid w:val="00FF0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758E7"/>
  <w15:docId w15:val="{E033063D-41E8-4AC0-8EEA-6A29963B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94F"/>
    <w:rPr>
      <w:b/>
      <w:bCs/>
    </w:rPr>
  </w:style>
  <w:style w:type="table" w:styleId="TableGrid">
    <w:name w:val="Table Grid"/>
    <w:basedOn w:val="TableNormal"/>
    <w:uiPriority w:val="59"/>
    <w:rsid w:val="0030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6AC"/>
    <w:pPr>
      <w:ind w:left="720"/>
      <w:contextualSpacing/>
    </w:pPr>
  </w:style>
  <w:style w:type="character" w:styleId="Hyperlink">
    <w:name w:val="Hyperlink"/>
    <w:basedOn w:val="DefaultParagraphFont"/>
    <w:uiPriority w:val="99"/>
    <w:unhideWhenUsed/>
    <w:rsid w:val="00D808DB"/>
    <w:rPr>
      <w:color w:val="0563C1" w:themeColor="hyperlink"/>
      <w:u w:val="single"/>
    </w:rPr>
  </w:style>
  <w:style w:type="character" w:styleId="CommentReference">
    <w:name w:val="annotation reference"/>
    <w:basedOn w:val="DefaultParagraphFont"/>
    <w:uiPriority w:val="99"/>
    <w:semiHidden/>
    <w:unhideWhenUsed/>
    <w:rsid w:val="008439A4"/>
    <w:rPr>
      <w:sz w:val="16"/>
      <w:szCs w:val="16"/>
    </w:rPr>
  </w:style>
  <w:style w:type="paragraph" w:styleId="CommentText">
    <w:name w:val="annotation text"/>
    <w:basedOn w:val="Normal"/>
    <w:link w:val="CommentTextChar"/>
    <w:uiPriority w:val="99"/>
    <w:unhideWhenUsed/>
    <w:rsid w:val="008439A4"/>
    <w:pPr>
      <w:spacing w:line="240" w:lineRule="auto"/>
    </w:pPr>
    <w:rPr>
      <w:sz w:val="20"/>
      <w:szCs w:val="20"/>
    </w:rPr>
  </w:style>
  <w:style w:type="character" w:customStyle="1" w:styleId="CommentTextChar">
    <w:name w:val="Comment Text Char"/>
    <w:basedOn w:val="DefaultParagraphFont"/>
    <w:link w:val="CommentText"/>
    <w:uiPriority w:val="99"/>
    <w:rsid w:val="008439A4"/>
    <w:rPr>
      <w:sz w:val="20"/>
      <w:szCs w:val="20"/>
    </w:rPr>
  </w:style>
  <w:style w:type="paragraph" w:styleId="CommentSubject">
    <w:name w:val="annotation subject"/>
    <w:basedOn w:val="CommentText"/>
    <w:next w:val="CommentText"/>
    <w:link w:val="CommentSubjectChar"/>
    <w:uiPriority w:val="99"/>
    <w:semiHidden/>
    <w:unhideWhenUsed/>
    <w:rsid w:val="008439A4"/>
    <w:rPr>
      <w:b/>
      <w:bCs/>
    </w:rPr>
  </w:style>
  <w:style w:type="character" w:customStyle="1" w:styleId="CommentSubjectChar">
    <w:name w:val="Comment Subject Char"/>
    <w:basedOn w:val="CommentTextChar"/>
    <w:link w:val="CommentSubject"/>
    <w:uiPriority w:val="99"/>
    <w:semiHidden/>
    <w:rsid w:val="008439A4"/>
    <w:rPr>
      <w:b/>
      <w:bCs/>
      <w:sz w:val="20"/>
      <w:szCs w:val="20"/>
    </w:rPr>
  </w:style>
  <w:style w:type="paragraph" w:styleId="BalloonText">
    <w:name w:val="Balloon Text"/>
    <w:basedOn w:val="Normal"/>
    <w:link w:val="BalloonTextChar"/>
    <w:uiPriority w:val="99"/>
    <w:semiHidden/>
    <w:unhideWhenUsed/>
    <w:rsid w:val="00834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66"/>
    <w:rPr>
      <w:rFonts w:ascii="Segoe UI" w:hAnsi="Segoe UI" w:cs="Segoe UI"/>
      <w:sz w:val="18"/>
      <w:szCs w:val="18"/>
    </w:rPr>
  </w:style>
  <w:style w:type="paragraph" w:styleId="Caption">
    <w:name w:val="caption"/>
    <w:basedOn w:val="Normal"/>
    <w:next w:val="Normal"/>
    <w:uiPriority w:val="35"/>
    <w:unhideWhenUsed/>
    <w:qFormat/>
    <w:rsid w:val="007009D2"/>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85B23"/>
    <w:rPr>
      <w:color w:val="605E5C"/>
      <w:shd w:val="clear" w:color="auto" w:fill="E1DFDD"/>
    </w:rPr>
  </w:style>
  <w:style w:type="paragraph" w:styleId="Header">
    <w:name w:val="header"/>
    <w:basedOn w:val="Normal"/>
    <w:link w:val="HeaderChar"/>
    <w:uiPriority w:val="99"/>
    <w:unhideWhenUsed/>
    <w:rsid w:val="00D51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DF"/>
  </w:style>
  <w:style w:type="paragraph" w:styleId="Footer">
    <w:name w:val="footer"/>
    <w:basedOn w:val="Normal"/>
    <w:link w:val="FooterChar"/>
    <w:uiPriority w:val="99"/>
    <w:unhideWhenUsed/>
    <w:rsid w:val="00D5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149">
      <w:bodyDiv w:val="1"/>
      <w:marLeft w:val="0"/>
      <w:marRight w:val="0"/>
      <w:marTop w:val="0"/>
      <w:marBottom w:val="0"/>
      <w:divBdr>
        <w:top w:val="none" w:sz="0" w:space="0" w:color="auto"/>
        <w:left w:val="none" w:sz="0" w:space="0" w:color="auto"/>
        <w:bottom w:val="none" w:sz="0" w:space="0" w:color="auto"/>
        <w:right w:val="none" w:sz="0" w:space="0" w:color="auto"/>
      </w:divBdr>
    </w:div>
    <w:div w:id="210465160">
      <w:bodyDiv w:val="1"/>
      <w:marLeft w:val="0"/>
      <w:marRight w:val="0"/>
      <w:marTop w:val="0"/>
      <w:marBottom w:val="0"/>
      <w:divBdr>
        <w:top w:val="none" w:sz="0" w:space="0" w:color="auto"/>
        <w:left w:val="none" w:sz="0" w:space="0" w:color="auto"/>
        <w:bottom w:val="none" w:sz="0" w:space="0" w:color="auto"/>
        <w:right w:val="none" w:sz="0" w:space="0" w:color="auto"/>
      </w:divBdr>
      <w:divsChild>
        <w:div w:id="2114086883">
          <w:marLeft w:val="0"/>
          <w:marRight w:val="0"/>
          <w:marTop w:val="0"/>
          <w:marBottom w:val="0"/>
          <w:divBdr>
            <w:top w:val="none" w:sz="0" w:space="0" w:color="auto"/>
            <w:left w:val="none" w:sz="0" w:space="0" w:color="auto"/>
            <w:bottom w:val="none" w:sz="0" w:space="0" w:color="auto"/>
            <w:right w:val="none" w:sz="0" w:space="0" w:color="auto"/>
          </w:divBdr>
          <w:divsChild>
            <w:div w:id="1901401453">
              <w:marLeft w:val="0"/>
              <w:marRight w:val="0"/>
              <w:marTop w:val="0"/>
              <w:marBottom w:val="0"/>
              <w:divBdr>
                <w:top w:val="none" w:sz="0" w:space="0" w:color="auto"/>
                <w:left w:val="none" w:sz="0" w:space="0" w:color="auto"/>
                <w:bottom w:val="none" w:sz="0" w:space="0" w:color="auto"/>
                <w:right w:val="none" w:sz="0" w:space="0" w:color="auto"/>
              </w:divBdr>
              <w:divsChild>
                <w:div w:id="1496415364">
                  <w:marLeft w:val="0"/>
                  <w:marRight w:val="0"/>
                  <w:marTop w:val="0"/>
                  <w:marBottom w:val="0"/>
                  <w:divBdr>
                    <w:top w:val="none" w:sz="0" w:space="0" w:color="auto"/>
                    <w:left w:val="none" w:sz="0" w:space="0" w:color="auto"/>
                    <w:bottom w:val="none" w:sz="0" w:space="0" w:color="auto"/>
                    <w:right w:val="none" w:sz="0" w:space="0" w:color="auto"/>
                  </w:divBdr>
                  <w:divsChild>
                    <w:div w:id="11142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28323">
      <w:bodyDiv w:val="1"/>
      <w:marLeft w:val="0"/>
      <w:marRight w:val="0"/>
      <w:marTop w:val="0"/>
      <w:marBottom w:val="0"/>
      <w:divBdr>
        <w:top w:val="none" w:sz="0" w:space="0" w:color="auto"/>
        <w:left w:val="none" w:sz="0" w:space="0" w:color="auto"/>
        <w:bottom w:val="none" w:sz="0" w:space="0" w:color="auto"/>
        <w:right w:val="none" w:sz="0" w:space="0" w:color="auto"/>
      </w:divBdr>
      <w:divsChild>
        <w:div w:id="1797144084">
          <w:marLeft w:val="0"/>
          <w:marRight w:val="0"/>
          <w:marTop w:val="0"/>
          <w:marBottom w:val="0"/>
          <w:divBdr>
            <w:top w:val="none" w:sz="0" w:space="0" w:color="auto"/>
            <w:left w:val="none" w:sz="0" w:space="0" w:color="auto"/>
            <w:bottom w:val="none" w:sz="0" w:space="0" w:color="auto"/>
            <w:right w:val="none" w:sz="0" w:space="0" w:color="auto"/>
          </w:divBdr>
          <w:divsChild>
            <w:div w:id="1717436625">
              <w:marLeft w:val="0"/>
              <w:marRight w:val="0"/>
              <w:marTop w:val="0"/>
              <w:marBottom w:val="0"/>
              <w:divBdr>
                <w:top w:val="none" w:sz="0" w:space="0" w:color="auto"/>
                <w:left w:val="none" w:sz="0" w:space="0" w:color="auto"/>
                <w:bottom w:val="none" w:sz="0" w:space="0" w:color="auto"/>
                <w:right w:val="none" w:sz="0" w:space="0" w:color="auto"/>
              </w:divBdr>
              <w:divsChild>
                <w:div w:id="2031300947">
                  <w:marLeft w:val="0"/>
                  <w:marRight w:val="0"/>
                  <w:marTop w:val="0"/>
                  <w:marBottom w:val="0"/>
                  <w:divBdr>
                    <w:top w:val="none" w:sz="0" w:space="0" w:color="auto"/>
                    <w:left w:val="none" w:sz="0" w:space="0" w:color="auto"/>
                    <w:bottom w:val="none" w:sz="0" w:space="0" w:color="auto"/>
                    <w:right w:val="none" w:sz="0" w:space="0" w:color="auto"/>
                  </w:divBdr>
                  <w:divsChild>
                    <w:div w:id="13806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47033">
      <w:bodyDiv w:val="1"/>
      <w:marLeft w:val="0"/>
      <w:marRight w:val="0"/>
      <w:marTop w:val="0"/>
      <w:marBottom w:val="0"/>
      <w:divBdr>
        <w:top w:val="none" w:sz="0" w:space="0" w:color="auto"/>
        <w:left w:val="none" w:sz="0" w:space="0" w:color="auto"/>
        <w:bottom w:val="none" w:sz="0" w:space="0" w:color="auto"/>
        <w:right w:val="none" w:sz="0" w:space="0" w:color="auto"/>
      </w:divBdr>
    </w:div>
    <w:div w:id="289478508">
      <w:bodyDiv w:val="1"/>
      <w:marLeft w:val="0"/>
      <w:marRight w:val="0"/>
      <w:marTop w:val="0"/>
      <w:marBottom w:val="0"/>
      <w:divBdr>
        <w:top w:val="none" w:sz="0" w:space="0" w:color="auto"/>
        <w:left w:val="none" w:sz="0" w:space="0" w:color="auto"/>
        <w:bottom w:val="none" w:sz="0" w:space="0" w:color="auto"/>
        <w:right w:val="none" w:sz="0" w:space="0" w:color="auto"/>
      </w:divBdr>
    </w:div>
    <w:div w:id="363868675">
      <w:bodyDiv w:val="1"/>
      <w:marLeft w:val="0"/>
      <w:marRight w:val="0"/>
      <w:marTop w:val="0"/>
      <w:marBottom w:val="0"/>
      <w:divBdr>
        <w:top w:val="none" w:sz="0" w:space="0" w:color="auto"/>
        <w:left w:val="none" w:sz="0" w:space="0" w:color="auto"/>
        <w:bottom w:val="none" w:sz="0" w:space="0" w:color="auto"/>
        <w:right w:val="none" w:sz="0" w:space="0" w:color="auto"/>
      </w:divBdr>
    </w:div>
    <w:div w:id="1109424038">
      <w:bodyDiv w:val="1"/>
      <w:marLeft w:val="0"/>
      <w:marRight w:val="0"/>
      <w:marTop w:val="0"/>
      <w:marBottom w:val="0"/>
      <w:divBdr>
        <w:top w:val="none" w:sz="0" w:space="0" w:color="auto"/>
        <w:left w:val="none" w:sz="0" w:space="0" w:color="auto"/>
        <w:bottom w:val="none" w:sz="0" w:space="0" w:color="auto"/>
        <w:right w:val="none" w:sz="0" w:space="0" w:color="auto"/>
      </w:divBdr>
      <w:divsChild>
        <w:div w:id="1301302796">
          <w:marLeft w:val="0"/>
          <w:marRight w:val="0"/>
          <w:marTop w:val="0"/>
          <w:marBottom w:val="0"/>
          <w:divBdr>
            <w:top w:val="none" w:sz="0" w:space="0" w:color="auto"/>
            <w:left w:val="none" w:sz="0" w:space="0" w:color="auto"/>
            <w:bottom w:val="none" w:sz="0" w:space="0" w:color="auto"/>
            <w:right w:val="none" w:sz="0" w:space="0" w:color="auto"/>
          </w:divBdr>
          <w:divsChild>
            <w:div w:id="1511799294">
              <w:marLeft w:val="0"/>
              <w:marRight w:val="0"/>
              <w:marTop w:val="0"/>
              <w:marBottom w:val="0"/>
              <w:divBdr>
                <w:top w:val="none" w:sz="0" w:space="0" w:color="auto"/>
                <w:left w:val="none" w:sz="0" w:space="0" w:color="auto"/>
                <w:bottom w:val="none" w:sz="0" w:space="0" w:color="auto"/>
                <w:right w:val="none" w:sz="0" w:space="0" w:color="auto"/>
              </w:divBdr>
              <w:divsChild>
                <w:div w:id="1837107410">
                  <w:marLeft w:val="0"/>
                  <w:marRight w:val="0"/>
                  <w:marTop w:val="0"/>
                  <w:marBottom w:val="0"/>
                  <w:divBdr>
                    <w:top w:val="none" w:sz="0" w:space="0" w:color="auto"/>
                    <w:left w:val="none" w:sz="0" w:space="0" w:color="auto"/>
                    <w:bottom w:val="none" w:sz="0" w:space="0" w:color="auto"/>
                    <w:right w:val="none" w:sz="0" w:space="0" w:color="auto"/>
                  </w:divBdr>
                  <w:divsChild>
                    <w:div w:id="943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017">
      <w:bodyDiv w:val="1"/>
      <w:marLeft w:val="0"/>
      <w:marRight w:val="0"/>
      <w:marTop w:val="0"/>
      <w:marBottom w:val="0"/>
      <w:divBdr>
        <w:top w:val="none" w:sz="0" w:space="0" w:color="auto"/>
        <w:left w:val="none" w:sz="0" w:space="0" w:color="auto"/>
        <w:bottom w:val="none" w:sz="0" w:space="0" w:color="auto"/>
        <w:right w:val="none" w:sz="0" w:space="0" w:color="auto"/>
      </w:divBdr>
      <w:divsChild>
        <w:div w:id="742529918">
          <w:marLeft w:val="0"/>
          <w:marRight w:val="0"/>
          <w:marTop w:val="0"/>
          <w:marBottom w:val="0"/>
          <w:divBdr>
            <w:top w:val="none" w:sz="0" w:space="0" w:color="auto"/>
            <w:left w:val="none" w:sz="0" w:space="0" w:color="auto"/>
            <w:bottom w:val="none" w:sz="0" w:space="0" w:color="auto"/>
            <w:right w:val="none" w:sz="0" w:space="0" w:color="auto"/>
          </w:divBdr>
        </w:div>
      </w:divsChild>
    </w:div>
    <w:div w:id="1252156444">
      <w:bodyDiv w:val="1"/>
      <w:marLeft w:val="0"/>
      <w:marRight w:val="0"/>
      <w:marTop w:val="0"/>
      <w:marBottom w:val="0"/>
      <w:divBdr>
        <w:top w:val="none" w:sz="0" w:space="0" w:color="auto"/>
        <w:left w:val="none" w:sz="0" w:space="0" w:color="auto"/>
        <w:bottom w:val="none" w:sz="0" w:space="0" w:color="auto"/>
        <w:right w:val="none" w:sz="0" w:space="0" w:color="auto"/>
      </w:divBdr>
      <w:divsChild>
        <w:div w:id="1384720872">
          <w:marLeft w:val="0"/>
          <w:marRight w:val="0"/>
          <w:marTop w:val="0"/>
          <w:marBottom w:val="0"/>
          <w:divBdr>
            <w:top w:val="none" w:sz="0" w:space="0" w:color="auto"/>
            <w:left w:val="none" w:sz="0" w:space="0" w:color="auto"/>
            <w:bottom w:val="none" w:sz="0" w:space="0" w:color="auto"/>
            <w:right w:val="none" w:sz="0" w:space="0" w:color="auto"/>
          </w:divBdr>
          <w:divsChild>
            <w:div w:id="443889226">
              <w:marLeft w:val="0"/>
              <w:marRight w:val="0"/>
              <w:marTop w:val="0"/>
              <w:marBottom w:val="0"/>
              <w:divBdr>
                <w:top w:val="none" w:sz="0" w:space="0" w:color="auto"/>
                <w:left w:val="none" w:sz="0" w:space="0" w:color="auto"/>
                <w:bottom w:val="none" w:sz="0" w:space="0" w:color="auto"/>
                <w:right w:val="none" w:sz="0" w:space="0" w:color="auto"/>
              </w:divBdr>
              <w:divsChild>
                <w:div w:id="15348814">
                  <w:marLeft w:val="0"/>
                  <w:marRight w:val="0"/>
                  <w:marTop w:val="0"/>
                  <w:marBottom w:val="0"/>
                  <w:divBdr>
                    <w:top w:val="none" w:sz="0" w:space="0" w:color="auto"/>
                    <w:left w:val="none" w:sz="0" w:space="0" w:color="auto"/>
                    <w:bottom w:val="none" w:sz="0" w:space="0" w:color="auto"/>
                    <w:right w:val="none" w:sz="0" w:space="0" w:color="auto"/>
                  </w:divBdr>
                  <w:divsChild>
                    <w:div w:id="19185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12049">
      <w:bodyDiv w:val="1"/>
      <w:marLeft w:val="0"/>
      <w:marRight w:val="0"/>
      <w:marTop w:val="0"/>
      <w:marBottom w:val="0"/>
      <w:divBdr>
        <w:top w:val="none" w:sz="0" w:space="0" w:color="auto"/>
        <w:left w:val="none" w:sz="0" w:space="0" w:color="auto"/>
        <w:bottom w:val="none" w:sz="0" w:space="0" w:color="auto"/>
        <w:right w:val="none" w:sz="0" w:space="0" w:color="auto"/>
      </w:divBdr>
    </w:div>
    <w:div w:id="1360933061">
      <w:bodyDiv w:val="1"/>
      <w:marLeft w:val="0"/>
      <w:marRight w:val="0"/>
      <w:marTop w:val="0"/>
      <w:marBottom w:val="0"/>
      <w:divBdr>
        <w:top w:val="none" w:sz="0" w:space="0" w:color="auto"/>
        <w:left w:val="none" w:sz="0" w:space="0" w:color="auto"/>
        <w:bottom w:val="none" w:sz="0" w:space="0" w:color="auto"/>
        <w:right w:val="none" w:sz="0" w:space="0" w:color="auto"/>
      </w:divBdr>
      <w:divsChild>
        <w:div w:id="2083023738">
          <w:marLeft w:val="0"/>
          <w:marRight w:val="0"/>
          <w:marTop w:val="0"/>
          <w:marBottom w:val="0"/>
          <w:divBdr>
            <w:top w:val="none" w:sz="0" w:space="0" w:color="auto"/>
            <w:left w:val="none" w:sz="0" w:space="0" w:color="auto"/>
            <w:bottom w:val="none" w:sz="0" w:space="0" w:color="auto"/>
            <w:right w:val="none" w:sz="0" w:space="0" w:color="auto"/>
          </w:divBdr>
          <w:divsChild>
            <w:div w:id="1788960441">
              <w:marLeft w:val="0"/>
              <w:marRight w:val="0"/>
              <w:marTop w:val="0"/>
              <w:marBottom w:val="0"/>
              <w:divBdr>
                <w:top w:val="none" w:sz="0" w:space="0" w:color="auto"/>
                <w:left w:val="none" w:sz="0" w:space="0" w:color="auto"/>
                <w:bottom w:val="none" w:sz="0" w:space="0" w:color="auto"/>
                <w:right w:val="none" w:sz="0" w:space="0" w:color="auto"/>
              </w:divBdr>
              <w:divsChild>
                <w:div w:id="846947488">
                  <w:marLeft w:val="0"/>
                  <w:marRight w:val="0"/>
                  <w:marTop w:val="0"/>
                  <w:marBottom w:val="0"/>
                  <w:divBdr>
                    <w:top w:val="none" w:sz="0" w:space="0" w:color="auto"/>
                    <w:left w:val="none" w:sz="0" w:space="0" w:color="auto"/>
                    <w:bottom w:val="none" w:sz="0" w:space="0" w:color="auto"/>
                    <w:right w:val="none" w:sz="0" w:space="0" w:color="auto"/>
                  </w:divBdr>
                  <w:divsChild>
                    <w:div w:id="14673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09587">
      <w:bodyDiv w:val="1"/>
      <w:marLeft w:val="0"/>
      <w:marRight w:val="0"/>
      <w:marTop w:val="0"/>
      <w:marBottom w:val="0"/>
      <w:divBdr>
        <w:top w:val="none" w:sz="0" w:space="0" w:color="auto"/>
        <w:left w:val="none" w:sz="0" w:space="0" w:color="auto"/>
        <w:bottom w:val="none" w:sz="0" w:space="0" w:color="auto"/>
        <w:right w:val="none" w:sz="0" w:space="0" w:color="auto"/>
      </w:divBdr>
      <w:divsChild>
        <w:div w:id="1712529963">
          <w:marLeft w:val="0"/>
          <w:marRight w:val="0"/>
          <w:marTop w:val="0"/>
          <w:marBottom w:val="0"/>
          <w:divBdr>
            <w:top w:val="none" w:sz="0" w:space="0" w:color="auto"/>
            <w:left w:val="none" w:sz="0" w:space="0" w:color="auto"/>
            <w:bottom w:val="none" w:sz="0" w:space="0" w:color="auto"/>
            <w:right w:val="none" w:sz="0" w:space="0" w:color="auto"/>
          </w:divBdr>
          <w:divsChild>
            <w:div w:id="748307510">
              <w:marLeft w:val="0"/>
              <w:marRight w:val="0"/>
              <w:marTop w:val="0"/>
              <w:marBottom w:val="0"/>
              <w:divBdr>
                <w:top w:val="none" w:sz="0" w:space="0" w:color="auto"/>
                <w:left w:val="none" w:sz="0" w:space="0" w:color="auto"/>
                <w:bottom w:val="none" w:sz="0" w:space="0" w:color="auto"/>
                <w:right w:val="none" w:sz="0" w:space="0" w:color="auto"/>
              </w:divBdr>
              <w:divsChild>
                <w:div w:id="669022745">
                  <w:marLeft w:val="0"/>
                  <w:marRight w:val="0"/>
                  <w:marTop w:val="0"/>
                  <w:marBottom w:val="0"/>
                  <w:divBdr>
                    <w:top w:val="none" w:sz="0" w:space="0" w:color="auto"/>
                    <w:left w:val="none" w:sz="0" w:space="0" w:color="auto"/>
                    <w:bottom w:val="none" w:sz="0" w:space="0" w:color="auto"/>
                    <w:right w:val="none" w:sz="0" w:space="0" w:color="auto"/>
                  </w:divBdr>
                  <w:divsChild>
                    <w:div w:id="583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6943">
      <w:bodyDiv w:val="1"/>
      <w:marLeft w:val="0"/>
      <w:marRight w:val="0"/>
      <w:marTop w:val="0"/>
      <w:marBottom w:val="0"/>
      <w:divBdr>
        <w:top w:val="none" w:sz="0" w:space="0" w:color="auto"/>
        <w:left w:val="none" w:sz="0" w:space="0" w:color="auto"/>
        <w:bottom w:val="none" w:sz="0" w:space="0" w:color="auto"/>
        <w:right w:val="none" w:sz="0" w:space="0" w:color="auto"/>
      </w:divBdr>
    </w:div>
    <w:div w:id="1669285024">
      <w:bodyDiv w:val="1"/>
      <w:marLeft w:val="0"/>
      <w:marRight w:val="0"/>
      <w:marTop w:val="0"/>
      <w:marBottom w:val="0"/>
      <w:divBdr>
        <w:top w:val="none" w:sz="0" w:space="0" w:color="auto"/>
        <w:left w:val="none" w:sz="0" w:space="0" w:color="auto"/>
        <w:bottom w:val="none" w:sz="0" w:space="0" w:color="auto"/>
        <w:right w:val="none" w:sz="0" w:space="0" w:color="auto"/>
      </w:divBdr>
    </w:div>
    <w:div w:id="1899587440">
      <w:bodyDiv w:val="1"/>
      <w:marLeft w:val="0"/>
      <w:marRight w:val="0"/>
      <w:marTop w:val="0"/>
      <w:marBottom w:val="0"/>
      <w:divBdr>
        <w:top w:val="none" w:sz="0" w:space="0" w:color="auto"/>
        <w:left w:val="none" w:sz="0" w:space="0" w:color="auto"/>
        <w:bottom w:val="none" w:sz="0" w:space="0" w:color="auto"/>
        <w:right w:val="none" w:sz="0" w:space="0" w:color="auto"/>
      </w:divBdr>
    </w:div>
    <w:div w:id="1924414583">
      <w:bodyDiv w:val="1"/>
      <w:marLeft w:val="0"/>
      <w:marRight w:val="0"/>
      <w:marTop w:val="0"/>
      <w:marBottom w:val="0"/>
      <w:divBdr>
        <w:top w:val="none" w:sz="0" w:space="0" w:color="auto"/>
        <w:left w:val="none" w:sz="0" w:space="0" w:color="auto"/>
        <w:bottom w:val="none" w:sz="0" w:space="0" w:color="auto"/>
        <w:right w:val="none" w:sz="0" w:space="0" w:color="auto"/>
      </w:divBdr>
      <w:divsChild>
        <w:div w:id="286278156">
          <w:marLeft w:val="0"/>
          <w:marRight w:val="0"/>
          <w:marTop w:val="0"/>
          <w:marBottom w:val="0"/>
          <w:divBdr>
            <w:top w:val="none" w:sz="0" w:space="0" w:color="auto"/>
            <w:left w:val="none" w:sz="0" w:space="0" w:color="auto"/>
            <w:bottom w:val="none" w:sz="0" w:space="0" w:color="auto"/>
            <w:right w:val="none" w:sz="0" w:space="0" w:color="auto"/>
          </w:divBdr>
        </w:div>
      </w:divsChild>
    </w:div>
    <w:div w:id="1965190994">
      <w:bodyDiv w:val="1"/>
      <w:marLeft w:val="0"/>
      <w:marRight w:val="0"/>
      <w:marTop w:val="0"/>
      <w:marBottom w:val="0"/>
      <w:divBdr>
        <w:top w:val="none" w:sz="0" w:space="0" w:color="auto"/>
        <w:left w:val="none" w:sz="0" w:space="0" w:color="auto"/>
        <w:bottom w:val="none" w:sz="0" w:space="0" w:color="auto"/>
        <w:right w:val="none" w:sz="0" w:space="0" w:color="auto"/>
      </w:divBdr>
    </w:div>
    <w:div w:id="2014718219">
      <w:bodyDiv w:val="1"/>
      <w:marLeft w:val="0"/>
      <w:marRight w:val="0"/>
      <w:marTop w:val="0"/>
      <w:marBottom w:val="0"/>
      <w:divBdr>
        <w:top w:val="none" w:sz="0" w:space="0" w:color="auto"/>
        <w:left w:val="none" w:sz="0" w:space="0" w:color="auto"/>
        <w:bottom w:val="none" w:sz="0" w:space="0" w:color="auto"/>
        <w:right w:val="none" w:sz="0" w:space="0" w:color="auto"/>
      </w:divBdr>
      <w:divsChild>
        <w:div w:id="807934030">
          <w:marLeft w:val="0"/>
          <w:marRight w:val="0"/>
          <w:marTop w:val="0"/>
          <w:marBottom w:val="0"/>
          <w:divBdr>
            <w:top w:val="none" w:sz="0" w:space="0" w:color="auto"/>
            <w:left w:val="none" w:sz="0" w:space="0" w:color="auto"/>
            <w:bottom w:val="none" w:sz="0" w:space="0" w:color="auto"/>
            <w:right w:val="none" w:sz="0" w:space="0" w:color="auto"/>
          </w:divBdr>
          <w:divsChild>
            <w:div w:id="429350192">
              <w:marLeft w:val="0"/>
              <w:marRight w:val="0"/>
              <w:marTop w:val="0"/>
              <w:marBottom w:val="0"/>
              <w:divBdr>
                <w:top w:val="none" w:sz="0" w:space="0" w:color="auto"/>
                <w:left w:val="none" w:sz="0" w:space="0" w:color="auto"/>
                <w:bottom w:val="none" w:sz="0" w:space="0" w:color="auto"/>
                <w:right w:val="none" w:sz="0" w:space="0" w:color="auto"/>
              </w:divBdr>
              <w:divsChild>
                <w:div w:id="513768481">
                  <w:marLeft w:val="0"/>
                  <w:marRight w:val="0"/>
                  <w:marTop w:val="0"/>
                  <w:marBottom w:val="0"/>
                  <w:divBdr>
                    <w:top w:val="none" w:sz="0" w:space="0" w:color="auto"/>
                    <w:left w:val="none" w:sz="0" w:space="0" w:color="auto"/>
                    <w:bottom w:val="none" w:sz="0" w:space="0" w:color="auto"/>
                    <w:right w:val="none" w:sz="0" w:space="0" w:color="auto"/>
                  </w:divBdr>
                  <w:divsChild>
                    <w:div w:id="19727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elhafez64@yaho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myousefmohamed@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elhafez64@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ymanahmedsakr@gmail.com" TargetMode="External"/><Relationship Id="rId4" Type="http://schemas.openxmlformats.org/officeDocument/2006/relationships/settings" Target="settings.xml"/><Relationship Id="rId9" Type="http://schemas.openxmlformats.org/officeDocument/2006/relationships/hyperlink" Target="mailto:hossamgalbt_2006@yahoo.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3313-3C83-442C-9D94-720F37DC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15</Pages>
  <Words>5327</Words>
  <Characters>30168</Characters>
  <Application>Microsoft Office Word</Application>
  <DocSecurity>0</DocSecurity>
  <Lines>552</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SYSalem</cp:lastModifiedBy>
  <cp:revision>14</cp:revision>
  <cp:lastPrinted>2025-05-21T11:30:00Z</cp:lastPrinted>
  <dcterms:created xsi:type="dcterms:W3CDTF">2025-05-14T10:30:00Z</dcterms:created>
  <dcterms:modified xsi:type="dcterms:W3CDTF">2025-05-21T11:34:00Z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abb7e399ca8ca3cb0a2c1b5109a681cd4244520512ef56a59643abb59c547c6f</vt:lpwstr>
  </property>
</Properties>
</file>