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4425" w14:textId="0DF8BE88" w:rsidR="001C4AED" w:rsidRPr="00417F7A" w:rsidRDefault="00417F7A" w:rsidP="00A649C3">
      <w:pPr>
        <w:pStyle w:val="Heading1"/>
        <w:jc w:val="center"/>
      </w:pPr>
      <w:r w:rsidRPr="00417F7A">
        <w:t>A</w:t>
      </w:r>
      <w:r w:rsidR="00C70655" w:rsidRPr="00417F7A">
        <w:rPr>
          <w:rFonts w:hint="cs"/>
        </w:rPr>
        <w:t xml:space="preserve"> </w:t>
      </w:r>
      <w:r w:rsidR="00BD6352" w:rsidRPr="00417F7A">
        <w:t>cross-sectional</w:t>
      </w:r>
      <w:r w:rsidR="00C70655" w:rsidRPr="00417F7A">
        <w:rPr>
          <w:rFonts w:hint="cs"/>
        </w:rPr>
        <w:t xml:space="preserve"> study</w:t>
      </w:r>
      <w:r w:rsidR="00FC0F51" w:rsidRPr="00417F7A">
        <w:rPr>
          <w:rFonts w:hint="cs"/>
        </w:rPr>
        <w:t xml:space="preserve"> clarify</w:t>
      </w:r>
      <w:r w:rsidR="00682964" w:rsidRPr="00417F7A">
        <w:rPr>
          <w:rFonts w:hint="cs"/>
        </w:rPr>
        <w:t>ing</w:t>
      </w:r>
      <w:r>
        <w:t xml:space="preserve"> the</w:t>
      </w:r>
      <w:r w:rsidR="004B526A" w:rsidRPr="00417F7A">
        <w:rPr>
          <w:rFonts w:hint="cs"/>
        </w:rPr>
        <w:t xml:space="preserve"> possible</w:t>
      </w:r>
      <w:r w:rsidR="00205E07" w:rsidRPr="00417F7A">
        <w:rPr>
          <w:rFonts w:hint="cs"/>
        </w:rPr>
        <w:t xml:space="preserve"> connection Between </w:t>
      </w:r>
      <w:r w:rsidR="001C4AED" w:rsidRPr="00417F7A">
        <w:rPr>
          <w:rFonts w:hint="cs"/>
        </w:rPr>
        <w:t xml:space="preserve">Irritable Bowel Syndrome </w:t>
      </w:r>
      <w:r>
        <w:t>a</w:t>
      </w:r>
      <w:r w:rsidR="001C4AED" w:rsidRPr="00417F7A">
        <w:rPr>
          <w:rFonts w:hint="cs"/>
        </w:rPr>
        <w:t>nd</w:t>
      </w:r>
      <w:r>
        <w:t xml:space="preserve"> </w:t>
      </w:r>
      <w:r w:rsidR="001C4AED" w:rsidRPr="00417F7A">
        <w:rPr>
          <w:rFonts w:hint="cs"/>
        </w:rPr>
        <w:t xml:space="preserve">Serum </w:t>
      </w:r>
      <w:r w:rsidR="00BD6352" w:rsidRPr="00417F7A">
        <w:t>Level of</w:t>
      </w:r>
      <w:r w:rsidR="001C4AED" w:rsidRPr="00417F7A">
        <w:rPr>
          <w:rFonts w:hint="cs"/>
        </w:rPr>
        <w:t xml:space="preserve"> Vitamin D</w:t>
      </w:r>
    </w:p>
    <w:p w14:paraId="0387C20F" w14:textId="69A22D65" w:rsidR="00417F7A" w:rsidRPr="00823AC8" w:rsidRDefault="00EB2C1B" w:rsidP="00EB2C1B">
      <w:pPr>
        <w:rPr>
          <w:rFonts w:asciiTheme="majorBidi" w:hAnsiTheme="majorBidi" w:cstheme="majorBidi"/>
          <w:sz w:val="22"/>
          <w:szCs w:val="22"/>
        </w:rPr>
      </w:pPr>
      <w:bookmarkStart w:id="0" w:name="_Hlk211421082"/>
      <w:r w:rsidRPr="00823AC8">
        <w:rPr>
          <w:rFonts w:asciiTheme="majorBidi" w:hAnsiTheme="majorBidi" w:cstheme="majorBidi"/>
          <w:sz w:val="22"/>
          <w:szCs w:val="22"/>
        </w:rPr>
        <w:t xml:space="preserve">Shimaa </w:t>
      </w:r>
      <w:bookmarkStart w:id="1" w:name="_Hlk211249732"/>
      <w:r w:rsidRPr="00823AC8">
        <w:rPr>
          <w:rFonts w:asciiTheme="majorBidi" w:hAnsiTheme="majorBidi" w:cstheme="majorBidi"/>
          <w:sz w:val="22"/>
          <w:szCs w:val="22"/>
        </w:rPr>
        <w:t>Mansour</w:t>
      </w:r>
      <w:bookmarkEnd w:id="1"/>
      <w:r w:rsidRPr="00823AC8">
        <w:rPr>
          <w:rFonts w:asciiTheme="majorBidi" w:hAnsiTheme="majorBidi" w:cstheme="majorBidi"/>
          <w:sz w:val="22"/>
          <w:szCs w:val="22"/>
          <w:vertAlign w:val="superscript"/>
        </w:rPr>
        <w:t>1</w:t>
      </w:r>
      <w:bookmarkEnd w:id="0"/>
      <w:r w:rsidRPr="00823AC8">
        <w:rPr>
          <w:rFonts w:asciiTheme="majorBidi" w:hAnsiTheme="majorBidi" w:cstheme="majorBidi"/>
          <w:sz w:val="22"/>
          <w:szCs w:val="22"/>
        </w:rPr>
        <w:t>, Fatma Elgebaly</w:t>
      </w:r>
      <w:r w:rsidRPr="00823AC8">
        <w:rPr>
          <w:rFonts w:asciiTheme="majorBidi" w:hAnsiTheme="majorBidi" w:cstheme="majorBidi"/>
          <w:sz w:val="22"/>
          <w:szCs w:val="22"/>
          <w:vertAlign w:val="superscript"/>
        </w:rPr>
        <w:t>2</w:t>
      </w:r>
      <w:r w:rsidRPr="00823AC8">
        <w:rPr>
          <w:rFonts w:asciiTheme="majorBidi" w:hAnsiTheme="majorBidi" w:cstheme="majorBidi"/>
          <w:sz w:val="22"/>
          <w:szCs w:val="22"/>
        </w:rPr>
        <w:t>, Nahla Khalf</w:t>
      </w:r>
      <w:r w:rsidRPr="00823AC8">
        <w:rPr>
          <w:rFonts w:asciiTheme="majorBidi" w:hAnsiTheme="majorBidi" w:cstheme="majorBidi"/>
          <w:sz w:val="22"/>
          <w:szCs w:val="22"/>
          <w:vertAlign w:val="superscript"/>
        </w:rPr>
        <w:t>3</w:t>
      </w:r>
      <w:r w:rsidRPr="00823AC8">
        <w:rPr>
          <w:rFonts w:asciiTheme="majorBidi" w:hAnsiTheme="majorBidi" w:cstheme="majorBidi"/>
          <w:sz w:val="22"/>
          <w:szCs w:val="22"/>
        </w:rPr>
        <w:t>, Shimaa Ebrahim</w:t>
      </w:r>
      <w:r w:rsidRPr="00823AC8">
        <w:rPr>
          <w:rFonts w:asciiTheme="majorBidi" w:hAnsiTheme="majorBidi" w:cstheme="majorBidi"/>
          <w:sz w:val="22"/>
          <w:szCs w:val="22"/>
          <w:vertAlign w:val="superscript"/>
        </w:rPr>
        <w:t>4</w:t>
      </w:r>
      <w:r w:rsidRPr="00823AC8">
        <w:rPr>
          <w:rFonts w:asciiTheme="majorBidi" w:hAnsiTheme="majorBidi" w:cstheme="majorBidi"/>
          <w:sz w:val="22"/>
          <w:szCs w:val="22"/>
        </w:rPr>
        <w:t>, Ahmed Almeldin</w:t>
      </w:r>
      <w:r w:rsidRPr="00823AC8">
        <w:rPr>
          <w:rFonts w:asciiTheme="majorBidi" w:hAnsiTheme="majorBidi" w:cstheme="majorBidi"/>
          <w:sz w:val="22"/>
          <w:szCs w:val="22"/>
          <w:vertAlign w:val="superscript"/>
        </w:rPr>
        <w:t>5</w:t>
      </w:r>
      <w:r w:rsidRPr="00823AC8">
        <w:rPr>
          <w:rFonts w:asciiTheme="majorBidi" w:hAnsiTheme="majorBidi" w:cstheme="majorBidi"/>
          <w:sz w:val="22"/>
          <w:szCs w:val="22"/>
        </w:rPr>
        <w:t>, Aymen Elgendy</w:t>
      </w:r>
      <w:r w:rsidRPr="00823AC8">
        <w:rPr>
          <w:rFonts w:asciiTheme="majorBidi" w:hAnsiTheme="majorBidi" w:cstheme="majorBidi"/>
          <w:sz w:val="22"/>
          <w:szCs w:val="22"/>
          <w:vertAlign w:val="superscript"/>
        </w:rPr>
        <w:t>6</w:t>
      </w:r>
      <w:r w:rsidRPr="00823AC8">
        <w:rPr>
          <w:rFonts w:asciiTheme="majorBidi" w:hAnsiTheme="majorBidi" w:cstheme="majorBidi"/>
          <w:sz w:val="22"/>
          <w:szCs w:val="22"/>
        </w:rPr>
        <w:t>, Eslam Habba</w:t>
      </w:r>
      <w:r w:rsidRPr="00823AC8">
        <w:rPr>
          <w:rFonts w:asciiTheme="majorBidi" w:hAnsiTheme="majorBidi" w:cstheme="majorBidi"/>
          <w:sz w:val="22"/>
          <w:szCs w:val="22"/>
          <w:vertAlign w:val="superscript"/>
        </w:rPr>
        <w:t>7</w:t>
      </w:r>
      <w:r w:rsidRPr="00823AC8">
        <w:rPr>
          <w:rFonts w:asciiTheme="majorBidi" w:hAnsiTheme="majorBidi" w:cstheme="majorBidi"/>
          <w:sz w:val="22"/>
          <w:szCs w:val="22"/>
        </w:rPr>
        <w:t xml:space="preserve">. </w:t>
      </w:r>
    </w:p>
    <w:p w14:paraId="2DB0834F" w14:textId="1E880E2C" w:rsidR="00EB2C1B" w:rsidRPr="00B73321" w:rsidRDefault="00EB2C1B" w:rsidP="00EB2C1B">
      <w:pPr>
        <w:rPr>
          <w:rFonts w:asciiTheme="majorBidi" w:hAnsiTheme="majorBidi" w:cstheme="majorBidi"/>
          <w:sz w:val="18"/>
          <w:szCs w:val="18"/>
        </w:rPr>
      </w:pPr>
      <w:bookmarkStart w:id="2" w:name="_Hlk210912201"/>
      <w:r w:rsidRPr="00B73321">
        <w:rPr>
          <w:rFonts w:asciiTheme="majorBidi" w:hAnsiTheme="majorBidi" w:cstheme="majorBidi"/>
          <w:sz w:val="18"/>
          <w:szCs w:val="18"/>
          <w:vertAlign w:val="superscript"/>
        </w:rPr>
        <w:t>1</w:t>
      </w:r>
      <w:bookmarkEnd w:id="2"/>
      <w:r w:rsidRPr="00B73321">
        <w:rPr>
          <w:rFonts w:asciiTheme="majorBidi" w:hAnsiTheme="majorBidi" w:cstheme="majorBidi"/>
          <w:sz w:val="18"/>
          <w:szCs w:val="18"/>
        </w:rPr>
        <w:t>Assistant professor, Department of Tropical Medicine &amp;Infectious Diseases, Faculty of Medicine, Tanta University</w:t>
      </w:r>
      <w:r w:rsidR="00B73321" w:rsidRPr="00B73321">
        <w:rPr>
          <w:rFonts w:asciiTheme="majorBidi" w:hAnsiTheme="majorBidi" w:cstheme="majorBidi"/>
          <w:sz w:val="18"/>
          <w:szCs w:val="18"/>
        </w:rPr>
        <w:t>.</w:t>
      </w:r>
    </w:p>
    <w:p w14:paraId="780E2AAD" w14:textId="64945ED6" w:rsidR="00EB2C1B" w:rsidRPr="00B73321" w:rsidRDefault="00EB2C1B" w:rsidP="00EB2C1B">
      <w:pPr>
        <w:rPr>
          <w:rFonts w:asciiTheme="majorBidi" w:hAnsiTheme="majorBidi" w:cstheme="majorBidi"/>
          <w:sz w:val="18"/>
          <w:szCs w:val="18"/>
        </w:rPr>
      </w:pPr>
      <w:r w:rsidRPr="00B73321">
        <w:rPr>
          <w:rFonts w:asciiTheme="majorBidi" w:hAnsiTheme="majorBidi" w:cstheme="majorBidi"/>
          <w:sz w:val="18"/>
          <w:szCs w:val="18"/>
          <w:vertAlign w:val="superscript"/>
        </w:rPr>
        <w:t>2</w:t>
      </w:r>
      <w:r w:rsidRPr="00B73321">
        <w:rPr>
          <w:rFonts w:asciiTheme="majorBidi" w:hAnsiTheme="majorBidi" w:cstheme="majorBidi"/>
          <w:sz w:val="18"/>
          <w:szCs w:val="18"/>
        </w:rPr>
        <w:t>Lecturer, Department of Tropical Medicine and Infectious Diseases, Faculty of Medicine, Tanta University</w:t>
      </w:r>
      <w:r w:rsidR="00B73321" w:rsidRPr="00B73321">
        <w:rPr>
          <w:rFonts w:asciiTheme="majorBidi" w:hAnsiTheme="majorBidi" w:cstheme="majorBidi"/>
          <w:sz w:val="18"/>
          <w:szCs w:val="18"/>
        </w:rPr>
        <w:t>.</w:t>
      </w:r>
    </w:p>
    <w:p w14:paraId="45BD9091" w14:textId="2B072211" w:rsidR="00EB2C1B" w:rsidRPr="00B73321" w:rsidRDefault="00EB2C1B" w:rsidP="00EB2C1B">
      <w:pPr>
        <w:rPr>
          <w:rFonts w:asciiTheme="majorBidi" w:hAnsiTheme="majorBidi" w:cstheme="majorBidi"/>
          <w:sz w:val="18"/>
          <w:szCs w:val="18"/>
        </w:rPr>
      </w:pPr>
      <w:r w:rsidRPr="00B73321">
        <w:rPr>
          <w:rFonts w:asciiTheme="majorBidi" w:hAnsiTheme="majorBidi" w:cstheme="majorBidi"/>
          <w:sz w:val="18"/>
          <w:szCs w:val="18"/>
          <w:vertAlign w:val="superscript"/>
        </w:rPr>
        <w:t>3</w:t>
      </w:r>
      <w:r w:rsidRPr="00B73321">
        <w:rPr>
          <w:rFonts w:asciiTheme="majorBidi" w:hAnsiTheme="majorBidi" w:cstheme="majorBidi"/>
          <w:sz w:val="18"/>
          <w:szCs w:val="18"/>
        </w:rPr>
        <w:t>Lecturer, Department of Tropical Medicine and Infectious Diseases, Faculty of Medicine, Tanta University</w:t>
      </w:r>
      <w:r w:rsidR="00B73321" w:rsidRPr="00B73321">
        <w:rPr>
          <w:rFonts w:asciiTheme="majorBidi" w:hAnsiTheme="majorBidi" w:cstheme="majorBidi"/>
          <w:sz w:val="18"/>
          <w:szCs w:val="18"/>
        </w:rPr>
        <w:t>.</w:t>
      </w:r>
    </w:p>
    <w:p w14:paraId="0B3D67A7" w14:textId="4BB2B659" w:rsidR="00EB2C1B" w:rsidRPr="00B73321" w:rsidRDefault="00EB2C1B" w:rsidP="00EB2C1B">
      <w:pPr>
        <w:rPr>
          <w:rFonts w:asciiTheme="majorBidi" w:hAnsiTheme="majorBidi" w:cstheme="majorBidi"/>
          <w:sz w:val="18"/>
          <w:szCs w:val="18"/>
        </w:rPr>
      </w:pPr>
      <w:r w:rsidRPr="00B73321">
        <w:rPr>
          <w:rFonts w:asciiTheme="majorBidi" w:hAnsiTheme="majorBidi" w:cstheme="majorBidi"/>
          <w:sz w:val="18"/>
          <w:szCs w:val="18"/>
          <w:vertAlign w:val="superscript"/>
        </w:rPr>
        <w:t>4</w:t>
      </w:r>
      <w:r w:rsidRPr="00B73321">
        <w:rPr>
          <w:rFonts w:asciiTheme="majorBidi" w:hAnsiTheme="majorBidi" w:cstheme="majorBidi"/>
          <w:sz w:val="18"/>
          <w:szCs w:val="18"/>
        </w:rPr>
        <w:t>Lecturer, Department of Tropical Medicine and Infectious Diseases, Faculty of Medicine, Tanta University</w:t>
      </w:r>
      <w:r w:rsidR="00B73321" w:rsidRPr="00B73321">
        <w:rPr>
          <w:rFonts w:asciiTheme="majorBidi" w:hAnsiTheme="majorBidi" w:cstheme="majorBidi"/>
          <w:sz w:val="18"/>
          <w:szCs w:val="18"/>
        </w:rPr>
        <w:t>.</w:t>
      </w:r>
    </w:p>
    <w:p w14:paraId="406274F3" w14:textId="220A5BCF" w:rsidR="00EB2C1B" w:rsidRPr="00B73321" w:rsidRDefault="00EB2C1B" w:rsidP="00EB2C1B">
      <w:pPr>
        <w:rPr>
          <w:rFonts w:asciiTheme="majorBidi" w:hAnsiTheme="majorBidi" w:cstheme="majorBidi"/>
          <w:sz w:val="18"/>
          <w:szCs w:val="18"/>
        </w:rPr>
      </w:pPr>
      <w:r w:rsidRPr="00B73321">
        <w:rPr>
          <w:rFonts w:asciiTheme="majorBidi" w:hAnsiTheme="majorBidi" w:cstheme="majorBidi"/>
          <w:sz w:val="18"/>
          <w:szCs w:val="18"/>
          <w:vertAlign w:val="superscript"/>
        </w:rPr>
        <w:t>5</w:t>
      </w:r>
      <w:r w:rsidRPr="00B73321">
        <w:rPr>
          <w:rFonts w:asciiTheme="majorBidi" w:hAnsiTheme="majorBidi" w:cstheme="majorBidi"/>
          <w:sz w:val="18"/>
          <w:szCs w:val="18"/>
        </w:rPr>
        <w:t>Physiology Department, Faculty of Medicine, Tanta University</w:t>
      </w:r>
      <w:r w:rsidR="00B73321" w:rsidRPr="00B73321">
        <w:rPr>
          <w:rFonts w:asciiTheme="majorBidi" w:hAnsiTheme="majorBidi" w:cstheme="majorBidi"/>
          <w:sz w:val="18"/>
          <w:szCs w:val="18"/>
        </w:rPr>
        <w:t>.</w:t>
      </w:r>
    </w:p>
    <w:p w14:paraId="45192805" w14:textId="0270E81F" w:rsidR="00EB2C1B" w:rsidRPr="00B73321" w:rsidRDefault="00EB2C1B" w:rsidP="00EB2C1B">
      <w:pPr>
        <w:rPr>
          <w:rFonts w:asciiTheme="majorBidi" w:hAnsiTheme="majorBidi" w:cstheme="majorBidi"/>
          <w:sz w:val="18"/>
          <w:szCs w:val="18"/>
        </w:rPr>
      </w:pPr>
      <w:r w:rsidRPr="00B73321">
        <w:rPr>
          <w:rFonts w:asciiTheme="majorBidi" w:hAnsiTheme="majorBidi" w:cstheme="majorBidi"/>
          <w:sz w:val="18"/>
          <w:szCs w:val="18"/>
          <w:vertAlign w:val="superscript"/>
        </w:rPr>
        <w:t>6</w:t>
      </w:r>
      <w:r w:rsidRPr="00B73321">
        <w:rPr>
          <w:rFonts w:asciiTheme="majorBidi" w:hAnsiTheme="majorBidi" w:cstheme="majorBidi"/>
          <w:sz w:val="18"/>
          <w:szCs w:val="18"/>
        </w:rPr>
        <w:t>Department of Tropical Medicine &amp;Infectious Diseases, Faculty of Medicine, Tanta University</w:t>
      </w:r>
      <w:r w:rsidR="00B73321" w:rsidRPr="00B73321">
        <w:rPr>
          <w:rFonts w:asciiTheme="majorBidi" w:hAnsiTheme="majorBidi" w:cstheme="majorBidi"/>
          <w:sz w:val="18"/>
          <w:szCs w:val="18"/>
        </w:rPr>
        <w:t>.</w:t>
      </w:r>
    </w:p>
    <w:p w14:paraId="48EE7FAC" w14:textId="38D36CDD" w:rsidR="00EB2C1B" w:rsidRPr="00B73321" w:rsidRDefault="00EB2C1B" w:rsidP="00EB2C1B">
      <w:pPr>
        <w:rPr>
          <w:rFonts w:asciiTheme="majorBidi" w:hAnsiTheme="majorBidi" w:cstheme="majorBidi"/>
          <w:sz w:val="18"/>
          <w:szCs w:val="18"/>
        </w:rPr>
      </w:pPr>
      <w:r w:rsidRPr="00B73321">
        <w:rPr>
          <w:rFonts w:asciiTheme="majorBidi" w:hAnsiTheme="majorBidi" w:cstheme="majorBidi"/>
          <w:sz w:val="18"/>
          <w:szCs w:val="18"/>
          <w:vertAlign w:val="superscript"/>
        </w:rPr>
        <w:t>7</w:t>
      </w:r>
      <w:r w:rsidRPr="00B73321">
        <w:rPr>
          <w:rFonts w:asciiTheme="majorBidi" w:hAnsiTheme="majorBidi" w:cstheme="majorBidi"/>
          <w:sz w:val="18"/>
          <w:szCs w:val="18"/>
        </w:rPr>
        <w:t>Assistant professor, Department of Tropical Medicine &amp;Infectious Diseases, Faculty of Medicine, Tanta University.</w:t>
      </w:r>
    </w:p>
    <w:p w14:paraId="1BAEEAD1" w14:textId="0B9018A9" w:rsidR="00D50544" w:rsidRPr="00D50544" w:rsidRDefault="00D50544" w:rsidP="00D50544">
      <w:pPr>
        <w:rPr>
          <w:rFonts w:asciiTheme="majorBidi" w:hAnsiTheme="majorBidi" w:cstheme="majorBidi"/>
          <w:sz w:val="22"/>
          <w:szCs w:val="22"/>
        </w:rPr>
      </w:pPr>
      <w:r w:rsidRPr="00B73321">
        <w:rPr>
          <w:rFonts w:asciiTheme="majorBidi" w:hAnsiTheme="majorBidi" w:cstheme="majorBidi"/>
          <w:b/>
          <w:bCs/>
          <w:sz w:val="22"/>
          <w:szCs w:val="22"/>
        </w:rPr>
        <w:t>Corresponding author:</w:t>
      </w:r>
      <w:r>
        <w:rPr>
          <w:rFonts w:asciiTheme="majorBidi" w:hAnsiTheme="majorBidi" w:cstheme="majorBidi"/>
          <w:sz w:val="22"/>
          <w:szCs w:val="22"/>
        </w:rPr>
        <w:t xml:space="preserve"> </w:t>
      </w:r>
      <w:r w:rsidRPr="00D50544">
        <w:rPr>
          <w:rFonts w:asciiTheme="majorBidi" w:hAnsiTheme="majorBidi" w:cstheme="majorBidi"/>
          <w:sz w:val="22"/>
          <w:szCs w:val="22"/>
        </w:rPr>
        <w:t>Shimaa Mansour</w:t>
      </w:r>
      <w:r>
        <w:rPr>
          <w:rFonts w:asciiTheme="majorBidi" w:hAnsiTheme="majorBidi" w:cstheme="majorBidi"/>
          <w:sz w:val="22"/>
          <w:szCs w:val="22"/>
        </w:rPr>
        <w:t xml:space="preserve">, </w:t>
      </w:r>
      <w:r w:rsidRPr="00D50544">
        <w:rPr>
          <w:rFonts w:asciiTheme="majorBidi" w:hAnsiTheme="majorBidi" w:cstheme="majorBidi"/>
          <w:sz w:val="22"/>
          <w:szCs w:val="22"/>
        </w:rPr>
        <w:t xml:space="preserve">Assistant </w:t>
      </w:r>
      <w:r>
        <w:rPr>
          <w:rFonts w:asciiTheme="majorBidi" w:hAnsiTheme="majorBidi" w:cstheme="majorBidi"/>
          <w:sz w:val="22"/>
          <w:szCs w:val="22"/>
        </w:rPr>
        <w:t>Professor</w:t>
      </w:r>
      <w:r w:rsidRPr="00D50544">
        <w:rPr>
          <w:rFonts w:asciiTheme="majorBidi" w:hAnsiTheme="majorBidi" w:cstheme="majorBidi"/>
          <w:sz w:val="22"/>
          <w:szCs w:val="22"/>
        </w:rPr>
        <w:t>, Department of Tropical Medicine &amp;Infectious Diseases, Faculty of Medicine, Tanta University</w:t>
      </w:r>
    </w:p>
    <w:p w14:paraId="207320BB" w14:textId="48E0FA2B" w:rsidR="00D50544" w:rsidRPr="00D50544" w:rsidRDefault="00D50544" w:rsidP="00D50544">
      <w:pPr>
        <w:rPr>
          <w:rFonts w:asciiTheme="majorBidi" w:hAnsiTheme="majorBidi" w:cstheme="majorBidi"/>
          <w:sz w:val="22"/>
          <w:szCs w:val="22"/>
        </w:rPr>
      </w:pPr>
      <w:r>
        <w:rPr>
          <w:rFonts w:asciiTheme="majorBidi" w:hAnsiTheme="majorBidi" w:cstheme="majorBidi"/>
          <w:sz w:val="22"/>
          <w:szCs w:val="22"/>
        </w:rPr>
        <w:t xml:space="preserve">Mail: </w:t>
      </w:r>
      <w:hyperlink r:id="rId7" w:history="1">
        <w:r w:rsidRPr="00D50544">
          <w:rPr>
            <w:rStyle w:val="Hyperlink"/>
            <w:rFonts w:asciiTheme="majorBidi" w:hAnsiTheme="majorBidi" w:cstheme="majorBidi"/>
            <w:sz w:val="22"/>
            <w:szCs w:val="22"/>
          </w:rPr>
          <w:t>Shaimaa.mansour@med.tanta.edu.eg</w:t>
        </w:r>
      </w:hyperlink>
      <w:r>
        <w:rPr>
          <w:rFonts w:asciiTheme="majorBidi" w:hAnsiTheme="majorBidi" w:cstheme="majorBidi"/>
          <w:sz w:val="22"/>
          <w:szCs w:val="22"/>
        </w:rPr>
        <w:t>.</w:t>
      </w:r>
    </w:p>
    <w:p w14:paraId="634BF612" w14:textId="69B49857" w:rsidR="00D50544" w:rsidRPr="00D50544" w:rsidRDefault="00D50544" w:rsidP="00D50544">
      <w:pPr>
        <w:rPr>
          <w:rFonts w:asciiTheme="majorBidi" w:hAnsiTheme="majorBidi" w:cstheme="majorBidi"/>
          <w:sz w:val="22"/>
          <w:szCs w:val="22"/>
        </w:rPr>
      </w:pPr>
      <w:r>
        <w:rPr>
          <w:rFonts w:asciiTheme="majorBidi" w:hAnsiTheme="majorBidi" w:cstheme="majorBidi"/>
          <w:sz w:val="22"/>
          <w:szCs w:val="22"/>
        </w:rPr>
        <w:t>Tel:</w:t>
      </w:r>
      <w:r w:rsidRPr="00D50544">
        <w:rPr>
          <w:rFonts w:asciiTheme="majorBidi" w:hAnsiTheme="majorBidi" w:cstheme="majorBidi"/>
          <w:sz w:val="22"/>
          <w:szCs w:val="22"/>
        </w:rPr>
        <w:t>+201003911123</w:t>
      </w:r>
    </w:p>
    <w:p w14:paraId="5F820DC4" w14:textId="033B6357" w:rsidR="00347162" w:rsidRPr="00347162" w:rsidRDefault="00347162" w:rsidP="0038602F">
      <w:pPr>
        <w:spacing w:line="360" w:lineRule="auto"/>
        <w:rPr>
          <w:rFonts w:ascii="Times New Roman" w:eastAsia="Aptos" w:hAnsi="Times New Roman" w:cs="Times New Roman"/>
          <w:b/>
          <w:bCs/>
          <w:color w:val="000000"/>
          <w:lang w:val="en-US" w:eastAsia="en-US"/>
        </w:rPr>
      </w:pPr>
      <w:r w:rsidRPr="00347162">
        <w:rPr>
          <w:rFonts w:ascii="Times New Roman" w:eastAsia="Aptos" w:hAnsi="Times New Roman" w:cs="Times New Roman"/>
          <w:color w:val="000000"/>
          <w:lang w:val="en-US" w:eastAsia="en-US"/>
        </w:rPr>
        <w:t>Doi</w:t>
      </w:r>
      <w:r w:rsidR="0038602F">
        <w:rPr>
          <w:rFonts w:ascii="Times New Roman" w:eastAsia="Aptos" w:hAnsi="Times New Roman" w:cs="Times New Roman"/>
          <w:color w:val="000000"/>
          <w:lang w:val="en-US" w:eastAsia="en-US"/>
        </w:rPr>
        <w:t xml:space="preserve">: </w:t>
      </w:r>
      <w:hyperlink r:id="rId8" w:history="1">
        <w:r w:rsidR="0038602F" w:rsidRPr="0038602F">
          <w:rPr>
            <w:rStyle w:val="Hyperlink"/>
            <w:rFonts w:ascii="Times New Roman" w:eastAsia="Aptos" w:hAnsi="Times New Roman" w:cs="Times New Roman"/>
            <w:b/>
            <w:bCs/>
            <w:lang w:eastAsia="en-US"/>
          </w:rPr>
          <w:t>10.21608/ajgh. 2025.407297.1088</w:t>
        </w:r>
      </w:hyperlink>
      <w:r w:rsidRPr="00347162">
        <w:rPr>
          <w:rFonts w:ascii="Times New Roman" w:eastAsia="Aptos" w:hAnsi="Times New Roman" w:cs="Times New Roman"/>
          <w:b/>
          <w:bCs/>
          <w:color w:val="000000"/>
          <w:lang w:val="en-US" w:eastAsia="en-US"/>
        </w:rPr>
        <w:t>.</w:t>
      </w:r>
    </w:p>
    <w:p w14:paraId="1B56F245" w14:textId="0B027B3F" w:rsidR="00347162" w:rsidRPr="00347162" w:rsidRDefault="00347162" w:rsidP="00347162">
      <w:pPr>
        <w:spacing w:line="360" w:lineRule="auto"/>
        <w:rPr>
          <w:rFonts w:ascii="Times New Roman" w:eastAsia="Aptos" w:hAnsi="Times New Roman" w:cs="Times New Roman"/>
          <w:color w:val="000000"/>
          <w:lang w:val="en-US" w:eastAsia="en-US"/>
        </w:rPr>
      </w:pPr>
      <w:r w:rsidRPr="00347162">
        <w:rPr>
          <w:rFonts w:ascii="Times New Roman" w:eastAsia="Aptos" w:hAnsi="Times New Roman" w:cs="Times New Roman"/>
          <w:color w:val="000000"/>
          <w:lang w:val="en-US" w:eastAsia="en-US"/>
        </w:rPr>
        <w:t xml:space="preserve">Submit Date: </w:t>
      </w:r>
      <w:r w:rsidR="0038602F">
        <w:rPr>
          <w:rFonts w:ascii="Times New Roman" w:eastAsia="Aptos" w:hAnsi="Times New Roman" w:cs="Times New Roman"/>
          <w:color w:val="000000"/>
          <w:lang w:val="en-US" w:eastAsia="en-US"/>
        </w:rPr>
        <w:t>24</w:t>
      </w:r>
      <w:r w:rsidRPr="00347162">
        <w:rPr>
          <w:rFonts w:ascii="Times New Roman" w:eastAsia="Aptos" w:hAnsi="Times New Roman" w:cs="Times New Roman"/>
          <w:color w:val="000000"/>
          <w:lang w:val="en-US" w:eastAsia="en-US"/>
        </w:rPr>
        <w:t>-0</w:t>
      </w:r>
      <w:r w:rsidR="0038602F">
        <w:rPr>
          <w:rFonts w:ascii="Times New Roman" w:eastAsia="Aptos" w:hAnsi="Times New Roman" w:cs="Times New Roman"/>
          <w:color w:val="000000"/>
          <w:lang w:val="en-US" w:eastAsia="en-US"/>
        </w:rPr>
        <w:t>7</w:t>
      </w:r>
      <w:r w:rsidRPr="00347162">
        <w:rPr>
          <w:rFonts w:ascii="Times New Roman" w:eastAsia="Aptos" w:hAnsi="Times New Roman" w:cs="Times New Roman"/>
          <w:color w:val="000000"/>
          <w:lang w:val="en-US" w:eastAsia="en-US"/>
        </w:rPr>
        <w:t>-2025.</w:t>
      </w:r>
    </w:p>
    <w:p w14:paraId="71990147" w14:textId="77777777" w:rsidR="00347162" w:rsidRPr="00347162" w:rsidRDefault="00347162" w:rsidP="00347162">
      <w:pPr>
        <w:spacing w:line="360" w:lineRule="auto"/>
        <w:rPr>
          <w:rFonts w:ascii="Times New Roman" w:eastAsia="Aptos" w:hAnsi="Times New Roman" w:cs="Times New Roman"/>
          <w:color w:val="000000"/>
          <w:lang w:val="en-US" w:eastAsia="en-US"/>
        </w:rPr>
      </w:pPr>
      <w:r w:rsidRPr="00347162">
        <w:rPr>
          <w:rFonts w:ascii="Times New Roman" w:eastAsia="Aptos" w:hAnsi="Times New Roman" w:cs="Times New Roman"/>
          <w:color w:val="000000"/>
          <w:lang w:val="en-US" w:eastAsia="en-US"/>
        </w:rPr>
        <w:t>Revision date:</w:t>
      </w:r>
      <w:r w:rsidRPr="00347162">
        <w:rPr>
          <w:rFonts w:ascii="Times New Roman" w:eastAsia="Aptos" w:hAnsi="Times New Roman" w:cs="Times New Roman"/>
          <w:color w:val="000000"/>
          <w:lang w:val="en-US" w:eastAsia="en-US"/>
        </w:rPr>
        <w:tab/>
        <w:t>17-09-2025.</w:t>
      </w:r>
    </w:p>
    <w:p w14:paraId="15D2F42F" w14:textId="77777777" w:rsidR="00347162" w:rsidRPr="00347162" w:rsidRDefault="00347162" w:rsidP="00347162">
      <w:pPr>
        <w:spacing w:line="360" w:lineRule="auto"/>
        <w:rPr>
          <w:rFonts w:ascii="Times New Roman" w:eastAsia="Aptos" w:hAnsi="Times New Roman" w:cs="Times New Roman"/>
          <w:color w:val="000000"/>
          <w:lang w:val="en-US" w:eastAsia="en-US"/>
        </w:rPr>
      </w:pPr>
      <w:r w:rsidRPr="00347162">
        <w:rPr>
          <w:rFonts w:ascii="Times New Roman" w:eastAsia="Aptos" w:hAnsi="Times New Roman" w:cs="Times New Roman"/>
          <w:color w:val="000000"/>
          <w:lang w:val="en-US" w:eastAsia="en-US"/>
        </w:rPr>
        <w:t>Accept Date: 04-10-2025.</w:t>
      </w:r>
    </w:p>
    <w:p w14:paraId="594F8E4D" w14:textId="5F8EC77C" w:rsidR="00C70655" w:rsidRPr="00417F7A" w:rsidRDefault="00FE7317" w:rsidP="008B7DAB">
      <w:pPr>
        <w:rPr>
          <w:rFonts w:asciiTheme="majorBidi" w:hAnsiTheme="majorBidi" w:cstheme="majorBidi"/>
          <w:b/>
          <w:bCs/>
        </w:rPr>
      </w:pPr>
      <w:r w:rsidRPr="00417F7A">
        <w:rPr>
          <w:rFonts w:asciiTheme="majorBidi" w:hAnsiTheme="majorBidi" w:cstheme="majorBidi"/>
          <w:b/>
          <w:bCs/>
        </w:rPr>
        <w:t>Abstract:</w:t>
      </w:r>
    </w:p>
    <w:p w14:paraId="13C62B46" w14:textId="77777777" w:rsidR="00172A62" w:rsidRPr="00417F7A" w:rsidRDefault="00172A62" w:rsidP="00B1527F">
      <w:pPr>
        <w:rPr>
          <w:rFonts w:asciiTheme="majorBidi" w:hAnsiTheme="majorBidi" w:cstheme="majorBidi"/>
          <w:b/>
          <w:bCs/>
        </w:rPr>
      </w:pPr>
      <w:r w:rsidRPr="00417F7A">
        <w:rPr>
          <w:rFonts w:asciiTheme="majorBidi" w:hAnsiTheme="majorBidi" w:cstheme="majorBidi"/>
          <w:b/>
          <w:bCs/>
        </w:rPr>
        <w:t>Background and Aim:</w:t>
      </w:r>
    </w:p>
    <w:p w14:paraId="64130B24" w14:textId="1420745B" w:rsidR="008559F0" w:rsidRPr="00417F7A" w:rsidRDefault="00172A62" w:rsidP="003527D6">
      <w:pPr>
        <w:rPr>
          <w:rFonts w:asciiTheme="majorBidi" w:hAnsiTheme="majorBidi" w:cstheme="majorBidi"/>
        </w:rPr>
      </w:pPr>
      <w:r w:rsidRPr="00417F7A">
        <w:rPr>
          <w:rFonts w:asciiTheme="majorBidi" w:hAnsiTheme="majorBidi" w:cstheme="majorBidi"/>
        </w:rPr>
        <w:t>Irritable bowel syndrome (IBS) is among the most common chronic functional gastrointestinal disorders, affecting approximately 10%–22% of adults. Vitamin D has been linked to several systemic conditions; however, its exact role in IBS remains unclear. This study aimed to evaluate the possible association between serum vitamin D levels and IBS</w:t>
      </w:r>
      <w:r w:rsidR="008559F0" w:rsidRPr="00417F7A">
        <w:rPr>
          <w:rFonts w:asciiTheme="majorBidi" w:hAnsiTheme="majorBidi" w:cstheme="majorBidi"/>
        </w:rPr>
        <w:t>.</w:t>
      </w:r>
    </w:p>
    <w:p w14:paraId="6C77F501" w14:textId="3B2DD20B" w:rsidR="00172A62" w:rsidRPr="00417F7A" w:rsidRDefault="00172A62" w:rsidP="003527D6">
      <w:pPr>
        <w:rPr>
          <w:rFonts w:asciiTheme="majorBidi" w:hAnsiTheme="majorBidi" w:cstheme="majorBidi"/>
        </w:rPr>
      </w:pPr>
      <w:r w:rsidRPr="0038602F">
        <w:rPr>
          <w:rFonts w:asciiTheme="majorBidi" w:hAnsiTheme="majorBidi" w:cstheme="majorBidi"/>
          <w:b/>
          <w:bCs/>
        </w:rPr>
        <w:t xml:space="preserve">Patients and </w:t>
      </w:r>
      <w:r w:rsidR="008559F0" w:rsidRPr="0038602F">
        <w:rPr>
          <w:rFonts w:asciiTheme="majorBidi" w:hAnsiTheme="majorBidi" w:cstheme="majorBidi"/>
          <w:b/>
          <w:bCs/>
        </w:rPr>
        <w:t>Methods:</w:t>
      </w:r>
      <w:r w:rsidR="008559F0" w:rsidRPr="00417F7A">
        <w:rPr>
          <w:rFonts w:asciiTheme="majorBidi" w:hAnsiTheme="majorBidi" w:cstheme="majorBidi"/>
        </w:rPr>
        <w:t xml:space="preserve"> A</w:t>
      </w:r>
      <w:r w:rsidRPr="00417F7A">
        <w:rPr>
          <w:rFonts w:asciiTheme="majorBidi" w:hAnsiTheme="majorBidi" w:cstheme="majorBidi"/>
        </w:rPr>
        <w:t xml:space="preserve"> cross-sectional study was conducted on 100 participants divided into two groups: Group I included 50 patients diagnosed with IBS according to the Rome IV criteria</w:t>
      </w:r>
      <w:r w:rsidR="00BD6352" w:rsidRPr="00417F7A">
        <w:rPr>
          <w:rFonts w:asciiTheme="majorBidi" w:hAnsiTheme="majorBidi" w:cstheme="majorBidi"/>
        </w:rPr>
        <w:t>. At the same time,</w:t>
      </w:r>
      <w:r w:rsidRPr="00417F7A">
        <w:rPr>
          <w:rFonts w:asciiTheme="majorBidi" w:hAnsiTheme="majorBidi" w:cstheme="majorBidi"/>
        </w:rPr>
        <w:t xml:space="preserve"> Group II </w:t>
      </w:r>
      <w:r w:rsidR="00BD6352" w:rsidRPr="00417F7A">
        <w:rPr>
          <w:rFonts w:asciiTheme="majorBidi" w:hAnsiTheme="majorBidi" w:cstheme="majorBidi"/>
        </w:rPr>
        <w:t xml:space="preserve">consisted of 50 healthy subjects serving </w:t>
      </w:r>
      <w:r w:rsidRPr="00417F7A">
        <w:rPr>
          <w:rFonts w:asciiTheme="majorBidi" w:hAnsiTheme="majorBidi" w:cstheme="majorBidi"/>
        </w:rPr>
        <w:t>as controls. Serum vitamin D levels were measured in both groups.</w:t>
      </w:r>
    </w:p>
    <w:p w14:paraId="22FA1BA4" w14:textId="0FF16615" w:rsidR="00172A62" w:rsidRPr="00417F7A" w:rsidRDefault="008559F0" w:rsidP="008559F0">
      <w:pPr>
        <w:rPr>
          <w:rFonts w:asciiTheme="majorBidi" w:hAnsiTheme="majorBidi" w:cstheme="majorBidi"/>
        </w:rPr>
      </w:pPr>
      <w:r w:rsidRPr="0038602F">
        <w:rPr>
          <w:rFonts w:asciiTheme="majorBidi" w:hAnsiTheme="majorBidi" w:cstheme="majorBidi"/>
          <w:b/>
          <w:bCs/>
        </w:rPr>
        <w:lastRenderedPageBreak/>
        <w:t>Results:</w:t>
      </w:r>
      <w:r w:rsidRPr="00417F7A">
        <w:rPr>
          <w:rFonts w:asciiTheme="majorBidi" w:hAnsiTheme="majorBidi" w:cstheme="majorBidi"/>
        </w:rPr>
        <w:t xml:space="preserve"> A</w:t>
      </w:r>
      <w:r w:rsidR="00172A62" w:rsidRPr="00417F7A">
        <w:rPr>
          <w:rFonts w:asciiTheme="majorBidi" w:hAnsiTheme="majorBidi" w:cstheme="majorBidi"/>
        </w:rPr>
        <w:t xml:space="preserve"> statistically significant difference was observed between </w:t>
      </w:r>
      <w:r w:rsidR="00BD6352" w:rsidRPr="00417F7A">
        <w:rPr>
          <w:rFonts w:asciiTheme="majorBidi" w:hAnsiTheme="majorBidi" w:cstheme="majorBidi"/>
        </w:rPr>
        <w:t xml:space="preserve">the two </w:t>
      </w:r>
      <w:r w:rsidR="00172A62" w:rsidRPr="00417F7A">
        <w:rPr>
          <w:rFonts w:asciiTheme="majorBidi" w:hAnsiTheme="majorBidi" w:cstheme="majorBidi"/>
        </w:rPr>
        <w:t xml:space="preserve">groups </w:t>
      </w:r>
      <w:r w:rsidR="00BD6352" w:rsidRPr="00417F7A">
        <w:rPr>
          <w:rFonts w:asciiTheme="majorBidi" w:hAnsiTheme="majorBidi" w:cstheme="majorBidi"/>
        </w:rPr>
        <w:t>in terms of</w:t>
      </w:r>
      <w:r w:rsidR="00172A62" w:rsidRPr="00417F7A">
        <w:rPr>
          <w:rFonts w:asciiTheme="majorBidi" w:hAnsiTheme="majorBidi" w:cstheme="majorBidi"/>
        </w:rPr>
        <w:t xml:space="preserve"> vitamin D levels (p-value = 0.012). Among IBS patients, 19 (38%) had sufficient vitamin D (&gt;30 ng/mL), while 31 (62%) had subnormal levels. In contrast, 34 (68%) of the control group had sufficient levels, and 16 (32%) were deficient.</w:t>
      </w:r>
    </w:p>
    <w:p w14:paraId="0314DB6F" w14:textId="2B0D6F93" w:rsidR="00172A62" w:rsidRPr="00417F7A" w:rsidRDefault="00494A9E" w:rsidP="008559F0">
      <w:pPr>
        <w:rPr>
          <w:rFonts w:asciiTheme="majorBidi" w:hAnsiTheme="majorBidi" w:cstheme="majorBidi"/>
        </w:rPr>
      </w:pPr>
      <w:r w:rsidRPr="0038602F">
        <w:rPr>
          <w:rFonts w:asciiTheme="majorBidi" w:hAnsiTheme="majorBidi" w:cstheme="majorBidi"/>
          <w:b/>
          <w:bCs/>
        </w:rPr>
        <w:t>Conclusions</w:t>
      </w:r>
      <w:r w:rsidRPr="00417F7A">
        <w:rPr>
          <w:rFonts w:asciiTheme="majorBidi" w:hAnsiTheme="majorBidi" w:cstheme="majorBidi"/>
        </w:rPr>
        <w:t>: Vitamin</w:t>
      </w:r>
      <w:r w:rsidR="00172A62" w:rsidRPr="00417F7A">
        <w:rPr>
          <w:rFonts w:asciiTheme="majorBidi" w:hAnsiTheme="majorBidi" w:cstheme="majorBidi"/>
        </w:rPr>
        <w:t xml:space="preserve"> D deficiency may represent a contributing factor in IBS. Therefore, routine assessment of vitamin D levels could be beneficial in patients presenting with IBS.</w:t>
      </w:r>
    </w:p>
    <w:p w14:paraId="5232DAAF" w14:textId="77777777" w:rsidR="00172A62" w:rsidRPr="00417F7A" w:rsidRDefault="00172A62" w:rsidP="00B1527F">
      <w:pPr>
        <w:rPr>
          <w:rFonts w:asciiTheme="majorBidi" w:hAnsiTheme="majorBidi" w:cstheme="majorBidi"/>
          <w:i/>
          <w:iCs/>
        </w:rPr>
      </w:pPr>
      <w:r w:rsidRPr="006626D2">
        <w:rPr>
          <w:rFonts w:asciiTheme="majorBidi" w:hAnsiTheme="majorBidi" w:cstheme="majorBidi"/>
          <w:b/>
          <w:bCs/>
          <w:i/>
          <w:iCs/>
        </w:rPr>
        <w:t>Keywords:</w:t>
      </w:r>
      <w:r w:rsidRPr="00417F7A">
        <w:rPr>
          <w:rFonts w:asciiTheme="majorBidi" w:hAnsiTheme="majorBidi" w:cstheme="majorBidi"/>
          <w:i/>
          <w:iCs/>
        </w:rPr>
        <w:t xml:space="preserve"> Vitamin D, Irritable bowel syndrome, Rome IV.</w:t>
      </w:r>
    </w:p>
    <w:p w14:paraId="0CB415FA" w14:textId="5A48C492" w:rsidR="00F439DD" w:rsidRPr="00417F7A" w:rsidRDefault="00F439DD" w:rsidP="00C70655">
      <w:pPr>
        <w:rPr>
          <w:rFonts w:asciiTheme="majorBidi" w:hAnsiTheme="majorBidi" w:cstheme="majorBidi"/>
          <w:b/>
          <w:bCs/>
        </w:rPr>
      </w:pPr>
      <w:r w:rsidRPr="00417F7A">
        <w:rPr>
          <w:rFonts w:asciiTheme="majorBidi" w:hAnsiTheme="majorBidi" w:cstheme="majorBidi"/>
          <w:b/>
          <w:bCs/>
        </w:rPr>
        <w:t>Introduction</w:t>
      </w:r>
      <w:r w:rsidR="00FE7317" w:rsidRPr="00417F7A">
        <w:rPr>
          <w:rFonts w:asciiTheme="majorBidi" w:hAnsiTheme="majorBidi" w:cstheme="majorBidi"/>
          <w:b/>
          <w:bCs/>
        </w:rPr>
        <w:t>:</w:t>
      </w:r>
    </w:p>
    <w:p w14:paraId="2622A9DB" w14:textId="28C42A4C" w:rsidR="00494A9E" w:rsidRPr="00417F7A" w:rsidRDefault="00494A9E" w:rsidP="00494A9E">
      <w:pPr>
        <w:pStyle w:val="NoSpacing"/>
        <w:spacing w:line="360" w:lineRule="auto"/>
        <w:rPr>
          <w:rFonts w:asciiTheme="majorBidi" w:hAnsiTheme="majorBidi" w:cstheme="majorBidi"/>
          <w:sz w:val="24"/>
          <w:szCs w:val="24"/>
        </w:rPr>
      </w:pPr>
      <w:r w:rsidRPr="00417F7A">
        <w:rPr>
          <w:rFonts w:asciiTheme="majorBidi" w:hAnsiTheme="majorBidi" w:cstheme="majorBidi"/>
          <w:sz w:val="24"/>
          <w:szCs w:val="24"/>
        </w:rPr>
        <w:t>Irritable bowel syndrome (IBS) is one of the most common functional gastrointestinal disorders, affecting around 10%–22% of adults. It is characterized by abdominal pain, altered bowel habits, bloating, and other nonspecific gastrointestinal symptoms, with no detectable structural or biochemical abnormalities [2].</w:t>
      </w:r>
    </w:p>
    <w:p w14:paraId="5DD2301A" w14:textId="1EC5E3E2" w:rsidR="00494A9E" w:rsidRPr="00417F7A" w:rsidRDefault="00494A9E" w:rsidP="00494A9E">
      <w:pPr>
        <w:pStyle w:val="NoSpacing"/>
        <w:spacing w:line="360" w:lineRule="auto"/>
        <w:rPr>
          <w:rFonts w:asciiTheme="majorBidi" w:hAnsiTheme="majorBidi" w:cstheme="majorBidi"/>
          <w:sz w:val="24"/>
          <w:szCs w:val="24"/>
        </w:rPr>
      </w:pPr>
      <w:r w:rsidRPr="00417F7A">
        <w:rPr>
          <w:rFonts w:asciiTheme="majorBidi" w:hAnsiTheme="majorBidi" w:cstheme="majorBidi"/>
          <w:sz w:val="24"/>
          <w:szCs w:val="24"/>
        </w:rPr>
        <w:t>According to the Rome IV criteria, IBS is classified into four subtypes: constipation-predominant (IBS-C), diarrhea-predominant (IBS-D), mixed (IBS-M), and unclassified (IBS-U) [3].</w:t>
      </w:r>
    </w:p>
    <w:p w14:paraId="142FB2FF" w14:textId="57414643" w:rsidR="00494A9E" w:rsidRPr="00417F7A" w:rsidRDefault="00494A9E" w:rsidP="00494A9E">
      <w:pPr>
        <w:pStyle w:val="NoSpacing"/>
        <w:spacing w:line="360" w:lineRule="auto"/>
        <w:rPr>
          <w:rFonts w:asciiTheme="majorBidi" w:hAnsiTheme="majorBidi" w:cstheme="majorBidi"/>
          <w:sz w:val="24"/>
          <w:szCs w:val="24"/>
        </w:rPr>
      </w:pPr>
      <w:r w:rsidRPr="00417F7A">
        <w:rPr>
          <w:rFonts w:asciiTheme="majorBidi" w:hAnsiTheme="majorBidi" w:cstheme="majorBidi"/>
          <w:sz w:val="24"/>
          <w:szCs w:val="24"/>
        </w:rPr>
        <w:t xml:space="preserve">Vitamin D plays a crucial role in </w:t>
      </w:r>
      <w:r w:rsidR="00BD6352" w:rsidRPr="00417F7A">
        <w:rPr>
          <w:rFonts w:asciiTheme="majorBidi" w:hAnsiTheme="majorBidi" w:cstheme="majorBidi"/>
          <w:sz w:val="24"/>
          <w:szCs w:val="24"/>
        </w:rPr>
        <w:t>the absorption of calcium and phosphate, as well as in regulating</w:t>
      </w:r>
      <w:r w:rsidRPr="00417F7A">
        <w:rPr>
          <w:rFonts w:asciiTheme="majorBidi" w:hAnsiTheme="majorBidi" w:cstheme="majorBidi"/>
          <w:sz w:val="24"/>
          <w:szCs w:val="24"/>
        </w:rPr>
        <w:t xml:space="preserve"> </w:t>
      </w:r>
      <w:r w:rsidR="002B7525">
        <w:rPr>
          <w:rFonts w:asciiTheme="majorBidi" w:hAnsiTheme="majorBidi" w:cstheme="majorBidi"/>
          <w:sz w:val="24"/>
          <w:szCs w:val="24"/>
        </w:rPr>
        <w:t>the secretion of parathyroid hormone</w:t>
      </w:r>
      <w:r w:rsidRPr="00417F7A">
        <w:rPr>
          <w:rFonts w:asciiTheme="majorBidi" w:hAnsiTheme="majorBidi" w:cstheme="majorBidi"/>
          <w:sz w:val="24"/>
          <w:szCs w:val="24"/>
        </w:rPr>
        <w:t>. The main circulating form, 25-hydroxyvitamin D (25(OH)D), is the most reliable indicator of vitamin D status [4].</w:t>
      </w:r>
    </w:p>
    <w:p w14:paraId="6A178379" w14:textId="36A65BE6" w:rsidR="00494A9E" w:rsidRPr="00417F7A" w:rsidRDefault="00494A9E" w:rsidP="00494A9E">
      <w:pPr>
        <w:pStyle w:val="NoSpacing"/>
        <w:spacing w:line="360" w:lineRule="auto"/>
        <w:rPr>
          <w:rFonts w:asciiTheme="majorBidi" w:hAnsiTheme="majorBidi" w:cstheme="majorBidi"/>
          <w:sz w:val="24"/>
          <w:szCs w:val="24"/>
        </w:rPr>
      </w:pPr>
      <w:r w:rsidRPr="00417F7A">
        <w:rPr>
          <w:rFonts w:asciiTheme="majorBidi" w:hAnsiTheme="majorBidi" w:cstheme="majorBidi"/>
          <w:sz w:val="24"/>
          <w:szCs w:val="24"/>
        </w:rPr>
        <w:t>Several systemic diseases have been associated with vitamin D deficiency, raising the question of its involvement in gastrointestinal disorders, including IBS [5,6]. While its precise role is still under investigation, some studies have reported symptom improvement in patients with diarrhea-predominant IBS following high-dose vitamin D supplementation [7].</w:t>
      </w:r>
    </w:p>
    <w:p w14:paraId="7445C8FE" w14:textId="370F894E" w:rsidR="00494A9E" w:rsidRPr="00417F7A" w:rsidRDefault="00494A9E" w:rsidP="00494A9E">
      <w:pPr>
        <w:pStyle w:val="NoSpacing"/>
        <w:spacing w:line="360" w:lineRule="auto"/>
        <w:rPr>
          <w:rFonts w:asciiTheme="majorBidi" w:hAnsiTheme="majorBidi" w:cstheme="majorBidi"/>
          <w:sz w:val="24"/>
          <w:szCs w:val="24"/>
        </w:rPr>
      </w:pPr>
      <w:r w:rsidRPr="00417F7A">
        <w:rPr>
          <w:rFonts w:asciiTheme="majorBidi" w:hAnsiTheme="majorBidi" w:cstheme="majorBidi"/>
          <w:sz w:val="24"/>
          <w:szCs w:val="24"/>
        </w:rPr>
        <w:t xml:space="preserve">Vitamin D also has </w:t>
      </w:r>
      <w:r w:rsidR="00BD6352" w:rsidRPr="00417F7A">
        <w:rPr>
          <w:rFonts w:asciiTheme="majorBidi" w:hAnsiTheme="majorBidi" w:cstheme="majorBidi"/>
          <w:sz w:val="24"/>
          <w:szCs w:val="24"/>
        </w:rPr>
        <w:t xml:space="preserve">a wide range of </w:t>
      </w:r>
      <w:r w:rsidRPr="00417F7A">
        <w:rPr>
          <w:rFonts w:asciiTheme="majorBidi" w:hAnsiTheme="majorBidi" w:cstheme="majorBidi"/>
          <w:sz w:val="24"/>
          <w:szCs w:val="24"/>
        </w:rPr>
        <w:t>biological functions, regulating more than 200 genes involved in cell proliferation, differentiation, and apoptosis. Its receptor is expressed in many tissues, including the gastrointestinal tract, nervous system, and immune cells [8].</w:t>
      </w:r>
    </w:p>
    <w:p w14:paraId="343CB900" w14:textId="77777777" w:rsidR="00494A9E" w:rsidRPr="00417F7A" w:rsidRDefault="00494A9E" w:rsidP="00A87CF4">
      <w:pPr>
        <w:pStyle w:val="NoSpacing"/>
        <w:spacing w:line="360" w:lineRule="auto"/>
        <w:rPr>
          <w:rFonts w:asciiTheme="majorBidi" w:hAnsiTheme="majorBidi" w:cstheme="majorBidi"/>
          <w:sz w:val="24"/>
          <w:szCs w:val="24"/>
        </w:rPr>
      </w:pPr>
      <w:r w:rsidRPr="00417F7A">
        <w:rPr>
          <w:rFonts w:asciiTheme="majorBidi" w:hAnsiTheme="majorBidi" w:cstheme="majorBidi"/>
          <w:sz w:val="24"/>
          <w:szCs w:val="24"/>
        </w:rPr>
        <w:t>Based on this evidence, the present study aimed to explore the potential association between serum vitamin D levels and IBS.</w:t>
      </w:r>
    </w:p>
    <w:p w14:paraId="2CE4E859" w14:textId="77777777" w:rsidR="00F439DD" w:rsidRPr="00417F7A" w:rsidRDefault="00F439DD" w:rsidP="00863B2B">
      <w:pPr>
        <w:spacing w:line="360" w:lineRule="auto"/>
        <w:rPr>
          <w:rFonts w:ascii="Times New Roman" w:eastAsia="Times New Roman" w:hAnsi="Times New Roman" w:cs="Times New Roman"/>
          <w:b/>
          <w:bCs/>
        </w:rPr>
      </w:pPr>
      <w:r w:rsidRPr="00417F7A">
        <w:rPr>
          <w:rFonts w:ascii="Times New Roman" w:eastAsia="Times New Roman" w:hAnsi="Times New Roman" w:cs="Times New Roman"/>
          <w:b/>
          <w:bCs/>
        </w:rPr>
        <w:t>Patients and Methods</w:t>
      </w:r>
    </w:p>
    <w:p w14:paraId="3DCF60B5" w14:textId="79DEF8FB" w:rsidR="009A6D66" w:rsidRPr="006626D2" w:rsidRDefault="00ED220D" w:rsidP="009A6D66">
      <w:pPr>
        <w:spacing w:line="360" w:lineRule="auto"/>
        <w:rPr>
          <w:rFonts w:ascii="Times New Roman" w:eastAsia="Times New Roman" w:hAnsi="Times New Roman" w:cs="Times New Roman"/>
          <w:bCs/>
          <w:rtl/>
          <w:lang w:eastAsia="de-DE" w:bidi="ar-EG"/>
        </w:rPr>
      </w:pPr>
      <w:r w:rsidRPr="00417F7A">
        <w:rPr>
          <w:rFonts w:ascii="Times New Roman" w:eastAsia="Times New Roman" w:hAnsi="Times New Roman" w:cs="Times New Roman"/>
        </w:rPr>
        <w:t>This cross-sectional study was conducted on 100 individuals who attended the Tropical Medicine outpatient clinic at Tanta University Hospital, Faculty of Medicine, between October 2023 and January 2025. Eligible participants were males and females aged 18–50 years, with or without a diagnosis of IBS.</w:t>
      </w:r>
      <w:r w:rsidR="00FD1A9E" w:rsidRPr="00417F7A">
        <w:rPr>
          <w:rFonts w:ascii="Times New Roman" w:eastAsia="Times New Roman" w:hAnsi="Times New Roman" w:cs="Times New Roman" w:hint="cs"/>
          <w:bCs/>
          <w:lang w:eastAsia="de-DE"/>
        </w:rPr>
        <w:t xml:space="preserve"> </w:t>
      </w:r>
      <w:r w:rsidR="00BD6352" w:rsidRPr="00417F7A">
        <w:rPr>
          <w:rFonts w:ascii="Times New Roman" w:eastAsia="Times New Roman" w:hAnsi="Times New Roman" w:cs="Times New Roman"/>
          <w:bCs/>
          <w:lang w:eastAsia="de-DE"/>
        </w:rPr>
        <w:t>While</w:t>
      </w:r>
      <w:r w:rsidR="0082338A" w:rsidRPr="00417F7A">
        <w:rPr>
          <w:rFonts w:ascii="Times New Roman" w:eastAsia="Times New Roman" w:hAnsi="Times New Roman" w:cs="Times New Roman" w:hint="cs"/>
          <w:bCs/>
          <w:lang w:eastAsia="de-DE"/>
        </w:rPr>
        <w:t xml:space="preserve"> we excluded</w:t>
      </w:r>
      <w:r w:rsidR="0082338A" w:rsidRPr="00417F7A">
        <w:rPr>
          <w:rFonts w:ascii="Times New Roman" w:eastAsia="Times New Roman" w:hAnsi="Times New Roman" w:cs="Times New Roman" w:hint="cs"/>
          <w:b/>
          <w:bCs/>
        </w:rPr>
        <w:t xml:space="preserve"> </w:t>
      </w:r>
      <w:r w:rsidR="0082338A" w:rsidRPr="00417F7A">
        <w:rPr>
          <w:rFonts w:ascii="Times New Roman" w:eastAsia="Times New Roman" w:hAnsi="Times New Roman" w:cs="Times New Roman" w:hint="cs"/>
        </w:rPr>
        <w:t xml:space="preserve">patients </w:t>
      </w:r>
      <w:r w:rsidR="00F439DD" w:rsidRPr="00417F7A">
        <w:rPr>
          <w:rFonts w:ascii="Times New Roman" w:eastAsia="Times New Roman" w:hAnsi="Times New Roman" w:cs="Times New Roman"/>
          <w:lang w:eastAsia="de-DE" w:bidi="ar-EG"/>
        </w:rPr>
        <w:t>age</w:t>
      </w:r>
      <w:r w:rsidR="0082338A" w:rsidRPr="00417F7A">
        <w:rPr>
          <w:rFonts w:ascii="Times New Roman" w:eastAsia="Times New Roman" w:hAnsi="Times New Roman" w:cs="Times New Roman" w:hint="cs"/>
          <w:lang w:eastAsia="de-DE"/>
        </w:rPr>
        <w:t xml:space="preserve">d </w:t>
      </w:r>
      <w:r w:rsidR="00F439DD" w:rsidRPr="00417F7A">
        <w:rPr>
          <w:rFonts w:ascii="Times New Roman" w:eastAsia="Times New Roman" w:hAnsi="Times New Roman" w:cs="Times New Roman"/>
          <w:bCs/>
          <w:lang w:eastAsia="de-DE" w:bidi="ar-EG"/>
        </w:rPr>
        <w:t>&lt; 18</w:t>
      </w:r>
      <w:r w:rsidR="00F439DD" w:rsidRPr="00417F7A">
        <w:rPr>
          <w:rFonts w:ascii="Times New Roman" w:eastAsia="Times New Roman" w:hAnsi="Times New Roman" w:cs="Times New Roman"/>
          <w:bCs/>
          <w:rtl/>
          <w:lang w:eastAsia="de-DE" w:bidi="ar-EG"/>
        </w:rPr>
        <w:t xml:space="preserve"> </w:t>
      </w:r>
      <w:r w:rsidR="00F439DD" w:rsidRPr="00417F7A">
        <w:rPr>
          <w:rFonts w:ascii="Times New Roman" w:eastAsia="Times New Roman" w:hAnsi="Times New Roman" w:cs="Times New Roman"/>
          <w:bCs/>
          <w:lang w:eastAsia="de-DE" w:bidi="ar-EG"/>
        </w:rPr>
        <w:t>and&gt; 50 years old</w:t>
      </w:r>
      <w:r w:rsidR="008D62FC" w:rsidRPr="00417F7A">
        <w:rPr>
          <w:rFonts w:ascii="Times New Roman" w:eastAsia="Times New Roman" w:hAnsi="Times New Roman" w:cs="Times New Roman" w:hint="cs"/>
          <w:bCs/>
          <w:lang w:eastAsia="de-DE"/>
        </w:rPr>
        <w:t xml:space="preserve">, </w:t>
      </w:r>
      <w:r w:rsidR="00F439DD" w:rsidRPr="00417F7A">
        <w:rPr>
          <w:rFonts w:ascii="Times New Roman" w:eastAsia="Times New Roman" w:hAnsi="Times New Roman" w:cs="Times New Roman"/>
          <w:bCs/>
          <w:lang w:eastAsia="de-DE" w:bidi="ar-EG"/>
        </w:rPr>
        <w:t>Patients with chronic</w:t>
      </w:r>
      <w:r w:rsidR="00F439DD" w:rsidRPr="00417F7A">
        <w:rPr>
          <w:rFonts w:ascii="Times New Roman" w:eastAsia="Times New Roman" w:hAnsi="Times New Roman" w:cs="Times New Roman"/>
          <w:bCs/>
          <w:rtl/>
          <w:lang w:eastAsia="de-DE" w:bidi="ar-EG"/>
        </w:rPr>
        <w:t xml:space="preserve"> </w:t>
      </w:r>
      <w:r w:rsidR="00747442" w:rsidRPr="00417F7A">
        <w:rPr>
          <w:rFonts w:ascii="Times New Roman" w:eastAsia="Times New Roman" w:hAnsi="Times New Roman" w:cs="Times New Roman"/>
          <w:bCs/>
          <w:lang w:eastAsia="de-DE" w:bidi="ar-EG"/>
        </w:rPr>
        <w:t>diseases</w:t>
      </w:r>
      <w:r w:rsidR="00747442" w:rsidRPr="00417F7A">
        <w:rPr>
          <w:rFonts w:ascii="Times New Roman" w:eastAsia="Times New Roman" w:hAnsi="Times New Roman" w:cs="Times New Roman"/>
          <w:bCs/>
          <w:lang w:eastAsia="de-DE"/>
        </w:rPr>
        <w:t>,</w:t>
      </w:r>
      <w:r w:rsidR="00747442" w:rsidRPr="00417F7A">
        <w:rPr>
          <w:rFonts w:ascii="Times New Roman" w:eastAsia="Times New Roman" w:hAnsi="Times New Roman" w:cs="Times New Roman"/>
          <w:bCs/>
          <w:lang w:eastAsia="de-DE" w:bidi="ar-EG"/>
        </w:rPr>
        <w:t xml:space="preserve"> Pregnant</w:t>
      </w:r>
      <w:r w:rsidR="00F439DD" w:rsidRPr="00417F7A">
        <w:rPr>
          <w:rFonts w:ascii="Times New Roman" w:eastAsia="Times New Roman" w:hAnsi="Times New Roman" w:cs="Times New Roman"/>
          <w:bCs/>
          <w:lang w:eastAsia="de-DE" w:bidi="ar-EG"/>
        </w:rPr>
        <w:t xml:space="preserve"> or lactating females</w:t>
      </w:r>
      <w:r w:rsidR="008D62FC" w:rsidRPr="00417F7A">
        <w:rPr>
          <w:rFonts w:ascii="Times New Roman" w:eastAsia="Times New Roman" w:hAnsi="Times New Roman" w:cs="Times New Roman" w:hint="cs"/>
          <w:b/>
          <w:bCs/>
        </w:rPr>
        <w:t>,</w:t>
      </w:r>
      <w:r w:rsidR="00BD6352" w:rsidRPr="00417F7A">
        <w:rPr>
          <w:rFonts w:ascii="Times New Roman" w:eastAsia="Times New Roman" w:hAnsi="Times New Roman" w:cs="Times New Roman"/>
          <w:b/>
          <w:bCs/>
        </w:rPr>
        <w:t xml:space="preserve"> </w:t>
      </w:r>
      <w:r w:rsidR="00F439DD" w:rsidRPr="00417F7A">
        <w:rPr>
          <w:rFonts w:ascii="Times New Roman" w:eastAsia="Times New Roman" w:hAnsi="Times New Roman" w:cs="Times New Roman"/>
          <w:bCs/>
          <w:lang w:eastAsia="de-DE" w:bidi="ar-EG"/>
        </w:rPr>
        <w:t>Postmenopausal females</w:t>
      </w:r>
      <w:r w:rsidR="008D62FC" w:rsidRPr="00417F7A">
        <w:rPr>
          <w:rFonts w:ascii="Times New Roman" w:eastAsia="Times New Roman" w:hAnsi="Times New Roman" w:cs="Times New Roman" w:hint="cs"/>
          <w:bCs/>
          <w:lang w:eastAsia="de-DE"/>
        </w:rPr>
        <w:t>,</w:t>
      </w:r>
      <w:r w:rsidR="00BD6352" w:rsidRPr="00417F7A">
        <w:rPr>
          <w:rFonts w:ascii="Times New Roman" w:eastAsia="Times New Roman" w:hAnsi="Times New Roman" w:cs="Times New Roman"/>
          <w:bCs/>
          <w:lang w:eastAsia="de-DE"/>
        </w:rPr>
        <w:t xml:space="preserve"> </w:t>
      </w:r>
      <w:r w:rsidR="00747442" w:rsidRPr="00417F7A">
        <w:rPr>
          <w:rFonts w:ascii="Times New Roman" w:eastAsia="Times New Roman" w:hAnsi="Times New Roman" w:cs="Times New Roman" w:hint="cs"/>
          <w:bCs/>
          <w:lang w:eastAsia="de-DE"/>
        </w:rPr>
        <w:t>patients with</w:t>
      </w:r>
      <w:r w:rsidR="00F439DD" w:rsidRPr="00417F7A">
        <w:rPr>
          <w:rFonts w:ascii="Times New Roman" w:eastAsia="Times New Roman" w:hAnsi="Times New Roman" w:cs="Times New Roman"/>
          <w:bCs/>
          <w:lang w:eastAsia="de-DE" w:bidi="ar-EG"/>
        </w:rPr>
        <w:t xml:space="preserve"> organic</w:t>
      </w:r>
      <w:r w:rsidR="00F439DD" w:rsidRPr="00417F7A">
        <w:rPr>
          <w:rFonts w:ascii="Times New Roman" w:eastAsia="Times New Roman" w:hAnsi="Times New Roman" w:cs="Times New Roman"/>
          <w:bCs/>
          <w:rtl/>
          <w:lang w:eastAsia="de-DE" w:bidi="ar-EG"/>
        </w:rPr>
        <w:t xml:space="preserve"> </w:t>
      </w:r>
      <w:r w:rsidR="00F439DD" w:rsidRPr="00417F7A">
        <w:rPr>
          <w:rFonts w:ascii="Times New Roman" w:eastAsia="Times New Roman" w:hAnsi="Times New Roman" w:cs="Times New Roman"/>
          <w:bCs/>
          <w:lang w:eastAsia="de-DE" w:bidi="ar-EG"/>
        </w:rPr>
        <w:t>gastrointestinal disorders</w:t>
      </w:r>
      <w:r w:rsidR="008D62FC" w:rsidRPr="00417F7A">
        <w:rPr>
          <w:rFonts w:ascii="Times New Roman" w:eastAsia="Times New Roman" w:hAnsi="Times New Roman" w:cs="Times New Roman" w:hint="cs"/>
          <w:bCs/>
          <w:lang w:eastAsia="de-DE"/>
        </w:rPr>
        <w:t>,</w:t>
      </w:r>
      <w:r w:rsidR="00BD6352" w:rsidRPr="00417F7A">
        <w:rPr>
          <w:rFonts w:ascii="Times New Roman" w:eastAsia="Times New Roman" w:hAnsi="Times New Roman" w:cs="Times New Roman"/>
          <w:bCs/>
          <w:lang w:eastAsia="de-DE"/>
        </w:rPr>
        <w:t xml:space="preserve"> </w:t>
      </w:r>
      <w:r w:rsidR="00F439DD" w:rsidRPr="00417F7A">
        <w:rPr>
          <w:rFonts w:ascii="Times New Roman" w:eastAsia="Times New Roman" w:hAnsi="Times New Roman" w:cs="Times New Roman"/>
          <w:bCs/>
          <w:lang w:eastAsia="de-DE" w:bidi="ar-EG"/>
        </w:rPr>
        <w:t>any treatment with</w:t>
      </w:r>
      <w:r w:rsidR="00F439DD" w:rsidRPr="00417F7A">
        <w:rPr>
          <w:rFonts w:ascii="Times New Roman" w:eastAsia="Times New Roman" w:hAnsi="Times New Roman" w:cs="Times New Roman"/>
          <w:bCs/>
          <w:rtl/>
          <w:lang w:eastAsia="de-DE" w:bidi="ar-EG"/>
        </w:rPr>
        <w:t xml:space="preserve"> </w:t>
      </w:r>
      <w:r w:rsidR="00F439DD" w:rsidRPr="00417F7A">
        <w:rPr>
          <w:rFonts w:ascii="Times New Roman" w:eastAsia="Times New Roman" w:hAnsi="Times New Roman" w:cs="Times New Roman"/>
          <w:bCs/>
          <w:lang w:eastAsia="de-DE" w:bidi="ar-EG"/>
        </w:rPr>
        <w:t>steroids</w:t>
      </w:r>
      <w:r w:rsidR="00F439DD" w:rsidRPr="00417F7A">
        <w:rPr>
          <w:rFonts w:ascii="Times New Roman" w:eastAsia="Times New Roman" w:hAnsi="Times New Roman" w:cs="Times New Roman" w:hint="cs"/>
          <w:bCs/>
          <w:lang w:eastAsia="de-DE"/>
        </w:rPr>
        <w:t>,</w:t>
      </w:r>
      <w:r w:rsidR="00747442" w:rsidRPr="00417F7A">
        <w:rPr>
          <w:rFonts w:ascii="Times New Roman" w:eastAsia="Times New Roman" w:hAnsi="Times New Roman" w:cs="Times New Roman" w:hint="cs"/>
          <w:bCs/>
          <w:lang w:eastAsia="de-DE"/>
        </w:rPr>
        <w:t xml:space="preserve"> </w:t>
      </w:r>
      <w:r w:rsidR="00F439DD" w:rsidRPr="00417F7A">
        <w:rPr>
          <w:rFonts w:ascii="Times New Roman" w:eastAsia="Times New Roman" w:hAnsi="Times New Roman" w:cs="Times New Roman" w:hint="cs"/>
          <w:bCs/>
          <w:lang w:eastAsia="de-DE"/>
        </w:rPr>
        <w:t>v</w:t>
      </w:r>
      <w:r w:rsidR="00F439DD" w:rsidRPr="00417F7A">
        <w:rPr>
          <w:rFonts w:ascii="Times New Roman" w:eastAsia="Times New Roman" w:hAnsi="Times New Roman" w:cs="Times New Roman"/>
          <w:bCs/>
          <w:lang w:eastAsia="de-DE" w:bidi="ar-EG"/>
        </w:rPr>
        <w:t>itamin D</w:t>
      </w:r>
      <w:r w:rsidR="00BD6352" w:rsidRPr="00417F7A">
        <w:rPr>
          <w:rFonts w:ascii="Times New Roman" w:eastAsia="Times New Roman" w:hAnsi="Times New Roman" w:cs="Times New Roman"/>
          <w:bCs/>
          <w:lang w:eastAsia="de-DE" w:bidi="ar-EG"/>
        </w:rPr>
        <w:t>, or calcium, any gastrointestinal malignancies,</w:t>
      </w:r>
      <w:r w:rsidR="00F844A5" w:rsidRPr="006626D2">
        <w:rPr>
          <w:rFonts w:ascii="Times New Roman" w:eastAsia="Times New Roman" w:hAnsi="Times New Roman" w:cs="Times New Roman"/>
          <w:bCs/>
          <w:lang w:eastAsia="de-DE" w:bidi="ar-EG"/>
        </w:rPr>
        <w:t xml:space="preserve"> and </w:t>
      </w:r>
      <w:r w:rsidR="00DF325C" w:rsidRPr="006626D2">
        <w:rPr>
          <w:rFonts w:ascii="Times New Roman" w:eastAsia="Times New Roman" w:hAnsi="Times New Roman" w:cs="Times New Roman"/>
          <w:bCs/>
          <w:lang w:eastAsia="de-DE" w:bidi="ar-EG"/>
        </w:rPr>
        <w:t xml:space="preserve">individuals with a family history of </w:t>
      </w:r>
      <w:r w:rsidR="0062008F" w:rsidRPr="006626D2">
        <w:rPr>
          <w:rFonts w:ascii="Times New Roman" w:eastAsia="Times New Roman" w:hAnsi="Times New Roman" w:cs="Times New Roman"/>
          <w:bCs/>
          <w:lang w:eastAsia="de-DE" w:bidi="ar-EG"/>
        </w:rPr>
        <w:t>inflammatory bowel disease (IBD).</w:t>
      </w:r>
    </w:p>
    <w:p w14:paraId="1D1CA9FF" w14:textId="799F7B8D" w:rsidR="00F439DD" w:rsidRPr="00417F7A" w:rsidRDefault="00BB5D9C" w:rsidP="009A6D66">
      <w:pPr>
        <w:spacing w:line="360" w:lineRule="auto"/>
        <w:rPr>
          <w:rFonts w:ascii="Times New Roman" w:eastAsia="Times New Roman" w:hAnsi="Times New Roman" w:cs="Times New Roman"/>
          <w:b/>
          <w:bCs/>
        </w:rPr>
      </w:pPr>
      <w:r w:rsidRPr="00417F7A">
        <w:rPr>
          <w:rFonts w:ascii="Times New Roman" w:eastAsia="Times New Roman" w:hAnsi="Times New Roman" w:cs="Times New Roman"/>
          <w:bCs/>
          <w:lang w:eastAsia="de-DE" w:bidi="ar-EG"/>
        </w:rPr>
        <w:t>Participants</w:t>
      </w:r>
      <w:r w:rsidR="00F439DD" w:rsidRPr="00417F7A">
        <w:rPr>
          <w:rFonts w:ascii="Times New Roman" w:eastAsia="Times New Roman" w:hAnsi="Times New Roman" w:cs="Times New Roman"/>
          <w:bCs/>
          <w:lang w:eastAsia="de-DE" w:bidi="ar-EG"/>
        </w:rPr>
        <w:t xml:space="preserve"> </w:t>
      </w:r>
      <w:r w:rsidR="00BD6352" w:rsidRPr="00417F7A">
        <w:rPr>
          <w:rFonts w:ascii="Times New Roman" w:eastAsia="Times New Roman" w:hAnsi="Times New Roman" w:cs="Times New Roman"/>
          <w:bCs/>
          <w:lang w:eastAsia="de-DE" w:bidi="ar-EG"/>
        </w:rPr>
        <w:t xml:space="preserve">were </w:t>
      </w:r>
      <w:r w:rsidRPr="00417F7A">
        <w:rPr>
          <w:rFonts w:ascii="Times New Roman" w:eastAsia="Times New Roman" w:hAnsi="Times New Roman" w:cs="Times New Roman"/>
          <w:bCs/>
          <w:lang w:eastAsia="de-DE" w:bidi="ar-EG"/>
        </w:rPr>
        <w:t>divided</w:t>
      </w:r>
      <w:r w:rsidR="00F439DD" w:rsidRPr="00417F7A">
        <w:rPr>
          <w:rFonts w:ascii="Times New Roman" w:eastAsia="Times New Roman" w:hAnsi="Times New Roman" w:cs="Times New Roman"/>
          <w:bCs/>
          <w:lang w:eastAsia="de-DE" w:bidi="ar-EG"/>
        </w:rPr>
        <w:t xml:space="preserve"> into </w:t>
      </w:r>
      <w:r w:rsidR="00BD6352" w:rsidRPr="00417F7A">
        <w:rPr>
          <w:rFonts w:ascii="Times New Roman" w:eastAsia="Times New Roman" w:hAnsi="Times New Roman" w:cs="Times New Roman"/>
          <w:bCs/>
          <w:lang w:eastAsia="de-DE" w:bidi="ar-EG"/>
        </w:rPr>
        <w:t>two</w:t>
      </w:r>
      <w:r w:rsidR="00F439DD" w:rsidRPr="00417F7A">
        <w:rPr>
          <w:rFonts w:ascii="Times New Roman" w:eastAsia="Times New Roman" w:hAnsi="Times New Roman" w:cs="Times New Roman"/>
          <w:bCs/>
          <w:lang w:eastAsia="de-DE" w:bidi="ar-EG"/>
        </w:rPr>
        <w:t xml:space="preserve"> groups:</w:t>
      </w:r>
    </w:p>
    <w:p w14:paraId="31154BDC" w14:textId="13DC4E06" w:rsidR="00F439DD" w:rsidRPr="00417F7A" w:rsidRDefault="00FA74D5" w:rsidP="00FA74D5">
      <w:pPr>
        <w:spacing w:before="120" w:after="120" w:line="480" w:lineRule="auto"/>
        <w:ind w:right="57"/>
        <w:rPr>
          <w:rFonts w:ascii="Times New Roman" w:eastAsia="Times New Roman" w:hAnsi="Times New Roman" w:cs="Times New Roman"/>
          <w:bCs/>
          <w:lang w:eastAsia="de-DE" w:bidi="ar-EG"/>
        </w:rPr>
      </w:pPr>
      <w:r w:rsidRPr="00417F7A">
        <w:rPr>
          <w:rFonts w:ascii="Times New Roman" w:eastAsia="Times New Roman" w:hAnsi="Times New Roman" w:cs="Times New Roman"/>
          <w:bCs/>
          <w:lang w:eastAsia="de-DE"/>
        </w:rPr>
        <w:t>G</w:t>
      </w:r>
      <w:r w:rsidR="00F439DD" w:rsidRPr="00417F7A">
        <w:rPr>
          <w:rFonts w:ascii="Times New Roman" w:eastAsia="Times New Roman" w:hAnsi="Times New Roman" w:cs="Times New Roman"/>
          <w:bCs/>
          <w:lang w:eastAsia="de-DE" w:bidi="ar-EG"/>
        </w:rPr>
        <w:t xml:space="preserve">roup </w:t>
      </w:r>
      <w:r w:rsidR="00276252" w:rsidRPr="00417F7A">
        <w:rPr>
          <w:rFonts w:ascii="Times New Roman" w:eastAsia="Times New Roman" w:hAnsi="Times New Roman" w:cs="Times New Roman"/>
          <w:bCs/>
          <w:lang w:eastAsia="de-DE" w:bidi="ar-EG"/>
        </w:rPr>
        <w:t>I</w:t>
      </w:r>
      <w:r w:rsidR="00B07E10" w:rsidRPr="00417F7A">
        <w:rPr>
          <w:rFonts w:ascii="Times New Roman" w:eastAsia="Times New Roman" w:hAnsi="Times New Roman" w:cs="Times New Roman"/>
          <w:bCs/>
          <w:lang w:eastAsia="de-DE" w:bidi="ar-EG"/>
        </w:rPr>
        <w:t>:</w:t>
      </w:r>
      <w:r w:rsidR="00BD6352" w:rsidRPr="00417F7A">
        <w:rPr>
          <w:rFonts w:ascii="Times New Roman" w:eastAsia="Times New Roman" w:hAnsi="Times New Roman" w:cs="Times New Roman"/>
          <w:bCs/>
          <w:lang w:eastAsia="de-DE" w:bidi="ar-EG"/>
        </w:rPr>
        <w:t xml:space="preserve"> </w:t>
      </w:r>
      <w:r w:rsidR="00F76C02" w:rsidRPr="00417F7A">
        <w:rPr>
          <w:rFonts w:ascii="Times New Roman" w:eastAsia="Times New Roman" w:hAnsi="Times New Roman" w:cs="Times New Roman" w:hint="cs"/>
          <w:bCs/>
          <w:lang w:eastAsia="de-DE"/>
        </w:rPr>
        <w:t xml:space="preserve">included </w:t>
      </w:r>
      <w:r w:rsidR="00F439DD" w:rsidRPr="00417F7A">
        <w:rPr>
          <w:rFonts w:ascii="Times New Roman" w:eastAsia="Times New Roman" w:hAnsi="Times New Roman" w:cs="Times New Roman"/>
          <w:bCs/>
          <w:lang w:eastAsia="de-DE" w:bidi="ar-EG"/>
        </w:rPr>
        <w:t xml:space="preserve">50 patients </w:t>
      </w:r>
      <w:r w:rsidR="00BD6352" w:rsidRPr="00417F7A">
        <w:rPr>
          <w:rFonts w:ascii="Times New Roman" w:eastAsia="Times New Roman" w:hAnsi="Times New Roman" w:cs="Times New Roman"/>
          <w:bCs/>
          <w:lang w:eastAsia="de-DE" w:bidi="ar-EG"/>
        </w:rPr>
        <w:t xml:space="preserve">who complained of abdominal pain and met the criteria of IBS based on the Rome IV Criteria as the </w:t>
      </w:r>
      <w:r w:rsidR="001E3220" w:rsidRPr="00417F7A">
        <w:rPr>
          <w:rFonts w:ascii="Times New Roman" w:eastAsia="Times New Roman" w:hAnsi="Times New Roman" w:cs="Times New Roman" w:hint="cs"/>
          <w:bCs/>
          <w:lang w:eastAsia="de-DE"/>
        </w:rPr>
        <w:t>go</w:t>
      </w:r>
      <w:r w:rsidR="00F439DD" w:rsidRPr="00417F7A">
        <w:rPr>
          <w:rFonts w:ascii="Times New Roman" w:eastAsia="Times New Roman" w:hAnsi="Times New Roman" w:cs="Times New Roman"/>
          <w:bCs/>
          <w:lang w:eastAsia="de-DE" w:bidi="ar-EG"/>
        </w:rPr>
        <w:t>ld</w:t>
      </w:r>
      <w:r w:rsidR="00F439DD" w:rsidRPr="00417F7A">
        <w:rPr>
          <w:rFonts w:ascii="Times New Roman" w:eastAsia="Times New Roman" w:hAnsi="Times New Roman" w:cs="Times New Roman"/>
          <w:bCs/>
          <w:rtl/>
          <w:lang w:eastAsia="de-DE" w:bidi="ar-EG"/>
        </w:rPr>
        <w:t xml:space="preserve"> </w:t>
      </w:r>
      <w:r w:rsidR="001E3220" w:rsidRPr="00417F7A">
        <w:rPr>
          <w:rFonts w:ascii="Times New Roman" w:eastAsia="Times New Roman" w:hAnsi="Times New Roman" w:cs="Times New Roman" w:hint="cs"/>
          <w:bCs/>
          <w:lang w:eastAsia="de-DE"/>
        </w:rPr>
        <w:t>s</w:t>
      </w:r>
      <w:r w:rsidR="00F439DD" w:rsidRPr="00417F7A">
        <w:rPr>
          <w:rFonts w:ascii="Times New Roman" w:eastAsia="Times New Roman" w:hAnsi="Times New Roman" w:cs="Times New Roman"/>
          <w:bCs/>
          <w:lang w:eastAsia="de-DE" w:bidi="ar-EG"/>
        </w:rPr>
        <w:t>tandard for the diagnosis of IBS</w:t>
      </w:r>
      <w:r w:rsidRPr="00417F7A">
        <w:rPr>
          <w:rFonts w:ascii="Times New Roman" w:eastAsia="Times New Roman" w:hAnsi="Times New Roman" w:cs="Times New Roman"/>
          <w:bCs/>
          <w:lang w:eastAsia="de-DE"/>
        </w:rPr>
        <w:t>.</w:t>
      </w:r>
      <w:r w:rsidR="00F76C02" w:rsidRPr="00417F7A">
        <w:rPr>
          <w:rFonts w:ascii="Times New Roman" w:eastAsia="Times New Roman" w:hAnsi="Times New Roman" w:cs="Times New Roman" w:hint="cs"/>
          <w:bCs/>
          <w:lang w:eastAsia="de-DE"/>
        </w:rPr>
        <w:t xml:space="preserve"> </w:t>
      </w:r>
      <w:r w:rsidRPr="00417F7A">
        <w:rPr>
          <w:rFonts w:ascii="Times New Roman" w:eastAsia="Times New Roman" w:hAnsi="Times New Roman" w:cs="Times New Roman"/>
          <w:bCs/>
          <w:lang w:eastAsia="de-DE" w:bidi="ar-EG"/>
        </w:rPr>
        <w:t>G</w:t>
      </w:r>
      <w:r w:rsidR="00F76C02" w:rsidRPr="00417F7A">
        <w:rPr>
          <w:rFonts w:ascii="Times New Roman" w:eastAsia="Times New Roman" w:hAnsi="Times New Roman" w:cs="Times New Roman" w:hint="cs"/>
          <w:bCs/>
          <w:lang w:eastAsia="de-DE" w:bidi="ar-EG"/>
        </w:rPr>
        <w:t>r</w:t>
      </w:r>
      <w:r w:rsidR="00F439DD" w:rsidRPr="00417F7A">
        <w:rPr>
          <w:rFonts w:ascii="Times New Roman" w:eastAsia="Times New Roman" w:hAnsi="Times New Roman" w:cs="Times New Roman"/>
          <w:bCs/>
          <w:lang w:eastAsia="de-DE" w:bidi="ar-EG"/>
        </w:rPr>
        <w:t>oup</w:t>
      </w:r>
      <w:r w:rsidR="00F439DD" w:rsidRPr="006626D2">
        <w:rPr>
          <w:rFonts w:ascii="Times New Roman" w:eastAsia="Times New Roman" w:hAnsi="Times New Roman" w:cs="Times New Roman"/>
          <w:bCs/>
          <w:lang w:eastAsia="de-DE" w:bidi="ar-EG"/>
        </w:rPr>
        <w:t xml:space="preserve"> </w:t>
      </w:r>
      <w:r w:rsidR="00A57F99" w:rsidRPr="006626D2">
        <w:rPr>
          <w:rFonts w:ascii="Times New Roman" w:eastAsia="Times New Roman" w:hAnsi="Times New Roman" w:cs="Times New Roman"/>
          <w:bCs/>
          <w:lang w:eastAsia="de-DE" w:bidi="ar-EG"/>
        </w:rPr>
        <w:t>II</w:t>
      </w:r>
      <w:r w:rsidR="00BD6352" w:rsidRPr="006626D2">
        <w:rPr>
          <w:rFonts w:ascii="Times New Roman" w:eastAsia="Times New Roman" w:hAnsi="Times New Roman" w:cs="Times New Roman"/>
          <w:bCs/>
          <w:lang w:eastAsia="de-DE" w:bidi="ar-EG"/>
        </w:rPr>
        <w:t xml:space="preserve"> </w:t>
      </w:r>
      <w:r w:rsidR="002B7525" w:rsidRPr="006626D2">
        <w:rPr>
          <w:rFonts w:ascii="Times New Roman" w:eastAsia="Times New Roman" w:hAnsi="Times New Roman" w:cs="Times New Roman"/>
          <w:bCs/>
          <w:lang w:eastAsia="de-DE" w:bidi="ar-EG"/>
        </w:rPr>
        <w:t>consisted of 50 subjects, serving as the</w:t>
      </w:r>
      <w:r w:rsidR="00BD6352" w:rsidRPr="006626D2">
        <w:rPr>
          <w:rFonts w:ascii="Times New Roman" w:eastAsia="Times New Roman" w:hAnsi="Times New Roman" w:cs="Times New Roman"/>
          <w:bCs/>
          <w:lang w:eastAsia="de-DE" w:bidi="ar-EG"/>
        </w:rPr>
        <w:t xml:space="preserve"> control group</w:t>
      </w:r>
      <w:r w:rsidR="00697558" w:rsidRPr="00417F7A">
        <w:rPr>
          <w:rFonts w:ascii="Times New Roman" w:eastAsia="Times New Roman" w:hAnsi="Times New Roman" w:cs="Times New Roman" w:hint="cs"/>
          <w:bCs/>
          <w:lang w:eastAsia="de-DE" w:bidi="ar-EG"/>
        </w:rPr>
        <w:t>.</w:t>
      </w:r>
      <w:r w:rsidR="00BD6352" w:rsidRPr="00417F7A">
        <w:rPr>
          <w:rFonts w:ascii="Times New Roman" w:eastAsia="Times New Roman" w:hAnsi="Times New Roman" w:cs="Times New Roman"/>
          <w:bCs/>
          <w:lang w:eastAsia="de-DE" w:bidi="ar-EG"/>
        </w:rPr>
        <w:t xml:space="preserve"> </w:t>
      </w:r>
      <w:r w:rsidR="00836AA3" w:rsidRPr="00417F7A">
        <w:rPr>
          <w:rFonts w:ascii="Times New Roman" w:eastAsia="Times New Roman" w:hAnsi="Times New Roman" w:cs="Times New Roman" w:hint="cs"/>
          <w:bCs/>
          <w:lang w:eastAsia="de-DE" w:bidi="ar-EG"/>
        </w:rPr>
        <w:t>All pa</w:t>
      </w:r>
      <w:r w:rsidR="001443D4" w:rsidRPr="00417F7A">
        <w:rPr>
          <w:rFonts w:ascii="Times New Roman" w:eastAsia="Times New Roman" w:hAnsi="Times New Roman" w:cs="Times New Roman" w:hint="cs"/>
          <w:bCs/>
          <w:lang w:eastAsia="de-DE" w:bidi="ar-EG"/>
        </w:rPr>
        <w:t>tients were s</w:t>
      </w:r>
      <w:r w:rsidR="00567D9D" w:rsidRPr="00417F7A">
        <w:rPr>
          <w:rFonts w:ascii="Times New Roman" w:eastAsia="Times New Roman" w:hAnsi="Times New Roman" w:cs="Times New Roman" w:hint="cs"/>
          <w:bCs/>
          <w:lang w:eastAsia="de-DE" w:bidi="ar-EG"/>
        </w:rPr>
        <w:t xml:space="preserve">ubjected to </w:t>
      </w:r>
      <w:r w:rsidR="00567D9D" w:rsidRPr="006626D2">
        <w:rPr>
          <w:rFonts w:ascii="Times New Roman" w:eastAsia="Times New Roman" w:hAnsi="Times New Roman" w:cs="Times New Roman" w:hint="cs"/>
          <w:bCs/>
          <w:lang w:eastAsia="de-DE" w:bidi="ar-EG"/>
        </w:rPr>
        <w:t>full</w:t>
      </w:r>
      <w:r w:rsidR="00F439DD" w:rsidRPr="00417F7A">
        <w:rPr>
          <w:rFonts w:ascii="Times New Roman" w:eastAsia="Arial" w:hAnsi="Times New Roman" w:cs="Times New Roman"/>
          <w:lang w:eastAsia="de-DE"/>
        </w:rPr>
        <w:t xml:space="preserve"> history</w:t>
      </w:r>
      <w:r w:rsidR="00567D9D" w:rsidRPr="00417F7A">
        <w:rPr>
          <w:rFonts w:ascii="Times New Roman" w:eastAsia="Arial" w:hAnsi="Times New Roman" w:cs="Times New Roman" w:hint="cs"/>
          <w:lang w:eastAsia="de-DE"/>
        </w:rPr>
        <w:t xml:space="preserve"> taking</w:t>
      </w:r>
      <w:r w:rsidR="00567D9D" w:rsidRPr="00417F7A">
        <w:rPr>
          <w:rFonts w:ascii="Times New Roman" w:eastAsia="Times New Roman" w:hAnsi="Times New Roman" w:cs="Times New Roman" w:hint="cs"/>
          <w:b/>
          <w:lang w:eastAsia="de-DE"/>
        </w:rPr>
        <w:t xml:space="preserve">, </w:t>
      </w:r>
      <w:r w:rsidR="00114C93" w:rsidRPr="00417F7A">
        <w:rPr>
          <w:rFonts w:ascii="Times New Roman" w:eastAsia="Arial" w:hAnsi="Times New Roman" w:cs="Times New Roman" w:hint="cs"/>
          <w:lang w:eastAsia="de-DE"/>
        </w:rPr>
        <w:t>a</w:t>
      </w:r>
      <w:r w:rsidR="00F439DD" w:rsidRPr="00417F7A">
        <w:rPr>
          <w:rFonts w:ascii="Times New Roman" w:eastAsia="Arial" w:hAnsi="Times New Roman" w:cs="Times New Roman"/>
          <w:lang w:eastAsia="de-DE"/>
        </w:rPr>
        <w:t>nthropometric measures: weight, length, BMI, Waist circumference</w:t>
      </w:r>
      <w:r w:rsidR="00AC22CA" w:rsidRPr="00417F7A">
        <w:rPr>
          <w:rFonts w:ascii="Times New Roman" w:eastAsia="Arial" w:hAnsi="Times New Roman" w:cs="Times New Roman" w:hint="cs"/>
          <w:lang w:eastAsia="de-DE"/>
        </w:rPr>
        <w:t xml:space="preserve"> </w:t>
      </w:r>
      <w:r w:rsidR="00114C93" w:rsidRPr="00417F7A">
        <w:rPr>
          <w:rFonts w:ascii="Times New Roman" w:eastAsia="Arial" w:hAnsi="Times New Roman" w:cs="Times New Roman" w:hint="cs"/>
          <w:lang w:eastAsia="de-DE"/>
        </w:rPr>
        <w:t>and c</w:t>
      </w:r>
      <w:r w:rsidR="00F439DD" w:rsidRPr="00417F7A">
        <w:rPr>
          <w:rFonts w:ascii="Times New Roman" w:eastAsia="Arial" w:hAnsi="Times New Roman" w:cs="Times New Roman"/>
          <w:lang w:eastAsia="de-DE"/>
        </w:rPr>
        <w:t>omplaint</w:t>
      </w:r>
      <w:r w:rsidR="00114C93" w:rsidRPr="00417F7A">
        <w:rPr>
          <w:rFonts w:ascii="Times New Roman" w:eastAsia="Arial" w:hAnsi="Times New Roman" w:cs="Times New Roman" w:hint="cs"/>
          <w:lang w:eastAsia="de-DE"/>
        </w:rPr>
        <w:t>s</w:t>
      </w:r>
      <w:r w:rsidR="00F439DD" w:rsidRPr="00417F7A">
        <w:rPr>
          <w:rFonts w:ascii="Times New Roman" w:eastAsia="Arial" w:hAnsi="Times New Roman" w:cs="Times New Roman"/>
          <w:lang w:eastAsia="de-DE"/>
        </w:rPr>
        <w:t xml:space="preserve"> i</w:t>
      </w:r>
      <w:r w:rsidR="00F439DD" w:rsidRPr="00417F7A">
        <w:rPr>
          <w:rFonts w:ascii="Times New Roman" w:eastAsia="Times New Roman" w:hAnsi="Times New Roman" w:cs="Times New Roman"/>
          <w:bCs/>
          <w:lang w:eastAsia="de-DE" w:bidi="ar-EG"/>
        </w:rPr>
        <w:t>ncluding ROME IV criteria for IBS, which are recurrent abdominal pain on average at</w:t>
      </w:r>
      <w:r w:rsidR="00F439DD" w:rsidRPr="00417F7A">
        <w:rPr>
          <w:rFonts w:ascii="Times New Roman" w:eastAsia="Times New Roman" w:hAnsi="Times New Roman" w:cs="Times New Roman"/>
          <w:bCs/>
          <w:rtl/>
          <w:lang w:eastAsia="de-DE" w:bidi="ar-EG"/>
        </w:rPr>
        <w:t xml:space="preserve"> </w:t>
      </w:r>
      <w:r w:rsidR="00F439DD" w:rsidRPr="00417F7A">
        <w:rPr>
          <w:rFonts w:ascii="Times New Roman" w:eastAsia="Times New Roman" w:hAnsi="Times New Roman" w:cs="Times New Roman"/>
          <w:bCs/>
          <w:lang w:eastAsia="de-DE" w:bidi="ar-EG"/>
        </w:rPr>
        <w:t xml:space="preserve">least 1 day/week in the </w:t>
      </w:r>
      <w:r w:rsidR="00E0347E" w:rsidRPr="00417F7A">
        <w:rPr>
          <w:rFonts w:ascii="Times New Roman" w:eastAsia="Times New Roman" w:hAnsi="Times New Roman" w:cs="Times New Roman" w:hint="cs"/>
          <w:bCs/>
          <w:lang w:eastAsia="de-DE"/>
        </w:rPr>
        <w:t>previous</w:t>
      </w:r>
      <w:r w:rsidR="00F439DD" w:rsidRPr="00417F7A">
        <w:rPr>
          <w:rFonts w:ascii="Times New Roman" w:eastAsia="Times New Roman" w:hAnsi="Times New Roman" w:cs="Times New Roman"/>
          <w:bCs/>
          <w:lang w:eastAsia="de-DE" w:bidi="ar-EG"/>
        </w:rPr>
        <w:t xml:space="preserve"> 3 month </w:t>
      </w:r>
      <w:r w:rsidR="00D76361" w:rsidRPr="00417F7A">
        <w:rPr>
          <w:rFonts w:ascii="Times New Roman" w:eastAsia="Times New Roman" w:hAnsi="Times New Roman" w:cs="Times New Roman" w:hint="cs"/>
          <w:bCs/>
          <w:lang w:eastAsia="de-DE"/>
        </w:rPr>
        <w:t xml:space="preserve">linked </w:t>
      </w:r>
      <w:r w:rsidR="00E02882" w:rsidRPr="00417F7A">
        <w:rPr>
          <w:rFonts w:ascii="Times New Roman" w:eastAsia="Times New Roman" w:hAnsi="Times New Roman" w:cs="Times New Roman" w:hint="cs"/>
          <w:bCs/>
          <w:lang w:eastAsia="de-DE"/>
        </w:rPr>
        <w:t>with</w:t>
      </w:r>
      <w:r w:rsidR="00F439DD" w:rsidRPr="00417F7A">
        <w:rPr>
          <w:rFonts w:ascii="Times New Roman" w:eastAsia="Times New Roman" w:hAnsi="Times New Roman" w:cs="Times New Roman"/>
          <w:bCs/>
          <w:lang w:eastAsia="de-DE" w:bidi="ar-EG"/>
        </w:rPr>
        <w:t xml:space="preserve"> two or more of the following criteria: 1. </w:t>
      </w:r>
      <w:r w:rsidR="00A57F99" w:rsidRPr="00417F7A">
        <w:rPr>
          <w:rFonts w:ascii="Times New Roman" w:eastAsia="Times New Roman" w:hAnsi="Times New Roman" w:cs="Times New Roman"/>
          <w:bCs/>
          <w:lang w:eastAsia="de-DE" w:bidi="ar-EG"/>
        </w:rPr>
        <w:t>r</w:t>
      </w:r>
      <w:r w:rsidR="00F439DD" w:rsidRPr="00417F7A">
        <w:rPr>
          <w:rFonts w:ascii="Times New Roman" w:eastAsia="Times New Roman" w:hAnsi="Times New Roman" w:cs="Times New Roman"/>
          <w:bCs/>
          <w:lang w:eastAsia="de-DE" w:bidi="ar-EG"/>
        </w:rPr>
        <w:t xml:space="preserve">elated to defecation </w:t>
      </w:r>
      <w:r w:rsidR="00F439DD" w:rsidRPr="006626D2">
        <w:rPr>
          <w:rFonts w:ascii="Times New Roman" w:eastAsia="Times New Roman" w:hAnsi="Times New Roman" w:cs="Times New Roman"/>
          <w:bCs/>
          <w:lang w:eastAsia="de-DE" w:bidi="ar-EG"/>
        </w:rPr>
        <w:t xml:space="preserve">2. </w:t>
      </w:r>
      <w:r w:rsidR="00A57F99" w:rsidRPr="006626D2">
        <w:rPr>
          <w:rFonts w:ascii="Times New Roman" w:eastAsia="Times New Roman" w:hAnsi="Times New Roman" w:cs="Times New Roman"/>
          <w:bCs/>
          <w:lang w:eastAsia="de-DE" w:bidi="ar-EG"/>
        </w:rPr>
        <w:t>a</w:t>
      </w:r>
      <w:r w:rsidR="00F439DD" w:rsidRPr="006626D2">
        <w:rPr>
          <w:rFonts w:ascii="Times New Roman" w:eastAsia="Times New Roman" w:hAnsi="Times New Roman" w:cs="Times New Roman"/>
          <w:bCs/>
          <w:lang w:eastAsia="de-DE" w:bidi="ar-EG"/>
        </w:rPr>
        <w:t>ssociated</w:t>
      </w:r>
      <w:r w:rsidR="00F439DD" w:rsidRPr="006626D2">
        <w:rPr>
          <w:rFonts w:ascii="Times New Roman" w:eastAsia="Times New Roman" w:hAnsi="Times New Roman" w:cs="Times New Roman"/>
          <w:bCs/>
          <w:rtl/>
          <w:lang w:eastAsia="de-DE" w:bidi="ar-EG"/>
        </w:rPr>
        <w:t xml:space="preserve"> </w:t>
      </w:r>
      <w:r w:rsidR="00F439DD" w:rsidRPr="006626D2">
        <w:rPr>
          <w:rFonts w:ascii="Times New Roman" w:eastAsia="Times New Roman" w:hAnsi="Times New Roman" w:cs="Times New Roman"/>
          <w:bCs/>
          <w:lang w:eastAsia="de-DE" w:bidi="ar-EG"/>
        </w:rPr>
        <w:t>with a change in frequency of stool 3</w:t>
      </w:r>
      <w:r w:rsidR="00F439DD" w:rsidRPr="006626D2">
        <w:rPr>
          <w:rFonts w:ascii="Times New Roman" w:eastAsia="Times New Roman" w:hAnsi="Times New Roman" w:cs="Times New Roman"/>
          <w:bCs/>
          <w:rtl/>
          <w:lang w:eastAsia="de-DE" w:bidi="ar-EG"/>
        </w:rPr>
        <w:t xml:space="preserve">. </w:t>
      </w:r>
      <w:r w:rsidR="00A57F99" w:rsidRPr="006626D2">
        <w:rPr>
          <w:rFonts w:ascii="Times New Roman" w:eastAsia="Times New Roman" w:hAnsi="Times New Roman" w:cs="Times New Roman"/>
          <w:bCs/>
          <w:lang w:eastAsia="de-DE" w:bidi="ar-EG"/>
        </w:rPr>
        <w:t>as</w:t>
      </w:r>
      <w:r w:rsidR="00F439DD" w:rsidRPr="006626D2">
        <w:rPr>
          <w:rFonts w:ascii="Times New Roman" w:eastAsia="Times New Roman" w:hAnsi="Times New Roman" w:cs="Times New Roman"/>
          <w:bCs/>
          <w:lang w:eastAsia="de-DE" w:bidi="ar-EG"/>
        </w:rPr>
        <w:t>sociated with a change in form (appearance)</w:t>
      </w:r>
      <w:r w:rsidR="00F439DD" w:rsidRPr="006626D2">
        <w:rPr>
          <w:rFonts w:ascii="Times New Roman" w:eastAsia="Times New Roman" w:hAnsi="Times New Roman" w:cs="Times New Roman"/>
          <w:bCs/>
          <w:rtl/>
          <w:lang w:eastAsia="de-DE" w:bidi="ar-EG"/>
        </w:rPr>
        <w:t xml:space="preserve"> </w:t>
      </w:r>
      <w:r w:rsidR="00F439DD" w:rsidRPr="006626D2">
        <w:rPr>
          <w:rFonts w:ascii="Times New Roman" w:eastAsia="Times New Roman" w:hAnsi="Times New Roman" w:cs="Times New Roman"/>
          <w:bCs/>
          <w:lang w:eastAsia="de-DE" w:bidi="ar-EG"/>
        </w:rPr>
        <w:t>of stool</w:t>
      </w:r>
      <w:r w:rsidR="00F439DD" w:rsidRPr="006626D2">
        <w:rPr>
          <w:rFonts w:ascii="Times New Roman" w:eastAsia="Times New Roman" w:hAnsi="Times New Roman" w:cs="Times New Roman"/>
          <w:b/>
          <w:lang w:eastAsia="de-DE" w:bidi="ar-EG"/>
        </w:rPr>
        <w:t xml:space="preserve"> [9]</w:t>
      </w:r>
      <w:r w:rsidR="006626D2">
        <w:rPr>
          <w:rFonts w:ascii="Times New Roman" w:eastAsia="Times New Roman" w:hAnsi="Times New Roman" w:cs="Times New Roman"/>
          <w:b/>
          <w:lang w:eastAsia="de-DE" w:bidi="ar-EG"/>
        </w:rPr>
        <w:t>.</w:t>
      </w:r>
    </w:p>
    <w:p w14:paraId="190BFA49" w14:textId="68BAE3E4" w:rsidR="00F439DD" w:rsidRPr="006626D2" w:rsidRDefault="00F439DD" w:rsidP="00AC22CA">
      <w:pPr>
        <w:tabs>
          <w:tab w:val="left" w:pos="180"/>
        </w:tabs>
        <w:spacing w:before="120" w:after="120" w:line="480" w:lineRule="auto"/>
        <w:ind w:right="57"/>
        <w:contextualSpacing/>
        <w:jc w:val="both"/>
        <w:rPr>
          <w:rFonts w:ascii="Times New Roman" w:eastAsia="Times New Roman" w:hAnsi="Times New Roman" w:cs="Times New Roman"/>
          <w:bCs/>
          <w:lang w:eastAsia="de-DE" w:bidi="ar-EG"/>
        </w:rPr>
      </w:pPr>
      <w:r w:rsidRPr="00417F7A">
        <w:rPr>
          <w:rFonts w:ascii="Times New Roman" w:eastAsia="Times New Roman" w:hAnsi="Times New Roman" w:cs="Times New Roman"/>
          <w:bCs/>
          <w:lang w:eastAsia="de-DE" w:bidi="ar-EG"/>
        </w:rPr>
        <w:t xml:space="preserve">Specific subtypes of IBS </w:t>
      </w:r>
      <w:r w:rsidR="006626D2">
        <w:rPr>
          <w:rFonts w:ascii="Times New Roman" w:eastAsia="Times New Roman" w:hAnsi="Times New Roman" w:cs="Times New Roman"/>
          <w:bCs/>
          <w:lang w:eastAsia="de-DE" w:bidi="ar-EG"/>
        </w:rPr>
        <w:t>categorize patient symptoms into constipation-predominant (IBS-C), diarrhea-predominant</w:t>
      </w:r>
      <w:r w:rsidRPr="00417F7A">
        <w:rPr>
          <w:rFonts w:ascii="Times New Roman" w:eastAsia="Times New Roman" w:hAnsi="Times New Roman" w:cs="Times New Roman"/>
          <w:bCs/>
          <w:lang w:eastAsia="de-DE" w:bidi="ar-EG"/>
        </w:rPr>
        <w:t xml:space="preserve"> (IBS-D), mixed</w:t>
      </w:r>
      <w:r w:rsidRPr="00417F7A">
        <w:rPr>
          <w:rFonts w:ascii="Times New Roman" w:eastAsia="Times New Roman" w:hAnsi="Times New Roman" w:cs="Times New Roman"/>
          <w:bCs/>
          <w:rtl/>
          <w:lang w:eastAsia="de-DE" w:bidi="ar-EG"/>
        </w:rPr>
        <w:t xml:space="preserve"> </w:t>
      </w:r>
      <w:r w:rsidRPr="00417F7A">
        <w:rPr>
          <w:rFonts w:ascii="Times New Roman" w:eastAsia="Times New Roman" w:hAnsi="Times New Roman" w:cs="Times New Roman"/>
          <w:bCs/>
          <w:lang w:eastAsia="de-DE" w:bidi="ar-EG"/>
        </w:rPr>
        <w:t>(IBS-M), or unclassified (IBS-U)</w:t>
      </w:r>
      <w:r w:rsidR="006626D2">
        <w:rPr>
          <w:rFonts w:ascii="Times New Roman" w:eastAsia="Times New Roman" w:hAnsi="Times New Roman" w:cs="Times New Roman"/>
          <w:bCs/>
          <w:lang w:eastAsia="de-DE" w:bidi="ar-EG"/>
        </w:rPr>
        <w:t xml:space="preserve"> </w:t>
      </w:r>
      <w:r w:rsidRPr="006626D2">
        <w:rPr>
          <w:rFonts w:ascii="Times New Roman" w:eastAsia="Times New Roman" w:hAnsi="Times New Roman" w:cs="Times New Roman"/>
          <w:bCs/>
          <w:lang w:eastAsia="de-DE" w:bidi="ar-EG"/>
        </w:rPr>
        <w:t>[10]</w:t>
      </w:r>
      <w:r w:rsidR="006626D2">
        <w:rPr>
          <w:rFonts w:ascii="Times New Roman" w:eastAsia="Times New Roman" w:hAnsi="Times New Roman" w:cs="Times New Roman"/>
          <w:bCs/>
          <w:lang w:eastAsia="de-DE" w:bidi="ar-EG"/>
        </w:rPr>
        <w:t>.</w:t>
      </w:r>
    </w:p>
    <w:p w14:paraId="0B7BABD0" w14:textId="7FB0E9BD" w:rsidR="00482A55" w:rsidRPr="006626D2" w:rsidRDefault="0011588C" w:rsidP="00D1565B">
      <w:pPr>
        <w:tabs>
          <w:tab w:val="left" w:pos="180"/>
          <w:tab w:val="left" w:pos="1080"/>
        </w:tabs>
        <w:spacing w:before="120" w:after="120" w:line="480" w:lineRule="auto"/>
        <w:ind w:right="57"/>
        <w:contextualSpacing/>
        <w:jc w:val="both"/>
        <w:rPr>
          <w:rFonts w:ascii="Times New Roman" w:eastAsia="Arial" w:hAnsi="Times New Roman" w:cs="Times New Roman"/>
          <w:lang w:eastAsia="de-DE"/>
        </w:rPr>
      </w:pPr>
      <w:r w:rsidRPr="00417F7A">
        <w:rPr>
          <w:rFonts w:ascii="Times New Roman" w:eastAsia="Arial" w:hAnsi="Times New Roman" w:cs="Times New Roman"/>
          <w:lang w:eastAsia="de-DE"/>
        </w:rPr>
        <w:t>C</w:t>
      </w:r>
      <w:r w:rsidR="00495809" w:rsidRPr="00417F7A">
        <w:rPr>
          <w:rFonts w:ascii="Times New Roman" w:eastAsia="Arial" w:hAnsi="Times New Roman" w:cs="Times New Roman"/>
          <w:lang w:eastAsia="de-DE"/>
        </w:rPr>
        <w:t>omplete</w:t>
      </w:r>
      <w:r w:rsidR="00F439DD" w:rsidRPr="00417F7A">
        <w:rPr>
          <w:rFonts w:ascii="Times New Roman" w:eastAsia="Arial" w:hAnsi="Times New Roman" w:cs="Times New Roman"/>
          <w:lang w:eastAsia="de-DE"/>
        </w:rPr>
        <w:t xml:space="preserve"> blood picture (CBC)</w:t>
      </w:r>
      <w:r w:rsidR="0089087F" w:rsidRPr="00417F7A">
        <w:rPr>
          <w:rFonts w:ascii="Times New Roman" w:eastAsia="Arial" w:hAnsi="Times New Roman" w:cs="Times New Roman" w:hint="cs"/>
          <w:lang w:eastAsia="de-DE"/>
        </w:rPr>
        <w:t>,</w:t>
      </w:r>
      <w:r w:rsidR="00BD6352" w:rsidRPr="00417F7A">
        <w:rPr>
          <w:rFonts w:ascii="Times New Roman" w:eastAsia="Arial" w:hAnsi="Times New Roman" w:cs="Times New Roman"/>
          <w:lang w:eastAsia="de-DE"/>
        </w:rPr>
        <w:t xml:space="preserve"> </w:t>
      </w:r>
      <w:r w:rsidR="00F439DD" w:rsidRPr="00417F7A">
        <w:rPr>
          <w:rFonts w:ascii="Times New Roman" w:eastAsia="Arial" w:hAnsi="Times New Roman" w:cs="Times New Roman"/>
          <w:lang w:eastAsia="de-DE"/>
        </w:rPr>
        <w:t>Lipid profile</w:t>
      </w:r>
      <w:r w:rsidR="00F439DD" w:rsidRPr="00417F7A">
        <w:rPr>
          <w:rFonts w:ascii="Times New Roman" w:eastAsia="Arial" w:hAnsi="Times New Roman" w:cs="Times New Roman" w:hint="cs"/>
          <w:lang w:eastAsia="de-DE"/>
        </w:rPr>
        <w:t xml:space="preserve"> (</w:t>
      </w:r>
      <w:r w:rsidR="00F439DD" w:rsidRPr="00417F7A">
        <w:rPr>
          <w:rFonts w:ascii="Times New Roman" w:eastAsia="Arial" w:hAnsi="Times New Roman" w:cs="Times New Roman"/>
          <w:lang w:eastAsia="de-DE"/>
        </w:rPr>
        <w:t>triglycerides,</w:t>
      </w:r>
      <w:r w:rsidR="00BD6352" w:rsidRPr="00417F7A">
        <w:rPr>
          <w:rFonts w:ascii="Times New Roman" w:eastAsia="Arial" w:hAnsi="Times New Roman" w:cs="Times New Roman"/>
          <w:lang w:eastAsia="de-DE"/>
        </w:rPr>
        <w:t xml:space="preserve"> </w:t>
      </w:r>
      <w:r w:rsidR="00F439DD" w:rsidRPr="00417F7A">
        <w:rPr>
          <w:rFonts w:ascii="Times New Roman" w:eastAsia="Arial" w:hAnsi="Times New Roman" w:cs="Times New Roman"/>
          <w:lang w:eastAsia="de-DE"/>
        </w:rPr>
        <w:t xml:space="preserve">HDL, LDH, </w:t>
      </w:r>
      <w:r w:rsidR="004D4832" w:rsidRPr="00417F7A">
        <w:rPr>
          <w:rFonts w:ascii="Times New Roman" w:eastAsia="Arial" w:hAnsi="Times New Roman" w:cs="Times New Roman"/>
          <w:lang w:eastAsia="de-DE"/>
        </w:rPr>
        <w:t>cholesterol</w:t>
      </w:r>
      <w:r w:rsidR="00F439DD" w:rsidRPr="00417F7A">
        <w:rPr>
          <w:rFonts w:ascii="Times New Roman" w:eastAsia="Arial" w:hAnsi="Times New Roman" w:cs="Times New Roman"/>
          <w:lang w:eastAsia="de-DE"/>
        </w:rPr>
        <w:t xml:space="preserve"> level)</w:t>
      </w:r>
      <w:r w:rsidR="004D4832" w:rsidRPr="00417F7A">
        <w:rPr>
          <w:rFonts w:ascii="Times New Roman" w:eastAsia="Arial" w:hAnsi="Times New Roman" w:cs="Times New Roman" w:hint="cs"/>
          <w:lang w:eastAsia="de-DE"/>
        </w:rPr>
        <w:t>,</w:t>
      </w:r>
      <w:r w:rsidR="00BD6352" w:rsidRPr="00417F7A">
        <w:rPr>
          <w:rFonts w:ascii="Times New Roman" w:eastAsia="Arial" w:hAnsi="Times New Roman" w:cs="Times New Roman"/>
          <w:lang w:eastAsia="de-DE"/>
        </w:rPr>
        <w:t xml:space="preserve"> </w:t>
      </w:r>
      <w:r w:rsidR="00F439DD" w:rsidRPr="00417F7A">
        <w:rPr>
          <w:rFonts w:ascii="Times New Roman" w:eastAsia="Arial" w:hAnsi="Times New Roman" w:cs="Times New Roman"/>
          <w:lang w:eastAsia="de-DE"/>
        </w:rPr>
        <w:t>Fasting Blood glucose level</w:t>
      </w:r>
      <w:r w:rsidR="00F439DD" w:rsidRPr="00417F7A">
        <w:rPr>
          <w:rFonts w:ascii="Times New Roman" w:eastAsia="Arial" w:hAnsi="Times New Roman" w:cs="Times New Roman" w:hint="cs"/>
          <w:lang w:eastAsia="de-DE"/>
        </w:rPr>
        <w:t xml:space="preserve"> and or HB</w:t>
      </w:r>
      <w:r w:rsidR="00F439DD" w:rsidRPr="00417F7A">
        <w:rPr>
          <w:rFonts w:ascii="Times New Roman" w:eastAsia="Arial" w:hAnsi="Times New Roman" w:cs="Times New Roman"/>
          <w:lang w:eastAsia="de-DE"/>
        </w:rPr>
        <w:t>A</w:t>
      </w:r>
      <w:r w:rsidR="00F439DD" w:rsidRPr="00417F7A">
        <w:rPr>
          <w:rFonts w:ascii="Times New Roman" w:eastAsia="Arial" w:hAnsi="Times New Roman" w:cs="Times New Roman" w:hint="cs"/>
          <w:lang w:eastAsia="de-DE"/>
        </w:rPr>
        <w:t>1C</w:t>
      </w:r>
      <w:r w:rsidR="004D4832" w:rsidRPr="00417F7A">
        <w:rPr>
          <w:rFonts w:ascii="Times New Roman" w:eastAsia="Arial" w:hAnsi="Times New Roman" w:cs="Times New Roman" w:hint="cs"/>
          <w:lang w:eastAsia="de-DE"/>
        </w:rPr>
        <w:t>,</w:t>
      </w:r>
      <w:r w:rsidR="00BD6352" w:rsidRPr="00417F7A">
        <w:rPr>
          <w:rFonts w:ascii="Times New Roman" w:eastAsia="Arial" w:hAnsi="Times New Roman" w:cs="Times New Roman"/>
          <w:lang w:eastAsia="de-DE"/>
        </w:rPr>
        <w:t xml:space="preserve"> </w:t>
      </w:r>
      <w:r w:rsidR="00F439DD" w:rsidRPr="00417F7A">
        <w:rPr>
          <w:rFonts w:ascii="Times New Roman" w:eastAsia="Arial" w:hAnsi="Times New Roman" w:cs="Times New Roman"/>
          <w:lang w:eastAsia="de-DE"/>
        </w:rPr>
        <w:t xml:space="preserve">Liver </w:t>
      </w:r>
      <w:r w:rsidR="00F439DD" w:rsidRPr="00417F7A">
        <w:rPr>
          <w:rFonts w:ascii="Times New Roman" w:eastAsia="Arial" w:hAnsi="Times New Roman" w:cs="Times New Roman" w:hint="cs"/>
          <w:lang w:eastAsia="de-DE"/>
        </w:rPr>
        <w:t>enzymes.</w:t>
      </w:r>
      <w:r w:rsidR="00BD6352" w:rsidRPr="00417F7A">
        <w:rPr>
          <w:rFonts w:ascii="Times New Roman" w:eastAsia="Arial" w:hAnsi="Times New Roman" w:cs="Times New Roman"/>
          <w:lang w:eastAsia="de-DE"/>
        </w:rPr>
        <w:t xml:space="preserve"> </w:t>
      </w:r>
      <w:r w:rsidR="00F439DD" w:rsidRPr="00417F7A">
        <w:rPr>
          <w:rFonts w:ascii="Times New Roman" w:eastAsia="Arial" w:hAnsi="Times New Roman" w:cs="Times New Roman" w:hint="cs"/>
          <w:lang w:eastAsia="de-DE"/>
        </w:rPr>
        <w:t>(</w:t>
      </w:r>
      <w:r w:rsidR="00F439DD" w:rsidRPr="00417F7A">
        <w:rPr>
          <w:rFonts w:ascii="Times New Roman" w:eastAsia="Arial" w:hAnsi="Times New Roman" w:cs="Times New Roman"/>
          <w:lang w:eastAsia="de-DE"/>
        </w:rPr>
        <w:t>ALT</w:t>
      </w:r>
      <w:r w:rsidR="00F439DD" w:rsidRPr="00417F7A">
        <w:rPr>
          <w:rFonts w:ascii="Times New Roman" w:eastAsia="Arial" w:hAnsi="Times New Roman" w:cs="Times New Roman" w:hint="cs"/>
          <w:lang w:eastAsia="de-DE"/>
        </w:rPr>
        <w:t>, AST)</w:t>
      </w:r>
      <w:r w:rsidR="00951EFE" w:rsidRPr="00417F7A">
        <w:rPr>
          <w:rFonts w:ascii="Times New Roman" w:eastAsia="Arial" w:hAnsi="Times New Roman" w:cs="Times New Roman"/>
          <w:lang w:eastAsia="de-DE"/>
        </w:rPr>
        <w:t>,</w:t>
      </w:r>
      <w:r w:rsidR="00BD6352" w:rsidRPr="00417F7A">
        <w:rPr>
          <w:rFonts w:ascii="Times New Roman" w:eastAsia="Arial" w:hAnsi="Times New Roman" w:cs="Times New Roman"/>
          <w:lang w:eastAsia="de-DE"/>
        </w:rPr>
        <w:t xml:space="preserve"> </w:t>
      </w:r>
      <w:r w:rsidR="00811914" w:rsidRPr="006626D2">
        <w:rPr>
          <w:rFonts w:ascii="Times New Roman" w:eastAsia="Arial" w:hAnsi="Times New Roman" w:cs="Times New Roman"/>
          <w:lang w:eastAsia="de-DE"/>
        </w:rPr>
        <w:t xml:space="preserve">CRP, </w:t>
      </w:r>
      <w:r w:rsidR="00951EFE" w:rsidRPr="006626D2">
        <w:rPr>
          <w:rFonts w:ascii="Times New Roman" w:eastAsia="Arial" w:hAnsi="Times New Roman" w:cs="Times New Roman"/>
          <w:lang w:eastAsia="de-DE"/>
        </w:rPr>
        <w:t>fecal calprotectin</w:t>
      </w:r>
      <w:r w:rsidR="00D50544">
        <w:rPr>
          <w:rFonts w:ascii="Times New Roman" w:eastAsia="Arial" w:hAnsi="Times New Roman" w:cs="Times New Roman"/>
          <w:lang w:eastAsia="de-DE"/>
        </w:rPr>
        <w:t>.</w:t>
      </w:r>
      <w:r w:rsidR="004D4832" w:rsidRPr="00417F7A">
        <w:rPr>
          <w:rFonts w:ascii="Times New Roman" w:eastAsia="Arial" w:hAnsi="Times New Roman" w:cs="Times New Roman" w:hint="cs"/>
          <w:lang w:eastAsia="de-DE"/>
        </w:rPr>
        <w:t xml:space="preserve"> </w:t>
      </w:r>
      <w:r w:rsidR="00D50544">
        <w:rPr>
          <w:rFonts w:ascii="Times New Roman" w:eastAsia="Arial" w:hAnsi="Times New Roman" w:cs="Times New Roman"/>
          <w:lang w:eastAsia="de-DE"/>
        </w:rPr>
        <w:t>A</w:t>
      </w:r>
      <w:r w:rsidR="00BD6352" w:rsidRPr="00417F7A">
        <w:rPr>
          <w:rFonts w:ascii="Times New Roman" w:eastAsia="Arial" w:hAnsi="Times New Roman" w:cs="Times New Roman"/>
          <w:lang w:eastAsia="de-DE"/>
        </w:rPr>
        <w:t xml:space="preserve"> </w:t>
      </w:r>
      <w:r w:rsidR="004D4832" w:rsidRPr="006626D2">
        <w:rPr>
          <w:rFonts w:ascii="Times New Roman" w:eastAsia="Arial" w:hAnsi="Times New Roman" w:cs="Times New Roman" w:hint="cs"/>
          <w:lang w:eastAsia="de-DE"/>
        </w:rPr>
        <w:t>bl</w:t>
      </w:r>
      <w:r w:rsidR="00F439DD" w:rsidRPr="006626D2">
        <w:rPr>
          <w:rFonts w:ascii="Times New Roman" w:eastAsia="Arial" w:hAnsi="Times New Roman" w:cs="Times New Roman"/>
          <w:lang w:eastAsia="de-DE"/>
        </w:rPr>
        <w:t xml:space="preserve">ood sample </w:t>
      </w:r>
      <w:r w:rsidR="00D50544">
        <w:rPr>
          <w:rFonts w:ascii="Times New Roman" w:eastAsia="Arial" w:hAnsi="Times New Roman" w:cs="Times New Roman"/>
          <w:lang w:eastAsia="de-DE"/>
        </w:rPr>
        <w:t>was</w:t>
      </w:r>
      <w:r w:rsidR="00F439DD" w:rsidRPr="006626D2">
        <w:rPr>
          <w:rFonts w:ascii="Times New Roman" w:eastAsia="Arial" w:hAnsi="Times New Roman" w:cs="Times New Roman"/>
          <w:lang w:eastAsia="de-DE"/>
        </w:rPr>
        <w:t xml:space="preserve"> taken to measure</w:t>
      </w:r>
      <w:r w:rsidR="00F439DD" w:rsidRPr="006626D2">
        <w:rPr>
          <w:rFonts w:ascii="Times New Roman" w:eastAsia="Arial" w:hAnsi="Times New Roman" w:cs="Times New Roman"/>
          <w:rtl/>
          <w:lang w:eastAsia="de-DE"/>
        </w:rPr>
        <w:t xml:space="preserve"> </w:t>
      </w:r>
      <w:r w:rsidR="00F439DD" w:rsidRPr="006626D2">
        <w:rPr>
          <w:rFonts w:ascii="Times New Roman" w:eastAsia="Arial" w:hAnsi="Times New Roman" w:cs="Times New Roman"/>
          <w:lang w:eastAsia="de-DE"/>
        </w:rPr>
        <w:t>vitamin D in serum</w:t>
      </w:r>
      <w:r w:rsidR="00D50544">
        <w:rPr>
          <w:rFonts w:ascii="Times New Roman" w:eastAsia="Arial" w:hAnsi="Times New Roman" w:cs="Times New Roman"/>
          <w:lang w:eastAsia="de-DE"/>
        </w:rPr>
        <w:t>.</w:t>
      </w:r>
    </w:p>
    <w:p w14:paraId="0FBAA5FE" w14:textId="74D738F4" w:rsidR="00F439DD" w:rsidRPr="00417F7A" w:rsidRDefault="00F439DD" w:rsidP="00D1565B">
      <w:pPr>
        <w:tabs>
          <w:tab w:val="left" w:pos="180"/>
          <w:tab w:val="left" w:pos="1080"/>
        </w:tabs>
        <w:spacing w:before="120" w:after="120" w:line="480" w:lineRule="auto"/>
        <w:ind w:right="57"/>
        <w:contextualSpacing/>
        <w:jc w:val="both"/>
        <w:rPr>
          <w:rFonts w:ascii="Times New Roman" w:eastAsia="Arial" w:hAnsi="Times New Roman" w:cs="Times New Roman"/>
          <w:lang w:eastAsia="de-DE"/>
        </w:rPr>
      </w:pPr>
      <w:r w:rsidRPr="006626D2">
        <w:rPr>
          <w:rFonts w:ascii="Times New Roman" w:eastAsia="Arial" w:hAnsi="Times New Roman" w:cs="Times New Roman"/>
          <w:lang w:eastAsia="de-DE"/>
        </w:rPr>
        <w:t xml:space="preserve"> (25-hydroxyvitamin D)</w:t>
      </w:r>
      <w:r w:rsidR="00D50544">
        <w:rPr>
          <w:rFonts w:ascii="Times New Roman" w:eastAsia="Arial" w:hAnsi="Times New Roman" w:cs="Times New Roman"/>
          <w:lang w:eastAsia="de-DE"/>
        </w:rPr>
        <w:t>.</w:t>
      </w:r>
      <w:r w:rsidR="00D1565B" w:rsidRPr="006626D2">
        <w:rPr>
          <w:rFonts w:ascii="Times New Roman" w:eastAsia="Arial" w:hAnsi="Times New Roman" w:cs="Times New Roman" w:hint="cs"/>
          <w:lang w:eastAsia="de-DE"/>
        </w:rPr>
        <w:t xml:space="preserve"> </w:t>
      </w:r>
      <w:r w:rsidR="00BD6352" w:rsidRPr="006626D2">
        <w:rPr>
          <w:rFonts w:ascii="Times New Roman" w:eastAsia="Arial" w:hAnsi="Times New Roman" w:cs="Times New Roman"/>
          <w:lang w:eastAsia="de-DE"/>
        </w:rPr>
        <w:t>Ultrasounds of the abdomen and pelvis were pe</w:t>
      </w:r>
      <w:r w:rsidR="00BD6352" w:rsidRPr="00417F7A">
        <w:rPr>
          <w:rFonts w:ascii="Times New Roman" w:eastAsia="Times New Roman" w:hAnsi="Times New Roman" w:cs="Times New Roman"/>
          <w:bCs/>
          <w:lang w:eastAsia="de-DE"/>
        </w:rPr>
        <w:t>rformed for all participants</w:t>
      </w:r>
      <w:r w:rsidR="007F33ED" w:rsidRPr="00417F7A">
        <w:rPr>
          <w:rFonts w:ascii="Times New Roman" w:eastAsia="Arial" w:hAnsi="Times New Roman" w:cs="Times New Roman"/>
          <w:lang w:eastAsia="de-DE"/>
        </w:rPr>
        <w:t>.</w:t>
      </w:r>
    </w:p>
    <w:p w14:paraId="65752F94" w14:textId="77777777" w:rsidR="00863B2B" w:rsidRPr="00417F7A" w:rsidRDefault="00863B2B" w:rsidP="00863B2B">
      <w:pPr>
        <w:rPr>
          <w:rFonts w:asciiTheme="majorBidi" w:hAnsiTheme="majorBidi" w:cstheme="majorBidi"/>
          <w:b/>
          <w:bCs/>
        </w:rPr>
      </w:pPr>
      <w:r w:rsidRPr="00417F7A">
        <w:rPr>
          <w:rFonts w:asciiTheme="majorBidi" w:hAnsiTheme="majorBidi" w:cstheme="majorBidi"/>
          <w:b/>
          <w:bCs/>
        </w:rPr>
        <w:t>Results</w:t>
      </w:r>
    </w:p>
    <w:p w14:paraId="5BAF2219" w14:textId="7838C92C" w:rsidR="00863B2B" w:rsidRPr="00417F7A" w:rsidRDefault="00863B2B" w:rsidP="000768CB">
      <w:pPr>
        <w:jc w:val="both"/>
        <w:rPr>
          <w:rFonts w:asciiTheme="majorBidi" w:hAnsiTheme="majorBidi" w:cstheme="majorBidi"/>
        </w:rPr>
      </w:pPr>
      <w:r w:rsidRPr="00417F7A">
        <w:rPr>
          <w:rFonts w:asciiTheme="majorBidi" w:hAnsiTheme="majorBidi" w:cstheme="majorBidi"/>
        </w:rPr>
        <w:t xml:space="preserve">Data analysis was conducted using the Statistical Package for </w:t>
      </w:r>
      <w:r w:rsidR="00D50544">
        <w:rPr>
          <w:rFonts w:asciiTheme="majorBidi" w:hAnsiTheme="majorBidi" w:cstheme="majorBidi"/>
        </w:rPr>
        <w:t>the Social Sciences (</w:t>
      </w:r>
      <w:r w:rsidRPr="00417F7A">
        <w:rPr>
          <w:rFonts w:asciiTheme="majorBidi" w:hAnsiTheme="majorBidi" w:cstheme="majorBidi"/>
        </w:rPr>
        <w:t xml:space="preserve">SPSS), version 22.0 (Armonk, NY: IBM Corp, USA). Quantitative data were </w:t>
      </w:r>
      <w:r w:rsidR="00BD6352" w:rsidRPr="00417F7A">
        <w:rPr>
          <w:rFonts w:asciiTheme="majorBidi" w:hAnsiTheme="majorBidi" w:cstheme="majorBidi"/>
        </w:rPr>
        <w:t xml:space="preserve">analyzed using an independent t-test and presented as the </w:t>
      </w:r>
      <w:r w:rsidRPr="00417F7A">
        <w:rPr>
          <w:rFonts w:asciiTheme="majorBidi" w:hAnsiTheme="majorBidi" w:cstheme="majorBidi"/>
        </w:rPr>
        <w:t>mean ± standard deviation (SD)</w:t>
      </w:r>
      <w:r w:rsidR="002B7525">
        <w:rPr>
          <w:rFonts w:asciiTheme="majorBidi" w:hAnsiTheme="majorBidi" w:cstheme="majorBidi"/>
        </w:rPr>
        <w:t>. Qualitative</w:t>
      </w:r>
      <w:r w:rsidRPr="00417F7A">
        <w:rPr>
          <w:rFonts w:asciiTheme="majorBidi" w:hAnsiTheme="majorBidi" w:cstheme="majorBidi"/>
        </w:rPr>
        <w:t xml:space="preserve"> data were reported as frequencies and percentages. </w:t>
      </w:r>
      <w:r w:rsidRPr="00417F7A">
        <w:rPr>
          <w:rFonts w:asciiTheme="majorBidi" w:hAnsiTheme="majorBidi" w:cstheme="majorBidi"/>
          <w:lang w:eastAsia="zh-CN"/>
        </w:rPr>
        <w:t>The Chi-square (X²) test of significance was applied to compare proportions between two qualitative parameters. Results were considered significant when P &lt; 0.05 and non-significant when P &gt; 0.05</w:t>
      </w:r>
      <w:r w:rsidR="006626D2">
        <w:rPr>
          <w:rFonts w:asciiTheme="majorBidi" w:hAnsiTheme="majorBidi" w:cstheme="majorBidi"/>
          <w:lang w:eastAsia="zh-CN"/>
        </w:rPr>
        <w:t>.</w:t>
      </w:r>
    </w:p>
    <w:p w14:paraId="68BBF10C" w14:textId="1CE613A7" w:rsidR="00863B2B" w:rsidRPr="006626D2" w:rsidRDefault="00863B2B" w:rsidP="00BD6352">
      <w:pPr>
        <w:rPr>
          <w:rFonts w:asciiTheme="majorBidi" w:hAnsiTheme="majorBidi" w:cstheme="majorBidi"/>
        </w:rPr>
      </w:pPr>
      <w:r w:rsidRPr="006626D2">
        <w:rPr>
          <w:rFonts w:asciiTheme="majorBidi" w:hAnsiTheme="majorBidi" w:cstheme="majorBidi"/>
        </w:rPr>
        <w:t xml:space="preserve">This cross-sectional study was </w:t>
      </w:r>
      <w:r w:rsidR="00BD6352" w:rsidRPr="006626D2">
        <w:rPr>
          <w:rFonts w:asciiTheme="majorBidi" w:hAnsiTheme="majorBidi" w:cstheme="majorBidi"/>
        </w:rPr>
        <w:t xml:space="preserve">conducted among 100 patients who visited the Tropical Medicine outpatient clinic at </w:t>
      </w:r>
      <w:r w:rsidR="002B7525" w:rsidRPr="006626D2">
        <w:rPr>
          <w:rFonts w:asciiTheme="majorBidi" w:hAnsiTheme="majorBidi" w:cstheme="majorBidi"/>
        </w:rPr>
        <w:t>Tanta University's Faculty of Medicine</w:t>
      </w:r>
      <w:r w:rsidR="006E207E" w:rsidRPr="006626D2">
        <w:rPr>
          <w:rFonts w:asciiTheme="majorBidi" w:hAnsiTheme="majorBidi" w:cstheme="majorBidi"/>
        </w:rPr>
        <w:t>.</w:t>
      </w:r>
      <w:r w:rsidRPr="006626D2">
        <w:rPr>
          <w:rFonts w:asciiTheme="majorBidi" w:hAnsiTheme="majorBidi" w:cstheme="majorBidi"/>
        </w:rPr>
        <w:t xml:space="preserve"> </w:t>
      </w:r>
      <w:r w:rsidR="006E207E" w:rsidRPr="006626D2">
        <w:rPr>
          <w:rFonts w:asciiTheme="majorBidi" w:hAnsiTheme="majorBidi" w:cstheme="majorBidi"/>
        </w:rPr>
        <w:t>T</w:t>
      </w:r>
      <w:r w:rsidRPr="006626D2">
        <w:rPr>
          <w:rFonts w:asciiTheme="majorBidi" w:hAnsiTheme="majorBidi" w:cstheme="majorBidi"/>
        </w:rPr>
        <w:t xml:space="preserve">he following results were statistically extracted from the </w:t>
      </w:r>
      <w:r w:rsidR="00BD6352" w:rsidRPr="006626D2">
        <w:rPr>
          <w:rFonts w:asciiTheme="majorBidi" w:hAnsiTheme="majorBidi" w:cstheme="majorBidi"/>
        </w:rPr>
        <w:t>patients'</w:t>
      </w:r>
      <w:r w:rsidRPr="006626D2">
        <w:rPr>
          <w:rFonts w:asciiTheme="majorBidi" w:hAnsiTheme="majorBidi" w:cstheme="majorBidi"/>
        </w:rPr>
        <w:t xml:space="preserve"> data.</w:t>
      </w:r>
    </w:p>
    <w:p w14:paraId="21F78179" w14:textId="2C786243" w:rsidR="006626D2" w:rsidRPr="006626D2" w:rsidRDefault="006626D2" w:rsidP="006626D2">
      <w:pPr>
        <w:pStyle w:val="Caption"/>
        <w:keepNext/>
      </w:pPr>
      <w:r>
        <w:t xml:space="preserve">Table </w:t>
      </w:r>
      <w:fldSimple w:instr=" SEQ Table \* ARABIC ">
        <w:r w:rsidR="000D3BC7">
          <w:rPr>
            <w:noProof/>
          </w:rPr>
          <w:t>1</w:t>
        </w:r>
      </w:fldSimple>
      <w:r>
        <w:t xml:space="preserve">. </w:t>
      </w:r>
      <w:r w:rsidRPr="006626D2">
        <w:rPr>
          <w:b/>
          <w:bCs/>
        </w:rPr>
        <w:t>Demographic characteristics of the studied cases and control groups (N=100)</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Demographic characteristics of the studied cases and control groups (N=100)"/>
      </w:tblPr>
      <w:tblGrid>
        <w:gridCol w:w="2471"/>
        <w:gridCol w:w="2324"/>
        <w:gridCol w:w="2324"/>
        <w:gridCol w:w="1902"/>
      </w:tblGrid>
      <w:tr w:rsidR="00863B2B" w:rsidRPr="00A6114C" w14:paraId="5B22BD6E" w14:textId="77777777" w:rsidTr="006626D2">
        <w:tc>
          <w:tcPr>
            <w:tcW w:w="2471" w:type="dxa"/>
            <w:tcBorders>
              <w:top w:val="single" w:sz="4" w:space="0" w:color="auto"/>
              <w:bottom w:val="single" w:sz="4" w:space="0" w:color="auto"/>
            </w:tcBorders>
            <w:hideMark/>
          </w:tcPr>
          <w:p w14:paraId="68F22CE7"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characteristics</w:t>
            </w:r>
          </w:p>
        </w:tc>
        <w:tc>
          <w:tcPr>
            <w:tcW w:w="2324" w:type="dxa"/>
            <w:tcBorders>
              <w:top w:val="single" w:sz="4" w:space="0" w:color="auto"/>
              <w:bottom w:val="single" w:sz="4" w:space="0" w:color="auto"/>
            </w:tcBorders>
            <w:hideMark/>
          </w:tcPr>
          <w:p w14:paraId="1582D13E" w14:textId="77777777" w:rsidR="00863B2B" w:rsidRPr="00A6114C" w:rsidRDefault="00485156" w:rsidP="000768CB">
            <w:pPr>
              <w:rPr>
                <w:rFonts w:asciiTheme="majorBidi" w:hAnsiTheme="majorBidi" w:cstheme="majorBidi"/>
                <w:sz w:val="20"/>
                <w:szCs w:val="20"/>
              </w:rPr>
            </w:pPr>
            <w:r w:rsidRPr="00A6114C">
              <w:rPr>
                <w:rFonts w:asciiTheme="majorBidi" w:hAnsiTheme="majorBidi" w:cstheme="majorBidi"/>
                <w:sz w:val="20"/>
                <w:szCs w:val="20"/>
              </w:rPr>
              <w:t>Group I</w:t>
            </w:r>
          </w:p>
          <w:p w14:paraId="2DB18524" w14:textId="18497410" w:rsidR="00485156" w:rsidRPr="00A6114C" w:rsidRDefault="00485156" w:rsidP="000768CB">
            <w:pPr>
              <w:rPr>
                <w:rFonts w:asciiTheme="majorBidi" w:hAnsiTheme="majorBidi" w:cstheme="majorBidi"/>
                <w:sz w:val="20"/>
                <w:szCs w:val="20"/>
              </w:rPr>
            </w:pPr>
            <w:r w:rsidRPr="00A6114C">
              <w:rPr>
                <w:rFonts w:asciiTheme="majorBidi" w:hAnsiTheme="majorBidi" w:cstheme="majorBidi"/>
                <w:sz w:val="20"/>
                <w:szCs w:val="20"/>
              </w:rPr>
              <w:t>(50)</w:t>
            </w:r>
          </w:p>
        </w:tc>
        <w:tc>
          <w:tcPr>
            <w:tcW w:w="2324" w:type="dxa"/>
            <w:tcBorders>
              <w:top w:val="single" w:sz="4" w:space="0" w:color="auto"/>
              <w:bottom w:val="single" w:sz="4" w:space="0" w:color="auto"/>
            </w:tcBorders>
            <w:hideMark/>
          </w:tcPr>
          <w:p w14:paraId="1A22A678" w14:textId="16B2D6F1" w:rsidR="00863B2B" w:rsidRPr="00A6114C" w:rsidRDefault="00485156" w:rsidP="000768CB">
            <w:pPr>
              <w:rPr>
                <w:rFonts w:asciiTheme="majorBidi" w:hAnsiTheme="majorBidi" w:cstheme="majorBidi"/>
                <w:sz w:val="20"/>
                <w:szCs w:val="20"/>
              </w:rPr>
            </w:pPr>
            <w:r w:rsidRPr="00A6114C">
              <w:rPr>
                <w:rFonts w:asciiTheme="majorBidi" w:hAnsiTheme="majorBidi" w:cstheme="majorBidi"/>
                <w:sz w:val="20"/>
                <w:szCs w:val="20"/>
              </w:rPr>
              <w:t>Group</w:t>
            </w:r>
            <w:r w:rsidR="006626D2" w:rsidRPr="00A6114C">
              <w:rPr>
                <w:rFonts w:asciiTheme="majorBidi" w:hAnsiTheme="majorBidi" w:cstheme="majorBidi"/>
                <w:sz w:val="20"/>
                <w:szCs w:val="20"/>
              </w:rPr>
              <w:t xml:space="preserve"> </w:t>
            </w:r>
            <w:r w:rsidR="00A126CA" w:rsidRPr="00A6114C">
              <w:rPr>
                <w:rFonts w:asciiTheme="majorBidi" w:hAnsiTheme="majorBidi" w:cstheme="majorBidi"/>
                <w:sz w:val="20"/>
                <w:szCs w:val="20"/>
              </w:rPr>
              <w:t>(II)</w:t>
            </w:r>
          </w:p>
          <w:p w14:paraId="0E4D8D26" w14:textId="637693D5" w:rsidR="00A126CA" w:rsidRPr="00A6114C" w:rsidRDefault="00A126CA" w:rsidP="000768CB">
            <w:pPr>
              <w:rPr>
                <w:rFonts w:asciiTheme="majorBidi" w:hAnsiTheme="majorBidi" w:cstheme="majorBidi"/>
                <w:sz w:val="20"/>
                <w:szCs w:val="20"/>
              </w:rPr>
            </w:pPr>
            <w:r w:rsidRPr="00A6114C">
              <w:rPr>
                <w:rFonts w:asciiTheme="majorBidi" w:hAnsiTheme="majorBidi" w:cstheme="majorBidi"/>
                <w:sz w:val="20"/>
                <w:szCs w:val="20"/>
              </w:rPr>
              <w:t>(50)</w:t>
            </w:r>
          </w:p>
        </w:tc>
        <w:tc>
          <w:tcPr>
            <w:tcW w:w="1902" w:type="dxa"/>
            <w:tcBorders>
              <w:top w:val="single" w:sz="4" w:space="0" w:color="auto"/>
              <w:bottom w:val="single" w:sz="4" w:space="0" w:color="auto"/>
            </w:tcBorders>
            <w:hideMark/>
          </w:tcPr>
          <w:p w14:paraId="502CA0D4"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P-value</w:t>
            </w:r>
          </w:p>
        </w:tc>
      </w:tr>
      <w:tr w:rsidR="00863B2B" w:rsidRPr="00A6114C" w14:paraId="34F28288" w14:textId="77777777" w:rsidTr="006626D2">
        <w:tc>
          <w:tcPr>
            <w:tcW w:w="2471" w:type="dxa"/>
            <w:tcBorders>
              <w:top w:val="single" w:sz="4" w:space="0" w:color="auto"/>
            </w:tcBorders>
            <w:hideMark/>
          </w:tcPr>
          <w:p w14:paraId="5ECA0BB0" w14:textId="77777777" w:rsidR="00863B2B" w:rsidRPr="00A6114C" w:rsidRDefault="00863B2B" w:rsidP="000768CB">
            <w:pPr>
              <w:rPr>
                <w:rFonts w:asciiTheme="majorBidi" w:hAnsiTheme="majorBidi" w:cstheme="majorBidi"/>
                <w:b/>
                <w:bCs/>
                <w:sz w:val="20"/>
                <w:szCs w:val="20"/>
              </w:rPr>
            </w:pPr>
            <w:r w:rsidRPr="00A6114C">
              <w:rPr>
                <w:rFonts w:asciiTheme="majorBidi" w:hAnsiTheme="majorBidi" w:cstheme="majorBidi"/>
                <w:b/>
                <w:bCs/>
                <w:sz w:val="20"/>
                <w:szCs w:val="20"/>
              </w:rPr>
              <w:t>Age</w:t>
            </w:r>
          </w:p>
        </w:tc>
        <w:tc>
          <w:tcPr>
            <w:tcW w:w="2324" w:type="dxa"/>
            <w:tcBorders>
              <w:top w:val="single" w:sz="4" w:space="0" w:color="auto"/>
            </w:tcBorders>
            <w:hideMark/>
          </w:tcPr>
          <w:p w14:paraId="082F39E7"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41.76±4.62</w:t>
            </w:r>
          </w:p>
        </w:tc>
        <w:tc>
          <w:tcPr>
            <w:tcW w:w="2324" w:type="dxa"/>
            <w:tcBorders>
              <w:top w:val="single" w:sz="4" w:space="0" w:color="auto"/>
            </w:tcBorders>
            <w:hideMark/>
          </w:tcPr>
          <w:p w14:paraId="16CD1A07"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41.3±5.22</w:t>
            </w:r>
          </w:p>
        </w:tc>
        <w:tc>
          <w:tcPr>
            <w:tcW w:w="1902" w:type="dxa"/>
            <w:tcBorders>
              <w:top w:val="single" w:sz="4" w:space="0" w:color="auto"/>
            </w:tcBorders>
            <w:hideMark/>
          </w:tcPr>
          <w:p w14:paraId="556C407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0.64</w:t>
            </w:r>
          </w:p>
        </w:tc>
      </w:tr>
      <w:tr w:rsidR="00863B2B" w:rsidRPr="00A6114C" w14:paraId="4A10B769" w14:textId="77777777" w:rsidTr="006626D2">
        <w:tc>
          <w:tcPr>
            <w:tcW w:w="2471" w:type="dxa"/>
            <w:hideMark/>
          </w:tcPr>
          <w:p w14:paraId="568658B2"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Sex</w:t>
            </w:r>
          </w:p>
          <w:p w14:paraId="7B0594D4"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 xml:space="preserve">Male </w:t>
            </w:r>
          </w:p>
          <w:p w14:paraId="202B8600"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 xml:space="preserve">Female </w:t>
            </w:r>
          </w:p>
        </w:tc>
        <w:tc>
          <w:tcPr>
            <w:tcW w:w="2324" w:type="dxa"/>
          </w:tcPr>
          <w:p w14:paraId="40C06094" w14:textId="77777777" w:rsidR="00863B2B" w:rsidRPr="00A6114C" w:rsidRDefault="00863B2B" w:rsidP="000768CB">
            <w:pPr>
              <w:rPr>
                <w:rFonts w:asciiTheme="majorBidi" w:hAnsiTheme="majorBidi" w:cstheme="majorBidi"/>
                <w:sz w:val="20"/>
                <w:szCs w:val="20"/>
              </w:rPr>
            </w:pPr>
          </w:p>
          <w:p w14:paraId="2F45D88C"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18 (36%)</w:t>
            </w:r>
          </w:p>
          <w:p w14:paraId="259130FA"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32 (64%)</w:t>
            </w:r>
          </w:p>
        </w:tc>
        <w:tc>
          <w:tcPr>
            <w:tcW w:w="2324" w:type="dxa"/>
          </w:tcPr>
          <w:p w14:paraId="4E10B08D" w14:textId="77777777" w:rsidR="00863B2B" w:rsidRPr="00A6114C" w:rsidRDefault="00863B2B" w:rsidP="000768CB">
            <w:pPr>
              <w:rPr>
                <w:rFonts w:asciiTheme="majorBidi" w:hAnsiTheme="majorBidi" w:cstheme="majorBidi"/>
                <w:sz w:val="20"/>
                <w:szCs w:val="20"/>
              </w:rPr>
            </w:pPr>
          </w:p>
          <w:p w14:paraId="7151E0DE"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23 (46%)</w:t>
            </w:r>
          </w:p>
          <w:p w14:paraId="6D2CA812"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27 (54%)</w:t>
            </w:r>
          </w:p>
        </w:tc>
        <w:tc>
          <w:tcPr>
            <w:tcW w:w="1902" w:type="dxa"/>
            <w:hideMark/>
          </w:tcPr>
          <w:p w14:paraId="6538AB4E"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0.31</w:t>
            </w:r>
          </w:p>
        </w:tc>
      </w:tr>
      <w:tr w:rsidR="00863B2B" w:rsidRPr="00A6114C" w14:paraId="3EC7B1C8" w14:textId="77777777" w:rsidTr="006626D2">
        <w:tc>
          <w:tcPr>
            <w:tcW w:w="2471" w:type="dxa"/>
            <w:hideMark/>
          </w:tcPr>
          <w:p w14:paraId="7E591C72" w14:textId="77777777" w:rsidR="00863B2B" w:rsidRPr="00A6114C" w:rsidRDefault="00863B2B" w:rsidP="000768CB">
            <w:pPr>
              <w:rPr>
                <w:rFonts w:asciiTheme="majorBidi" w:hAnsiTheme="majorBidi" w:cstheme="majorBidi"/>
                <w:b/>
                <w:bCs/>
                <w:sz w:val="20"/>
                <w:szCs w:val="20"/>
              </w:rPr>
            </w:pPr>
            <w:r w:rsidRPr="00A6114C">
              <w:rPr>
                <w:rFonts w:asciiTheme="majorBidi" w:hAnsiTheme="majorBidi" w:cstheme="majorBidi"/>
                <w:b/>
                <w:bCs/>
                <w:sz w:val="20"/>
                <w:szCs w:val="20"/>
              </w:rPr>
              <w:t>Waist circumference</w:t>
            </w:r>
          </w:p>
        </w:tc>
        <w:tc>
          <w:tcPr>
            <w:tcW w:w="2324" w:type="dxa"/>
            <w:hideMark/>
          </w:tcPr>
          <w:p w14:paraId="3BA5316F"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86.16±7.22</w:t>
            </w:r>
          </w:p>
        </w:tc>
        <w:tc>
          <w:tcPr>
            <w:tcW w:w="2324" w:type="dxa"/>
            <w:hideMark/>
          </w:tcPr>
          <w:p w14:paraId="4B663814"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85.66±6.57</w:t>
            </w:r>
          </w:p>
        </w:tc>
        <w:tc>
          <w:tcPr>
            <w:tcW w:w="1902" w:type="dxa"/>
            <w:hideMark/>
          </w:tcPr>
          <w:p w14:paraId="2B823F6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0.72</w:t>
            </w:r>
          </w:p>
        </w:tc>
      </w:tr>
      <w:tr w:rsidR="00863B2B" w:rsidRPr="00A6114C" w14:paraId="2315D582" w14:textId="77777777" w:rsidTr="006626D2">
        <w:tc>
          <w:tcPr>
            <w:tcW w:w="2471" w:type="dxa"/>
            <w:hideMark/>
          </w:tcPr>
          <w:p w14:paraId="0DFC0B31" w14:textId="77777777" w:rsidR="00863B2B" w:rsidRPr="00A6114C" w:rsidRDefault="00863B2B" w:rsidP="000768CB">
            <w:pPr>
              <w:rPr>
                <w:rFonts w:asciiTheme="majorBidi" w:hAnsiTheme="majorBidi" w:cstheme="majorBidi"/>
                <w:b/>
                <w:bCs/>
                <w:sz w:val="20"/>
                <w:szCs w:val="20"/>
              </w:rPr>
            </w:pPr>
            <w:r w:rsidRPr="00A6114C">
              <w:rPr>
                <w:rFonts w:asciiTheme="majorBidi" w:hAnsiTheme="majorBidi" w:cstheme="majorBidi"/>
                <w:b/>
                <w:bCs/>
                <w:sz w:val="20"/>
                <w:szCs w:val="20"/>
              </w:rPr>
              <w:t>Smoking</w:t>
            </w:r>
          </w:p>
          <w:p w14:paraId="19461FDC"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Nonsmoker</w:t>
            </w:r>
          </w:p>
          <w:p w14:paraId="3240F238"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 xml:space="preserve">Smoker </w:t>
            </w:r>
          </w:p>
        </w:tc>
        <w:tc>
          <w:tcPr>
            <w:tcW w:w="2324" w:type="dxa"/>
          </w:tcPr>
          <w:p w14:paraId="00992A23" w14:textId="77777777" w:rsidR="00863B2B" w:rsidRPr="00A6114C" w:rsidRDefault="00863B2B" w:rsidP="000768CB">
            <w:pPr>
              <w:rPr>
                <w:rFonts w:asciiTheme="majorBidi" w:hAnsiTheme="majorBidi" w:cstheme="majorBidi"/>
                <w:sz w:val="20"/>
                <w:szCs w:val="20"/>
              </w:rPr>
            </w:pPr>
          </w:p>
          <w:p w14:paraId="0EF22163"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40 (80%)</w:t>
            </w:r>
          </w:p>
          <w:p w14:paraId="79F78DEE"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10 (20%)</w:t>
            </w:r>
          </w:p>
        </w:tc>
        <w:tc>
          <w:tcPr>
            <w:tcW w:w="2324" w:type="dxa"/>
          </w:tcPr>
          <w:p w14:paraId="290CED4B" w14:textId="77777777" w:rsidR="00863B2B" w:rsidRPr="00A6114C" w:rsidRDefault="00863B2B" w:rsidP="000768CB">
            <w:pPr>
              <w:rPr>
                <w:rFonts w:asciiTheme="majorBidi" w:hAnsiTheme="majorBidi" w:cstheme="majorBidi"/>
                <w:sz w:val="20"/>
                <w:szCs w:val="20"/>
              </w:rPr>
            </w:pPr>
          </w:p>
          <w:p w14:paraId="6FF821D9"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38 (76%)</w:t>
            </w:r>
          </w:p>
          <w:p w14:paraId="1D37663D"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12 (24%)</w:t>
            </w:r>
          </w:p>
        </w:tc>
        <w:tc>
          <w:tcPr>
            <w:tcW w:w="1902" w:type="dxa"/>
            <w:hideMark/>
          </w:tcPr>
          <w:p w14:paraId="7159F4E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0.63</w:t>
            </w:r>
          </w:p>
        </w:tc>
      </w:tr>
      <w:tr w:rsidR="00863B2B" w:rsidRPr="00A6114C" w14:paraId="77B790CD" w14:textId="77777777" w:rsidTr="006626D2">
        <w:tc>
          <w:tcPr>
            <w:tcW w:w="2471" w:type="dxa"/>
            <w:tcBorders>
              <w:bottom w:val="single" w:sz="4" w:space="0" w:color="auto"/>
            </w:tcBorders>
            <w:hideMark/>
          </w:tcPr>
          <w:p w14:paraId="17AC928D" w14:textId="77777777" w:rsidR="00863B2B" w:rsidRPr="00A6114C" w:rsidRDefault="00863B2B" w:rsidP="000768CB">
            <w:pPr>
              <w:rPr>
                <w:rFonts w:asciiTheme="majorBidi" w:hAnsiTheme="majorBidi" w:cstheme="majorBidi"/>
                <w:b/>
                <w:bCs/>
                <w:sz w:val="20"/>
                <w:szCs w:val="20"/>
              </w:rPr>
            </w:pPr>
            <w:r w:rsidRPr="00A6114C">
              <w:rPr>
                <w:rFonts w:asciiTheme="majorBidi" w:hAnsiTheme="majorBidi" w:cstheme="majorBidi"/>
                <w:b/>
                <w:bCs/>
                <w:sz w:val="20"/>
                <w:szCs w:val="20"/>
              </w:rPr>
              <w:t>Diabetes</w:t>
            </w:r>
          </w:p>
          <w:p w14:paraId="527EF926"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Non-diabetic</w:t>
            </w:r>
          </w:p>
          <w:p w14:paraId="6C28FD0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Diabetic</w:t>
            </w:r>
          </w:p>
        </w:tc>
        <w:tc>
          <w:tcPr>
            <w:tcW w:w="2324" w:type="dxa"/>
            <w:tcBorders>
              <w:bottom w:val="single" w:sz="4" w:space="0" w:color="auto"/>
            </w:tcBorders>
          </w:tcPr>
          <w:p w14:paraId="7B8091D1" w14:textId="77777777" w:rsidR="00863B2B" w:rsidRPr="00A6114C" w:rsidRDefault="00863B2B" w:rsidP="000768CB">
            <w:pPr>
              <w:rPr>
                <w:rFonts w:asciiTheme="majorBidi" w:hAnsiTheme="majorBidi" w:cstheme="majorBidi"/>
                <w:sz w:val="20"/>
                <w:szCs w:val="20"/>
              </w:rPr>
            </w:pPr>
          </w:p>
          <w:p w14:paraId="0E6704AD"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44 (88%)</w:t>
            </w:r>
          </w:p>
          <w:p w14:paraId="212B1D2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6 (12%)</w:t>
            </w:r>
          </w:p>
        </w:tc>
        <w:tc>
          <w:tcPr>
            <w:tcW w:w="2324" w:type="dxa"/>
            <w:tcBorders>
              <w:bottom w:val="single" w:sz="4" w:space="0" w:color="auto"/>
            </w:tcBorders>
          </w:tcPr>
          <w:p w14:paraId="0E0AB691" w14:textId="77777777" w:rsidR="00863B2B" w:rsidRPr="00A6114C" w:rsidRDefault="00863B2B" w:rsidP="000768CB">
            <w:pPr>
              <w:rPr>
                <w:rFonts w:asciiTheme="majorBidi" w:hAnsiTheme="majorBidi" w:cstheme="majorBidi"/>
                <w:sz w:val="20"/>
                <w:szCs w:val="20"/>
              </w:rPr>
            </w:pPr>
          </w:p>
          <w:p w14:paraId="4C0A9824"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43 (86%)</w:t>
            </w:r>
          </w:p>
          <w:p w14:paraId="4D7B7126" w14:textId="2359AB91"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7 (14%)</w:t>
            </w:r>
          </w:p>
        </w:tc>
        <w:tc>
          <w:tcPr>
            <w:tcW w:w="1902" w:type="dxa"/>
            <w:tcBorders>
              <w:bottom w:val="single" w:sz="4" w:space="0" w:color="auto"/>
            </w:tcBorders>
            <w:hideMark/>
          </w:tcPr>
          <w:p w14:paraId="13B09101"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0.77</w:t>
            </w:r>
          </w:p>
        </w:tc>
      </w:tr>
    </w:tbl>
    <w:p w14:paraId="0820D476" w14:textId="77777777" w:rsidR="006626D2" w:rsidRDefault="006626D2" w:rsidP="00BD6352">
      <w:pPr>
        <w:rPr>
          <w:rFonts w:asciiTheme="majorBidi" w:hAnsiTheme="majorBidi" w:cstheme="majorBidi"/>
        </w:rPr>
      </w:pPr>
    </w:p>
    <w:p w14:paraId="6B782A37" w14:textId="71B687BC" w:rsidR="00863B2B" w:rsidRPr="00417F7A" w:rsidRDefault="00863B2B" w:rsidP="00BD6352">
      <w:pPr>
        <w:rPr>
          <w:rFonts w:asciiTheme="majorBidi" w:hAnsiTheme="majorBidi" w:cstheme="majorBidi"/>
        </w:rPr>
      </w:pPr>
      <w:r w:rsidRPr="00417F7A">
        <w:rPr>
          <w:rFonts w:asciiTheme="majorBidi" w:hAnsiTheme="majorBidi" w:cstheme="majorBidi"/>
        </w:rPr>
        <w:t>This table shows no statistically significant difference between the studied groups corresponding to age</w:t>
      </w:r>
      <w:r w:rsidR="00A649C3">
        <w:rPr>
          <w:rFonts w:asciiTheme="majorBidi" w:hAnsiTheme="majorBidi" w:cstheme="majorBidi"/>
        </w:rPr>
        <w:t xml:space="preserve"> and</w:t>
      </w:r>
      <w:r w:rsidR="00BD6352" w:rsidRPr="00417F7A">
        <w:rPr>
          <w:rFonts w:asciiTheme="majorBidi" w:hAnsiTheme="majorBidi" w:cstheme="majorBidi"/>
        </w:rPr>
        <w:t xml:space="preserve"> </w:t>
      </w:r>
      <w:r w:rsidRPr="00417F7A">
        <w:rPr>
          <w:rFonts w:asciiTheme="majorBidi" w:hAnsiTheme="majorBidi" w:cstheme="majorBidi"/>
        </w:rPr>
        <w:t>waist circumference</w:t>
      </w:r>
      <w:r w:rsidR="00BD6352" w:rsidRPr="00417F7A">
        <w:rPr>
          <w:rFonts w:asciiTheme="majorBidi" w:hAnsiTheme="majorBidi" w:cstheme="majorBidi"/>
        </w:rPr>
        <w:t xml:space="preserve">, with P values of 0.64 and 0.72, respectively, and they were classified into 36% males and 64% females in the case group; meanwhile, they were 46% males and 54% females in the </w:t>
      </w:r>
      <w:r w:rsidRPr="00417F7A">
        <w:rPr>
          <w:rFonts w:asciiTheme="majorBidi" w:hAnsiTheme="majorBidi" w:cstheme="majorBidi"/>
        </w:rPr>
        <w:t>control group.</w:t>
      </w:r>
    </w:p>
    <w:p w14:paraId="7BF860A2" w14:textId="01C43700" w:rsidR="00863B2B" w:rsidRPr="00417F7A" w:rsidRDefault="00863B2B" w:rsidP="00BD6352">
      <w:pPr>
        <w:jc w:val="both"/>
        <w:rPr>
          <w:rFonts w:asciiTheme="majorBidi" w:hAnsiTheme="majorBidi" w:cstheme="majorBidi"/>
        </w:rPr>
      </w:pPr>
      <w:r w:rsidRPr="00417F7A">
        <w:rPr>
          <w:rFonts w:asciiTheme="majorBidi" w:hAnsiTheme="majorBidi" w:cstheme="majorBidi"/>
        </w:rPr>
        <w:t>Corresponding to other demographic data</w:t>
      </w:r>
      <w:r w:rsidR="006626D2">
        <w:rPr>
          <w:rFonts w:asciiTheme="majorBidi" w:hAnsiTheme="majorBidi" w:cstheme="majorBidi"/>
        </w:rPr>
        <w:t xml:space="preserve">, including smoking and diabetes prevalence between groups, there was no statistically significant difference, as the case group consisted of 80% non-smokers and 20% smokers, compared to 76% non-smokers and 24% smokers in the </w:t>
      </w:r>
      <w:r w:rsidRPr="00417F7A">
        <w:rPr>
          <w:rFonts w:asciiTheme="majorBidi" w:hAnsiTheme="majorBidi" w:cstheme="majorBidi"/>
        </w:rPr>
        <w:t>control group</w:t>
      </w:r>
      <w:r w:rsidR="006626D2">
        <w:rPr>
          <w:rFonts w:asciiTheme="majorBidi" w:hAnsiTheme="majorBidi" w:cstheme="majorBidi"/>
        </w:rPr>
        <w:t>. Also,</w:t>
      </w:r>
      <w:r w:rsidRPr="00417F7A">
        <w:rPr>
          <w:rFonts w:asciiTheme="majorBidi" w:hAnsiTheme="majorBidi" w:cstheme="majorBidi"/>
        </w:rPr>
        <w:t xml:space="preserve"> in </w:t>
      </w:r>
      <w:r w:rsidR="006626D2">
        <w:rPr>
          <w:rFonts w:asciiTheme="majorBidi" w:hAnsiTheme="majorBidi" w:cstheme="majorBidi"/>
        </w:rPr>
        <w:t xml:space="preserve">the cases group, there were 88% non diabetic and 12% diabetic compared to 86% non diabetic and 14% diabetic in the </w:t>
      </w:r>
      <w:r w:rsidRPr="00417F7A">
        <w:rPr>
          <w:rFonts w:asciiTheme="majorBidi" w:hAnsiTheme="majorBidi" w:cstheme="majorBidi"/>
        </w:rPr>
        <w:t>control group.</w:t>
      </w:r>
    </w:p>
    <w:p w14:paraId="79316A4E" w14:textId="3CEC06CE" w:rsidR="006626D2" w:rsidRDefault="006626D2" w:rsidP="006626D2">
      <w:pPr>
        <w:pStyle w:val="Caption"/>
        <w:keepNext/>
      </w:pPr>
      <w:r>
        <w:t xml:space="preserve">Table </w:t>
      </w:r>
      <w:fldSimple w:instr=" SEQ Table \* ARABIC ">
        <w:r w:rsidR="000D3BC7">
          <w:rPr>
            <w:noProof/>
          </w:rPr>
          <w:t>2</w:t>
        </w:r>
      </w:fldSimple>
      <w:r>
        <w:t xml:space="preserve">. </w:t>
      </w:r>
      <w:r w:rsidRPr="006626D2">
        <w:t>Distribution of different types of IBS in group I (N=50)</w:t>
      </w:r>
    </w:p>
    <w:tbl>
      <w:tblPr>
        <w:tblStyle w:val="TableGrid1"/>
        <w:tblpPr w:leftFromText="180" w:rightFromText="180" w:vertAnchor="text" w:horzAnchor="margin" w:tblpY="20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Distribution of different types of IBS in group I (N=50)"/>
      </w:tblPr>
      <w:tblGrid>
        <w:gridCol w:w="4513"/>
        <w:gridCol w:w="4513"/>
      </w:tblGrid>
      <w:tr w:rsidR="00863B2B" w:rsidRPr="00A6114C" w14:paraId="5EEC309D" w14:textId="77777777" w:rsidTr="006626D2">
        <w:tc>
          <w:tcPr>
            <w:tcW w:w="2500" w:type="pct"/>
            <w:tcBorders>
              <w:top w:val="single" w:sz="4" w:space="0" w:color="auto"/>
            </w:tcBorders>
            <w:hideMark/>
          </w:tcPr>
          <w:p w14:paraId="56D8C0E1"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GIT symptoms</w:t>
            </w:r>
          </w:p>
        </w:tc>
        <w:tc>
          <w:tcPr>
            <w:tcW w:w="2500" w:type="pct"/>
            <w:tcBorders>
              <w:top w:val="single" w:sz="4" w:space="0" w:color="auto"/>
            </w:tcBorders>
            <w:hideMark/>
          </w:tcPr>
          <w:p w14:paraId="546C6F07" w14:textId="2F659A99" w:rsidR="00863B2B" w:rsidRPr="00A6114C" w:rsidRDefault="0049403C" w:rsidP="000768CB">
            <w:pPr>
              <w:rPr>
                <w:rFonts w:asciiTheme="majorBidi" w:hAnsiTheme="majorBidi" w:cstheme="majorBidi"/>
                <w:sz w:val="20"/>
                <w:szCs w:val="20"/>
              </w:rPr>
            </w:pPr>
            <w:r w:rsidRPr="00A6114C">
              <w:rPr>
                <w:rFonts w:asciiTheme="majorBidi" w:eastAsiaTheme="minorEastAsia" w:hAnsiTheme="majorBidi" w:cstheme="majorBidi"/>
                <w:sz w:val="20"/>
                <w:szCs w:val="20"/>
                <w:lang w:val="en-GB" w:eastAsia="en-GB"/>
              </w:rPr>
              <w:t>Group I</w:t>
            </w:r>
            <w:r w:rsidR="00483257" w:rsidRPr="00A6114C">
              <w:rPr>
                <w:rFonts w:asciiTheme="majorBidi" w:eastAsiaTheme="minorEastAsia" w:hAnsiTheme="majorBidi" w:cstheme="majorBidi"/>
                <w:sz w:val="20"/>
                <w:szCs w:val="20"/>
                <w:lang w:val="en-GB" w:eastAsia="en-GB"/>
              </w:rPr>
              <w:t xml:space="preserve"> </w:t>
            </w:r>
            <w:r w:rsidR="005D4182" w:rsidRPr="00A6114C">
              <w:rPr>
                <w:rFonts w:asciiTheme="majorBidi" w:eastAsiaTheme="minorEastAsia" w:hAnsiTheme="majorBidi" w:cstheme="majorBidi"/>
                <w:sz w:val="20"/>
                <w:szCs w:val="20"/>
                <w:lang w:val="en-GB" w:eastAsia="en-GB"/>
              </w:rPr>
              <w:t>(</w:t>
            </w:r>
            <w:r w:rsidR="00863B2B" w:rsidRPr="00A6114C">
              <w:rPr>
                <w:rFonts w:asciiTheme="majorBidi" w:eastAsiaTheme="minorEastAsia" w:hAnsiTheme="majorBidi" w:cstheme="majorBidi"/>
                <w:sz w:val="20"/>
                <w:szCs w:val="20"/>
                <w:lang w:val="en-GB" w:eastAsia="en-GB"/>
              </w:rPr>
              <w:t>50</w:t>
            </w:r>
            <w:r w:rsidR="005D4182" w:rsidRPr="00A6114C">
              <w:rPr>
                <w:rFonts w:asciiTheme="majorBidi" w:eastAsiaTheme="minorEastAsia" w:hAnsiTheme="majorBidi" w:cstheme="majorBidi"/>
                <w:sz w:val="20"/>
                <w:szCs w:val="20"/>
                <w:lang w:val="en-GB" w:eastAsia="en-GB"/>
              </w:rPr>
              <w:t>)</w:t>
            </w:r>
          </w:p>
        </w:tc>
      </w:tr>
      <w:tr w:rsidR="00863B2B" w:rsidRPr="00A6114C" w14:paraId="1F8442CB" w14:textId="77777777" w:rsidTr="006626D2">
        <w:tc>
          <w:tcPr>
            <w:tcW w:w="2500" w:type="pct"/>
            <w:tcBorders>
              <w:top w:val="single" w:sz="4" w:space="0" w:color="auto"/>
            </w:tcBorders>
            <w:hideMark/>
          </w:tcPr>
          <w:p w14:paraId="2611E568"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constipation</w:t>
            </w:r>
          </w:p>
        </w:tc>
        <w:tc>
          <w:tcPr>
            <w:tcW w:w="2500" w:type="pct"/>
            <w:tcBorders>
              <w:top w:val="single" w:sz="4" w:space="0" w:color="auto"/>
            </w:tcBorders>
            <w:hideMark/>
          </w:tcPr>
          <w:p w14:paraId="179A8F9D"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25 (50%)</w:t>
            </w:r>
          </w:p>
        </w:tc>
      </w:tr>
      <w:tr w:rsidR="00863B2B" w:rsidRPr="00A6114C" w14:paraId="06F270C0" w14:textId="77777777" w:rsidTr="006626D2">
        <w:tc>
          <w:tcPr>
            <w:tcW w:w="2500" w:type="pct"/>
            <w:hideMark/>
          </w:tcPr>
          <w:p w14:paraId="30032789"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diarrhea</w:t>
            </w:r>
          </w:p>
        </w:tc>
        <w:tc>
          <w:tcPr>
            <w:tcW w:w="2500" w:type="pct"/>
            <w:hideMark/>
          </w:tcPr>
          <w:p w14:paraId="041078AE"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11 (22%)</w:t>
            </w:r>
          </w:p>
        </w:tc>
      </w:tr>
      <w:tr w:rsidR="00863B2B" w:rsidRPr="00A6114C" w14:paraId="38CA15E8" w14:textId="77777777" w:rsidTr="006626D2">
        <w:tc>
          <w:tcPr>
            <w:tcW w:w="2500" w:type="pct"/>
            <w:hideMark/>
          </w:tcPr>
          <w:p w14:paraId="1DDC1872"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mixed</w:t>
            </w:r>
          </w:p>
        </w:tc>
        <w:tc>
          <w:tcPr>
            <w:tcW w:w="2500" w:type="pct"/>
            <w:hideMark/>
          </w:tcPr>
          <w:p w14:paraId="1FA284B7"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8 (16%)</w:t>
            </w:r>
          </w:p>
        </w:tc>
      </w:tr>
      <w:tr w:rsidR="00863B2B" w:rsidRPr="00A6114C" w14:paraId="16662CA9" w14:textId="77777777" w:rsidTr="006626D2">
        <w:tc>
          <w:tcPr>
            <w:tcW w:w="2500" w:type="pct"/>
            <w:tcBorders>
              <w:bottom w:val="single" w:sz="4" w:space="0" w:color="auto"/>
            </w:tcBorders>
            <w:hideMark/>
          </w:tcPr>
          <w:p w14:paraId="3BB72C50"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unclassified</w:t>
            </w:r>
          </w:p>
        </w:tc>
        <w:tc>
          <w:tcPr>
            <w:tcW w:w="2500" w:type="pct"/>
            <w:tcBorders>
              <w:bottom w:val="single" w:sz="4" w:space="0" w:color="auto"/>
            </w:tcBorders>
            <w:hideMark/>
          </w:tcPr>
          <w:p w14:paraId="7D2BDA64" w14:textId="77777777" w:rsidR="00863B2B" w:rsidRPr="00A6114C" w:rsidRDefault="00863B2B" w:rsidP="000768CB">
            <w:pPr>
              <w:spacing w:line="360" w:lineRule="auto"/>
              <w:rPr>
                <w:rFonts w:asciiTheme="majorBidi" w:hAnsiTheme="majorBidi" w:cstheme="majorBidi"/>
                <w:sz w:val="20"/>
                <w:szCs w:val="20"/>
              </w:rPr>
            </w:pPr>
            <w:r w:rsidRPr="00A6114C">
              <w:rPr>
                <w:rFonts w:asciiTheme="majorBidi" w:hAnsiTheme="majorBidi" w:cstheme="majorBidi"/>
                <w:sz w:val="20"/>
                <w:szCs w:val="20"/>
              </w:rPr>
              <w:t>6 (12%)</w:t>
            </w:r>
          </w:p>
        </w:tc>
      </w:tr>
    </w:tbl>
    <w:p w14:paraId="68CC0C4F" w14:textId="77777777" w:rsidR="00863B2B" w:rsidRPr="00417F7A" w:rsidRDefault="00863B2B" w:rsidP="000768CB">
      <w:pPr>
        <w:jc w:val="both"/>
        <w:rPr>
          <w:rFonts w:asciiTheme="majorBidi" w:hAnsiTheme="majorBidi" w:cstheme="majorBidi"/>
        </w:rPr>
      </w:pPr>
    </w:p>
    <w:p w14:paraId="77012663" w14:textId="69620763" w:rsidR="00863B2B" w:rsidRPr="00417F7A" w:rsidRDefault="00863B2B" w:rsidP="000768CB">
      <w:pPr>
        <w:jc w:val="both"/>
        <w:rPr>
          <w:rFonts w:asciiTheme="majorBidi" w:hAnsiTheme="majorBidi" w:cstheme="majorBidi"/>
        </w:rPr>
      </w:pPr>
      <w:r w:rsidRPr="00417F7A">
        <w:rPr>
          <w:rFonts w:asciiTheme="majorBidi" w:hAnsiTheme="majorBidi" w:cstheme="majorBidi"/>
        </w:rPr>
        <w:t xml:space="preserve">IBS clinical subtypes according to this table were distributed in group </w:t>
      </w:r>
      <w:r w:rsidR="00AC19DE" w:rsidRPr="00417F7A">
        <w:rPr>
          <w:rFonts w:asciiTheme="majorBidi" w:hAnsiTheme="majorBidi" w:cstheme="majorBidi"/>
        </w:rPr>
        <w:t>I</w:t>
      </w:r>
      <w:r w:rsidRPr="00417F7A">
        <w:rPr>
          <w:rFonts w:asciiTheme="majorBidi" w:hAnsiTheme="majorBidi" w:cstheme="majorBidi"/>
        </w:rPr>
        <w:t xml:space="preserve"> as </w:t>
      </w:r>
      <w:r w:rsidR="00BD6352" w:rsidRPr="00417F7A">
        <w:rPr>
          <w:rFonts w:asciiTheme="majorBidi" w:hAnsiTheme="majorBidi" w:cstheme="majorBidi"/>
        </w:rPr>
        <w:t>follows,</w:t>
      </w:r>
      <w:r w:rsidRPr="00417F7A">
        <w:rPr>
          <w:rFonts w:asciiTheme="majorBidi" w:hAnsiTheme="majorBidi" w:cstheme="majorBidi"/>
        </w:rPr>
        <w:t xml:space="preserve"> with </w:t>
      </w:r>
      <w:r w:rsidR="00A649C3">
        <w:rPr>
          <w:rFonts w:asciiTheme="majorBidi" w:hAnsiTheme="majorBidi" w:cstheme="majorBidi"/>
        </w:rPr>
        <w:t>a higher</w:t>
      </w:r>
      <w:r w:rsidRPr="00417F7A">
        <w:rPr>
          <w:rFonts w:asciiTheme="majorBidi" w:hAnsiTheme="majorBidi" w:cstheme="majorBidi"/>
        </w:rPr>
        <w:t xml:space="preserve"> prevalence </w:t>
      </w:r>
      <w:r w:rsidR="00A649C3">
        <w:rPr>
          <w:rFonts w:asciiTheme="majorBidi" w:hAnsiTheme="majorBidi" w:cstheme="majorBidi"/>
        </w:rPr>
        <w:t>of</w:t>
      </w:r>
      <w:r w:rsidRPr="00417F7A">
        <w:rPr>
          <w:rFonts w:asciiTheme="majorBidi" w:hAnsiTheme="majorBidi" w:cstheme="majorBidi"/>
        </w:rPr>
        <w:t xml:space="preserve"> </w:t>
      </w:r>
      <w:r w:rsidR="00BD6352" w:rsidRPr="00417F7A">
        <w:rPr>
          <w:rFonts w:asciiTheme="majorBidi" w:hAnsiTheme="majorBidi" w:cstheme="majorBidi"/>
        </w:rPr>
        <w:t xml:space="preserve">the </w:t>
      </w:r>
      <w:r w:rsidRPr="00417F7A">
        <w:rPr>
          <w:rFonts w:asciiTheme="majorBidi" w:hAnsiTheme="majorBidi" w:cstheme="majorBidi"/>
        </w:rPr>
        <w:t xml:space="preserve">constipating subtype 50% followed by </w:t>
      </w:r>
      <w:r w:rsidR="00BD6352" w:rsidRPr="00417F7A">
        <w:rPr>
          <w:rFonts w:asciiTheme="majorBidi" w:hAnsiTheme="majorBidi" w:cstheme="majorBidi"/>
        </w:rPr>
        <w:t xml:space="preserve">the </w:t>
      </w:r>
      <w:r w:rsidRPr="00417F7A">
        <w:rPr>
          <w:rFonts w:asciiTheme="majorBidi" w:hAnsiTheme="majorBidi" w:cstheme="majorBidi"/>
        </w:rPr>
        <w:t>diarrheal subtype 22%,</w:t>
      </w:r>
      <w:r w:rsidR="00BD6352" w:rsidRPr="00417F7A">
        <w:rPr>
          <w:rFonts w:asciiTheme="majorBidi" w:hAnsiTheme="majorBidi" w:cstheme="majorBidi"/>
        </w:rPr>
        <w:t xml:space="preserve"> the </w:t>
      </w:r>
      <w:r w:rsidRPr="00417F7A">
        <w:rPr>
          <w:rFonts w:asciiTheme="majorBidi" w:hAnsiTheme="majorBidi" w:cstheme="majorBidi"/>
        </w:rPr>
        <w:t xml:space="preserve">mixed </w:t>
      </w:r>
      <w:r w:rsidR="00BD6352" w:rsidRPr="00417F7A">
        <w:rPr>
          <w:rFonts w:asciiTheme="majorBidi" w:hAnsiTheme="majorBidi" w:cstheme="majorBidi"/>
        </w:rPr>
        <w:t xml:space="preserve">subtype 16%, </w:t>
      </w:r>
      <w:r w:rsidRPr="00417F7A">
        <w:rPr>
          <w:rFonts w:asciiTheme="majorBidi" w:hAnsiTheme="majorBidi" w:cstheme="majorBidi"/>
        </w:rPr>
        <w:t xml:space="preserve">% and </w:t>
      </w:r>
      <w:r w:rsidR="00BD6352" w:rsidRPr="00417F7A">
        <w:rPr>
          <w:rFonts w:asciiTheme="majorBidi" w:hAnsiTheme="majorBidi" w:cstheme="majorBidi"/>
        </w:rPr>
        <w:t>lastly, the</w:t>
      </w:r>
      <w:r w:rsidRPr="00417F7A">
        <w:rPr>
          <w:rFonts w:asciiTheme="majorBidi" w:hAnsiTheme="majorBidi" w:cstheme="majorBidi"/>
        </w:rPr>
        <w:t xml:space="preserve"> unclassified </w:t>
      </w:r>
      <w:r w:rsidR="00BD6352" w:rsidRPr="00417F7A">
        <w:rPr>
          <w:rFonts w:asciiTheme="majorBidi" w:hAnsiTheme="majorBidi" w:cstheme="majorBidi"/>
        </w:rPr>
        <w:t>subtype</w:t>
      </w:r>
      <w:r w:rsidR="00A649C3">
        <w:rPr>
          <w:rFonts w:asciiTheme="majorBidi" w:hAnsiTheme="majorBidi" w:cstheme="majorBidi"/>
        </w:rPr>
        <w:t>,</w:t>
      </w:r>
      <w:r w:rsidR="00BD6352" w:rsidRPr="00417F7A">
        <w:rPr>
          <w:rFonts w:asciiTheme="majorBidi" w:hAnsiTheme="majorBidi" w:cstheme="majorBidi"/>
        </w:rPr>
        <w:t xml:space="preserve"> </w:t>
      </w:r>
      <w:r w:rsidRPr="00417F7A">
        <w:rPr>
          <w:rFonts w:asciiTheme="majorBidi" w:hAnsiTheme="majorBidi" w:cstheme="majorBidi"/>
        </w:rPr>
        <w:t>12% of cases</w:t>
      </w:r>
    </w:p>
    <w:p w14:paraId="259BB5BD" w14:textId="2BA5FADC" w:rsidR="006626D2" w:rsidRDefault="006626D2" w:rsidP="006626D2">
      <w:pPr>
        <w:pStyle w:val="Caption"/>
        <w:keepNext/>
      </w:pPr>
      <w:r>
        <w:t xml:space="preserve">Table </w:t>
      </w:r>
      <w:fldSimple w:instr=" SEQ Table \* ARABIC ">
        <w:r w:rsidR="000D3BC7">
          <w:rPr>
            <w:noProof/>
          </w:rPr>
          <w:t>3</w:t>
        </w:r>
      </w:fldSimple>
      <w:r>
        <w:t>.</w:t>
      </w:r>
      <w:r w:rsidRPr="006626D2">
        <w:t xml:space="preserve"> Distribution of Psychiatric symptoms in group I (N=50)</w:t>
      </w:r>
    </w:p>
    <w:tbl>
      <w:tblPr>
        <w:tblStyle w:val="TableGrid2"/>
        <w:tblpPr w:leftFromText="180" w:rightFromText="180" w:vertAnchor="text" w:horzAnchor="margin" w:tblpY="33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3): Distribution of Psychiatric symptoms in group I (N=50)"/>
      </w:tblPr>
      <w:tblGrid>
        <w:gridCol w:w="4513"/>
        <w:gridCol w:w="4513"/>
      </w:tblGrid>
      <w:tr w:rsidR="00863B2B" w:rsidRPr="00A6114C" w14:paraId="5783D08F" w14:textId="77777777" w:rsidTr="000D3BC7">
        <w:tc>
          <w:tcPr>
            <w:tcW w:w="2500" w:type="pct"/>
            <w:tcBorders>
              <w:top w:val="single" w:sz="4" w:space="0" w:color="auto"/>
              <w:bottom w:val="single" w:sz="4" w:space="0" w:color="auto"/>
            </w:tcBorders>
            <w:hideMark/>
          </w:tcPr>
          <w:p w14:paraId="35C3FB94" w14:textId="77777777" w:rsidR="00863B2B" w:rsidRPr="00A6114C" w:rsidRDefault="00863B2B" w:rsidP="000768CB">
            <w:pPr>
              <w:rPr>
                <w:rFonts w:asciiTheme="majorBidi" w:hAnsiTheme="majorBidi" w:cstheme="majorBidi"/>
                <w:sz w:val="20"/>
                <w:szCs w:val="20"/>
              </w:rPr>
            </w:pPr>
            <w:bookmarkStart w:id="3" w:name="_Hlk193242683"/>
            <w:r w:rsidRPr="00A6114C">
              <w:rPr>
                <w:rFonts w:asciiTheme="majorBidi" w:hAnsiTheme="majorBidi" w:cstheme="majorBidi"/>
                <w:sz w:val="20"/>
                <w:szCs w:val="20"/>
              </w:rPr>
              <w:t>Psychiatric symptoms</w:t>
            </w:r>
            <w:bookmarkEnd w:id="3"/>
          </w:p>
        </w:tc>
        <w:tc>
          <w:tcPr>
            <w:tcW w:w="2500" w:type="pct"/>
            <w:tcBorders>
              <w:top w:val="single" w:sz="4" w:space="0" w:color="auto"/>
              <w:bottom w:val="single" w:sz="4" w:space="0" w:color="auto"/>
            </w:tcBorders>
            <w:hideMark/>
          </w:tcPr>
          <w:p w14:paraId="3A974020" w14:textId="5C528479" w:rsidR="00863B2B" w:rsidRPr="00A6114C" w:rsidRDefault="006F56D3" w:rsidP="000768CB">
            <w:pPr>
              <w:rPr>
                <w:rFonts w:asciiTheme="majorBidi" w:hAnsiTheme="majorBidi" w:cstheme="majorBidi"/>
                <w:sz w:val="20"/>
                <w:szCs w:val="20"/>
              </w:rPr>
            </w:pPr>
            <w:r w:rsidRPr="00A6114C">
              <w:rPr>
                <w:rFonts w:asciiTheme="majorBidi" w:hAnsiTheme="majorBidi" w:cstheme="majorBidi"/>
                <w:sz w:val="20"/>
                <w:szCs w:val="20"/>
              </w:rPr>
              <w:t>Group I</w:t>
            </w:r>
            <w:r w:rsidR="00863B2B" w:rsidRPr="00A6114C">
              <w:rPr>
                <w:rFonts w:asciiTheme="majorBidi" w:hAnsiTheme="majorBidi" w:cstheme="majorBidi"/>
                <w:sz w:val="20"/>
                <w:szCs w:val="20"/>
              </w:rPr>
              <w:t xml:space="preserve"> </w:t>
            </w:r>
            <w:r w:rsidR="00E05BB0" w:rsidRPr="00A6114C">
              <w:rPr>
                <w:rFonts w:asciiTheme="majorBidi" w:hAnsiTheme="majorBidi" w:cstheme="majorBidi"/>
                <w:sz w:val="20"/>
                <w:szCs w:val="20"/>
              </w:rPr>
              <w:t>(</w:t>
            </w:r>
            <w:r w:rsidR="00863B2B" w:rsidRPr="00A6114C">
              <w:rPr>
                <w:rFonts w:asciiTheme="majorBidi" w:hAnsiTheme="majorBidi" w:cstheme="majorBidi"/>
                <w:sz w:val="20"/>
                <w:szCs w:val="20"/>
              </w:rPr>
              <w:t>50</w:t>
            </w:r>
            <w:r w:rsidR="00E05BB0" w:rsidRPr="00A6114C">
              <w:rPr>
                <w:rFonts w:asciiTheme="majorBidi" w:hAnsiTheme="majorBidi" w:cstheme="majorBidi"/>
                <w:sz w:val="20"/>
                <w:szCs w:val="20"/>
              </w:rPr>
              <w:t>)</w:t>
            </w:r>
          </w:p>
        </w:tc>
      </w:tr>
      <w:tr w:rsidR="00863B2B" w:rsidRPr="00A6114C" w14:paraId="33EF465B" w14:textId="77777777" w:rsidTr="000D3BC7">
        <w:tc>
          <w:tcPr>
            <w:tcW w:w="2500" w:type="pct"/>
            <w:tcBorders>
              <w:top w:val="single" w:sz="4" w:space="0" w:color="auto"/>
            </w:tcBorders>
            <w:hideMark/>
          </w:tcPr>
          <w:p w14:paraId="76E4DBF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No symptoms</w:t>
            </w:r>
          </w:p>
        </w:tc>
        <w:tc>
          <w:tcPr>
            <w:tcW w:w="2500" w:type="pct"/>
            <w:tcBorders>
              <w:top w:val="single" w:sz="4" w:space="0" w:color="auto"/>
            </w:tcBorders>
            <w:hideMark/>
          </w:tcPr>
          <w:p w14:paraId="44D82AD0"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34 (68%)</w:t>
            </w:r>
          </w:p>
        </w:tc>
      </w:tr>
      <w:tr w:rsidR="00863B2B" w:rsidRPr="00A6114C" w14:paraId="495AB5D9" w14:textId="77777777" w:rsidTr="000D3BC7">
        <w:tc>
          <w:tcPr>
            <w:tcW w:w="2500" w:type="pct"/>
            <w:hideMark/>
          </w:tcPr>
          <w:p w14:paraId="7D6ACDE6"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Sleep disturbances</w:t>
            </w:r>
          </w:p>
        </w:tc>
        <w:tc>
          <w:tcPr>
            <w:tcW w:w="2500" w:type="pct"/>
            <w:hideMark/>
          </w:tcPr>
          <w:p w14:paraId="0569DD48"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8 (16%)</w:t>
            </w:r>
          </w:p>
        </w:tc>
      </w:tr>
      <w:tr w:rsidR="00863B2B" w:rsidRPr="00A6114C" w14:paraId="1CE17F59" w14:textId="77777777" w:rsidTr="000D3BC7">
        <w:tc>
          <w:tcPr>
            <w:tcW w:w="2500" w:type="pct"/>
            <w:tcBorders>
              <w:bottom w:val="single" w:sz="4" w:space="0" w:color="auto"/>
            </w:tcBorders>
            <w:hideMark/>
          </w:tcPr>
          <w:p w14:paraId="37FF237E"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 xml:space="preserve">Depression </w:t>
            </w:r>
          </w:p>
        </w:tc>
        <w:tc>
          <w:tcPr>
            <w:tcW w:w="2500" w:type="pct"/>
            <w:tcBorders>
              <w:bottom w:val="single" w:sz="4" w:space="0" w:color="auto"/>
            </w:tcBorders>
            <w:hideMark/>
          </w:tcPr>
          <w:p w14:paraId="5201748F"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8 (16%)</w:t>
            </w:r>
          </w:p>
        </w:tc>
      </w:tr>
    </w:tbl>
    <w:p w14:paraId="3DD88FF1" w14:textId="77777777" w:rsidR="006626D2" w:rsidRDefault="006626D2" w:rsidP="000768CB">
      <w:pPr>
        <w:jc w:val="both"/>
        <w:rPr>
          <w:rFonts w:asciiTheme="majorBidi" w:hAnsiTheme="majorBidi" w:cstheme="majorBidi"/>
        </w:rPr>
      </w:pPr>
    </w:p>
    <w:p w14:paraId="3AE645F0" w14:textId="1A40AA78" w:rsidR="00863B2B" w:rsidRPr="00417F7A" w:rsidRDefault="00BD6352" w:rsidP="000768CB">
      <w:pPr>
        <w:jc w:val="both"/>
        <w:rPr>
          <w:rFonts w:asciiTheme="majorBidi" w:hAnsiTheme="majorBidi" w:cstheme="majorBidi"/>
        </w:rPr>
      </w:pPr>
      <w:r w:rsidRPr="00417F7A">
        <w:rPr>
          <w:rFonts w:asciiTheme="majorBidi" w:hAnsiTheme="majorBidi" w:cstheme="majorBidi"/>
        </w:rPr>
        <w:t>Other</w:t>
      </w:r>
      <w:r w:rsidR="00863B2B" w:rsidRPr="00417F7A">
        <w:rPr>
          <w:rFonts w:asciiTheme="majorBidi" w:hAnsiTheme="majorBidi" w:cstheme="majorBidi"/>
        </w:rPr>
        <w:t xml:space="preserve"> clinical features</w:t>
      </w:r>
      <w:r w:rsidRPr="00417F7A">
        <w:rPr>
          <w:rFonts w:asciiTheme="majorBidi" w:hAnsiTheme="majorBidi" w:cstheme="majorBidi"/>
        </w:rPr>
        <w:t>,</w:t>
      </w:r>
      <w:r w:rsidR="00863B2B" w:rsidRPr="00417F7A">
        <w:rPr>
          <w:rFonts w:asciiTheme="majorBidi" w:hAnsiTheme="majorBidi" w:cstheme="majorBidi"/>
        </w:rPr>
        <w:t xml:space="preserve"> including </w:t>
      </w:r>
      <w:r w:rsidRPr="00417F7A">
        <w:rPr>
          <w:rFonts w:asciiTheme="majorBidi" w:hAnsiTheme="majorBidi" w:cstheme="majorBidi"/>
        </w:rPr>
        <w:t>psychiatric</w:t>
      </w:r>
      <w:r w:rsidR="00863B2B" w:rsidRPr="00417F7A">
        <w:rPr>
          <w:rFonts w:asciiTheme="majorBidi" w:hAnsiTheme="majorBidi" w:cstheme="majorBidi"/>
        </w:rPr>
        <w:t xml:space="preserve"> </w:t>
      </w:r>
      <w:r w:rsidRPr="00417F7A">
        <w:rPr>
          <w:rFonts w:asciiTheme="majorBidi" w:hAnsiTheme="majorBidi" w:cstheme="majorBidi"/>
        </w:rPr>
        <w:t>manifestations</w:t>
      </w:r>
      <w:r w:rsidR="00417F7A" w:rsidRPr="00417F7A">
        <w:rPr>
          <w:rFonts w:asciiTheme="majorBidi" w:hAnsiTheme="majorBidi" w:cstheme="majorBidi"/>
        </w:rPr>
        <w:t>,</w:t>
      </w:r>
      <w:r w:rsidR="00863B2B" w:rsidRPr="00417F7A">
        <w:rPr>
          <w:rFonts w:asciiTheme="majorBidi" w:hAnsiTheme="majorBidi" w:cstheme="majorBidi"/>
        </w:rPr>
        <w:t xml:space="preserve"> were </w:t>
      </w:r>
      <w:r w:rsidRPr="00417F7A">
        <w:rPr>
          <w:rFonts w:asciiTheme="majorBidi" w:hAnsiTheme="majorBidi" w:cstheme="majorBidi"/>
        </w:rPr>
        <w:t>prevalent</w:t>
      </w:r>
      <w:r w:rsidR="00863B2B" w:rsidRPr="00417F7A">
        <w:rPr>
          <w:rFonts w:asciiTheme="majorBidi" w:hAnsiTheme="majorBidi" w:cstheme="majorBidi"/>
        </w:rPr>
        <w:t xml:space="preserve"> in the cases in the form of sleep disturbances in about 16% and </w:t>
      </w:r>
      <w:r w:rsidRPr="00417F7A">
        <w:rPr>
          <w:rFonts w:asciiTheme="majorBidi" w:hAnsiTheme="majorBidi" w:cstheme="majorBidi"/>
        </w:rPr>
        <w:t>depression</w:t>
      </w:r>
      <w:r w:rsidR="00863B2B" w:rsidRPr="00417F7A">
        <w:rPr>
          <w:rFonts w:asciiTheme="majorBidi" w:hAnsiTheme="majorBidi" w:cstheme="majorBidi"/>
        </w:rPr>
        <w:t xml:space="preserve"> in about 16 % of </w:t>
      </w:r>
      <w:r w:rsidRPr="00417F7A">
        <w:rPr>
          <w:rFonts w:asciiTheme="majorBidi" w:hAnsiTheme="majorBidi" w:cstheme="majorBidi"/>
        </w:rPr>
        <w:t>patients</w:t>
      </w:r>
      <w:r w:rsidR="00417F7A" w:rsidRPr="00417F7A">
        <w:rPr>
          <w:rFonts w:asciiTheme="majorBidi" w:hAnsiTheme="majorBidi" w:cstheme="majorBidi"/>
        </w:rPr>
        <w:t>. In comparison,</w:t>
      </w:r>
      <w:r w:rsidR="00863B2B" w:rsidRPr="00417F7A">
        <w:rPr>
          <w:rFonts w:asciiTheme="majorBidi" w:hAnsiTheme="majorBidi" w:cstheme="majorBidi"/>
        </w:rPr>
        <w:t xml:space="preserve"> the remaining 68% were free from </w:t>
      </w:r>
      <w:r w:rsidRPr="00417F7A">
        <w:rPr>
          <w:rFonts w:asciiTheme="majorBidi" w:hAnsiTheme="majorBidi" w:cstheme="majorBidi"/>
        </w:rPr>
        <w:t>psychiatric</w:t>
      </w:r>
      <w:r w:rsidR="00863B2B" w:rsidRPr="00417F7A">
        <w:rPr>
          <w:rFonts w:asciiTheme="majorBidi" w:hAnsiTheme="majorBidi" w:cstheme="majorBidi"/>
        </w:rPr>
        <w:t xml:space="preserve"> </w:t>
      </w:r>
      <w:r w:rsidRPr="00417F7A">
        <w:rPr>
          <w:rFonts w:asciiTheme="majorBidi" w:hAnsiTheme="majorBidi" w:cstheme="majorBidi"/>
        </w:rPr>
        <w:t>manifestations</w:t>
      </w:r>
      <w:r w:rsidR="00417F7A" w:rsidRPr="00417F7A">
        <w:rPr>
          <w:rFonts w:asciiTheme="majorBidi" w:hAnsiTheme="majorBidi" w:cstheme="majorBidi"/>
        </w:rPr>
        <w:t>.</w:t>
      </w:r>
      <w:r w:rsidR="00863B2B" w:rsidRPr="00417F7A">
        <w:rPr>
          <w:rFonts w:asciiTheme="majorBidi" w:hAnsiTheme="majorBidi" w:cstheme="majorBidi"/>
        </w:rPr>
        <w:t xml:space="preserve"> </w:t>
      </w:r>
    </w:p>
    <w:p w14:paraId="7FA6BF0E" w14:textId="2A4A135E" w:rsidR="000D3BC7" w:rsidRDefault="000D3BC7" w:rsidP="000D3BC7">
      <w:pPr>
        <w:pStyle w:val="Caption"/>
        <w:keepNext/>
      </w:pPr>
      <w:bookmarkStart w:id="4" w:name="_Hlk211250640"/>
      <w:r>
        <w:t xml:space="preserve">Table </w:t>
      </w:r>
      <w:fldSimple w:instr=" SEQ Table \* ARABIC ">
        <w:r>
          <w:rPr>
            <w:noProof/>
          </w:rPr>
          <w:t>4</w:t>
        </w:r>
      </w:fldSimple>
      <w:r>
        <w:t>.</w:t>
      </w:r>
      <w:r w:rsidRPr="000D3BC7">
        <w:t xml:space="preserve"> Serum vitamin D level among the studied groups (N=100)</w:t>
      </w:r>
    </w:p>
    <w:tbl>
      <w:tblPr>
        <w:tblStyle w:val="TableGrid"/>
        <w:tblpPr w:leftFromText="180" w:rightFromText="180" w:vertAnchor="text" w:horzAnchor="margin" w:tblpY="-3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 Serum vitamin D level among the studied groups (N=100)"/>
      </w:tblPr>
      <w:tblGrid>
        <w:gridCol w:w="2331"/>
        <w:gridCol w:w="2283"/>
        <w:gridCol w:w="2309"/>
        <w:gridCol w:w="2103"/>
      </w:tblGrid>
      <w:tr w:rsidR="00863B2B" w:rsidRPr="00A6114C" w14:paraId="7EF8C896" w14:textId="77777777" w:rsidTr="000D3BC7">
        <w:tc>
          <w:tcPr>
            <w:tcW w:w="2411" w:type="dxa"/>
            <w:tcBorders>
              <w:top w:val="single" w:sz="4" w:space="0" w:color="auto"/>
              <w:bottom w:val="single" w:sz="4" w:space="0" w:color="auto"/>
            </w:tcBorders>
            <w:hideMark/>
          </w:tcPr>
          <w:bookmarkEnd w:id="4"/>
          <w:p w14:paraId="76F727E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Vitamin D level</w:t>
            </w:r>
          </w:p>
        </w:tc>
        <w:tc>
          <w:tcPr>
            <w:tcW w:w="2368" w:type="dxa"/>
            <w:tcBorders>
              <w:top w:val="single" w:sz="4" w:space="0" w:color="auto"/>
              <w:bottom w:val="single" w:sz="4" w:space="0" w:color="auto"/>
            </w:tcBorders>
            <w:hideMark/>
          </w:tcPr>
          <w:p w14:paraId="02C34D99" w14:textId="0C19D61D" w:rsidR="00863B2B" w:rsidRPr="00A6114C" w:rsidRDefault="00C12B13" w:rsidP="000768CB">
            <w:pPr>
              <w:rPr>
                <w:rFonts w:asciiTheme="majorBidi" w:hAnsiTheme="majorBidi" w:cstheme="majorBidi"/>
                <w:sz w:val="20"/>
                <w:szCs w:val="20"/>
              </w:rPr>
            </w:pPr>
            <w:r w:rsidRPr="00A6114C">
              <w:rPr>
                <w:rFonts w:asciiTheme="majorBidi" w:hAnsiTheme="majorBidi" w:cstheme="majorBidi"/>
                <w:sz w:val="20"/>
                <w:szCs w:val="20"/>
              </w:rPr>
              <w:t>Group I</w:t>
            </w:r>
            <w:r w:rsidR="00652768" w:rsidRPr="00A6114C">
              <w:rPr>
                <w:rFonts w:asciiTheme="majorBidi" w:hAnsiTheme="majorBidi" w:cstheme="majorBidi"/>
                <w:sz w:val="20"/>
                <w:szCs w:val="20"/>
              </w:rPr>
              <w:t xml:space="preserve"> </w:t>
            </w:r>
            <w:r w:rsidR="00F31A93" w:rsidRPr="00A6114C">
              <w:rPr>
                <w:rFonts w:asciiTheme="majorBidi" w:hAnsiTheme="majorBidi" w:cstheme="majorBidi"/>
                <w:sz w:val="20"/>
                <w:szCs w:val="20"/>
              </w:rPr>
              <w:t>(50)</w:t>
            </w:r>
          </w:p>
        </w:tc>
        <w:tc>
          <w:tcPr>
            <w:tcW w:w="2395" w:type="dxa"/>
            <w:tcBorders>
              <w:top w:val="single" w:sz="4" w:space="0" w:color="auto"/>
              <w:bottom w:val="single" w:sz="4" w:space="0" w:color="auto"/>
            </w:tcBorders>
            <w:hideMark/>
          </w:tcPr>
          <w:p w14:paraId="36253D10" w14:textId="631EF4E8" w:rsidR="00652768" w:rsidRPr="00A6114C" w:rsidRDefault="00C12B13" w:rsidP="000768CB">
            <w:pPr>
              <w:rPr>
                <w:rFonts w:asciiTheme="majorBidi" w:hAnsiTheme="majorBidi" w:cstheme="majorBidi"/>
                <w:sz w:val="20"/>
                <w:szCs w:val="20"/>
              </w:rPr>
            </w:pPr>
            <w:r w:rsidRPr="00A6114C">
              <w:rPr>
                <w:rFonts w:asciiTheme="majorBidi" w:hAnsiTheme="majorBidi" w:cstheme="majorBidi"/>
                <w:sz w:val="20"/>
                <w:szCs w:val="20"/>
              </w:rPr>
              <w:t>Group</w:t>
            </w:r>
            <w:r w:rsidR="000A1DF4" w:rsidRPr="00A6114C">
              <w:rPr>
                <w:rFonts w:asciiTheme="majorBidi" w:hAnsiTheme="majorBidi" w:cstheme="majorBidi"/>
                <w:sz w:val="20"/>
                <w:szCs w:val="20"/>
              </w:rPr>
              <w:t xml:space="preserve"> </w:t>
            </w:r>
            <w:r w:rsidRPr="00A6114C">
              <w:rPr>
                <w:rFonts w:asciiTheme="majorBidi" w:hAnsiTheme="majorBidi" w:cstheme="majorBidi"/>
                <w:sz w:val="20"/>
                <w:szCs w:val="20"/>
              </w:rPr>
              <w:t>II</w:t>
            </w:r>
          </w:p>
          <w:p w14:paraId="1984975D" w14:textId="5637CFA1" w:rsidR="00863B2B" w:rsidRPr="00A6114C" w:rsidRDefault="00F31A93" w:rsidP="000768CB">
            <w:pPr>
              <w:rPr>
                <w:rFonts w:asciiTheme="majorBidi" w:hAnsiTheme="majorBidi" w:cstheme="majorBidi"/>
                <w:sz w:val="20"/>
                <w:szCs w:val="20"/>
              </w:rPr>
            </w:pPr>
            <w:r w:rsidRPr="00A6114C">
              <w:rPr>
                <w:rFonts w:asciiTheme="majorBidi" w:hAnsiTheme="majorBidi" w:cstheme="majorBidi"/>
                <w:sz w:val="20"/>
                <w:szCs w:val="20"/>
              </w:rPr>
              <w:t>(50</w:t>
            </w:r>
            <w:r w:rsidR="002D0988" w:rsidRPr="00A6114C">
              <w:rPr>
                <w:rFonts w:asciiTheme="majorBidi" w:hAnsiTheme="majorBidi" w:cstheme="majorBidi"/>
                <w:sz w:val="20"/>
                <w:szCs w:val="20"/>
              </w:rPr>
              <w:t>)</w:t>
            </w:r>
          </w:p>
        </w:tc>
        <w:tc>
          <w:tcPr>
            <w:tcW w:w="2176" w:type="dxa"/>
            <w:tcBorders>
              <w:top w:val="single" w:sz="4" w:space="0" w:color="auto"/>
              <w:bottom w:val="single" w:sz="4" w:space="0" w:color="auto"/>
            </w:tcBorders>
            <w:hideMark/>
          </w:tcPr>
          <w:p w14:paraId="0EAF87C8"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P-value</w:t>
            </w:r>
          </w:p>
        </w:tc>
      </w:tr>
      <w:tr w:rsidR="00863B2B" w:rsidRPr="00A6114C" w14:paraId="1395ACE3" w14:textId="77777777" w:rsidTr="000D3BC7">
        <w:tc>
          <w:tcPr>
            <w:tcW w:w="2411" w:type="dxa"/>
            <w:tcBorders>
              <w:top w:val="single" w:sz="4" w:space="0" w:color="auto"/>
            </w:tcBorders>
            <w:hideMark/>
          </w:tcPr>
          <w:p w14:paraId="293426E4"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More than 30</w:t>
            </w:r>
          </w:p>
        </w:tc>
        <w:tc>
          <w:tcPr>
            <w:tcW w:w="2368" w:type="dxa"/>
            <w:tcBorders>
              <w:top w:val="single" w:sz="4" w:space="0" w:color="auto"/>
            </w:tcBorders>
            <w:hideMark/>
          </w:tcPr>
          <w:p w14:paraId="50C4D12B"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19 (38%)</w:t>
            </w:r>
          </w:p>
        </w:tc>
        <w:tc>
          <w:tcPr>
            <w:tcW w:w="2395" w:type="dxa"/>
            <w:tcBorders>
              <w:top w:val="single" w:sz="4" w:space="0" w:color="auto"/>
            </w:tcBorders>
            <w:hideMark/>
          </w:tcPr>
          <w:p w14:paraId="29993E62"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34 (68%)</w:t>
            </w:r>
          </w:p>
        </w:tc>
        <w:tc>
          <w:tcPr>
            <w:tcW w:w="2176" w:type="dxa"/>
            <w:vMerge w:val="restart"/>
            <w:tcBorders>
              <w:top w:val="single" w:sz="4" w:space="0" w:color="auto"/>
            </w:tcBorders>
            <w:hideMark/>
          </w:tcPr>
          <w:p w14:paraId="76FAEE52"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0.012*</w:t>
            </w:r>
          </w:p>
        </w:tc>
      </w:tr>
      <w:tr w:rsidR="00863B2B" w:rsidRPr="00A6114C" w14:paraId="56C49602" w14:textId="77777777" w:rsidTr="000D3BC7">
        <w:tc>
          <w:tcPr>
            <w:tcW w:w="2411" w:type="dxa"/>
            <w:tcBorders>
              <w:bottom w:val="single" w:sz="4" w:space="0" w:color="auto"/>
            </w:tcBorders>
            <w:hideMark/>
          </w:tcPr>
          <w:p w14:paraId="701645EC"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Less than 30</w:t>
            </w:r>
          </w:p>
        </w:tc>
        <w:tc>
          <w:tcPr>
            <w:tcW w:w="2368" w:type="dxa"/>
            <w:tcBorders>
              <w:bottom w:val="single" w:sz="4" w:space="0" w:color="auto"/>
            </w:tcBorders>
            <w:hideMark/>
          </w:tcPr>
          <w:p w14:paraId="21855730"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31 (62%)</w:t>
            </w:r>
          </w:p>
        </w:tc>
        <w:tc>
          <w:tcPr>
            <w:tcW w:w="2395" w:type="dxa"/>
            <w:tcBorders>
              <w:bottom w:val="single" w:sz="4" w:space="0" w:color="auto"/>
            </w:tcBorders>
            <w:hideMark/>
          </w:tcPr>
          <w:p w14:paraId="136E87DC" w14:textId="77777777" w:rsidR="00863B2B" w:rsidRPr="00A6114C" w:rsidRDefault="00863B2B" w:rsidP="000768CB">
            <w:pPr>
              <w:rPr>
                <w:rFonts w:asciiTheme="majorBidi" w:hAnsiTheme="majorBidi" w:cstheme="majorBidi"/>
                <w:sz w:val="20"/>
                <w:szCs w:val="20"/>
              </w:rPr>
            </w:pPr>
            <w:r w:rsidRPr="00A6114C">
              <w:rPr>
                <w:rFonts w:asciiTheme="majorBidi" w:hAnsiTheme="majorBidi" w:cstheme="majorBidi"/>
                <w:sz w:val="20"/>
                <w:szCs w:val="20"/>
              </w:rPr>
              <w:t>16 (32%)</w:t>
            </w:r>
          </w:p>
        </w:tc>
        <w:tc>
          <w:tcPr>
            <w:tcW w:w="0" w:type="auto"/>
            <w:vMerge/>
            <w:tcBorders>
              <w:bottom w:val="single" w:sz="4" w:space="0" w:color="auto"/>
            </w:tcBorders>
            <w:vAlign w:val="center"/>
            <w:hideMark/>
          </w:tcPr>
          <w:p w14:paraId="125EB7F9" w14:textId="77777777" w:rsidR="00863B2B" w:rsidRPr="00A6114C" w:rsidRDefault="00863B2B" w:rsidP="000768CB">
            <w:pPr>
              <w:rPr>
                <w:rFonts w:asciiTheme="majorBidi" w:hAnsiTheme="majorBidi" w:cstheme="majorBidi"/>
                <w:sz w:val="20"/>
                <w:szCs w:val="20"/>
              </w:rPr>
            </w:pPr>
          </w:p>
        </w:tc>
      </w:tr>
    </w:tbl>
    <w:p w14:paraId="4EBBC0AA" w14:textId="3D7A2686" w:rsidR="00863B2B" w:rsidRPr="00417F7A" w:rsidRDefault="00863B2B" w:rsidP="000768CB">
      <w:pPr>
        <w:rPr>
          <w:rFonts w:asciiTheme="majorBidi" w:hAnsiTheme="majorBidi" w:cstheme="majorBidi"/>
        </w:rPr>
      </w:pPr>
      <w:r w:rsidRPr="00417F7A">
        <w:rPr>
          <w:rFonts w:asciiTheme="majorBidi" w:hAnsiTheme="majorBidi" w:cstheme="majorBidi"/>
        </w:rPr>
        <w:t>As corresponding to vi</w:t>
      </w:r>
      <w:r w:rsidR="006F3442" w:rsidRPr="00417F7A">
        <w:rPr>
          <w:rFonts w:asciiTheme="majorBidi" w:hAnsiTheme="majorBidi" w:cstheme="majorBidi"/>
        </w:rPr>
        <w:t xml:space="preserve">t </w:t>
      </w:r>
      <w:r w:rsidRPr="00417F7A">
        <w:rPr>
          <w:rFonts w:asciiTheme="majorBidi" w:hAnsiTheme="majorBidi" w:cstheme="majorBidi"/>
        </w:rPr>
        <w:t>d level in both groups,</w:t>
      </w:r>
      <w:r w:rsidR="00417F7A" w:rsidRPr="00417F7A">
        <w:rPr>
          <w:rFonts w:asciiTheme="majorBidi" w:hAnsiTheme="majorBidi" w:cstheme="majorBidi"/>
        </w:rPr>
        <w:t xml:space="preserve"> </w:t>
      </w:r>
      <w:r w:rsidRPr="00417F7A">
        <w:rPr>
          <w:rFonts w:asciiTheme="majorBidi" w:hAnsiTheme="majorBidi" w:cstheme="majorBidi"/>
        </w:rPr>
        <w:t xml:space="preserve">there was statistically significant difference between the </w:t>
      </w:r>
      <w:r w:rsidR="00417F7A" w:rsidRPr="00417F7A">
        <w:rPr>
          <w:rFonts w:asciiTheme="majorBidi" w:hAnsiTheme="majorBidi" w:cstheme="majorBidi"/>
        </w:rPr>
        <w:t>two</w:t>
      </w:r>
      <w:r w:rsidRPr="00417F7A">
        <w:rPr>
          <w:rFonts w:asciiTheme="majorBidi" w:hAnsiTheme="majorBidi" w:cstheme="majorBidi"/>
        </w:rPr>
        <w:t xml:space="preserve"> groups with p value 0.012 as explained in the table 4,</w:t>
      </w:r>
      <w:r w:rsidR="00417F7A" w:rsidRPr="00417F7A">
        <w:rPr>
          <w:rFonts w:asciiTheme="majorBidi" w:hAnsiTheme="majorBidi" w:cstheme="majorBidi"/>
        </w:rPr>
        <w:t xml:space="preserve"> </w:t>
      </w:r>
      <w:r w:rsidRPr="00417F7A">
        <w:rPr>
          <w:rFonts w:asciiTheme="majorBidi" w:hAnsiTheme="majorBidi" w:cstheme="majorBidi"/>
        </w:rPr>
        <w:t>vitamin D level was more than 30 in 19(38%) and less than normal range in 31(62%) of patients compared to 34(68%) were with normal range and 16(32%) were under normal in the control group.</w:t>
      </w:r>
    </w:p>
    <w:p w14:paraId="2284DAF2" w14:textId="57ECEFB3" w:rsidR="000D3BC7" w:rsidRDefault="000D3BC7" w:rsidP="000D3BC7">
      <w:pPr>
        <w:pStyle w:val="Caption"/>
        <w:keepNext/>
      </w:pPr>
      <w:r>
        <w:t xml:space="preserve">Table </w:t>
      </w:r>
      <w:fldSimple w:instr=" SEQ Table \* ARABIC ">
        <w:r>
          <w:rPr>
            <w:noProof/>
          </w:rPr>
          <w:t>5</w:t>
        </w:r>
      </w:fldSimple>
      <w:r>
        <w:t xml:space="preserve">. </w:t>
      </w:r>
      <w:r w:rsidRPr="000D3BC7">
        <w:t>Multivariate regression analysis for factors predicting IBS</w:t>
      </w:r>
      <w:r>
        <w:t>.</w:t>
      </w:r>
    </w:p>
    <w:tbl>
      <w:tblPr>
        <w:tblpPr w:leftFromText="180" w:rightFromText="180" w:bottomFromText="160" w:vertAnchor="text" w:horzAnchor="margin" w:tblpY="196"/>
        <w:tblW w:w="5000" w:type="pct"/>
        <w:tblLook w:val="04A0" w:firstRow="1" w:lastRow="0" w:firstColumn="1" w:lastColumn="0" w:noHBand="0" w:noVBand="1"/>
        <w:tblCaption w:val="Table (5): Multivariate regression analysis for factors predicting IBS"/>
      </w:tblPr>
      <w:tblGrid>
        <w:gridCol w:w="3274"/>
        <w:gridCol w:w="3705"/>
        <w:gridCol w:w="2047"/>
      </w:tblGrid>
      <w:tr w:rsidR="00863B2B" w:rsidRPr="00A6114C" w14:paraId="4747CD28" w14:textId="77777777" w:rsidTr="000D3BC7">
        <w:trPr>
          <w:cantSplit/>
          <w:trHeight w:val="57"/>
        </w:trPr>
        <w:tc>
          <w:tcPr>
            <w:tcW w:w="1813" w:type="pct"/>
            <w:tcBorders>
              <w:top w:val="single" w:sz="4" w:space="0" w:color="auto"/>
              <w:bottom w:val="single" w:sz="4" w:space="0" w:color="auto"/>
            </w:tcBorders>
            <w:vAlign w:val="center"/>
          </w:tcPr>
          <w:p w14:paraId="55FBECB8" w14:textId="77777777" w:rsidR="00863B2B" w:rsidRPr="00A6114C" w:rsidRDefault="00863B2B" w:rsidP="000768CB">
            <w:pPr>
              <w:spacing w:line="360" w:lineRule="auto"/>
              <w:jc w:val="center"/>
              <w:rPr>
                <w:rFonts w:asciiTheme="majorBidi" w:hAnsiTheme="majorBidi" w:cstheme="majorBidi"/>
                <w:b/>
                <w:bCs/>
                <w:color w:val="000000"/>
                <w:sz w:val="20"/>
                <w:szCs w:val="20"/>
              </w:rPr>
            </w:pPr>
          </w:p>
        </w:tc>
        <w:tc>
          <w:tcPr>
            <w:tcW w:w="2052" w:type="pct"/>
            <w:tcBorders>
              <w:top w:val="single" w:sz="4" w:space="0" w:color="auto"/>
              <w:bottom w:val="single" w:sz="4" w:space="0" w:color="auto"/>
            </w:tcBorders>
            <w:hideMark/>
          </w:tcPr>
          <w:p w14:paraId="3CB53678" w14:textId="77777777" w:rsidR="00863B2B" w:rsidRPr="00A6114C" w:rsidRDefault="00863B2B" w:rsidP="000768CB">
            <w:pPr>
              <w:autoSpaceDE w:val="0"/>
              <w:autoSpaceDN w:val="0"/>
              <w:adjustRightInd w:val="0"/>
              <w:spacing w:line="360" w:lineRule="auto"/>
              <w:jc w:val="center"/>
              <w:rPr>
                <w:rFonts w:asciiTheme="majorBidi" w:hAnsiTheme="majorBidi" w:cstheme="majorBidi"/>
                <w:b/>
                <w:bCs/>
                <w:color w:val="000000"/>
                <w:sz w:val="20"/>
                <w:szCs w:val="20"/>
              </w:rPr>
            </w:pPr>
            <w:r w:rsidRPr="00A6114C">
              <w:rPr>
                <w:rFonts w:asciiTheme="majorBidi" w:hAnsiTheme="majorBidi" w:cstheme="majorBidi"/>
                <w:b/>
                <w:bCs/>
                <w:color w:val="000000"/>
                <w:sz w:val="20"/>
                <w:szCs w:val="20"/>
              </w:rPr>
              <w:t>OR (CI 95%)</w:t>
            </w:r>
          </w:p>
        </w:tc>
        <w:tc>
          <w:tcPr>
            <w:tcW w:w="1134" w:type="pct"/>
            <w:tcBorders>
              <w:top w:val="single" w:sz="4" w:space="0" w:color="auto"/>
              <w:bottom w:val="single" w:sz="4" w:space="0" w:color="auto"/>
            </w:tcBorders>
            <w:vAlign w:val="center"/>
            <w:hideMark/>
          </w:tcPr>
          <w:p w14:paraId="0EF77B74" w14:textId="77777777" w:rsidR="00863B2B" w:rsidRPr="00A6114C" w:rsidRDefault="00863B2B" w:rsidP="000768CB">
            <w:pPr>
              <w:autoSpaceDE w:val="0"/>
              <w:autoSpaceDN w:val="0"/>
              <w:adjustRightInd w:val="0"/>
              <w:spacing w:line="360" w:lineRule="auto"/>
              <w:jc w:val="center"/>
              <w:rPr>
                <w:rFonts w:asciiTheme="majorBidi" w:hAnsiTheme="majorBidi" w:cstheme="majorBidi"/>
                <w:b/>
                <w:bCs/>
                <w:color w:val="000000"/>
                <w:sz w:val="20"/>
                <w:szCs w:val="20"/>
              </w:rPr>
            </w:pPr>
            <w:r w:rsidRPr="00A6114C">
              <w:rPr>
                <w:rFonts w:asciiTheme="majorBidi" w:hAnsiTheme="majorBidi" w:cstheme="majorBidi"/>
                <w:b/>
                <w:bCs/>
                <w:color w:val="000000"/>
                <w:sz w:val="20"/>
                <w:szCs w:val="20"/>
              </w:rPr>
              <w:t xml:space="preserve">P value </w:t>
            </w:r>
          </w:p>
        </w:tc>
      </w:tr>
      <w:tr w:rsidR="00863B2B" w:rsidRPr="00A6114C" w14:paraId="58674DC1" w14:textId="77777777" w:rsidTr="000D3BC7">
        <w:trPr>
          <w:cantSplit/>
          <w:trHeight w:val="57"/>
        </w:trPr>
        <w:tc>
          <w:tcPr>
            <w:tcW w:w="1813" w:type="pct"/>
            <w:tcBorders>
              <w:top w:val="single" w:sz="4" w:space="0" w:color="auto"/>
            </w:tcBorders>
            <w:hideMark/>
          </w:tcPr>
          <w:p w14:paraId="28966454" w14:textId="20BF259F" w:rsidR="00863B2B" w:rsidRPr="00A6114C" w:rsidRDefault="00863B2B" w:rsidP="000768CB">
            <w:pPr>
              <w:spacing w:line="360" w:lineRule="auto"/>
              <w:jc w:val="center"/>
              <w:rPr>
                <w:rFonts w:asciiTheme="majorBidi" w:hAnsiTheme="majorBidi" w:cstheme="majorBidi"/>
                <w:sz w:val="20"/>
                <w:szCs w:val="20"/>
              </w:rPr>
            </w:pPr>
            <w:r w:rsidRPr="00A6114C">
              <w:rPr>
                <w:rFonts w:asciiTheme="majorBidi" w:hAnsiTheme="majorBidi" w:cstheme="majorBidi"/>
                <w:sz w:val="20"/>
                <w:szCs w:val="20"/>
              </w:rPr>
              <w:t>Age</w:t>
            </w:r>
          </w:p>
        </w:tc>
        <w:tc>
          <w:tcPr>
            <w:tcW w:w="2052" w:type="pct"/>
            <w:tcBorders>
              <w:top w:val="single" w:sz="4" w:space="0" w:color="auto"/>
            </w:tcBorders>
            <w:vAlign w:val="bottom"/>
            <w:hideMark/>
          </w:tcPr>
          <w:p w14:paraId="2C93BA77"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1.045 (0.951 – 1.149)</w:t>
            </w:r>
          </w:p>
        </w:tc>
        <w:tc>
          <w:tcPr>
            <w:tcW w:w="1134" w:type="pct"/>
            <w:tcBorders>
              <w:top w:val="single" w:sz="4" w:space="0" w:color="auto"/>
            </w:tcBorders>
            <w:vAlign w:val="bottom"/>
            <w:hideMark/>
          </w:tcPr>
          <w:p w14:paraId="3A6539CD"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0.359</w:t>
            </w:r>
          </w:p>
        </w:tc>
      </w:tr>
      <w:tr w:rsidR="00863B2B" w:rsidRPr="00A6114C" w14:paraId="265F10BF" w14:textId="77777777" w:rsidTr="000D3BC7">
        <w:trPr>
          <w:cantSplit/>
          <w:trHeight w:val="57"/>
        </w:trPr>
        <w:tc>
          <w:tcPr>
            <w:tcW w:w="1813" w:type="pct"/>
            <w:hideMark/>
          </w:tcPr>
          <w:p w14:paraId="0E1ECE9E" w14:textId="6013098B" w:rsidR="00863B2B" w:rsidRPr="00A6114C" w:rsidRDefault="00863B2B" w:rsidP="000768CB">
            <w:pPr>
              <w:spacing w:line="360" w:lineRule="auto"/>
              <w:jc w:val="center"/>
              <w:rPr>
                <w:rFonts w:asciiTheme="majorBidi" w:hAnsiTheme="majorBidi" w:cstheme="majorBidi"/>
                <w:sz w:val="20"/>
                <w:szCs w:val="20"/>
              </w:rPr>
            </w:pPr>
            <w:r w:rsidRPr="00A6114C">
              <w:rPr>
                <w:rFonts w:asciiTheme="majorBidi" w:hAnsiTheme="majorBidi" w:cstheme="majorBidi"/>
                <w:sz w:val="20"/>
                <w:szCs w:val="20"/>
              </w:rPr>
              <w:t>Smoking</w:t>
            </w:r>
          </w:p>
        </w:tc>
        <w:tc>
          <w:tcPr>
            <w:tcW w:w="2052" w:type="pct"/>
            <w:vAlign w:val="bottom"/>
            <w:hideMark/>
          </w:tcPr>
          <w:p w14:paraId="4EE92D48"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0.740 (0.206 – 2.660)</w:t>
            </w:r>
          </w:p>
        </w:tc>
        <w:tc>
          <w:tcPr>
            <w:tcW w:w="1134" w:type="pct"/>
            <w:vAlign w:val="bottom"/>
            <w:hideMark/>
          </w:tcPr>
          <w:p w14:paraId="627B1199"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0.645</w:t>
            </w:r>
          </w:p>
        </w:tc>
      </w:tr>
      <w:tr w:rsidR="00863B2B" w:rsidRPr="00A6114C" w14:paraId="552F5059" w14:textId="77777777" w:rsidTr="000D3BC7">
        <w:trPr>
          <w:cantSplit/>
          <w:trHeight w:val="57"/>
        </w:trPr>
        <w:tc>
          <w:tcPr>
            <w:tcW w:w="1813" w:type="pct"/>
            <w:hideMark/>
          </w:tcPr>
          <w:p w14:paraId="28123406" w14:textId="77777777" w:rsidR="00863B2B" w:rsidRPr="00A6114C" w:rsidRDefault="00863B2B" w:rsidP="000768CB">
            <w:pPr>
              <w:spacing w:line="360" w:lineRule="auto"/>
              <w:jc w:val="center"/>
              <w:rPr>
                <w:rFonts w:asciiTheme="majorBidi" w:hAnsiTheme="majorBidi" w:cstheme="majorBidi"/>
                <w:sz w:val="20"/>
                <w:szCs w:val="20"/>
              </w:rPr>
            </w:pPr>
            <w:r w:rsidRPr="00A6114C">
              <w:rPr>
                <w:rFonts w:asciiTheme="majorBidi" w:hAnsiTheme="majorBidi" w:cstheme="majorBidi"/>
                <w:sz w:val="20"/>
                <w:szCs w:val="20"/>
              </w:rPr>
              <w:t>DM</w:t>
            </w:r>
          </w:p>
        </w:tc>
        <w:tc>
          <w:tcPr>
            <w:tcW w:w="2052" w:type="pct"/>
            <w:vAlign w:val="bottom"/>
            <w:hideMark/>
          </w:tcPr>
          <w:p w14:paraId="5D628C57"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2.021 (0.584 – 6.996)</w:t>
            </w:r>
          </w:p>
        </w:tc>
        <w:tc>
          <w:tcPr>
            <w:tcW w:w="1134" w:type="pct"/>
            <w:vAlign w:val="bottom"/>
            <w:hideMark/>
          </w:tcPr>
          <w:p w14:paraId="28AECE5B"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0.267</w:t>
            </w:r>
          </w:p>
        </w:tc>
      </w:tr>
      <w:tr w:rsidR="00863B2B" w:rsidRPr="00A6114C" w14:paraId="34B4EBED" w14:textId="77777777" w:rsidTr="000D3BC7">
        <w:trPr>
          <w:cantSplit/>
          <w:trHeight w:val="57"/>
        </w:trPr>
        <w:tc>
          <w:tcPr>
            <w:tcW w:w="1813" w:type="pct"/>
            <w:hideMark/>
          </w:tcPr>
          <w:p w14:paraId="132A57A0" w14:textId="55620FF5" w:rsidR="00863B2B" w:rsidRPr="00A6114C" w:rsidRDefault="00863B2B" w:rsidP="000768CB">
            <w:pPr>
              <w:spacing w:line="360" w:lineRule="auto"/>
              <w:jc w:val="center"/>
              <w:rPr>
                <w:rFonts w:asciiTheme="majorBidi" w:hAnsiTheme="majorBidi" w:cstheme="majorBidi"/>
                <w:sz w:val="20"/>
                <w:szCs w:val="20"/>
              </w:rPr>
            </w:pPr>
            <w:r w:rsidRPr="00A6114C">
              <w:rPr>
                <w:rFonts w:asciiTheme="majorBidi" w:hAnsiTheme="majorBidi" w:cstheme="majorBidi"/>
                <w:sz w:val="20"/>
                <w:szCs w:val="20"/>
              </w:rPr>
              <w:t>Sex</w:t>
            </w:r>
          </w:p>
        </w:tc>
        <w:tc>
          <w:tcPr>
            <w:tcW w:w="2052" w:type="pct"/>
            <w:vAlign w:val="bottom"/>
            <w:hideMark/>
          </w:tcPr>
          <w:p w14:paraId="5A70612D"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0.963 (0.297 – 3.125)</w:t>
            </w:r>
          </w:p>
        </w:tc>
        <w:tc>
          <w:tcPr>
            <w:tcW w:w="1134" w:type="pct"/>
            <w:vAlign w:val="bottom"/>
            <w:hideMark/>
          </w:tcPr>
          <w:p w14:paraId="244CE333"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0.950</w:t>
            </w:r>
          </w:p>
        </w:tc>
      </w:tr>
      <w:tr w:rsidR="00863B2B" w:rsidRPr="00A6114C" w14:paraId="5E5F71F2" w14:textId="77777777" w:rsidTr="000D3BC7">
        <w:trPr>
          <w:cantSplit/>
          <w:trHeight w:val="57"/>
        </w:trPr>
        <w:tc>
          <w:tcPr>
            <w:tcW w:w="1813" w:type="pct"/>
            <w:hideMark/>
          </w:tcPr>
          <w:p w14:paraId="1BCBB91E" w14:textId="5DC8EA1A" w:rsidR="00863B2B" w:rsidRPr="00A6114C" w:rsidRDefault="00863B2B" w:rsidP="000768CB">
            <w:pPr>
              <w:spacing w:line="360" w:lineRule="auto"/>
              <w:jc w:val="center"/>
              <w:rPr>
                <w:rFonts w:asciiTheme="majorBidi" w:hAnsiTheme="majorBidi" w:cstheme="majorBidi"/>
                <w:sz w:val="20"/>
                <w:szCs w:val="20"/>
              </w:rPr>
            </w:pPr>
            <w:r w:rsidRPr="00A6114C">
              <w:rPr>
                <w:rFonts w:asciiTheme="majorBidi" w:hAnsiTheme="majorBidi" w:cstheme="majorBidi"/>
                <w:sz w:val="20"/>
                <w:szCs w:val="20"/>
              </w:rPr>
              <w:t xml:space="preserve">Waist </w:t>
            </w:r>
            <w:r w:rsidR="00BD6352" w:rsidRPr="00A6114C">
              <w:rPr>
                <w:rFonts w:asciiTheme="majorBidi" w:hAnsiTheme="majorBidi" w:cstheme="majorBidi"/>
                <w:sz w:val="20"/>
                <w:szCs w:val="20"/>
              </w:rPr>
              <w:t>circumference</w:t>
            </w:r>
          </w:p>
        </w:tc>
        <w:tc>
          <w:tcPr>
            <w:tcW w:w="2052" w:type="pct"/>
            <w:vAlign w:val="bottom"/>
            <w:hideMark/>
          </w:tcPr>
          <w:p w14:paraId="71897B74"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0.996 (0.931 – 1.065)</w:t>
            </w:r>
          </w:p>
        </w:tc>
        <w:tc>
          <w:tcPr>
            <w:tcW w:w="1134" w:type="pct"/>
            <w:vAlign w:val="bottom"/>
            <w:hideMark/>
          </w:tcPr>
          <w:p w14:paraId="4251FCE3"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0.897</w:t>
            </w:r>
          </w:p>
        </w:tc>
      </w:tr>
      <w:tr w:rsidR="00863B2B" w:rsidRPr="00A6114C" w14:paraId="74D54A03" w14:textId="77777777" w:rsidTr="000D3BC7">
        <w:trPr>
          <w:cantSplit/>
          <w:trHeight w:val="57"/>
        </w:trPr>
        <w:tc>
          <w:tcPr>
            <w:tcW w:w="1813" w:type="pct"/>
            <w:tcBorders>
              <w:bottom w:val="single" w:sz="4" w:space="0" w:color="auto"/>
            </w:tcBorders>
            <w:hideMark/>
          </w:tcPr>
          <w:p w14:paraId="0EA336D2" w14:textId="2E0B0A83" w:rsidR="00863B2B" w:rsidRPr="00A6114C" w:rsidRDefault="00863B2B" w:rsidP="000768CB">
            <w:pPr>
              <w:spacing w:line="360" w:lineRule="auto"/>
              <w:jc w:val="center"/>
              <w:rPr>
                <w:rFonts w:asciiTheme="majorBidi" w:hAnsiTheme="majorBidi" w:cstheme="majorBidi"/>
                <w:sz w:val="20"/>
                <w:szCs w:val="20"/>
              </w:rPr>
            </w:pPr>
            <w:r w:rsidRPr="00A6114C">
              <w:rPr>
                <w:rFonts w:asciiTheme="majorBidi" w:hAnsiTheme="majorBidi" w:cstheme="majorBidi"/>
                <w:sz w:val="20"/>
                <w:szCs w:val="20"/>
              </w:rPr>
              <w:t>Vit.D</w:t>
            </w:r>
          </w:p>
        </w:tc>
        <w:tc>
          <w:tcPr>
            <w:tcW w:w="2052" w:type="pct"/>
            <w:tcBorders>
              <w:bottom w:val="single" w:sz="4" w:space="0" w:color="auto"/>
            </w:tcBorders>
            <w:vAlign w:val="bottom"/>
            <w:hideMark/>
          </w:tcPr>
          <w:p w14:paraId="267ACAF7"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0.315 (0.126 – 0.784)</w:t>
            </w:r>
          </w:p>
        </w:tc>
        <w:tc>
          <w:tcPr>
            <w:tcW w:w="1134" w:type="pct"/>
            <w:tcBorders>
              <w:bottom w:val="single" w:sz="4" w:space="0" w:color="auto"/>
            </w:tcBorders>
            <w:vAlign w:val="bottom"/>
            <w:hideMark/>
          </w:tcPr>
          <w:p w14:paraId="4FC933CE" w14:textId="77777777" w:rsidR="00863B2B" w:rsidRPr="00A6114C" w:rsidRDefault="00863B2B" w:rsidP="000768CB">
            <w:pPr>
              <w:autoSpaceDE w:val="0"/>
              <w:autoSpaceDN w:val="0"/>
              <w:adjustRightInd w:val="0"/>
              <w:spacing w:line="360" w:lineRule="auto"/>
              <w:jc w:val="center"/>
              <w:rPr>
                <w:rFonts w:asciiTheme="majorBidi" w:hAnsiTheme="majorBidi" w:cstheme="majorBidi"/>
                <w:color w:val="000000"/>
                <w:sz w:val="20"/>
                <w:szCs w:val="20"/>
              </w:rPr>
            </w:pPr>
            <w:r w:rsidRPr="00A6114C">
              <w:rPr>
                <w:rFonts w:asciiTheme="majorBidi" w:hAnsiTheme="majorBidi" w:cstheme="majorBidi"/>
                <w:color w:val="000000"/>
                <w:sz w:val="20"/>
                <w:szCs w:val="20"/>
              </w:rPr>
              <w:t>0.013*</w:t>
            </w:r>
          </w:p>
        </w:tc>
      </w:tr>
    </w:tbl>
    <w:p w14:paraId="5D28313F" w14:textId="7F79E37C" w:rsidR="004B0C70" w:rsidRPr="00417F7A" w:rsidRDefault="00863B2B" w:rsidP="000768CB">
      <w:pPr>
        <w:spacing w:line="360" w:lineRule="auto"/>
        <w:ind w:firstLine="720"/>
        <w:jc w:val="both"/>
        <w:rPr>
          <w:rFonts w:asciiTheme="majorBidi" w:hAnsiTheme="majorBidi" w:cstheme="majorBidi"/>
          <w:rtl/>
        </w:rPr>
      </w:pPr>
      <w:r w:rsidRPr="00417F7A">
        <w:rPr>
          <w:rFonts w:asciiTheme="majorBidi" w:hAnsiTheme="majorBidi" w:cstheme="majorBidi"/>
        </w:rPr>
        <w:t xml:space="preserve">Multivariate regression analysis </w:t>
      </w:r>
      <w:r w:rsidR="004863E1" w:rsidRPr="000D3BC7">
        <w:rPr>
          <w:rFonts w:asciiTheme="majorBidi" w:hAnsiTheme="majorBidi" w:cstheme="majorBidi"/>
        </w:rPr>
        <w:t>between</w:t>
      </w:r>
      <w:r w:rsidRPr="00417F7A">
        <w:rPr>
          <w:rFonts w:asciiTheme="majorBidi" w:hAnsiTheme="majorBidi" w:cstheme="majorBidi"/>
        </w:rPr>
        <w:t xml:space="preserve"> both groups shows only </w:t>
      </w:r>
      <w:r w:rsidR="00417F7A" w:rsidRPr="00417F7A">
        <w:rPr>
          <w:rFonts w:asciiTheme="majorBidi" w:hAnsiTheme="majorBidi" w:cstheme="majorBidi"/>
        </w:rPr>
        <w:t>a statistically significant difference corresponding to the level of vitamin D</w:t>
      </w:r>
      <w:r w:rsidR="002B7525">
        <w:rPr>
          <w:rFonts w:asciiTheme="majorBidi" w:hAnsiTheme="majorBidi" w:cstheme="majorBidi"/>
        </w:rPr>
        <w:t>,</w:t>
      </w:r>
      <w:r w:rsidR="00417F7A" w:rsidRPr="00417F7A">
        <w:rPr>
          <w:rFonts w:asciiTheme="majorBidi" w:hAnsiTheme="majorBidi" w:cstheme="majorBidi"/>
        </w:rPr>
        <w:t xml:space="preserve"> with a p value of 0.013; meanwhile, other clinical and demographic risk factors, including age, sex, smoking, central obesity, and DM,</w:t>
      </w:r>
      <w:r w:rsidRPr="00417F7A">
        <w:rPr>
          <w:rFonts w:asciiTheme="majorBidi" w:hAnsiTheme="majorBidi" w:cstheme="majorBidi"/>
        </w:rPr>
        <w:t xml:space="preserve"> were </w:t>
      </w:r>
      <w:r w:rsidR="00417F7A" w:rsidRPr="00417F7A">
        <w:rPr>
          <w:rFonts w:asciiTheme="majorBidi" w:hAnsiTheme="majorBidi" w:cstheme="majorBidi"/>
        </w:rPr>
        <w:t>non-significant</w:t>
      </w:r>
      <w:r w:rsidR="002008F1" w:rsidRPr="00417F7A">
        <w:rPr>
          <w:rFonts w:asciiTheme="majorBidi" w:hAnsiTheme="majorBidi" w:cstheme="majorBidi"/>
        </w:rPr>
        <w:t>. This</w:t>
      </w:r>
      <w:r w:rsidRPr="00417F7A">
        <w:rPr>
          <w:rFonts w:asciiTheme="majorBidi" w:hAnsiTheme="majorBidi" w:cstheme="majorBidi"/>
        </w:rPr>
        <w:t xml:space="preserve"> </w:t>
      </w:r>
      <w:r w:rsidR="00417F7A" w:rsidRPr="00417F7A">
        <w:rPr>
          <w:rFonts w:asciiTheme="majorBidi" w:hAnsiTheme="majorBidi" w:cstheme="majorBidi"/>
        </w:rPr>
        <w:t xml:space="preserve">aligned with the work's aim, as it demonstrated the difference in vitamin D levels between </w:t>
      </w:r>
      <w:r w:rsidR="002B7525">
        <w:rPr>
          <w:rFonts w:asciiTheme="majorBidi" w:hAnsiTheme="majorBidi" w:cstheme="majorBidi"/>
        </w:rPr>
        <w:t>individuals with IBS and healthy</w:t>
      </w:r>
      <w:r w:rsidRPr="00417F7A">
        <w:rPr>
          <w:rFonts w:asciiTheme="majorBidi" w:hAnsiTheme="majorBidi" w:cstheme="majorBidi"/>
        </w:rPr>
        <w:t xml:space="preserve"> </w:t>
      </w:r>
      <w:r w:rsidR="0065200D" w:rsidRPr="00417F7A">
        <w:rPr>
          <w:rFonts w:asciiTheme="majorBidi" w:hAnsiTheme="majorBidi" w:cstheme="majorBidi"/>
        </w:rPr>
        <w:t>subjects</w:t>
      </w:r>
      <w:r w:rsidRPr="00417F7A">
        <w:rPr>
          <w:rFonts w:asciiTheme="majorBidi" w:hAnsiTheme="majorBidi" w:cstheme="majorBidi"/>
        </w:rPr>
        <w:t>.</w:t>
      </w:r>
    </w:p>
    <w:p w14:paraId="69F61F11" w14:textId="77777777" w:rsidR="004B0C70" w:rsidRPr="00417F7A" w:rsidRDefault="004B0C70" w:rsidP="000768CB">
      <w:pPr>
        <w:rPr>
          <w:rFonts w:asciiTheme="majorBidi" w:hAnsiTheme="majorBidi" w:cstheme="majorBidi"/>
          <w:b/>
          <w:bCs/>
        </w:rPr>
      </w:pPr>
      <w:r w:rsidRPr="00417F7A">
        <w:rPr>
          <w:rFonts w:asciiTheme="majorBidi" w:hAnsiTheme="majorBidi" w:cstheme="majorBidi"/>
          <w:b/>
          <w:bCs/>
        </w:rPr>
        <w:t>Discussion</w:t>
      </w:r>
    </w:p>
    <w:p w14:paraId="2212BF92" w14:textId="50020D79" w:rsidR="004B0C70" w:rsidRPr="00417F7A" w:rsidRDefault="004B0C70" w:rsidP="000768CB">
      <w:pPr>
        <w:rPr>
          <w:rFonts w:asciiTheme="majorBidi" w:hAnsiTheme="majorBidi" w:cstheme="majorBidi"/>
        </w:rPr>
      </w:pPr>
      <w:r w:rsidRPr="00417F7A">
        <w:rPr>
          <w:rFonts w:asciiTheme="majorBidi" w:hAnsiTheme="majorBidi" w:cstheme="majorBidi"/>
        </w:rPr>
        <w:t xml:space="preserve">IBS is a chronic GI disorder, and the most common functional gastrointestinal (GIT) disorder, characterized by recurrent abdominal pain and altered bowel habits, and a change in frequency or consistency of stool with </w:t>
      </w:r>
      <w:r w:rsidR="00BD6352" w:rsidRPr="00417F7A">
        <w:rPr>
          <w:rFonts w:asciiTheme="majorBidi" w:hAnsiTheme="majorBidi" w:cstheme="majorBidi"/>
        </w:rPr>
        <w:t>a significant</w:t>
      </w:r>
      <w:r w:rsidRPr="00417F7A">
        <w:rPr>
          <w:rFonts w:asciiTheme="majorBidi" w:hAnsiTheme="majorBidi" w:cstheme="majorBidi"/>
        </w:rPr>
        <w:t xml:space="preserve"> impact on the quality of life</w:t>
      </w:r>
      <w:r w:rsidRPr="00417F7A">
        <w:rPr>
          <w:rFonts w:asciiTheme="majorBidi" w:hAnsiTheme="majorBidi" w:cstheme="majorBidi"/>
          <w:color w:val="333333"/>
          <w:shd w:val="clear" w:color="auto" w:fill="FFFFFF"/>
        </w:rPr>
        <w:t xml:space="preserve"> </w:t>
      </w:r>
      <w:r w:rsidRPr="00417F7A">
        <w:rPr>
          <w:rFonts w:asciiTheme="majorBidi" w:hAnsiTheme="majorBidi" w:cstheme="majorBidi"/>
        </w:rPr>
        <w:t>[</w:t>
      </w:r>
      <w:r w:rsidR="002A4F50" w:rsidRPr="00417F7A">
        <w:rPr>
          <w:rFonts w:asciiTheme="majorBidi" w:hAnsiTheme="majorBidi" w:cstheme="majorBidi"/>
        </w:rPr>
        <w:t>11</w:t>
      </w:r>
      <w:r w:rsidRPr="00417F7A">
        <w:rPr>
          <w:rFonts w:asciiTheme="majorBidi" w:hAnsiTheme="majorBidi" w:cstheme="majorBidi"/>
        </w:rPr>
        <w:t>].</w:t>
      </w:r>
      <w:r w:rsidR="00BD6352" w:rsidRPr="00417F7A">
        <w:rPr>
          <w:rFonts w:asciiTheme="majorBidi" w:hAnsiTheme="majorBidi" w:cstheme="majorBidi"/>
        </w:rPr>
        <w:t xml:space="preserve"> According to the Rome IV criteria, the diagnostic tool used to identify IBS and other functional gastrointestinal disorders, IBS is characterized as a disorder of the </w:t>
      </w:r>
      <w:r w:rsidRPr="00417F7A">
        <w:rPr>
          <w:rFonts w:asciiTheme="majorBidi" w:hAnsiTheme="majorBidi" w:cstheme="majorBidi"/>
        </w:rPr>
        <w:t>gut-brain axis [</w:t>
      </w:r>
      <w:r w:rsidR="002A4F50" w:rsidRPr="00417F7A">
        <w:rPr>
          <w:rFonts w:asciiTheme="majorBidi" w:hAnsiTheme="majorBidi" w:cstheme="majorBidi"/>
        </w:rPr>
        <w:t>12</w:t>
      </w:r>
      <w:r w:rsidRPr="00417F7A">
        <w:rPr>
          <w:rFonts w:asciiTheme="majorBidi" w:hAnsiTheme="majorBidi" w:cstheme="majorBidi"/>
        </w:rPr>
        <w:t>]. Several studies have reported the prevalence of IBS in various regions using the Rome IV diagnostic criteria</w:t>
      </w:r>
      <w:r w:rsidR="00BD6352" w:rsidRPr="00417F7A">
        <w:rPr>
          <w:rFonts w:asciiTheme="majorBidi" w:hAnsiTheme="majorBidi" w:cstheme="majorBidi"/>
        </w:rPr>
        <w:t xml:space="preserve">. According to recent data and meta-analysis, the global prevalence of IBS </w:t>
      </w:r>
      <w:r w:rsidR="00823AC8">
        <w:rPr>
          <w:rFonts w:asciiTheme="majorBidi" w:hAnsiTheme="majorBidi" w:cstheme="majorBidi"/>
        </w:rPr>
        <w:t>ranges from 7.3% to</w:t>
      </w:r>
      <w:r w:rsidR="00BD6352" w:rsidRPr="00417F7A">
        <w:rPr>
          <w:rFonts w:asciiTheme="majorBidi" w:hAnsiTheme="majorBidi" w:cstheme="majorBidi"/>
        </w:rPr>
        <w:t xml:space="preserve"> 11.2% </w:t>
      </w:r>
      <w:r w:rsidRPr="00417F7A">
        <w:rPr>
          <w:rFonts w:asciiTheme="majorBidi" w:hAnsiTheme="majorBidi" w:cstheme="majorBidi"/>
        </w:rPr>
        <w:t>[</w:t>
      </w:r>
      <w:r w:rsidR="002A4F50" w:rsidRPr="00417F7A">
        <w:rPr>
          <w:rFonts w:asciiTheme="majorBidi" w:hAnsiTheme="majorBidi" w:cstheme="majorBidi"/>
        </w:rPr>
        <w:t>13</w:t>
      </w:r>
      <w:r w:rsidRPr="00417F7A">
        <w:rPr>
          <w:rFonts w:asciiTheme="majorBidi" w:hAnsiTheme="majorBidi" w:cstheme="majorBidi"/>
        </w:rPr>
        <w:t>]. Vitamin D, a fat-soluble vitamin known for its role in bone metabolism, has also been observed to possess anti-inflammatory and immune-modulating properties %[</w:t>
      </w:r>
      <w:r w:rsidR="002A4F50" w:rsidRPr="00417F7A">
        <w:rPr>
          <w:rFonts w:asciiTheme="majorBidi" w:hAnsiTheme="majorBidi" w:cstheme="majorBidi"/>
        </w:rPr>
        <w:t>14</w:t>
      </w:r>
      <w:r w:rsidRPr="00417F7A">
        <w:rPr>
          <w:rFonts w:asciiTheme="majorBidi" w:hAnsiTheme="majorBidi" w:cstheme="majorBidi"/>
        </w:rPr>
        <w:t xml:space="preserve">]. </w:t>
      </w:r>
      <w:r w:rsidR="00BD6352" w:rsidRPr="00417F7A">
        <w:rPr>
          <w:rFonts w:asciiTheme="majorBidi" w:hAnsiTheme="majorBidi" w:cstheme="majorBidi"/>
        </w:rPr>
        <w:t xml:space="preserve">An emerging body of evidence has highlighted the prevalence of Vitamin D deficiency among IBS patients and has explored the potential benefits of Vitamin D supplementation in alleviating IBS symptoms </w:t>
      </w:r>
      <w:r w:rsidR="00E44998" w:rsidRPr="00417F7A">
        <w:rPr>
          <w:rFonts w:asciiTheme="majorBidi" w:hAnsiTheme="majorBidi" w:cstheme="majorBidi"/>
        </w:rPr>
        <w:t>[15]</w:t>
      </w:r>
      <w:r w:rsidR="00E44998" w:rsidRPr="00417F7A">
        <w:rPr>
          <w:rFonts w:asciiTheme="majorBidi" w:hAnsiTheme="majorBidi" w:cstheme="majorBidi"/>
          <w:rtl/>
        </w:rPr>
        <w:t>.</w:t>
      </w:r>
    </w:p>
    <w:p w14:paraId="444C0933" w14:textId="3DA38836" w:rsidR="004B0C70" w:rsidRPr="00417F7A" w:rsidRDefault="004B0C70" w:rsidP="000768CB">
      <w:pPr>
        <w:rPr>
          <w:rFonts w:asciiTheme="majorBidi" w:hAnsiTheme="majorBidi" w:cstheme="majorBidi"/>
        </w:rPr>
      </w:pPr>
      <w:r w:rsidRPr="00417F7A">
        <w:rPr>
          <w:rFonts w:asciiTheme="majorBidi" w:hAnsiTheme="majorBidi" w:cstheme="majorBidi"/>
        </w:rPr>
        <w:t xml:space="preserve">This recent trend highlighting the potential link between Vitamin D deficiency and IBS has incited numerous studies to explore the </w:t>
      </w:r>
      <w:r w:rsidR="00DB4245" w:rsidRPr="00417F7A">
        <w:rPr>
          <w:rFonts w:asciiTheme="majorBidi" w:hAnsiTheme="majorBidi" w:cstheme="majorBidi"/>
        </w:rPr>
        <w:t>rol</w:t>
      </w:r>
      <w:r w:rsidR="00C06B56" w:rsidRPr="00417F7A">
        <w:rPr>
          <w:rFonts w:asciiTheme="majorBidi" w:hAnsiTheme="majorBidi" w:cstheme="majorBidi"/>
        </w:rPr>
        <w:t>e</w:t>
      </w:r>
      <w:r w:rsidRPr="00417F7A">
        <w:rPr>
          <w:rFonts w:asciiTheme="majorBidi" w:hAnsiTheme="majorBidi" w:cstheme="majorBidi"/>
        </w:rPr>
        <w:t xml:space="preserve"> of Vitamin D supplementation on IBS symptoms. Researchers </w:t>
      </w:r>
      <w:r w:rsidR="00BD6352" w:rsidRPr="00417F7A">
        <w:rPr>
          <w:rFonts w:asciiTheme="majorBidi" w:hAnsiTheme="majorBidi" w:cstheme="majorBidi"/>
        </w:rPr>
        <w:t>have shed light on the anti-inflammatory and immune-modulating properties of Vitamin D, which may help mitigate the symptoms of IBS and improve</w:t>
      </w:r>
      <w:r w:rsidRPr="00417F7A">
        <w:rPr>
          <w:rFonts w:asciiTheme="majorBidi" w:hAnsiTheme="majorBidi" w:cstheme="majorBidi"/>
        </w:rPr>
        <w:t xml:space="preserve"> the quality of life for those affected. We </w:t>
      </w:r>
      <w:r w:rsidR="00BD6352" w:rsidRPr="00417F7A">
        <w:rPr>
          <w:rFonts w:asciiTheme="majorBidi" w:hAnsiTheme="majorBidi" w:cstheme="majorBidi"/>
        </w:rPr>
        <w:t>aim to highlight the role of vitamin D deficiency in the development</w:t>
      </w:r>
      <w:r w:rsidRPr="00417F7A">
        <w:rPr>
          <w:rFonts w:asciiTheme="majorBidi" w:hAnsiTheme="majorBidi" w:cstheme="majorBidi"/>
        </w:rPr>
        <w:t xml:space="preserve"> of IBS symptoms</w:t>
      </w:r>
      <w:r w:rsidR="00FE580C" w:rsidRPr="00417F7A">
        <w:rPr>
          <w:rFonts w:asciiTheme="majorBidi" w:hAnsiTheme="majorBidi" w:cstheme="majorBidi"/>
        </w:rPr>
        <w:t>.</w:t>
      </w:r>
    </w:p>
    <w:p w14:paraId="3409B61B" w14:textId="399FDA31" w:rsidR="004B0C70" w:rsidRPr="00417F7A" w:rsidRDefault="004B0C70" w:rsidP="000768CB">
      <w:pPr>
        <w:rPr>
          <w:rFonts w:asciiTheme="majorBidi" w:hAnsiTheme="majorBidi" w:cstheme="majorBidi"/>
        </w:rPr>
      </w:pPr>
      <w:r w:rsidRPr="00417F7A">
        <w:rPr>
          <w:rFonts w:asciiTheme="majorBidi" w:hAnsiTheme="majorBidi" w:cstheme="majorBidi"/>
        </w:rPr>
        <w:t xml:space="preserve">This cross-sectional study included 100 participants, equally divided into </w:t>
      </w:r>
      <w:r w:rsidR="00BD6352" w:rsidRPr="00417F7A">
        <w:rPr>
          <w:rFonts w:asciiTheme="majorBidi" w:hAnsiTheme="majorBidi" w:cstheme="majorBidi"/>
        </w:rPr>
        <w:t>two groups after excluding 76 participants based on methodological</w:t>
      </w:r>
      <w:r w:rsidRPr="00417F7A">
        <w:rPr>
          <w:rFonts w:asciiTheme="majorBidi" w:hAnsiTheme="majorBidi" w:cstheme="majorBidi"/>
        </w:rPr>
        <w:t xml:space="preserve"> criteria. </w:t>
      </w:r>
    </w:p>
    <w:p w14:paraId="739BF5B5" w14:textId="620A1C24" w:rsidR="004B0C70" w:rsidRPr="00417F7A" w:rsidRDefault="004B0C70" w:rsidP="000768CB">
      <w:pPr>
        <w:rPr>
          <w:rFonts w:asciiTheme="majorBidi" w:hAnsiTheme="majorBidi" w:cstheme="majorBidi"/>
        </w:rPr>
      </w:pPr>
      <w:r w:rsidRPr="00417F7A">
        <w:rPr>
          <w:rFonts w:asciiTheme="majorBidi" w:hAnsiTheme="majorBidi" w:cstheme="majorBidi"/>
        </w:rPr>
        <w:t xml:space="preserve">The average age </w:t>
      </w:r>
      <w:r w:rsidR="00611EC9" w:rsidRPr="00417F7A">
        <w:rPr>
          <w:rFonts w:asciiTheme="majorBidi" w:hAnsiTheme="majorBidi" w:cstheme="majorBidi"/>
        </w:rPr>
        <w:t>in</w:t>
      </w:r>
      <w:r w:rsidRPr="00417F7A">
        <w:rPr>
          <w:rFonts w:asciiTheme="majorBidi" w:hAnsiTheme="majorBidi" w:cstheme="majorBidi"/>
        </w:rPr>
        <w:t xml:space="preserve"> </w:t>
      </w:r>
      <w:r w:rsidR="007B2EE9" w:rsidRPr="00417F7A">
        <w:rPr>
          <w:rFonts w:asciiTheme="majorBidi" w:hAnsiTheme="majorBidi" w:cstheme="majorBidi"/>
        </w:rPr>
        <w:t>both</w:t>
      </w:r>
      <w:r w:rsidRPr="00417F7A">
        <w:rPr>
          <w:rFonts w:asciiTheme="majorBidi" w:hAnsiTheme="majorBidi" w:cstheme="majorBidi"/>
        </w:rPr>
        <w:t xml:space="preserve"> groups is similar, with no significant difference (P-value = 0.64). Also, sex distribution was equal in both groups, with no significant difference (P-value = 0.31). This </w:t>
      </w:r>
      <w:r w:rsidR="00417F7A" w:rsidRPr="00417F7A">
        <w:rPr>
          <w:rFonts w:asciiTheme="majorBidi" w:hAnsiTheme="majorBidi" w:cstheme="majorBidi"/>
        </w:rPr>
        <w:t>suggests that age and sex do not significantly impact the study outcomes</w:t>
      </w:r>
      <w:r w:rsidRPr="00417F7A">
        <w:rPr>
          <w:rFonts w:asciiTheme="majorBidi" w:hAnsiTheme="majorBidi" w:cstheme="majorBidi"/>
        </w:rPr>
        <w:t>.</w:t>
      </w:r>
    </w:p>
    <w:p w14:paraId="412E2108" w14:textId="2FECB54E" w:rsidR="004B0C70" w:rsidRPr="00417F7A" w:rsidRDefault="004B0C70" w:rsidP="000768CB">
      <w:pPr>
        <w:rPr>
          <w:rFonts w:asciiTheme="majorBidi" w:hAnsiTheme="majorBidi" w:cstheme="majorBidi"/>
        </w:rPr>
      </w:pPr>
      <w:r w:rsidRPr="00417F7A">
        <w:rPr>
          <w:rFonts w:asciiTheme="majorBidi" w:hAnsiTheme="majorBidi" w:cstheme="majorBidi"/>
        </w:rPr>
        <w:t>Likewise, Population-based Surveys show that IBS prevalence varies by gender, with higher rates in women generally. However, in India, men have two to four times higher prevalence than women, while studies in Korea and China report no significant gender differences [</w:t>
      </w:r>
      <w:r w:rsidR="00FD5CB4" w:rsidRPr="00417F7A">
        <w:rPr>
          <w:rFonts w:asciiTheme="majorBidi" w:hAnsiTheme="majorBidi" w:cstheme="majorBidi"/>
        </w:rPr>
        <w:t>1</w:t>
      </w:r>
      <w:r w:rsidR="00E44998" w:rsidRPr="00417F7A">
        <w:rPr>
          <w:rFonts w:asciiTheme="majorBidi" w:hAnsiTheme="majorBidi" w:cstheme="majorBidi"/>
        </w:rPr>
        <w:t>6</w:t>
      </w:r>
      <w:r w:rsidRPr="00417F7A">
        <w:rPr>
          <w:rFonts w:asciiTheme="majorBidi" w:hAnsiTheme="majorBidi" w:cstheme="majorBidi"/>
        </w:rPr>
        <w:t>].</w:t>
      </w:r>
      <w:r w:rsidRPr="00417F7A">
        <w:rPr>
          <w:rFonts w:asciiTheme="majorBidi" w:hAnsiTheme="majorBidi" w:cstheme="majorBidi"/>
          <w:color w:val="2E2E2E"/>
          <w:shd w:val="clear" w:color="auto" w:fill="FFFFFF"/>
        </w:rPr>
        <w:t> </w:t>
      </w:r>
    </w:p>
    <w:p w14:paraId="21B6088C" w14:textId="4033EED2" w:rsidR="004B0C70" w:rsidRPr="00417F7A" w:rsidRDefault="004B0C70" w:rsidP="000768CB">
      <w:pPr>
        <w:rPr>
          <w:rFonts w:asciiTheme="majorBidi" w:hAnsiTheme="majorBidi" w:cstheme="majorBidi"/>
        </w:rPr>
      </w:pPr>
      <w:r w:rsidRPr="00417F7A">
        <w:rPr>
          <w:rFonts w:asciiTheme="majorBidi" w:hAnsiTheme="majorBidi" w:cstheme="majorBidi"/>
        </w:rPr>
        <w:t xml:space="preserve">We found that the average waist circumference is slightly higher in </w:t>
      </w:r>
      <w:r w:rsidR="00BD6352" w:rsidRPr="00417F7A">
        <w:rPr>
          <w:rFonts w:asciiTheme="majorBidi" w:hAnsiTheme="majorBidi" w:cstheme="majorBidi"/>
        </w:rPr>
        <w:t>Group I compared to Group</w:t>
      </w:r>
      <w:r w:rsidR="00C13AF8" w:rsidRPr="00417F7A">
        <w:rPr>
          <w:rFonts w:asciiTheme="majorBidi" w:hAnsiTheme="majorBidi" w:cstheme="majorBidi"/>
        </w:rPr>
        <w:t xml:space="preserve"> II</w:t>
      </w:r>
      <w:r w:rsidRPr="00417F7A">
        <w:rPr>
          <w:rFonts w:asciiTheme="majorBidi" w:hAnsiTheme="majorBidi" w:cstheme="majorBidi"/>
        </w:rPr>
        <w:t xml:space="preserve">, but the difference is not statistically significant (P-value = 0.72). This suggests that waist circumference is not a major factor in </w:t>
      </w:r>
      <w:r w:rsidR="00042F70" w:rsidRPr="000D3BC7">
        <w:rPr>
          <w:rFonts w:asciiTheme="majorBidi" w:hAnsiTheme="majorBidi" w:cstheme="majorBidi"/>
        </w:rPr>
        <w:t>this</w:t>
      </w:r>
      <w:r w:rsidRPr="000D3BC7">
        <w:rPr>
          <w:rFonts w:asciiTheme="majorBidi" w:hAnsiTheme="majorBidi" w:cstheme="majorBidi"/>
        </w:rPr>
        <w:t xml:space="preserve"> study.</w:t>
      </w:r>
    </w:p>
    <w:p w14:paraId="4F0E9896" w14:textId="1C54DF37" w:rsidR="004B0C70" w:rsidRPr="00417F7A" w:rsidRDefault="004B0C70" w:rsidP="00C3243D">
      <w:pPr>
        <w:rPr>
          <w:rFonts w:asciiTheme="majorBidi" w:hAnsiTheme="majorBidi" w:cstheme="majorBidi"/>
        </w:rPr>
      </w:pPr>
      <w:r w:rsidRPr="00417F7A">
        <w:rPr>
          <w:rFonts w:asciiTheme="majorBidi" w:hAnsiTheme="majorBidi" w:cstheme="majorBidi"/>
        </w:rPr>
        <w:t xml:space="preserve">Regarding smoking, the proportion of </w:t>
      </w:r>
      <w:r w:rsidR="002F4E20" w:rsidRPr="00417F7A">
        <w:rPr>
          <w:rFonts w:asciiTheme="majorBidi" w:hAnsiTheme="majorBidi" w:cstheme="majorBidi"/>
        </w:rPr>
        <w:t>non-smokers</w:t>
      </w:r>
      <w:r w:rsidRPr="00417F7A">
        <w:rPr>
          <w:rFonts w:asciiTheme="majorBidi" w:hAnsiTheme="majorBidi" w:cstheme="majorBidi"/>
        </w:rPr>
        <w:t xml:space="preserve"> and smokers was similar in both groups, with no significant difference (P-value = 0.63)</w:t>
      </w:r>
      <w:r w:rsidR="00BD6352" w:rsidRPr="00417F7A">
        <w:rPr>
          <w:rFonts w:asciiTheme="majorBidi" w:hAnsiTheme="majorBidi" w:cstheme="majorBidi"/>
        </w:rPr>
        <w:t>,</w:t>
      </w:r>
      <w:r w:rsidRPr="00417F7A">
        <w:rPr>
          <w:rFonts w:asciiTheme="majorBidi" w:hAnsiTheme="majorBidi" w:cstheme="majorBidi"/>
        </w:rPr>
        <w:t xml:space="preserve"> and the distribution of non-diabetic and diabetic individuals is comparable in both groups, with no significant difference (P-value = 0.77). This suggests that diabetes and smoking habits are not </w:t>
      </w:r>
      <w:r w:rsidR="00BD6352" w:rsidRPr="00417F7A">
        <w:rPr>
          <w:rFonts w:asciiTheme="majorBidi" w:hAnsiTheme="majorBidi" w:cstheme="majorBidi"/>
        </w:rPr>
        <w:t>confounding factors</w:t>
      </w:r>
      <w:r w:rsidRPr="00417F7A">
        <w:rPr>
          <w:rFonts w:asciiTheme="majorBidi" w:hAnsiTheme="majorBidi" w:cstheme="majorBidi"/>
        </w:rPr>
        <w:t xml:space="preserve"> in our </w:t>
      </w:r>
      <w:r w:rsidR="00510E3F" w:rsidRPr="00417F7A">
        <w:rPr>
          <w:rFonts w:asciiTheme="majorBidi" w:hAnsiTheme="majorBidi" w:cstheme="majorBidi"/>
        </w:rPr>
        <w:t>study.</w:t>
      </w:r>
    </w:p>
    <w:p w14:paraId="7E00A115" w14:textId="023937C0" w:rsidR="004B0C70" w:rsidRPr="00417F7A" w:rsidRDefault="004B0C70" w:rsidP="000768CB">
      <w:pPr>
        <w:rPr>
          <w:rFonts w:asciiTheme="majorBidi" w:hAnsiTheme="majorBidi" w:cstheme="majorBidi"/>
        </w:rPr>
      </w:pPr>
      <w:r w:rsidRPr="00417F7A">
        <w:rPr>
          <w:rFonts w:asciiTheme="majorBidi" w:hAnsiTheme="majorBidi" w:cstheme="majorBidi"/>
        </w:rPr>
        <w:t xml:space="preserve">Our data showed that </w:t>
      </w:r>
      <w:r w:rsidR="00BD6352" w:rsidRPr="00417F7A">
        <w:rPr>
          <w:rFonts w:asciiTheme="majorBidi" w:hAnsiTheme="majorBidi" w:cstheme="majorBidi"/>
        </w:rPr>
        <w:t>the constipation subtype was the most prevalent symptom, affecting half of the patients. In contrast, the diarrhea subtype represented only 22% of patients,</w:t>
      </w:r>
      <w:r w:rsidRPr="00417F7A">
        <w:rPr>
          <w:rFonts w:asciiTheme="majorBidi" w:hAnsiTheme="majorBidi" w:cstheme="majorBidi"/>
        </w:rPr>
        <w:t xml:space="preserve"> with 28% of cases </w:t>
      </w:r>
      <w:r w:rsidR="00BD6352" w:rsidRPr="00417F7A">
        <w:rPr>
          <w:rFonts w:asciiTheme="majorBidi" w:hAnsiTheme="majorBidi" w:cstheme="majorBidi"/>
        </w:rPr>
        <w:t>classified as mixed or</w:t>
      </w:r>
      <w:r w:rsidRPr="00417F7A">
        <w:rPr>
          <w:rFonts w:asciiTheme="majorBidi" w:hAnsiTheme="majorBidi" w:cstheme="majorBidi"/>
        </w:rPr>
        <w:t xml:space="preserve"> unclassified subtypes.</w:t>
      </w:r>
    </w:p>
    <w:p w14:paraId="7930A6B9" w14:textId="2DB54750" w:rsidR="004B0C70" w:rsidRPr="00417F7A" w:rsidRDefault="004B0C70" w:rsidP="000768CB">
      <w:pPr>
        <w:rPr>
          <w:rFonts w:asciiTheme="majorBidi" w:hAnsiTheme="majorBidi" w:cstheme="majorBidi"/>
        </w:rPr>
      </w:pPr>
      <w:r w:rsidRPr="00417F7A">
        <w:rPr>
          <w:rFonts w:asciiTheme="majorBidi" w:hAnsiTheme="majorBidi" w:cstheme="majorBidi"/>
        </w:rPr>
        <w:t>The distribution of psychiatric symptoms in group</w:t>
      </w:r>
      <w:r w:rsidR="002A0950" w:rsidRPr="00417F7A">
        <w:rPr>
          <w:rFonts w:asciiTheme="majorBidi" w:hAnsiTheme="majorBidi" w:cstheme="majorBidi"/>
        </w:rPr>
        <w:t xml:space="preserve"> I</w:t>
      </w:r>
      <w:r w:rsidRPr="00417F7A">
        <w:rPr>
          <w:rFonts w:asciiTheme="majorBidi" w:hAnsiTheme="majorBidi" w:cstheme="majorBidi"/>
        </w:rPr>
        <w:t xml:space="preserve"> showed that most IBS patients do not experience psychiatric symptoms, a notable portion suffer from sleep disturbances and depression. Higher anxiety and depression levels at baseline can predict IBS</w:t>
      </w:r>
      <w:r w:rsidR="00B73321">
        <w:rPr>
          <w:rFonts w:asciiTheme="majorBidi" w:hAnsiTheme="majorBidi" w:cstheme="majorBidi"/>
        </w:rPr>
        <w:t>,</w:t>
      </w:r>
      <w:r w:rsidRPr="00417F7A">
        <w:rPr>
          <w:rFonts w:asciiTheme="majorBidi" w:hAnsiTheme="majorBidi" w:cstheme="majorBidi"/>
        </w:rPr>
        <w:t xml:space="preserve"> according to the study done by </w:t>
      </w:r>
      <w:r w:rsidRPr="00A6114C">
        <w:rPr>
          <w:rFonts w:asciiTheme="majorBidi" w:hAnsiTheme="majorBidi" w:cstheme="majorBidi"/>
        </w:rPr>
        <w:t>Koloski et al. [</w:t>
      </w:r>
      <w:r w:rsidR="0017498D" w:rsidRPr="00A6114C">
        <w:rPr>
          <w:rFonts w:asciiTheme="majorBidi" w:hAnsiTheme="majorBidi" w:cstheme="majorBidi"/>
        </w:rPr>
        <w:t>1</w:t>
      </w:r>
      <w:r w:rsidR="00E44998" w:rsidRPr="00A6114C">
        <w:rPr>
          <w:rFonts w:asciiTheme="majorBidi" w:hAnsiTheme="majorBidi" w:cstheme="majorBidi"/>
        </w:rPr>
        <w:t>7</w:t>
      </w:r>
      <w:r w:rsidRPr="00A6114C">
        <w:rPr>
          <w:rFonts w:asciiTheme="majorBidi" w:hAnsiTheme="majorBidi" w:cstheme="majorBidi"/>
        </w:rPr>
        <w:t>]</w:t>
      </w:r>
      <w:r w:rsidR="00417F7A" w:rsidRPr="00A6114C">
        <w:rPr>
          <w:rFonts w:asciiTheme="majorBidi" w:hAnsiTheme="majorBidi" w:cstheme="majorBidi"/>
        </w:rPr>
        <w:t>,</w:t>
      </w:r>
      <w:r w:rsidRPr="00417F7A">
        <w:rPr>
          <w:rFonts w:asciiTheme="majorBidi" w:hAnsiTheme="majorBidi" w:cstheme="majorBidi"/>
        </w:rPr>
        <w:t xml:space="preserve"> who critically assessed psychiatric disorders, specifically anxiety and depression, as a causal relation with functional </w:t>
      </w:r>
      <w:r w:rsidR="00417F7A" w:rsidRPr="00417F7A">
        <w:rPr>
          <w:rFonts w:asciiTheme="majorBidi" w:hAnsiTheme="majorBidi" w:cstheme="majorBidi"/>
        </w:rPr>
        <w:t>gastrointestinal</w:t>
      </w:r>
      <w:r w:rsidRPr="00417F7A">
        <w:rPr>
          <w:rFonts w:asciiTheme="majorBidi" w:hAnsiTheme="majorBidi" w:cstheme="majorBidi"/>
        </w:rPr>
        <w:t xml:space="preserve"> disorders.</w:t>
      </w:r>
    </w:p>
    <w:p w14:paraId="5A791066" w14:textId="2B545F5D" w:rsidR="004B0C70" w:rsidRPr="00417F7A" w:rsidRDefault="004B0C70" w:rsidP="000768CB">
      <w:pPr>
        <w:rPr>
          <w:rFonts w:asciiTheme="majorBidi" w:hAnsiTheme="majorBidi" w:cstheme="majorBidi"/>
        </w:rPr>
      </w:pPr>
      <w:r w:rsidRPr="00417F7A">
        <w:rPr>
          <w:rFonts w:asciiTheme="majorBidi" w:hAnsiTheme="majorBidi" w:cstheme="majorBidi"/>
        </w:rPr>
        <w:t>Multivariate regression analysis of our findings highlights the potential importance of Vitamin D in the pathogenesis of IBS</w:t>
      </w:r>
      <w:r w:rsidR="00BD6352" w:rsidRPr="00417F7A">
        <w:rPr>
          <w:rFonts w:asciiTheme="majorBidi" w:hAnsiTheme="majorBidi" w:cstheme="majorBidi"/>
        </w:rPr>
        <w:t>. At the same time,</w:t>
      </w:r>
      <w:r w:rsidRPr="00417F7A">
        <w:rPr>
          <w:rFonts w:asciiTheme="majorBidi" w:hAnsiTheme="majorBidi" w:cstheme="majorBidi"/>
        </w:rPr>
        <w:t xml:space="preserve"> other factors such as age, smoking, diabetes, sex, and waist circumference do not appear to have a significant impact. Further research is needed to explore the mechanisms underlying the relationship between Vitamin D and IBS and to develop effective strategies for managing IBS through Vitamin D supplementation.</w:t>
      </w:r>
    </w:p>
    <w:p w14:paraId="7177095F" w14:textId="0F0645DE" w:rsidR="004B0C70" w:rsidRPr="00417F7A" w:rsidRDefault="004B0C70" w:rsidP="000768CB">
      <w:pPr>
        <w:rPr>
          <w:rFonts w:asciiTheme="majorBidi" w:hAnsiTheme="majorBidi" w:cstheme="majorBidi"/>
        </w:rPr>
      </w:pPr>
      <w:r w:rsidRPr="00417F7A">
        <w:rPr>
          <w:rFonts w:asciiTheme="majorBidi" w:hAnsiTheme="majorBidi" w:cstheme="majorBidi"/>
        </w:rPr>
        <w:t xml:space="preserve">The proportion of individuals with Vitamin D levels greater than 30 is significantly </w:t>
      </w:r>
      <w:r w:rsidR="00BD6352" w:rsidRPr="00417F7A">
        <w:rPr>
          <w:rFonts w:asciiTheme="majorBidi" w:hAnsiTheme="majorBidi" w:cstheme="majorBidi"/>
        </w:rPr>
        <w:t xml:space="preserve">higher in group II </w:t>
      </w:r>
      <w:r w:rsidRPr="00417F7A">
        <w:rPr>
          <w:rFonts w:asciiTheme="majorBidi" w:hAnsiTheme="majorBidi" w:cstheme="majorBidi"/>
        </w:rPr>
        <w:t>(68%) compared to group</w:t>
      </w:r>
      <w:r w:rsidR="00260AFB" w:rsidRPr="00417F7A">
        <w:rPr>
          <w:rFonts w:asciiTheme="majorBidi" w:hAnsiTheme="majorBidi" w:cstheme="majorBidi"/>
        </w:rPr>
        <w:t xml:space="preserve"> I</w:t>
      </w:r>
      <w:r w:rsidRPr="00417F7A">
        <w:rPr>
          <w:rFonts w:asciiTheme="majorBidi" w:hAnsiTheme="majorBidi" w:cstheme="majorBidi"/>
        </w:rPr>
        <w:t xml:space="preserve"> (38%), with a P-value of 0.0121. This indicates a statistically significant difference in Vitamin D levels between </w:t>
      </w:r>
      <w:r w:rsidR="00CE510A" w:rsidRPr="00417F7A">
        <w:rPr>
          <w:rFonts w:asciiTheme="majorBidi" w:hAnsiTheme="majorBidi" w:cstheme="majorBidi"/>
        </w:rPr>
        <w:t xml:space="preserve">the two </w:t>
      </w:r>
      <w:r w:rsidRPr="00417F7A">
        <w:rPr>
          <w:rFonts w:asciiTheme="majorBidi" w:hAnsiTheme="majorBidi" w:cstheme="majorBidi"/>
        </w:rPr>
        <w:t xml:space="preserve">groups. </w:t>
      </w:r>
      <w:r w:rsidR="003720A6" w:rsidRPr="00417F7A">
        <w:rPr>
          <w:rFonts w:asciiTheme="majorBidi" w:hAnsiTheme="majorBidi" w:cstheme="majorBidi"/>
        </w:rPr>
        <w:t>Th</w:t>
      </w:r>
      <w:r w:rsidR="00711936" w:rsidRPr="00417F7A">
        <w:rPr>
          <w:rFonts w:asciiTheme="majorBidi" w:hAnsiTheme="majorBidi" w:cstheme="majorBidi"/>
        </w:rPr>
        <w:t>ese</w:t>
      </w:r>
      <w:r w:rsidRPr="00417F7A">
        <w:rPr>
          <w:rFonts w:asciiTheme="majorBidi" w:hAnsiTheme="majorBidi" w:cstheme="majorBidi"/>
        </w:rPr>
        <w:t xml:space="preserve"> </w:t>
      </w:r>
      <w:r w:rsidR="00BD6352" w:rsidRPr="00417F7A">
        <w:rPr>
          <w:rFonts w:asciiTheme="majorBidi" w:hAnsiTheme="majorBidi" w:cstheme="majorBidi"/>
        </w:rPr>
        <w:t>results were consistent with those</w:t>
      </w:r>
      <w:r w:rsidRPr="00417F7A">
        <w:rPr>
          <w:rFonts w:asciiTheme="majorBidi" w:hAnsiTheme="majorBidi" w:cstheme="majorBidi"/>
        </w:rPr>
        <w:t xml:space="preserve"> of </w:t>
      </w:r>
      <w:r w:rsidRPr="000D3BC7">
        <w:rPr>
          <w:rFonts w:asciiTheme="majorBidi" w:hAnsiTheme="majorBidi" w:cstheme="majorBidi"/>
        </w:rPr>
        <w:t>Jalili et al.</w:t>
      </w:r>
      <w:r w:rsidR="00BD6352" w:rsidRPr="000D3BC7">
        <w:rPr>
          <w:rFonts w:asciiTheme="majorBidi" w:hAnsiTheme="majorBidi" w:cstheme="majorBidi"/>
        </w:rPr>
        <w:t xml:space="preserve"> [18] and</w:t>
      </w:r>
      <w:r w:rsidRPr="00417F7A">
        <w:rPr>
          <w:rFonts w:asciiTheme="majorBidi" w:hAnsiTheme="majorBidi" w:cstheme="majorBidi"/>
        </w:rPr>
        <w:t xml:space="preserve"> </w:t>
      </w:r>
      <w:r w:rsidRPr="000D3BC7">
        <w:rPr>
          <w:rFonts w:asciiTheme="majorBidi" w:hAnsiTheme="majorBidi" w:cstheme="majorBidi"/>
        </w:rPr>
        <w:t>Khalighi et al.</w:t>
      </w:r>
      <w:r w:rsidRPr="00417F7A">
        <w:rPr>
          <w:rFonts w:asciiTheme="majorBidi" w:hAnsiTheme="majorBidi" w:cstheme="majorBidi"/>
        </w:rPr>
        <w:t xml:space="preserve"> [</w:t>
      </w:r>
      <w:r w:rsidR="0017498D" w:rsidRPr="00417F7A">
        <w:rPr>
          <w:rFonts w:asciiTheme="majorBidi" w:hAnsiTheme="majorBidi" w:cstheme="majorBidi"/>
        </w:rPr>
        <w:t>1</w:t>
      </w:r>
      <w:r w:rsidR="0098548B" w:rsidRPr="00417F7A">
        <w:rPr>
          <w:rFonts w:asciiTheme="majorBidi" w:hAnsiTheme="majorBidi" w:cstheme="majorBidi"/>
        </w:rPr>
        <w:t>9</w:t>
      </w:r>
      <w:r w:rsidRPr="00417F7A">
        <w:rPr>
          <w:rFonts w:asciiTheme="majorBidi" w:hAnsiTheme="majorBidi" w:cstheme="majorBidi"/>
        </w:rPr>
        <w:t>]</w:t>
      </w:r>
      <w:r w:rsidR="002E7867" w:rsidRPr="00417F7A">
        <w:rPr>
          <w:rFonts w:asciiTheme="majorBidi" w:hAnsiTheme="majorBidi" w:cstheme="majorBidi"/>
        </w:rPr>
        <w:t>.</w:t>
      </w:r>
      <w:r w:rsidRPr="00417F7A">
        <w:rPr>
          <w:rFonts w:asciiTheme="majorBidi" w:hAnsiTheme="majorBidi" w:cstheme="majorBidi"/>
        </w:rPr>
        <w:t xml:space="preserve"> </w:t>
      </w:r>
      <w:r w:rsidR="00BD6352" w:rsidRPr="000D3BC7">
        <w:rPr>
          <w:rFonts w:asciiTheme="majorBidi" w:hAnsiTheme="majorBidi" w:cstheme="majorBidi"/>
        </w:rPr>
        <w:t>While</w:t>
      </w:r>
      <w:r w:rsidRPr="000D3BC7">
        <w:rPr>
          <w:rFonts w:asciiTheme="majorBidi" w:hAnsiTheme="majorBidi" w:cstheme="majorBidi"/>
        </w:rPr>
        <w:t xml:space="preserve"> El Amrousy et al.</w:t>
      </w:r>
      <w:r w:rsidR="00BD6352" w:rsidRPr="000D3BC7">
        <w:rPr>
          <w:rFonts w:asciiTheme="majorBidi" w:hAnsiTheme="majorBidi" w:cstheme="majorBidi"/>
        </w:rPr>
        <w:t xml:space="preserve"> [20] found that serum vitamin D levels were </w:t>
      </w:r>
      <w:r w:rsidRPr="000D3BC7">
        <w:rPr>
          <w:rFonts w:asciiTheme="majorBidi" w:hAnsiTheme="majorBidi" w:cstheme="majorBidi"/>
        </w:rPr>
        <w:t>lower than 20 ng/mL. In the study conducted by Abbas</w:t>
      </w:r>
      <w:r w:rsidR="00D50544">
        <w:rPr>
          <w:rFonts w:asciiTheme="majorBidi" w:hAnsiTheme="majorBidi" w:cstheme="majorBidi"/>
        </w:rPr>
        <w:t xml:space="preserve"> Nezhad</w:t>
      </w:r>
      <w:r w:rsidRPr="000D3BC7">
        <w:rPr>
          <w:rFonts w:asciiTheme="majorBidi" w:hAnsiTheme="majorBidi" w:cstheme="majorBidi"/>
        </w:rPr>
        <w:t xml:space="preserve"> et al. [</w:t>
      </w:r>
      <w:r w:rsidR="0098548B" w:rsidRPr="000D3BC7">
        <w:rPr>
          <w:rFonts w:asciiTheme="majorBidi" w:hAnsiTheme="majorBidi" w:cstheme="majorBidi"/>
        </w:rPr>
        <w:t>21</w:t>
      </w:r>
      <w:r w:rsidRPr="000D3BC7">
        <w:rPr>
          <w:rFonts w:asciiTheme="majorBidi" w:hAnsiTheme="majorBidi" w:cstheme="majorBidi"/>
        </w:rPr>
        <w:t>]</w:t>
      </w:r>
      <w:r w:rsidR="00BD6352" w:rsidRPr="000D3BC7">
        <w:rPr>
          <w:rFonts w:asciiTheme="majorBidi" w:hAnsiTheme="majorBidi" w:cstheme="majorBidi"/>
        </w:rPr>
        <w:t>,</w:t>
      </w:r>
      <w:r w:rsidRPr="000D3BC7">
        <w:rPr>
          <w:rFonts w:asciiTheme="majorBidi" w:hAnsiTheme="majorBidi" w:cstheme="majorBidi"/>
        </w:rPr>
        <w:t xml:space="preserve"> 65.9% of participants had serum vitamin D levels below 20 ng/mL, and 84.1% had levels below 30 ng/</w:t>
      </w:r>
      <w:r w:rsidR="00D50544">
        <w:rPr>
          <w:rFonts w:asciiTheme="majorBidi" w:hAnsiTheme="majorBidi" w:cstheme="majorBidi"/>
        </w:rPr>
        <w:t>mL</w:t>
      </w:r>
      <w:r w:rsidRPr="000D3BC7">
        <w:rPr>
          <w:rFonts w:asciiTheme="majorBidi" w:hAnsiTheme="majorBidi" w:cstheme="majorBidi"/>
        </w:rPr>
        <w:t>.</w:t>
      </w:r>
    </w:p>
    <w:p w14:paraId="7EAF6610" w14:textId="2B2EBF9D" w:rsidR="004B0C70" w:rsidRPr="00417F7A" w:rsidRDefault="004B0C70" w:rsidP="000768CB">
      <w:pPr>
        <w:rPr>
          <w:rFonts w:asciiTheme="majorBidi" w:hAnsiTheme="majorBidi" w:cstheme="majorBidi"/>
        </w:rPr>
      </w:pPr>
      <w:r w:rsidRPr="00417F7A">
        <w:rPr>
          <w:rFonts w:asciiTheme="majorBidi" w:hAnsiTheme="majorBidi" w:cstheme="majorBidi"/>
        </w:rPr>
        <w:t>To explore the factors independently associated with IBS, multivariable regression analysis was performed</w:t>
      </w:r>
      <w:r w:rsidR="00417F7A" w:rsidRPr="00417F7A">
        <w:rPr>
          <w:rFonts w:asciiTheme="majorBidi" w:hAnsiTheme="majorBidi" w:cstheme="majorBidi"/>
        </w:rPr>
        <w:t>. A significant finding is the association between vitamin D levels and the IBS group, with a P-value</w:t>
      </w:r>
      <w:r w:rsidRPr="00417F7A">
        <w:rPr>
          <w:rFonts w:asciiTheme="majorBidi" w:hAnsiTheme="majorBidi" w:cstheme="majorBidi"/>
        </w:rPr>
        <w:t xml:space="preserve"> of 0.013, indicating statistical significance.</w:t>
      </w:r>
    </w:p>
    <w:p w14:paraId="29EB6AE0" w14:textId="480B1DA5" w:rsidR="004B0C70" w:rsidRPr="00417F7A" w:rsidRDefault="004B0C70" w:rsidP="000768CB">
      <w:pPr>
        <w:rPr>
          <w:rFonts w:asciiTheme="majorBidi" w:hAnsiTheme="majorBidi" w:cstheme="majorBidi"/>
        </w:rPr>
      </w:pPr>
      <w:r w:rsidRPr="00417F7A">
        <w:rPr>
          <w:rFonts w:asciiTheme="majorBidi" w:hAnsiTheme="majorBidi" w:cstheme="majorBidi"/>
        </w:rPr>
        <w:t>Our findings suggest that Vitamin D deficiency may be more prevalent among IBS patients compared to the healthy control group. This supports the hypothesis that Vitamin D deficiency may contribute to the pathogenesis of IBS. The significant difference in Vitamin D levels between the groups underscores the potential benefit of Vitamin D supplementation in managing IBS symptoms.</w:t>
      </w:r>
      <w:r w:rsidRPr="00417F7A">
        <w:rPr>
          <w:rFonts w:asciiTheme="majorBidi" w:hAnsiTheme="majorBidi" w:cstheme="majorBidi"/>
          <w:color w:val="333333"/>
          <w:shd w:val="clear" w:color="auto" w:fill="FFFFFF"/>
        </w:rPr>
        <w:t xml:space="preserve"> </w:t>
      </w:r>
      <w:r w:rsidRPr="00D50544">
        <w:rPr>
          <w:rFonts w:asciiTheme="majorBidi" w:hAnsiTheme="majorBidi" w:cstheme="majorBidi"/>
        </w:rPr>
        <w:t>Additionally, research conducted</w:t>
      </w:r>
      <w:r w:rsidRPr="00417F7A">
        <w:rPr>
          <w:rFonts w:asciiTheme="majorBidi" w:hAnsiTheme="majorBidi" w:cstheme="majorBidi"/>
          <w:color w:val="333333"/>
          <w:shd w:val="clear" w:color="auto" w:fill="FFFFFF"/>
        </w:rPr>
        <w:t xml:space="preserve"> by </w:t>
      </w:r>
      <w:r w:rsidRPr="000D3BC7">
        <w:rPr>
          <w:rFonts w:asciiTheme="majorBidi" w:hAnsiTheme="majorBidi" w:cstheme="majorBidi"/>
        </w:rPr>
        <w:t>Huang et al</w:t>
      </w:r>
      <w:r w:rsidR="000D3BC7">
        <w:rPr>
          <w:rFonts w:asciiTheme="majorBidi" w:hAnsiTheme="majorBidi" w:cstheme="majorBidi"/>
        </w:rPr>
        <w:t xml:space="preserve"> </w:t>
      </w:r>
      <w:r w:rsidR="002D5AA9" w:rsidRPr="00417F7A">
        <w:rPr>
          <w:rFonts w:asciiTheme="majorBidi" w:hAnsiTheme="majorBidi" w:cstheme="majorBidi"/>
          <w:b/>
          <w:bCs/>
        </w:rPr>
        <w:t>[22].</w:t>
      </w:r>
      <w:r w:rsidRPr="00417F7A">
        <w:rPr>
          <w:rFonts w:asciiTheme="majorBidi" w:hAnsiTheme="majorBidi" w:cstheme="majorBidi"/>
        </w:rPr>
        <w:t xml:space="preserve"> </w:t>
      </w:r>
      <w:r w:rsidR="00BD6352" w:rsidRPr="00417F7A">
        <w:rPr>
          <w:rFonts w:asciiTheme="majorBidi" w:hAnsiTheme="majorBidi" w:cstheme="majorBidi"/>
        </w:rPr>
        <w:t>Suggests</w:t>
      </w:r>
      <w:r w:rsidRPr="00417F7A">
        <w:rPr>
          <w:rFonts w:asciiTheme="majorBidi" w:hAnsiTheme="majorBidi" w:cstheme="majorBidi"/>
        </w:rPr>
        <w:t xml:space="preserve"> that vitamin D supplementation may improve symptoms and quality of life for IBS patients. Given its cost-effectiveness and safety profile, Vitamin D could be a practical treatment option for IBS. This discussion aims to delve deeper into the current evidence, explore potential therapeutic options for IBS, and identify areas for future research.</w:t>
      </w:r>
    </w:p>
    <w:p w14:paraId="476FDEFA" w14:textId="1D0C0A7C" w:rsidR="004B0C70" w:rsidRPr="00417F7A" w:rsidRDefault="004B0C70" w:rsidP="000768CB">
      <w:pPr>
        <w:rPr>
          <w:rFonts w:asciiTheme="majorBidi" w:hAnsiTheme="majorBidi" w:cstheme="majorBidi"/>
        </w:rPr>
      </w:pPr>
      <w:r w:rsidRPr="00417F7A">
        <w:rPr>
          <w:rFonts w:asciiTheme="majorBidi" w:hAnsiTheme="majorBidi" w:cstheme="majorBidi"/>
        </w:rPr>
        <w:t>Despite these findings, the relationship between Vitamin D and IBS remains complex and multifaceted. The variability in study outcomes underscores the need for further research to elucidate the mechanisms underlying this association and establish standardized guidelines for Vitamin D supplementation in IBS management. Also</w:t>
      </w:r>
      <w:r w:rsidR="00BD6352" w:rsidRPr="00417F7A">
        <w:rPr>
          <w:rFonts w:asciiTheme="majorBidi" w:hAnsiTheme="majorBidi" w:cstheme="majorBidi"/>
        </w:rPr>
        <w:t>,</w:t>
      </w:r>
      <w:r w:rsidRPr="00417F7A">
        <w:rPr>
          <w:rFonts w:asciiTheme="majorBidi" w:hAnsiTheme="majorBidi" w:cstheme="majorBidi"/>
        </w:rPr>
        <w:t xml:space="preserve"> the limited sample size constrains the generalizability of these findings.</w:t>
      </w:r>
    </w:p>
    <w:p w14:paraId="0BE9B045" w14:textId="3812FECF" w:rsidR="00A67672" w:rsidRPr="00417F7A" w:rsidRDefault="00DB2CFE" w:rsidP="00AA25EC">
      <w:pPr>
        <w:rPr>
          <w:rFonts w:asciiTheme="majorBidi" w:hAnsiTheme="majorBidi" w:cstheme="majorBidi"/>
        </w:rPr>
      </w:pPr>
      <w:r w:rsidRPr="00417F7A">
        <w:rPr>
          <w:rFonts w:asciiTheme="majorBidi" w:hAnsiTheme="majorBidi" w:cstheme="majorBidi"/>
          <w:b/>
          <w:bCs/>
        </w:rPr>
        <w:t>Conclusion</w:t>
      </w:r>
      <w:r w:rsidRPr="00417F7A">
        <w:rPr>
          <w:rFonts w:asciiTheme="majorBidi" w:hAnsiTheme="majorBidi" w:cstheme="majorBidi"/>
        </w:rPr>
        <w:t xml:space="preserve">: </w:t>
      </w:r>
      <w:r w:rsidR="00BD6352" w:rsidRPr="00417F7A">
        <w:rPr>
          <w:rFonts w:asciiTheme="majorBidi" w:hAnsiTheme="majorBidi" w:cstheme="majorBidi"/>
        </w:rPr>
        <w:t>Vitamin D deficiency may be a contributing factor to IBS</w:t>
      </w:r>
      <w:r w:rsidR="005F7394" w:rsidRPr="00417F7A">
        <w:rPr>
          <w:rFonts w:asciiTheme="majorBidi" w:hAnsiTheme="majorBidi" w:cstheme="majorBidi"/>
        </w:rPr>
        <w:t>.</w:t>
      </w:r>
      <w:r w:rsidR="00BD6352" w:rsidRPr="00417F7A">
        <w:rPr>
          <w:rFonts w:asciiTheme="majorBidi" w:hAnsiTheme="majorBidi" w:cstheme="majorBidi"/>
        </w:rPr>
        <w:t xml:space="preserve"> </w:t>
      </w:r>
      <w:r w:rsidR="000D3BC7">
        <w:rPr>
          <w:rFonts w:asciiTheme="majorBidi" w:hAnsiTheme="majorBidi" w:cstheme="majorBidi"/>
        </w:rPr>
        <w:t>Therefore, it is crucial to measure the level of Vitamin D in patients with IBS and treat any deficiency to alleviate</w:t>
      </w:r>
      <w:r w:rsidR="00810E25" w:rsidRPr="00417F7A">
        <w:rPr>
          <w:rFonts w:asciiTheme="majorBidi" w:hAnsiTheme="majorBidi" w:cstheme="majorBidi"/>
        </w:rPr>
        <w:t xml:space="preserve"> </w:t>
      </w:r>
      <w:r w:rsidR="00657A96" w:rsidRPr="00417F7A">
        <w:rPr>
          <w:rFonts w:asciiTheme="majorBidi" w:hAnsiTheme="majorBidi" w:cstheme="majorBidi"/>
        </w:rPr>
        <w:t>the symptoms of IBS.</w:t>
      </w:r>
    </w:p>
    <w:p w14:paraId="30E356D3" w14:textId="54FB9207" w:rsidR="00742CB6" w:rsidRPr="00417F7A" w:rsidRDefault="00742CB6" w:rsidP="005856B9">
      <w:pPr>
        <w:rPr>
          <w:rFonts w:asciiTheme="majorBidi" w:hAnsiTheme="majorBidi" w:cstheme="majorBidi"/>
          <w:b/>
          <w:bCs/>
        </w:rPr>
      </w:pPr>
      <w:r w:rsidRPr="00417F7A">
        <w:rPr>
          <w:rFonts w:asciiTheme="majorBidi" w:hAnsiTheme="majorBidi" w:cstheme="majorBidi"/>
          <w:b/>
          <w:bCs/>
        </w:rPr>
        <w:t>Abbreviations</w:t>
      </w:r>
      <w:r w:rsidR="00DF56C0" w:rsidRPr="00417F7A">
        <w:rPr>
          <w:rFonts w:asciiTheme="majorBidi" w:hAnsiTheme="majorBidi" w:cstheme="majorBidi"/>
          <w:b/>
          <w:bCs/>
        </w:rPr>
        <w:t>:</w:t>
      </w:r>
    </w:p>
    <w:p w14:paraId="61F7AD22" w14:textId="5FDD489E" w:rsidR="00DF56C0" w:rsidRPr="00A6114C" w:rsidRDefault="00DF56C0" w:rsidP="007907E7">
      <w:pPr>
        <w:spacing w:after="0" w:line="240" w:lineRule="auto"/>
        <w:rPr>
          <w:rFonts w:asciiTheme="majorBidi" w:hAnsiTheme="majorBidi" w:cstheme="majorBidi"/>
          <w:sz w:val="20"/>
          <w:szCs w:val="20"/>
        </w:rPr>
      </w:pPr>
      <w:r w:rsidRPr="00A6114C">
        <w:rPr>
          <w:rFonts w:asciiTheme="majorBidi" w:hAnsiTheme="majorBidi" w:cstheme="majorBidi"/>
          <w:sz w:val="20"/>
          <w:szCs w:val="20"/>
        </w:rPr>
        <w:t xml:space="preserve">IBS: </w:t>
      </w:r>
      <w:r w:rsidR="00991C97" w:rsidRPr="00A6114C">
        <w:rPr>
          <w:rFonts w:asciiTheme="majorBidi" w:hAnsiTheme="majorBidi" w:cstheme="majorBidi"/>
          <w:sz w:val="20"/>
          <w:szCs w:val="20"/>
        </w:rPr>
        <w:t>Irritable bowel syndrome</w:t>
      </w:r>
    </w:p>
    <w:p w14:paraId="3EC90324" w14:textId="09A2E8F5" w:rsidR="00991C97" w:rsidRPr="00A6114C" w:rsidRDefault="00FE1458" w:rsidP="007907E7">
      <w:pPr>
        <w:spacing w:after="0" w:line="240" w:lineRule="auto"/>
        <w:rPr>
          <w:rFonts w:asciiTheme="majorBidi" w:hAnsiTheme="majorBidi" w:cstheme="majorBidi"/>
          <w:sz w:val="20"/>
          <w:szCs w:val="20"/>
        </w:rPr>
      </w:pPr>
      <w:r w:rsidRPr="00A6114C">
        <w:rPr>
          <w:rFonts w:asciiTheme="majorBidi" w:hAnsiTheme="majorBidi" w:cstheme="majorBidi"/>
          <w:sz w:val="20"/>
          <w:szCs w:val="20"/>
        </w:rPr>
        <w:t>VitD:</w:t>
      </w:r>
      <w:r w:rsidR="00BD6352" w:rsidRPr="00A6114C">
        <w:rPr>
          <w:rFonts w:asciiTheme="majorBidi" w:hAnsiTheme="majorBidi" w:cstheme="majorBidi"/>
          <w:sz w:val="20"/>
          <w:szCs w:val="20"/>
        </w:rPr>
        <w:t xml:space="preserve"> </w:t>
      </w:r>
      <w:r w:rsidR="00BF1139" w:rsidRPr="00A6114C">
        <w:rPr>
          <w:rFonts w:asciiTheme="majorBidi" w:hAnsiTheme="majorBidi" w:cstheme="majorBidi"/>
          <w:sz w:val="20"/>
          <w:szCs w:val="20"/>
        </w:rPr>
        <w:t>vitamin D</w:t>
      </w:r>
    </w:p>
    <w:p w14:paraId="51193DE1" w14:textId="6D6AD099" w:rsidR="00BF1139" w:rsidRPr="00A6114C" w:rsidRDefault="00BF1139" w:rsidP="007907E7">
      <w:pPr>
        <w:spacing w:after="0" w:line="240" w:lineRule="auto"/>
        <w:rPr>
          <w:rFonts w:asciiTheme="majorBidi" w:hAnsiTheme="majorBidi" w:cstheme="majorBidi"/>
          <w:sz w:val="20"/>
          <w:szCs w:val="20"/>
        </w:rPr>
      </w:pPr>
      <w:r w:rsidRPr="00A6114C">
        <w:rPr>
          <w:rFonts w:asciiTheme="majorBidi" w:hAnsiTheme="majorBidi" w:cstheme="majorBidi"/>
          <w:sz w:val="20"/>
          <w:szCs w:val="20"/>
        </w:rPr>
        <w:t>GI</w:t>
      </w:r>
      <w:r w:rsidR="002F0FDE" w:rsidRPr="00A6114C">
        <w:rPr>
          <w:rFonts w:asciiTheme="majorBidi" w:hAnsiTheme="majorBidi" w:cstheme="majorBidi"/>
          <w:sz w:val="20"/>
          <w:szCs w:val="20"/>
        </w:rPr>
        <w:t>T</w:t>
      </w:r>
      <w:r w:rsidRPr="00A6114C">
        <w:rPr>
          <w:rFonts w:asciiTheme="majorBidi" w:hAnsiTheme="majorBidi" w:cstheme="majorBidi"/>
          <w:sz w:val="20"/>
          <w:szCs w:val="20"/>
        </w:rPr>
        <w:t xml:space="preserve">: </w:t>
      </w:r>
      <w:r w:rsidR="002F0FDE" w:rsidRPr="00A6114C">
        <w:rPr>
          <w:rFonts w:asciiTheme="majorBidi" w:hAnsiTheme="majorBidi" w:cstheme="majorBidi"/>
          <w:sz w:val="20"/>
          <w:szCs w:val="20"/>
        </w:rPr>
        <w:t>gastrointestinal tract</w:t>
      </w:r>
    </w:p>
    <w:p w14:paraId="6A0278F3" w14:textId="09867B1B" w:rsidR="00B544C2" w:rsidRPr="00A6114C" w:rsidRDefault="001B7CDC" w:rsidP="007907E7">
      <w:pPr>
        <w:spacing w:after="0" w:line="240" w:lineRule="auto"/>
        <w:rPr>
          <w:rFonts w:asciiTheme="majorBidi" w:hAnsiTheme="majorBidi" w:cstheme="majorBidi"/>
          <w:sz w:val="20"/>
          <w:szCs w:val="20"/>
        </w:rPr>
      </w:pPr>
      <w:r w:rsidRPr="00A6114C">
        <w:rPr>
          <w:rFonts w:asciiTheme="majorBidi" w:hAnsiTheme="majorBidi" w:cstheme="majorBidi"/>
          <w:sz w:val="20"/>
          <w:szCs w:val="20"/>
        </w:rPr>
        <w:t xml:space="preserve">IBD: inflammatory bowel disease </w:t>
      </w:r>
    </w:p>
    <w:p w14:paraId="7F02C0AD" w14:textId="70616948" w:rsidR="00331C94" w:rsidRPr="00A6114C" w:rsidRDefault="003B15DE" w:rsidP="007907E7">
      <w:pPr>
        <w:spacing w:after="0" w:line="240" w:lineRule="auto"/>
        <w:rPr>
          <w:rFonts w:asciiTheme="majorBidi" w:eastAsia="Times New Roman" w:hAnsiTheme="majorBidi" w:cstheme="majorBidi"/>
          <w:bCs/>
          <w:sz w:val="20"/>
          <w:szCs w:val="20"/>
          <w:lang w:eastAsia="de-DE" w:bidi="ar-EG"/>
        </w:rPr>
      </w:pPr>
      <w:r w:rsidRPr="00A6114C">
        <w:rPr>
          <w:rFonts w:asciiTheme="majorBidi" w:eastAsia="Times New Roman" w:hAnsiTheme="majorBidi" w:cstheme="majorBidi"/>
          <w:bCs/>
          <w:sz w:val="20"/>
          <w:szCs w:val="20"/>
          <w:lang w:eastAsia="de-DE" w:bidi="ar-EG"/>
        </w:rPr>
        <w:t>IBS-C</w:t>
      </w:r>
      <w:r w:rsidR="00331C94" w:rsidRPr="00A6114C">
        <w:rPr>
          <w:rFonts w:asciiTheme="majorBidi" w:eastAsia="Times New Roman" w:hAnsiTheme="majorBidi" w:cstheme="majorBidi"/>
          <w:bCs/>
          <w:sz w:val="20"/>
          <w:szCs w:val="20"/>
          <w:lang w:eastAsia="de-DE" w:bidi="ar-EG"/>
        </w:rPr>
        <w:t>:</w:t>
      </w:r>
      <w:r w:rsidRPr="00A6114C">
        <w:rPr>
          <w:rFonts w:asciiTheme="majorBidi" w:eastAsia="Times New Roman" w:hAnsiTheme="majorBidi" w:cstheme="majorBidi"/>
          <w:bCs/>
          <w:sz w:val="20"/>
          <w:szCs w:val="20"/>
          <w:lang w:eastAsia="de-DE" w:bidi="ar-EG"/>
        </w:rPr>
        <w:t xml:space="preserve"> </w:t>
      </w:r>
      <w:r w:rsidR="00D75F47" w:rsidRPr="00A6114C">
        <w:rPr>
          <w:rFonts w:asciiTheme="majorBidi" w:eastAsia="Times New Roman" w:hAnsiTheme="majorBidi" w:cstheme="majorBidi"/>
          <w:bCs/>
          <w:sz w:val="20"/>
          <w:szCs w:val="20"/>
          <w:lang w:eastAsia="de-DE" w:bidi="ar-EG"/>
        </w:rPr>
        <w:t xml:space="preserve">IBS </w:t>
      </w:r>
      <w:r w:rsidR="00331C94" w:rsidRPr="00A6114C">
        <w:rPr>
          <w:rFonts w:asciiTheme="majorBidi" w:eastAsia="Times New Roman" w:hAnsiTheme="majorBidi" w:cstheme="majorBidi"/>
          <w:bCs/>
          <w:sz w:val="20"/>
          <w:szCs w:val="20"/>
          <w:lang w:eastAsia="de-DE" w:bidi="ar-EG"/>
        </w:rPr>
        <w:t xml:space="preserve">constipation predominant </w:t>
      </w:r>
    </w:p>
    <w:p w14:paraId="017BB461" w14:textId="50818196" w:rsidR="00880219" w:rsidRPr="00A6114C" w:rsidRDefault="00880219" w:rsidP="007907E7">
      <w:pPr>
        <w:spacing w:after="0" w:line="240" w:lineRule="auto"/>
        <w:rPr>
          <w:rFonts w:asciiTheme="majorBidi" w:eastAsia="Times New Roman" w:hAnsiTheme="majorBidi" w:cstheme="majorBidi"/>
          <w:bCs/>
          <w:sz w:val="20"/>
          <w:szCs w:val="20"/>
          <w:lang w:eastAsia="de-DE" w:bidi="ar-EG"/>
        </w:rPr>
      </w:pPr>
      <w:r w:rsidRPr="00A6114C">
        <w:rPr>
          <w:rFonts w:asciiTheme="majorBidi" w:eastAsia="Times New Roman" w:hAnsiTheme="majorBidi" w:cstheme="majorBidi"/>
          <w:bCs/>
          <w:sz w:val="20"/>
          <w:szCs w:val="20"/>
          <w:lang w:eastAsia="de-DE" w:bidi="ar-EG"/>
        </w:rPr>
        <w:t>IBS-D:</w:t>
      </w:r>
      <w:r w:rsidR="00417F7A" w:rsidRPr="00A6114C">
        <w:rPr>
          <w:rFonts w:asciiTheme="majorBidi" w:eastAsia="Times New Roman" w:hAnsiTheme="majorBidi" w:cstheme="majorBidi"/>
          <w:bCs/>
          <w:sz w:val="20"/>
          <w:szCs w:val="20"/>
          <w:lang w:eastAsia="de-DE" w:bidi="ar-EG"/>
        </w:rPr>
        <w:t xml:space="preserve"> </w:t>
      </w:r>
      <w:r w:rsidR="00E47CF4" w:rsidRPr="00A6114C">
        <w:rPr>
          <w:rFonts w:asciiTheme="majorBidi" w:eastAsia="Times New Roman" w:hAnsiTheme="majorBidi" w:cstheme="majorBidi"/>
          <w:bCs/>
          <w:sz w:val="20"/>
          <w:szCs w:val="20"/>
          <w:lang w:eastAsia="de-DE" w:bidi="ar-EG"/>
        </w:rPr>
        <w:t xml:space="preserve">IBS </w:t>
      </w:r>
      <w:r w:rsidR="003B15DE" w:rsidRPr="00A6114C">
        <w:rPr>
          <w:rFonts w:asciiTheme="majorBidi" w:eastAsia="Times New Roman" w:hAnsiTheme="majorBidi" w:cstheme="majorBidi"/>
          <w:bCs/>
          <w:sz w:val="20"/>
          <w:szCs w:val="20"/>
          <w:lang w:eastAsia="de-DE" w:bidi="ar-EG"/>
        </w:rPr>
        <w:t xml:space="preserve">diarrhea predominant </w:t>
      </w:r>
    </w:p>
    <w:p w14:paraId="3E523A28" w14:textId="6DCF8ACF" w:rsidR="00861A2E" w:rsidRPr="00A6114C" w:rsidRDefault="003B15DE" w:rsidP="007907E7">
      <w:pPr>
        <w:spacing w:after="0" w:line="240" w:lineRule="auto"/>
        <w:rPr>
          <w:rFonts w:asciiTheme="majorBidi" w:eastAsia="Times New Roman" w:hAnsiTheme="majorBidi" w:cstheme="majorBidi"/>
          <w:bCs/>
          <w:sz w:val="20"/>
          <w:szCs w:val="20"/>
          <w:lang w:eastAsia="de-DE" w:bidi="ar-EG"/>
        </w:rPr>
      </w:pPr>
      <w:r w:rsidRPr="00A6114C">
        <w:rPr>
          <w:rFonts w:asciiTheme="majorBidi" w:eastAsia="Times New Roman" w:hAnsiTheme="majorBidi" w:cstheme="majorBidi"/>
          <w:bCs/>
          <w:sz w:val="20"/>
          <w:szCs w:val="20"/>
          <w:lang w:eastAsia="de-DE" w:bidi="ar-EG"/>
        </w:rPr>
        <w:t>IBS-M</w:t>
      </w:r>
      <w:r w:rsidR="00880219" w:rsidRPr="00A6114C">
        <w:rPr>
          <w:rFonts w:asciiTheme="majorBidi" w:eastAsia="Times New Roman" w:hAnsiTheme="majorBidi" w:cstheme="majorBidi"/>
          <w:bCs/>
          <w:sz w:val="20"/>
          <w:szCs w:val="20"/>
          <w:lang w:eastAsia="de-DE" w:bidi="ar-EG"/>
        </w:rPr>
        <w:t>:</w:t>
      </w:r>
      <w:r w:rsidR="00417F7A" w:rsidRPr="00A6114C">
        <w:rPr>
          <w:rFonts w:asciiTheme="majorBidi" w:eastAsia="Times New Roman" w:hAnsiTheme="majorBidi" w:cstheme="majorBidi"/>
          <w:bCs/>
          <w:sz w:val="20"/>
          <w:szCs w:val="20"/>
          <w:lang w:eastAsia="de-DE" w:bidi="ar-EG"/>
        </w:rPr>
        <w:t xml:space="preserve"> </w:t>
      </w:r>
      <w:r w:rsidR="00E47CF4" w:rsidRPr="00A6114C">
        <w:rPr>
          <w:rFonts w:asciiTheme="majorBidi" w:eastAsia="Times New Roman" w:hAnsiTheme="majorBidi" w:cstheme="majorBidi"/>
          <w:bCs/>
          <w:sz w:val="20"/>
          <w:szCs w:val="20"/>
          <w:lang w:eastAsia="de-DE" w:bidi="ar-EG"/>
        </w:rPr>
        <w:t>IBS</w:t>
      </w:r>
      <w:r w:rsidR="00861A2E" w:rsidRPr="00A6114C">
        <w:rPr>
          <w:rFonts w:asciiTheme="majorBidi" w:eastAsia="Times New Roman" w:hAnsiTheme="majorBidi" w:cstheme="majorBidi"/>
          <w:bCs/>
          <w:sz w:val="20"/>
          <w:szCs w:val="20"/>
          <w:lang w:eastAsia="de-DE" w:bidi="ar-EG"/>
        </w:rPr>
        <w:t xml:space="preserve"> mixed</w:t>
      </w:r>
    </w:p>
    <w:p w14:paraId="7708B76B" w14:textId="4AA70234" w:rsidR="00B544C2" w:rsidRPr="00A6114C" w:rsidRDefault="003B15DE" w:rsidP="00B544C2">
      <w:pPr>
        <w:spacing w:after="0" w:line="240" w:lineRule="auto"/>
        <w:rPr>
          <w:rFonts w:asciiTheme="majorBidi" w:eastAsia="Times New Roman" w:hAnsiTheme="majorBidi" w:cstheme="majorBidi"/>
          <w:bCs/>
          <w:sz w:val="20"/>
          <w:szCs w:val="20"/>
          <w:lang w:eastAsia="de-DE" w:bidi="ar-EG"/>
        </w:rPr>
      </w:pPr>
      <w:r w:rsidRPr="00A6114C">
        <w:rPr>
          <w:rFonts w:asciiTheme="majorBidi" w:eastAsia="Times New Roman" w:hAnsiTheme="majorBidi" w:cstheme="majorBidi"/>
          <w:bCs/>
          <w:sz w:val="20"/>
          <w:szCs w:val="20"/>
          <w:lang w:eastAsia="de-DE" w:bidi="ar-EG"/>
        </w:rPr>
        <w:t>IBS-U</w:t>
      </w:r>
      <w:r w:rsidR="00861A2E" w:rsidRPr="00A6114C">
        <w:rPr>
          <w:rFonts w:asciiTheme="majorBidi" w:eastAsia="Times New Roman" w:hAnsiTheme="majorBidi" w:cstheme="majorBidi"/>
          <w:bCs/>
          <w:sz w:val="20"/>
          <w:szCs w:val="20"/>
          <w:lang w:eastAsia="de-DE" w:bidi="ar-EG"/>
        </w:rPr>
        <w:t xml:space="preserve">: </w:t>
      </w:r>
      <w:r w:rsidR="00E47CF4" w:rsidRPr="00A6114C">
        <w:rPr>
          <w:rFonts w:asciiTheme="majorBidi" w:eastAsia="Times New Roman" w:hAnsiTheme="majorBidi" w:cstheme="majorBidi"/>
          <w:bCs/>
          <w:sz w:val="20"/>
          <w:szCs w:val="20"/>
          <w:lang w:eastAsia="de-DE" w:bidi="ar-EG"/>
        </w:rPr>
        <w:t xml:space="preserve">IBS </w:t>
      </w:r>
      <w:r w:rsidR="00861A2E" w:rsidRPr="00A6114C">
        <w:rPr>
          <w:rFonts w:asciiTheme="majorBidi" w:eastAsia="Times New Roman" w:hAnsiTheme="majorBidi" w:cstheme="majorBidi"/>
          <w:bCs/>
          <w:sz w:val="20"/>
          <w:szCs w:val="20"/>
          <w:lang w:eastAsia="de-DE" w:bidi="ar-EG"/>
        </w:rPr>
        <w:t>unclassified</w:t>
      </w:r>
    </w:p>
    <w:p w14:paraId="7C7E3C31" w14:textId="325EDBA7" w:rsidR="00F44635" w:rsidRPr="00A6114C" w:rsidRDefault="00F44635" w:rsidP="007907E7">
      <w:pPr>
        <w:spacing w:after="0" w:line="240" w:lineRule="auto"/>
        <w:rPr>
          <w:rFonts w:asciiTheme="majorBidi" w:eastAsia="Times New Roman" w:hAnsiTheme="majorBidi" w:cstheme="majorBidi"/>
          <w:bCs/>
          <w:sz w:val="20"/>
          <w:szCs w:val="20"/>
          <w:lang w:eastAsia="de-DE" w:bidi="ar-EG"/>
        </w:rPr>
      </w:pPr>
      <w:r w:rsidRPr="00A6114C">
        <w:rPr>
          <w:rFonts w:asciiTheme="majorBidi" w:eastAsia="Times New Roman" w:hAnsiTheme="majorBidi" w:cstheme="majorBidi"/>
          <w:bCs/>
          <w:sz w:val="20"/>
          <w:szCs w:val="20"/>
          <w:lang w:eastAsia="de-DE" w:bidi="ar-EG"/>
        </w:rPr>
        <w:t xml:space="preserve">CBC: complete </w:t>
      </w:r>
      <w:r w:rsidR="00FA27CF" w:rsidRPr="00A6114C">
        <w:rPr>
          <w:rFonts w:asciiTheme="majorBidi" w:eastAsia="Times New Roman" w:hAnsiTheme="majorBidi" w:cstheme="majorBidi"/>
          <w:bCs/>
          <w:sz w:val="20"/>
          <w:szCs w:val="20"/>
          <w:lang w:eastAsia="de-DE" w:bidi="ar-EG"/>
        </w:rPr>
        <w:t>blood</w:t>
      </w:r>
      <w:r w:rsidRPr="00A6114C">
        <w:rPr>
          <w:rFonts w:asciiTheme="majorBidi" w:eastAsia="Times New Roman" w:hAnsiTheme="majorBidi" w:cstheme="majorBidi"/>
          <w:bCs/>
          <w:sz w:val="20"/>
          <w:szCs w:val="20"/>
          <w:lang w:eastAsia="de-DE" w:bidi="ar-EG"/>
        </w:rPr>
        <w:t xml:space="preserve"> </w:t>
      </w:r>
      <w:r w:rsidR="00FA27CF" w:rsidRPr="00A6114C">
        <w:rPr>
          <w:rFonts w:asciiTheme="majorBidi" w:eastAsia="Times New Roman" w:hAnsiTheme="majorBidi" w:cstheme="majorBidi"/>
          <w:bCs/>
          <w:sz w:val="20"/>
          <w:szCs w:val="20"/>
          <w:lang w:eastAsia="de-DE" w:bidi="ar-EG"/>
        </w:rPr>
        <w:t>count</w:t>
      </w:r>
    </w:p>
    <w:p w14:paraId="01F59015" w14:textId="160C5E0D" w:rsidR="00FA27CF" w:rsidRPr="00A6114C" w:rsidRDefault="00FA27CF" w:rsidP="007907E7">
      <w:pPr>
        <w:spacing w:after="0" w:line="240" w:lineRule="auto"/>
        <w:rPr>
          <w:rFonts w:asciiTheme="majorBidi" w:eastAsia="Times New Roman" w:hAnsiTheme="majorBidi" w:cstheme="majorBidi"/>
          <w:bCs/>
          <w:sz w:val="20"/>
          <w:szCs w:val="20"/>
          <w:lang w:eastAsia="de-DE" w:bidi="ar-EG"/>
        </w:rPr>
      </w:pPr>
      <w:r w:rsidRPr="00A6114C">
        <w:rPr>
          <w:rFonts w:asciiTheme="majorBidi" w:eastAsia="Times New Roman" w:hAnsiTheme="majorBidi" w:cstheme="majorBidi"/>
          <w:bCs/>
          <w:sz w:val="20"/>
          <w:szCs w:val="20"/>
          <w:lang w:eastAsia="de-DE" w:bidi="ar-EG"/>
        </w:rPr>
        <w:t xml:space="preserve">ALT: alanine </w:t>
      </w:r>
      <w:r w:rsidR="00B95C01" w:rsidRPr="00A6114C">
        <w:rPr>
          <w:rFonts w:asciiTheme="majorBidi" w:eastAsia="Times New Roman" w:hAnsiTheme="majorBidi" w:cstheme="majorBidi"/>
          <w:bCs/>
          <w:sz w:val="20"/>
          <w:szCs w:val="20"/>
          <w:lang w:eastAsia="de-DE" w:bidi="ar-EG"/>
        </w:rPr>
        <w:t>transaminase</w:t>
      </w:r>
    </w:p>
    <w:p w14:paraId="7C2F5672" w14:textId="7380C5AD" w:rsidR="001E2E9D" w:rsidRPr="00417F7A" w:rsidRDefault="001E2E9D" w:rsidP="007907E7">
      <w:pPr>
        <w:spacing w:after="0" w:line="240" w:lineRule="auto"/>
        <w:rPr>
          <w:rFonts w:asciiTheme="majorBidi" w:eastAsia="Times New Roman" w:hAnsiTheme="majorBidi" w:cstheme="majorBidi"/>
          <w:bCs/>
          <w:lang w:eastAsia="de-DE" w:bidi="ar-EG"/>
        </w:rPr>
      </w:pPr>
      <w:r w:rsidRPr="00A6114C">
        <w:rPr>
          <w:rFonts w:asciiTheme="majorBidi" w:eastAsia="Times New Roman" w:hAnsiTheme="majorBidi" w:cstheme="majorBidi"/>
          <w:bCs/>
          <w:sz w:val="20"/>
          <w:szCs w:val="20"/>
          <w:lang w:eastAsia="de-DE" w:bidi="ar-EG"/>
        </w:rPr>
        <w:t xml:space="preserve">AST: </w:t>
      </w:r>
      <w:r w:rsidR="00B95C01" w:rsidRPr="00A6114C">
        <w:rPr>
          <w:rFonts w:asciiTheme="majorBidi" w:eastAsia="Times New Roman" w:hAnsiTheme="majorBidi" w:cstheme="majorBidi"/>
          <w:bCs/>
          <w:sz w:val="20"/>
          <w:szCs w:val="20"/>
          <w:lang w:eastAsia="de-DE" w:bidi="ar-EG"/>
        </w:rPr>
        <w:t>aspartate</w:t>
      </w:r>
      <w:r w:rsidRPr="00A6114C">
        <w:rPr>
          <w:rFonts w:asciiTheme="majorBidi" w:eastAsia="Times New Roman" w:hAnsiTheme="majorBidi" w:cstheme="majorBidi"/>
          <w:bCs/>
          <w:sz w:val="20"/>
          <w:szCs w:val="20"/>
          <w:lang w:eastAsia="de-DE" w:bidi="ar-EG"/>
        </w:rPr>
        <w:t xml:space="preserve"> </w:t>
      </w:r>
      <w:r w:rsidR="00B95C01" w:rsidRPr="00A6114C">
        <w:rPr>
          <w:rFonts w:asciiTheme="majorBidi" w:eastAsia="Times New Roman" w:hAnsiTheme="majorBidi" w:cstheme="majorBidi"/>
          <w:bCs/>
          <w:sz w:val="20"/>
          <w:szCs w:val="20"/>
          <w:lang w:eastAsia="de-DE" w:bidi="ar-EG"/>
        </w:rPr>
        <w:t>transaminase</w:t>
      </w:r>
    </w:p>
    <w:p w14:paraId="3F8E69ED" w14:textId="77777777" w:rsidR="0038602F" w:rsidRPr="0038602F" w:rsidRDefault="0038602F" w:rsidP="0038602F">
      <w:pPr>
        <w:spacing w:before="100" w:beforeAutospacing="1" w:after="100" w:afterAutospacing="1" w:line="240" w:lineRule="auto"/>
        <w:rPr>
          <w:rFonts w:ascii="Segoe UI" w:eastAsia="Times New Roman" w:hAnsi="Segoe UI" w:cs="Segoe UI"/>
          <w:b/>
          <w:bCs/>
          <w:kern w:val="0"/>
          <w:lang w:val="en-US" w:eastAsia="fr-FR"/>
          <w14:ligatures w14:val="none"/>
        </w:rPr>
      </w:pPr>
      <w:r w:rsidRPr="0038602F">
        <w:rPr>
          <w:rFonts w:ascii="Segoe UI" w:eastAsia="Times New Roman" w:hAnsi="Segoe UI" w:cs="Segoe UI"/>
          <w:b/>
          <w:bCs/>
          <w:kern w:val="0"/>
          <w:lang w:val="en-US" w:eastAsia="fr-FR"/>
          <w14:ligatures w14:val="none"/>
        </w:rPr>
        <w:t>Footnotes.</w:t>
      </w:r>
    </w:p>
    <w:p w14:paraId="55827F0A" w14:textId="2AB5FD4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kern w:val="0"/>
          <w:lang w:val="en-US" w:eastAsia="fr-FR"/>
          <w14:ligatures w14:val="none"/>
        </w:rPr>
        <w:t xml:space="preserve">Sara Salem (lecturer </w:t>
      </w:r>
      <w:r>
        <w:rPr>
          <w:rFonts w:ascii="Segoe UI" w:eastAsia="Times New Roman" w:hAnsi="Segoe UI" w:cs="Segoe UI"/>
          <w:kern w:val="0"/>
          <w:lang w:val="en-US" w:eastAsia="fr-FR"/>
          <w14:ligatures w14:val="none"/>
        </w:rPr>
        <w:t>in the internal medicine, gastroenterology, and hepatology unit)</w:t>
      </w:r>
      <w:r w:rsidR="00B73321">
        <w:rPr>
          <w:rFonts w:ascii="Segoe UI" w:eastAsia="Times New Roman" w:hAnsi="Segoe UI" w:cs="Segoe UI"/>
          <w:kern w:val="0"/>
          <w:lang w:val="en-US" w:eastAsia="fr-FR"/>
          <w14:ligatures w14:val="none"/>
        </w:rPr>
        <w:t>, Nevin Fouad</w:t>
      </w:r>
      <w:r>
        <w:rPr>
          <w:rFonts w:ascii="Segoe UI" w:eastAsia="Times New Roman" w:hAnsi="Segoe UI" w:cs="Segoe UI"/>
          <w:kern w:val="0"/>
          <w:lang w:val="en-US" w:eastAsia="fr-FR"/>
          <w14:ligatures w14:val="none"/>
        </w:rPr>
        <w:t xml:space="preserve"> (Professor in the internal medicine, gastroenterology, and hepatology unit</w:t>
      </w:r>
      <w:r w:rsidRPr="0038602F">
        <w:rPr>
          <w:rFonts w:ascii="Segoe UI" w:eastAsia="Times New Roman" w:hAnsi="Segoe UI" w:cs="Segoe UI"/>
          <w:kern w:val="0"/>
          <w:lang w:val="en-US" w:eastAsia="fr-FR"/>
          <w14:ligatures w14:val="none"/>
        </w:rPr>
        <w:t>)</w:t>
      </w:r>
      <w:r w:rsidR="00B73321">
        <w:rPr>
          <w:rFonts w:ascii="Segoe UI" w:eastAsia="Times New Roman" w:hAnsi="Segoe UI" w:cs="Segoe UI"/>
          <w:kern w:val="0"/>
          <w:lang w:val="en-US" w:eastAsia="fr-FR"/>
          <w14:ligatures w14:val="none"/>
        </w:rPr>
        <w:t>,</w:t>
      </w:r>
      <w:r w:rsidRPr="0038602F">
        <w:rPr>
          <w:rFonts w:ascii="Segoe UI" w:eastAsia="Times New Roman" w:hAnsi="Segoe UI" w:cs="Segoe UI"/>
          <w:kern w:val="0"/>
          <w:lang w:val="en-US" w:eastAsia="fr-FR"/>
          <w14:ligatures w14:val="none"/>
        </w:rPr>
        <w:t xml:space="preserve"> </w:t>
      </w:r>
      <w:r w:rsidR="00B73321">
        <w:rPr>
          <w:rFonts w:ascii="Segoe UI" w:eastAsia="Times New Roman" w:hAnsi="Segoe UI" w:cs="Segoe UI"/>
          <w:kern w:val="0"/>
          <w:lang w:val="en-US" w:eastAsia="fr-FR"/>
          <w14:ligatures w14:val="none"/>
        </w:rPr>
        <w:t xml:space="preserve">and Amany Mohamed (Biostatistician and Professor of Family Medicine) </w:t>
      </w:r>
      <w:r w:rsidRPr="0038602F">
        <w:rPr>
          <w:rFonts w:ascii="Segoe UI" w:eastAsia="Times New Roman" w:hAnsi="Segoe UI" w:cs="Segoe UI"/>
          <w:kern w:val="0"/>
          <w:lang w:val="en-US" w:eastAsia="fr-FR"/>
          <w14:ligatures w14:val="none"/>
        </w:rPr>
        <w:t>were peer reviewers.</w:t>
      </w:r>
    </w:p>
    <w:p w14:paraId="0A508996" w14:textId="7777777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b/>
          <w:bCs/>
          <w:kern w:val="0"/>
          <w:lang w:val="en-US" w:eastAsia="fr-FR"/>
          <w14:ligatures w14:val="none"/>
        </w:rPr>
        <w:t>E- Editor:</w:t>
      </w:r>
      <w:r w:rsidRPr="0038602F">
        <w:rPr>
          <w:rFonts w:ascii="Segoe UI" w:eastAsia="Times New Roman" w:hAnsi="Segoe UI" w:cs="Segoe UI"/>
          <w:kern w:val="0"/>
          <w:lang w:val="en-US" w:eastAsia="fr-FR"/>
          <w14:ligatures w14:val="none"/>
        </w:rPr>
        <w:t xml:space="preserve"> Salem Youssef Mohamed, Osama Ahmed Khalil, Amany Mohammed.</w:t>
      </w:r>
    </w:p>
    <w:p w14:paraId="4EBB08FF" w14:textId="7777777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b/>
          <w:bCs/>
          <w:kern w:val="0"/>
          <w:lang w:val="en-US" w:eastAsia="fr-FR"/>
          <w14:ligatures w14:val="none"/>
        </w:rPr>
        <w:t>Copyright ©.</w:t>
      </w:r>
      <w:r w:rsidRPr="0038602F">
        <w:rPr>
          <w:rFonts w:ascii="Segoe UI" w:eastAsia="Times New Roman" w:hAnsi="Segoe UI" w:cs="Segoe UI"/>
          <w:kern w:val="0"/>
          <w:lang w:val="en-US" w:eastAsia="fr-FR"/>
          <w14:ligatures w14:val="none"/>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7854FFBE" w14:textId="7777777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b/>
          <w:bCs/>
          <w:kern w:val="0"/>
          <w:lang w:val="en-US" w:eastAsia="fr-FR"/>
          <w14:ligatures w14:val="none"/>
        </w:rPr>
        <w:t>Disclaimer:</w:t>
      </w:r>
      <w:r w:rsidRPr="0038602F">
        <w:rPr>
          <w:rFonts w:ascii="Segoe UI" w:eastAsia="Times New Roman" w:hAnsi="Segoe UI" w:cs="Segoe UI"/>
          <w:kern w:val="0"/>
          <w:lang w:val="en-US" w:eastAsia="fr-FR"/>
          <w14:ligatures w14:val="none"/>
        </w:rPr>
        <w:t xml:space="preserve"> The authors' claims in this article are solely their own and do not necessarily represent their affiliated organizations or those of the publisher, the editors, or the reviewers. Any product evaluated in this article or its manufacturer's claim is not guaranteed or endorsed by the publisher.</w:t>
      </w:r>
    </w:p>
    <w:p w14:paraId="6FE40572" w14:textId="77777777" w:rsidR="0038602F" w:rsidRPr="0038602F" w:rsidRDefault="0038602F" w:rsidP="0038602F">
      <w:pPr>
        <w:spacing w:before="100" w:beforeAutospacing="1" w:after="100" w:afterAutospacing="1" w:line="240" w:lineRule="auto"/>
        <w:rPr>
          <w:rFonts w:ascii="Segoe UI" w:eastAsia="Times New Roman" w:hAnsi="Segoe UI" w:cs="Segoe UI"/>
          <w:b/>
          <w:kern w:val="0"/>
          <w:lang w:val="yo-NG" w:eastAsia="fr-FR"/>
          <w14:ligatures w14:val="none"/>
        </w:rPr>
      </w:pPr>
      <w:r w:rsidRPr="0038602F">
        <w:rPr>
          <w:rFonts w:ascii="Segoe UI" w:eastAsia="Times New Roman" w:hAnsi="Segoe UI" w:cs="Segoe UI"/>
          <w:b/>
          <w:kern w:val="0"/>
          <w:lang w:val="yo-NG" w:eastAsia="fr-FR"/>
          <w14:ligatures w14:val="none"/>
        </w:rPr>
        <w:t>Ethics approval</w:t>
      </w:r>
    </w:p>
    <w:p w14:paraId="1866D73E" w14:textId="515254F7" w:rsidR="00A6114C" w:rsidRPr="00A6114C" w:rsidRDefault="00F50F19" w:rsidP="00A6114C">
      <w:pPr>
        <w:spacing w:before="100" w:beforeAutospacing="1" w:after="100" w:afterAutospacing="1" w:line="240" w:lineRule="auto"/>
        <w:rPr>
          <w:rFonts w:ascii="Segoe UI" w:eastAsia="Times New Roman" w:hAnsi="Segoe UI" w:cs="Segoe UI"/>
          <w:bCs/>
          <w:kern w:val="0"/>
          <w:lang w:eastAsia="fr-FR"/>
          <w14:ligatures w14:val="none"/>
        </w:rPr>
      </w:pPr>
      <w:r w:rsidRPr="00F50F19">
        <w:rPr>
          <w:rFonts w:ascii="Segoe UI" w:eastAsia="Times New Roman" w:hAnsi="Segoe UI" w:cs="Segoe UI"/>
          <w:bCs/>
          <w:kern w:val="0"/>
          <w:lang w:eastAsia="fr-FR" w:bidi="en-US"/>
          <w14:ligatures w14:val="none"/>
        </w:rPr>
        <w:t xml:space="preserve">Written informed consent was obtained from all participants before enrollment. </w:t>
      </w:r>
      <w:r w:rsidR="00A6114C" w:rsidRPr="00A6114C">
        <w:rPr>
          <w:rFonts w:ascii="Segoe UI" w:eastAsia="Times New Roman" w:hAnsi="Segoe UI" w:cs="Segoe UI"/>
          <w:bCs/>
          <w:kern w:val="0"/>
          <w:lang w:eastAsia="fr-FR"/>
          <w14:ligatures w14:val="none"/>
        </w:rPr>
        <w:t xml:space="preserve">Ethics committee approval was received for this study from the Institutional Review Board of Tanta Faculty of Medicine (approval code: 36264PR349/9/23), in accordance with the provisions of the 1975 Declaration of Helsinki. All patients and/or their legal guardian(s) provided written informed consent before participation in any protocol‑specific procedure. None of the human participants in this study </w:t>
      </w:r>
      <w:r w:rsidR="00A6114C">
        <w:rPr>
          <w:rFonts w:ascii="Segoe UI" w:eastAsia="Times New Roman" w:hAnsi="Segoe UI" w:cs="Segoe UI"/>
          <w:bCs/>
          <w:kern w:val="0"/>
          <w:lang w:eastAsia="fr-FR"/>
          <w14:ligatures w14:val="none"/>
        </w:rPr>
        <w:t>are minors</w:t>
      </w:r>
      <w:r w:rsidR="00A6114C" w:rsidRPr="00A6114C">
        <w:rPr>
          <w:rFonts w:ascii="Segoe UI" w:eastAsia="Times New Roman" w:hAnsi="Segoe UI" w:cs="Segoe UI"/>
          <w:bCs/>
          <w:kern w:val="0"/>
          <w:lang w:eastAsia="fr-FR"/>
          <w14:ligatures w14:val="none"/>
        </w:rPr>
        <w:t xml:space="preserve">. All methods were carried out in accordance with the guidelines and regulations of the Declaration of Helsinki. </w:t>
      </w:r>
    </w:p>
    <w:p w14:paraId="5670A999" w14:textId="7777777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b/>
          <w:bCs/>
          <w:kern w:val="0"/>
          <w:lang w:val="en-US" w:eastAsia="fr-FR"/>
          <w14:ligatures w14:val="none"/>
        </w:rPr>
        <w:t>Data and materials availability:</w:t>
      </w:r>
      <w:r w:rsidRPr="0038602F">
        <w:rPr>
          <w:rFonts w:ascii="Segoe UI" w:eastAsia="Times New Roman" w:hAnsi="Segoe UI" w:cs="Segoe UI"/>
          <w:kern w:val="0"/>
          <w:lang w:val="en-US" w:eastAsia="fr-FR"/>
          <w14:ligatures w14:val="none"/>
        </w:rPr>
        <w:t xml:space="preserve"> The datasets used and/or analyzed during the current study are available from the corresponding author on reasonable request. </w:t>
      </w:r>
    </w:p>
    <w:p w14:paraId="3B2724DB" w14:textId="7777777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b/>
          <w:bCs/>
          <w:kern w:val="0"/>
          <w:lang w:val="en-US" w:eastAsia="fr-FR"/>
          <w14:ligatures w14:val="none"/>
        </w:rPr>
        <w:t>Competing interests</w:t>
      </w:r>
      <w:r w:rsidRPr="0038602F">
        <w:rPr>
          <w:rFonts w:ascii="Segoe UI" w:eastAsia="Times New Roman" w:hAnsi="Segoe UI" w:cs="Segoe UI"/>
          <w:kern w:val="0"/>
          <w:lang w:val="en-US" w:eastAsia="fr-FR"/>
          <w14:ligatures w14:val="none"/>
        </w:rPr>
        <w:t>: The authors declare that they have no competing interests.</w:t>
      </w:r>
    </w:p>
    <w:p w14:paraId="2BD21795" w14:textId="77777777" w:rsidR="00A6114C" w:rsidRPr="00A6114C" w:rsidRDefault="0038602F" w:rsidP="00A6114C">
      <w:pPr>
        <w:spacing w:before="100" w:beforeAutospacing="1" w:after="100" w:afterAutospacing="1" w:line="240" w:lineRule="auto"/>
        <w:rPr>
          <w:rFonts w:ascii="Segoe UI" w:eastAsia="Times New Roman" w:hAnsi="Segoe UI" w:cs="Segoe UI"/>
          <w:bCs/>
          <w:kern w:val="0"/>
          <w:lang w:eastAsia="fr-FR"/>
          <w14:ligatures w14:val="none"/>
        </w:rPr>
      </w:pPr>
      <w:r w:rsidRPr="0038602F">
        <w:rPr>
          <w:rFonts w:ascii="Segoe UI" w:eastAsia="Times New Roman" w:hAnsi="Segoe UI" w:cs="Segoe UI"/>
          <w:b/>
          <w:bCs/>
          <w:kern w:val="0"/>
          <w:lang w:val="en-US" w:eastAsia="fr-FR"/>
          <w14:ligatures w14:val="none"/>
        </w:rPr>
        <w:t>Funding</w:t>
      </w:r>
      <w:r w:rsidRPr="0038602F">
        <w:rPr>
          <w:rFonts w:ascii="Segoe UI" w:eastAsia="Times New Roman" w:hAnsi="Segoe UI" w:cs="Segoe UI"/>
          <w:kern w:val="0"/>
          <w:lang w:val="en-US" w:eastAsia="fr-FR"/>
          <w14:ligatures w14:val="none"/>
        </w:rPr>
        <w:t xml:space="preserve">: </w:t>
      </w:r>
      <w:r w:rsidR="00A6114C" w:rsidRPr="00A6114C">
        <w:rPr>
          <w:rFonts w:ascii="Segoe UI" w:eastAsia="Times New Roman" w:hAnsi="Segoe UI" w:cs="Segoe UI"/>
          <w:bCs/>
          <w:kern w:val="0"/>
          <w:lang w:eastAsia="fr-FR"/>
          <w14:ligatures w14:val="none"/>
        </w:rPr>
        <w:t xml:space="preserve">Open access funding provided by The Science, Technology &amp; Innovation Funding Authority (STDF) in cooperation with The Egyptian Knowledge Bank (EKB). </w:t>
      </w:r>
    </w:p>
    <w:p w14:paraId="722E62B6" w14:textId="235AED13"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A6114C">
        <w:rPr>
          <w:rFonts w:ascii="Segoe UI" w:eastAsia="Times New Roman" w:hAnsi="Segoe UI" w:cs="Segoe UI"/>
          <w:b/>
          <w:bCs/>
          <w:kern w:val="0"/>
          <w:lang w:val="en-US" w:eastAsia="fr-FR"/>
          <w14:ligatures w14:val="none"/>
        </w:rPr>
        <w:t>This work</w:t>
      </w:r>
      <w:r w:rsidRPr="0038602F">
        <w:rPr>
          <w:rFonts w:ascii="Segoe UI" w:eastAsia="Times New Roman" w:hAnsi="Segoe UI" w:cs="Segoe UI"/>
          <w:kern w:val="0"/>
          <w:lang w:val="en-US" w:eastAsia="fr-FR"/>
          <w14:ligatures w14:val="none"/>
        </w:rPr>
        <w:t xml:space="preserve"> was conducted in accordance with the </w:t>
      </w:r>
      <w:r w:rsidR="00A6114C">
        <w:rPr>
          <w:rFonts w:ascii="Segoe UI" w:eastAsia="Times New Roman" w:hAnsi="Segoe UI" w:cs="Segoe UI"/>
          <w:kern w:val="0"/>
          <w:lang w:val="en-US" w:eastAsia="fr-FR"/>
          <w14:ligatures w14:val="none"/>
        </w:rPr>
        <w:t>STROBE</w:t>
      </w:r>
      <w:r w:rsidRPr="0038602F">
        <w:rPr>
          <w:rFonts w:ascii="Segoe UI" w:eastAsia="Times New Roman" w:hAnsi="Segoe UI" w:cs="Segoe UI"/>
          <w:kern w:val="0"/>
          <w:lang w:val="en-US" w:eastAsia="fr-FR"/>
          <w14:ligatures w14:val="none"/>
        </w:rPr>
        <w:t xml:space="preserve"> guidelines.</w:t>
      </w:r>
      <w:bookmarkStart w:id="5" w:name="h11"/>
      <w:bookmarkEnd w:id="5"/>
    </w:p>
    <w:p w14:paraId="788DD53A" w14:textId="77777777" w:rsidR="0038602F" w:rsidRPr="0038602F" w:rsidRDefault="0038602F" w:rsidP="0038602F">
      <w:pPr>
        <w:spacing w:before="100" w:beforeAutospacing="1" w:after="100" w:afterAutospacing="1" w:line="240" w:lineRule="auto"/>
        <w:rPr>
          <w:rFonts w:ascii="Segoe UI" w:eastAsia="Times New Roman" w:hAnsi="Segoe UI" w:cs="Segoe UI"/>
          <w:b/>
          <w:bCs/>
          <w:kern w:val="0"/>
          <w:lang w:val="yo-NG" w:eastAsia="fr-FR"/>
          <w14:ligatures w14:val="none"/>
        </w:rPr>
      </w:pPr>
      <w:r w:rsidRPr="0038602F">
        <w:rPr>
          <w:rFonts w:ascii="Segoe UI" w:eastAsia="Times New Roman" w:hAnsi="Segoe UI" w:cs="Segoe UI"/>
          <w:b/>
          <w:bCs/>
          <w:kern w:val="0"/>
          <w:lang w:val="en-US" w:eastAsia="fr-FR"/>
          <w14:ligatures w14:val="none"/>
        </w:rPr>
        <w:t xml:space="preserve">Authors' contributions: </w:t>
      </w:r>
    </w:p>
    <w:p w14:paraId="75B6C8DA" w14:textId="3A311DE0" w:rsidR="00A6114C" w:rsidRPr="00A6114C" w:rsidRDefault="00A6114C" w:rsidP="00B73321">
      <w:pPr>
        <w:spacing w:before="100" w:beforeAutospacing="1" w:after="100" w:afterAutospacing="1" w:line="240" w:lineRule="auto"/>
        <w:rPr>
          <w:rFonts w:ascii="Segoe UI" w:eastAsia="Times New Roman" w:hAnsi="Segoe UI" w:cs="Segoe UI"/>
          <w:bCs/>
          <w:kern w:val="0"/>
          <w:lang w:eastAsia="fr-FR"/>
          <w14:ligatures w14:val="none"/>
        </w:rPr>
      </w:pPr>
      <w:r w:rsidRPr="00A6114C">
        <w:rPr>
          <w:rFonts w:ascii="Segoe UI" w:eastAsia="Times New Roman" w:hAnsi="Segoe UI" w:cs="Segoe UI"/>
          <w:bCs/>
          <w:kern w:val="0"/>
          <w:lang w:eastAsia="fr-FR"/>
          <w14:ligatures w14:val="none"/>
        </w:rPr>
        <w:t>EH and AE contributed substantially to the conception, design, interpretation of the results, and discussion of this article. FE and NK contributed to the supervised data collection,</w:t>
      </w:r>
      <w:r w:rsidR="00B73321">
        <w:rPr>
          <w:rFonts w:ascii="Segoe UI" w:eastAsia="Times New Roman" w:hAnsi="Segoe UI" w:cs="Segoe UI"/>
          <w:bCs/>
          <w:kern w:val="0"/>
          <w:lang w:eastAsia="fr-FR"/>
          <w14:ligatures w14:val="none"/>
        </w:rPr>
        <w:t xml:space="preserve"> </w:t>
      </w:r>
      <w:r w:rsidRPr="00A6114C">
        <w:rPr>
          <w:rFonts w:ascii="Segoe UI" w:eastAsia="Times New Roman" w:hAnsi="Segoe UI" w:cs="Segoe UI"/>
          <w:bCs/>
          <w:kern w:val="0"/>
          <w:lang w:eastAsia="fr-FR"/>
          <w14:ligatures w14:val="none"/>
        </w:rPr>
        <w:t>SE, AA, and SM interpreted the results</w:t>
      </w:r>
      <w:r w:rsidR="00B73321">
        <w:rPr>
          <w:rFonts w:ascii="Segoe UI" w:eastAsia="Times New Roman" w:hAnsi="Segoe UI" w:cs="Segoe UI"/>
          <w:bCs/>
          <w:kern w:val="0"/>
          <w:lang w:eastAsia="fr-FR"/>
          <w14:ligatures w14:val="none"/>
        </w:rPr>
        <w:t>,</w:t>
      </w:r>
      <w:r w:rsidRPr="00A6114C">
        <w:rPr>
          <w:rFonts w:ascii="Segoe UI" w:eastAsia="Times New Roman" w:hAnsi="Segoe UI" w:cs="Segoe UI"/>
          <w:bCs/>
          <w:kern w:val="0"/>
          <w:lang w:eastAsia="fr-FR"/>
          <w14:ligatures w14:val="none"/>
        </w:rPr>
        <w:t xml:space="preserve"> and drafted this article. All authors were responsible for writing, reviewing, and editing the manuscript revision. All of the authors have read and approved the final version of this manuscript. </w:t>
      </w:r>
    </w:p>
    <w:p w14:paraId="33254DC4" w14:textId="77777777" w:rsidR="0038602F" w:rsidRPr="0038602F" w:rsidRDefault="0038602F" w:rsidP="0038602F">
      <w:pPr>
        <w:spacing w:before="100" w:beforeAutospacing="1" w:after="100" w:afterAutospacing="1" w:line="240" w:lineRule="auto"/>
        <w:rPr>
          <w:rFonts w:ascii="Segoe UI" w:eastAsia="Times New Roman" w:hAnsi="Segoe UI" w:cs="Segoe UI"/>
          <w:kern w:val="0"/>
          <w:lang w:val="en-US" w:eastAsia="fr-FR"/>
          <w14:ligatures w14:val="none"/>
        </w:rPr>
      </w:pPr>
      <w:r w:rsidRPr="0038602F">
        <w:rPr>
          <w:rFonts w:ascii="Segoe UI" w:eastAsia="Times New Roman" w:hAnsi="Segoe UI" w:cs="Segoe UI"/>
          <w:b/>
          <w:bCs/>
          <w:kern w:val="0"/>
          <w:lang w:eastAsia="fr-FR"/>
          <w14:ligatures w14:val="none"/>
        </w:rPr>
        <w:t>Acknowledgments</w:t>
      </w:r>
      <w:r w:rsidRPr="0038602F">
        <w:rPr>
          <w:rFonts w:ascii="Segoe UI" w:eastAsia="Times New Roman" w:hAnsi="Segoe UI" w:cs="Segoe UI"/>
          <w:kern w:val="0"/>
          <w:lang w:eastAsia="fr-FR"/>
          <w14:ligatures w14:val="none"/>
        </w:rPr>
        <w:t xml:space="preserve">: </w:t>
      </w:r>
      <w:r w:rsidRPr="0038602F">
        <w:rPr>
          <w:rFonts w:ascii="Segoe UI" w:eastAsia="Times New Roman" w:hAnsi="Segoe UI" w:cs="Segoe UI"/>
          <w:kern w:val="0"/>
          <w:lang w:val="en-US" w:eastAsia="fr-FR"/>
          <w14:ligatures w14:val="none"/>
        </w:rPr>
        <w:t xml:space="preserve">Not applicable. </w:t>
      </w:r>
    </w:p>
    <w:p w14:paraId="37E11A28" w14:textId="5BC217FB" w:rsidR="006A7D98" w:rsidRPr="00417F7A" w:rsidRDefault="006A7D98" w:rsidP="005856B9">
      <w:pPr>
        <w:rPr>
          <w:rFonts w:asciiTheme="majorBidi" w:hAnsiTheme="majorBidi" w:cstheme="majorBidi"/>
          <w:b/>
          <w:bCs/>
        </w:rPr>
      </w:pPr>
      <w:r w:rsidRPr="00417F7A">
        <w:rPr>
          <w:rFonts w:asciiTheme="majorBidi" w:hAnsiTheme="majorBidi" w:cstheme="majorBidi"/>
          <w:b/>
          <w:bCs/>
        </w:rPr>
        <w:t>References</w:t>
      </w:r>
    </w:p>
    <w:p w14:paraId="248DD405" w14:textId="104C55A1"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Altomare A, Di Rosa C, Imperia E, Emerenziani S, Cicala M, Guarino MPL</w:t>
      </w:r>
      <w:r w:rsidRPr="00417F7A">
        <w:rPr>
          <w:rFonts w:asciiTheme="majorBidi" w:hAnsiTheme="majorBidi" w:cstheme="majorBidi"/>
        </w:rPr>
        <w:t>. Diarrhea Predominant-Irritable Bowel Syndrome (IBS-D): Effects of Different Nutritional Patterns on Intestinal Dysbiosis and Symptoms. Nutrients 2021; 13 [PMID: 33946961 DOI: 10.3390/nu13051506]</w:t>
      </w:r>
    </w:p>
    <w:p w14:paraId="700B9436" w14:textId="022E667A"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Jang A, Hwang SK, Padhye NS, Meininger JC.</w:t>
      </w:r>
      <w:r w:rsidRPr="00417F7A">
        <w:rPr>
          <w:rFonts w:asciiTheme="majorBidi" w:hAnsiTheme="majorBidi" w:cstheme="majorBidi"/>
        </w:rPr>
        <w:t xml:space="preserve"> Effects of Cognitive Behavior Therapy on Heart Rate Variability in Young Females with Constipation-predominant Irritable Bowel Syndrome: A Parallel-group Trial. J Neurogastroenterol Motil 2017; 23: 435-445 [PMID: 28480684 DOI: 10.5056/jnm17017]</w:t>
      </w:r>
    </w:p>
    <w:p w14:paraId="0741D800" w14:textId="39C538C9"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Simren M, Palsson OS, Whitehead WE</w:t>
      </w:r>
      <w:r w:rsidRPr="00417F7A">
        <w:rPr>
          <w:rFonts w:asciiTheme="majorBidi" w:hAnsiTheme="majorBidi" w:cstheme="majorBidi"/>
        </w:rPr>
        <w:t>. Update on Rome IV Criteria for Colorectal Disorders: Implications for Clinical Practice. Curr Gastroenterol Rep 2017; 19: 15 [PMID: 28374308 DOI: 10.1007/s11894-017-0554-0]</w:t>
      </w:r>
    </w:p>
    <w:p w14:paraId="04083F8F" w14:textId="190736E1"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Holick MF, Holick MF.</w:t>
      </w:r>
      <w:r w:rsidRPr="00417F7A">
        <w:rPr>
          <w:rFonts w:asciiTheme="majorBidi" w:hAnsiTheme="majorBidi" w:cstheme="majorBidi"/>
        </w:rPr>
        <w:t xml:space="preserve"> Vitamin D [electronic resource]physiology, molecular biology, and clinical applications. 2nd ed.Totowa, NJ: Humana; 2010.</w:t>
      </w:r>
    </w:p>
    <w:p w14:paraId="4B7B1655" w14:textId="11924ACA"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Pakpoor J, Pakpoor J.</w:t>
      </w:r>
      <w:r w:rsidRPr="00417F7A">
        <w:rPr>
          <w:rFonts w:asciiTheme="majorBidi" w:hAnsiTheme="majorBidi" w:cstheme="majorBidi"/>
        </w:rPr>
        <w:t xml:space="preserve"> Vitamin </w:t>
      </w:r>
      <w:r w:rsidR="00417F7A" w:rsidRPr="00417F7A">
        <w:rPr>
          <w:rFonts w:asciiTheme="majorBidi" w:hAnsiTheme="majorBidi" w:cstheme="majorBidi"/>
        </w:rPr>
        <w:t>D</w:t>
      </w:r>
      <w:r w:rsidRPr="00417F7A">
        <w:rPr>
          <w:rFonts w:asciiTheme="majorBidi" w:hAnsiTheme="majorBidi" w:cstheme="majorBidi"/>
        </w:rPr>
        <w:t xml:space="preserve"> deficiency and systemic lupus erythematosus: cause or consequence? Oman Med J 2013 Jul;28(4):295. </w:t>
      </w:r>
    </w:p>
    <w:p w14:paraId="4C149C5C" w14:textId="7E93DDB5"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Attar SM, Siddiqui AM</w:t>
      </w:r>
      <w:r w:rsidRPr="00417F7A">
        <w:rPr>
          <w:rFonts w:asciiTheme="majorBidi" w:hAnsiTheme="majorBidi" w:cstheme="majorBidi"/>
        </w:rPr>
        <w:t>. Vitamin d deficiency in patients with systemic lupus erythematosus. Oman Med J 2013 Jan;28(1):42-47.</w:t>
      </w:r>
    </w:p>
    <w:p w14:paraId="4DBF5B53" w14:textId="5DD3E2D6"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Atkinson W, Sheldon TA</w:t>
      </w:r>
      <w:r w:rsidRPr="00417F7A">
        <w:rPr>
          <w:rFonts w:asciiTheme="majorBidi" w:hAnsiTheme="majorBidi" w:cstheme="majorBidi"/>
        </w:rPr>
        <w:t>, Shaath N, Whorwell PJ. Food elimination based on IgG antibodies in irritable bowel syndrome: a randomised controlled trial. Gut 2004 Oct;53(10):1459-1464.</w:t>
      </w:r>
    </w:p>
    <w:p w14:paraId="411F5A31" w14:textId="5F643614" w:rsidR="003365C4" w:rsidRPr="00417F7A" w:rsidRDefault="003365C4" w:rsidP="00450DDB">
      <w:pPr>
        <w:pStyle w:val="ListParagraph"/>
        <w:numPr>
          <w:ilvl w:val="0"/>
          <w:numId w:val="9"/>
        </w:numPr>
        <w:rPr>
          <w:rFonts w:asciiTheme="majorBidi" w:hAnsiTheme="majorBidi" w:cstheme="majorBidi"/>
        </w:rPr>
      </w:pPr>
      <w:r w:rsidRPr="00417F7A">
        <w:rPr>
          <w:rFonts w:asciiTheme="majorBidi" w:hAnsiTheme="majorBidi" w:cstheme="majorBidi"/>
          <w:b/>
          <w:bCs/>
        </w:rPr>
        <w:t>Holick MF</w:t>
      </w:r>
      <w:r w:rsidRPr="00417F7A">
        <w:rPr>
          <w:rFonts w:asciiTheme="majorBidi" w:hAnsiTheme="majorBidi" w:cstheme="majorBidi"/>
        </w:rPr>
        <w:t>. Vitamin d deficiency. N Engl J Med. 2007;357(3): 266–281.</w:t>
      </w:r>
    </w:p>
    <w:p w14:paraId="5C0D908E" w14:textId="2FF18609" w:rsidR="003365C4" w:rsidRPr="00417F7A" w:rsidRDefault="003365C4" w:rsidP="00450DDB">
      <w:pPr>
        <w:pStyle w:val="ListParagraph"/>
        <w:numPr>
          <w:ilvl w:val="0"/>
          <w:numId w:val="9"/>
        </w:numPr>
        <w:rPr>
          <w:rFonts w:asciiTheme="majorBidi" w:eastAsia="Times New Roman" w:hAnsiTheme="majorBidi" w:cstheme="majorBidi"/>
          <w:bCs/>
          <w:lang w:eastAsia="de-DE" w:bidi="ar-EG"/>
        </w:rPr>
      </w:pPr>
      <w:r w:rsidRPr="00417F7A">
        <w:rPr>
          <w:rFonts w:asciiTheme="majorBidi" w:eastAsia="Times New Roman" w:hAnsiTheme="majorBidi" w:cstheme="majorBidi"/>
          <w:b/>
          <w:lang w:eastAsia="de-DE" w:bidi="ar-EG"/>
        </w:rPr>
        <w:t>Marcin Włodarczyk, Aleksandra Sobolewska-Włodarczyk,</w:t>
      </w:r>
      <w:r w:rsidRPr="00417F7A">
        <w:rPr>
          <w:rFonts w:asciiTheme="majorBidi" w:eastAsia="Times New Roman" w:hAnsiTheme="majorBidi" w:cstheme="majorBidi"/>
          <w:bCs/>
          <w:lang w:eastAsia="de-DE" w:bidi="ar-EG"/>
        </w:rPr>
        <w:t xml:space="preserve"> Clinical diagnosis of irritable bowel syndrome, A Comprehensive Overview of Irritable Bowel Syndrome,</w:t>
      </w:r>
      <w:r w:rsidR="00417F7A" w:rsidRPr="00417F7A">
        <w:rPr>
          <w:rFonts w:asciiTheme="majorBidi" w:eastAsia="Times New Roman" w:hAnsiTheme="majorBidi" w:cstheme="majorBidi"/>
          <w:bCs/>
          <w:lang w:eastAsia="de-DE" w:bidi="ar-EG"/>
        </w:rPr>
        <w:t xml:space="preserve"> </w:t>
      </w:r>
      <w:r w:rsidRPr="00417F7A">
        <w:rPr>
          <w:rFonts w:asciiTheme="majorBidi" w:eastAsia="Times New Roman" w:hAnsiTheme="majorBidi" w:cstheme="majorBidi"/>
          <w:bCs/>
          <w:lang w:eastAsia="de-DE" w:bidi="ar-EG"/>
        </w:rPr>
        <w:t>Academic Press,2020</w:t>
      </w:r>
    </w:p>
    <w:p w14:paraId="29CA013A" w14:textId="6DF8D7D5" w:rsidR="004B0C70" w:rsidRPr="00417F7A" w:rsidRDefault="003365C4" w:rsidP="00450DDB">
      <w:pPr>
        <w:pStyle w:val="ListParagraph"/>
        <w:numPr>
          <w:ilvl w:val="0"/>
          <w:numId w:val="9"/>
        </w:numPr>
        <w:rPr>
          <w:rFonts w:asciiTheme="majorBidi" w:eastAsia="Times New Roman" w:hAnsiTheme="majorBidi" w:cstheme="majorBidi"/>
          <w:bCs/>
          <w:rtl/>
          <w:lang w:eastAsia="de-DE" w:bidi="ar-EG"/>
        </w:rPr>
      </w:pPr>
      <w:r w:rsidRPr="00417F7A">
        <w:rPr>
          <w:rFonts w:asciiTheme="majorBidi" w:eastAsia="Times New Roman" w:hAnsiTheme="majorBidi" w:cstheme="majorBidi"/>
          <w:b/>
          <w:lang w:eastAsia="de-DE" w:bidi="ar-EG"/>
        </w:rPr>
        <w:t>Mead MN.</w:t>
      </w:r>
      <w:r w:rsidRPr="00417F7A">
        <w:rPr>
          <w:rFonts w:asciiTheme="majorBidi" w:eastAsia="Times New Roman" w:hAnsiTheme="majorBidi" w:cstheme="majorBidi"/>
          <w:bCs/>
          <w:lang w:eastAsia="de-DE" w:bidi="ar-EG"/>
        </w:rPr>
        <w:t xml:space="preserve"> </w:t>
      </w:r>
      <w:r w:rsidR="00417F7A" w:rsidRPr="00417F7A">
        <w:rPr>
          <w:rFonts w:asciiTheme="majorBidi" w:eastAsia="Times New Roman" w:hAnsiTheme="majorBidi" w:cstheme="majorBidi"/>
          <w:bCs/>
          <w:lang w:eastAsia="de-DE" w:bidi="ar-EG"/>
        </w:rPr>
        <w:t>The Benefits of Sunlight: A Bright Spot for Human Health</w:t>
      </w:r>
      <w:r w:rsidRPr="00417F7A">
        <w:rPr>
          <w:rFonts w:asciiTheme="majorBidi" w:eastAsia="Times New Roman" w:hAnsiTheme="majorBidi" w:cstheme="majorBidi"/>
          <w:bCs/>
          <w:lang w:eastAsia="de-DE" w:bidi="ar-EG"/>
        </w:rPr>
        <w:t>. Environ Health Perspect 2008 Apr;116(4):</w:t>
      </w:r>
      <w:r w:rsidR="00417F7A" w:rsidRPr="00417F7A">
        <w:rPr>
          <w:rFonts w:asciiTheme="majorBidi" w:eastAsia="Times New Roman" w:hAnsiTheme="majorBidi" w:cstheme="majorBidi"/>
          <w:bCs/>
          <w:lang w:eastAsia="de-DE" w:bidi="ar-EG"/>
        </w:rPr>
        <w:t xml:space="preserve"> </w:t>
      </w:r>
      <w:r w:rsidRPr="00417F7A">
        <w:rPr>
          <w:rFonts w:asciiTheme="majorBidi" w:eastAsia="Times New Roman" w:hAnsiTheme="majorBidi" w:cstheme="majorBidi"/>
          <w:bCs/>
          <w:lang w:eastAsia="de-DE" w:bidi="ar-EG"/>
        </w:rPr>
        <w:t>A160-A167.</w:t>
      </w:r>
    </w:p>
    <w:p w14:paraId="66B89BAE" w14:textId="7276A21C" w:rsidR="0023444A"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Black CJ, Ford AC. Global burden of irritable bowel syndrome: trends, predictions and risk factors. Nat Rev Gastroenterol Hepatol. 2020; 17:473–86.</w:t>
      </w:r>
    </w:p>
    <w:p w14:paraId="533945F1" w14:textId="69D8FE27" w:rsidR="0023444A"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Oka P, Parr H, Barberio B, Black CJ, Savarino EV, Ford AC. Global prevalence of irritable bowel syndrome according to Rome III or IV criteria: a systematic review and meta-analysis. Lancet Gastroenterol Hepatol. 2020; 5:908–17.</w:t>
      </w:r>
    </w:p>
    <w:p w14:paraId="573CFF53" w14:textId="372E27ED" w:rsidR="0023444A"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Oka P, Parr H, Barberio B, Black CJ, Savarino EV, Ford AC. Global prevalence of irritable bowel syndrome according to Rome III or IV criteria: a systematic review and meta-analysis. Lancet Gastroenterol Hepatol. 2020 Oct;5(10):908-917. doi: 10.1016/S2468-1253(20)30217-X. Epub 2020 Jul 20. Erratum in: Lancet Gastroenterol Hepatol. 2020 Dec;5(12):e8. doi: 10.1016/S2468-1253(20)30349-6. PMID: 32702295.</w:t>
      </w:r>
    </w:p>
    <w:p w14:paraId="5A1BE5A6" w14:textId="2AA5D6CC" w:rsidR="0023444A" w:rsidRPr="00417F7A" w:rsidRDefault="0043572A" w:rsidP="00450DDB">
      <w:pPr>
        <w:pStyle w:val="ListParagraph"/>
        <w:numPr>
          <w:ilvl w:val="0"/>
          <w:numId w:val="9"/>
        </w:numPr>
        <w:rPr>
          <w:rFonts w:asciiTheme="majorBidi" w:hAnsiTheme="majorBidi" w:cstheme="majorBidi"/>
        </w:rPr>
      </w:pPr>
      <w:r w:rsidRPr="00417F7A">
        <w:rPr>
          <w:rFonts w:asciiTheme="majorBidi" w:hAnsiTheme="majorBidi" w:cstheme="majorBidi"/>
          <w:highlight w:val="lightGray"/>
        </w:rPr>
        <w:t xml:space="preserve"> </w:t>
      </w:r>
      <w:r w:rsidR="0023444A" w:rsidRPr="00417F7A">
        <w:rPr>
          <w:rFonts w:asciiTheme="majorBidi" w:hAnsiTheme="majorBidi" w:cstheme="majorBidi"/>
        </w:rPr>
        <w:t>Bouillon R, Marcocci C, Carmeliet G, Bikle D, White JH, Dawson-Hughes B, et al. Skeletal and Extraskeletal Actions of Vitamin D: Current Evidence and Outstanding Questions. Endocr Rev. 2019;40:1109–51.</w:t>
      </w:r>
    </w:p>
    <w:p w14:paraId="7B45EA9E" w14:textId="78944AEB" w:rsidR="0023444A"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XL, Li CP, He LP. Vitamin D may alleviate irritable bowel syndrome by modulating serotonin synthesis: a hypothesis based on recent literature. Front Physiol. 2023 Jul 27; 14:1152958.</w:t>
      </w:r>
    </w:p>
    <w:p w14:paraId="44469D05" w14:textId="588728A9" w:rsidR="0023444A"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Kim YS, Kim N. Sex-Gender Differences in Irritable Bowel Syndrome. J Neurogastroenterol Motil. 2018 Oct 1;24(4):544-558. </w:t>
      </w:r>
    </w:p>
    <w:p w14:paraId="35D267FE" w14:textId="77777777" w:rsidR="001002A5"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Koloski N, Holtmann G, Talley NJ. Is there a causal link between psychological disorders and functional gastrointestinal disorders? Expert Rev Gastroenterol Hepatol. 2020 Nov;14(11):1047-1059.</w:t>
      </w:r>
    </w:p>
    <w:p w14:paraId="73BABB35" w14:textId="7C1443B2" w:rsidR="001002A5"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 xml:space="preserve">Jalili M, Hekmatdoost A, Vahedi H, Poustchi H, Khademi B, Saadi M, et al. Co-Administration of soy isoflavones and Vitamin D in </w:t>
      </w:r>
      <w:r w:rsidR="00417F7A" w:rsidRPr="00417F7A">
        <w:rPr>
          <w:rFonts w:asciiTheme="majorBidi" w:hAnsiTheme="majorBidi" w:cstheme="majorBidi"/>
        </w:rPr>
        <w:t xml:space="preserve">the </w:t>
      </w:r>
      <w:r w:rsidRPr="00417F7A">
        <w:rPr>
          <w:rFonts w:asciiTheme="majorBidi" w:hAnsiTheme="majorBidi" w:cstheme="majorBidi"/>
        </w:rPr>
        <w:t>management of irritable bowel disease. PLoS ONE. 2016;11: e0158545. doi: 10.1371/journal.pone.0158545.</w:t>
      </w:r>
    </w:p>
    <w:p w14:paraId="36FFEC18" w14:textId="77777777" w:rsidR="001002A5"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Khalighi Sikaroudi M, Mokhtare M, Janani L, Faghihi Kashani AH, Masoodi M, Agah S, et al. Vitamin D3 Supplementation in Diarrhea-Predominant Irritable Bowel Syndrome Patients: The Effects on Symptoms Improvement, Serum Corticotropin-Releasing Hormone, and Interleukin-6 - A Randomized Clinical Trial. Complement Med Res. 2020; 27:302–9.</w:t>
      </w:r>
    </w:p>
    <w:p w14:paraId="4AABB29F" w14:textId="69408513" w:rsidR="001002A5"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 xml:space="preserve">El Amrousy D, Hassan S, El Ashry H, Yousef M, Hodeib H. Vitamin D supplementation in adolescents with irritable bowel syndrome: Is it </w:t>
      </w:r>
      <w:r w:rsidR="00417F7A" w:rsidRPr="00417F7A">
        <w:rPr>
          <w:rFonts w:asciiTheme="majorBidi" w:hAnsiTheme="majorBidi" w:cstheme="majorBidi"/>
        </w:rPr>
        <w:t>helpful</w:t>
      </w:r>
      <w:r w:rsidRPr="00417F7A">
        <w:rPr>
          <w:rFonts w:asciiTheme="majorBidi" w:hAnsiTheme="majorBidi" w:cstheme="majorBidi"/>
        </w:rPr>
        <w:t>? A randomized controlled trial. Saudi J Gastroenterol. 2018; 24:109–14.</w:t>
      </w:r>
    </w:p>
    <w:p w14:paraId="70F2C392" w14:textId="77777777" w:rsidR="001002A5" w:rsidRPr="00417F7A" w:rsidRDefault="0023444A" w:rsidP="00450DDB">
      <w:pPr>
        <w:pStyle w:val="ListParagraph"/>
        <w:numPr>
          <w:ilvl w:val="0"/>
          <w:numId w:val="9"/>
        </w:numPr>
        <w:rPr>
          <w:rFonts w:asciiTheme="majorBidi" w:hAnsiTheme="majorBidi" w:cstheme="majorBidi"/>
        </w:rPr>
      </w:pPr>
      <w:r w:rsidRPr="00417F7A">
        <w:rPr>
          <w:rFonts w:asciiTheme="majorBidi" w:hAnsiTheme="majorBidi" w:cstheme="majorBidi"/>
        </w:rPr>
        <w:t>Abbasnezhad A, Amani R, Hajiani E, Alavinejad P, Cheraghian B, Ghadiri A. Effect of vitamin D on gastrointestinal symptoms and health-related quality of life in irritable bowel syndrome patients: a randomized double-blind clinical trial. Neurogastroenterol Motil. 2016; 28:1533–44. </w:t>
      </w:r>
    </w:p>
    <w:p w14:paraId="7ED25643" w14:textId="388FF9C1" w:rsidR="0023444A" w:rsidRPr="00B73321" w:rsidRDefault="0023444A" w:rsidP="00B73321">
      <w:pPr>
        <w:pStyle w:val="ListParagraph"/>
        <w:numPr>
          <w:ilvl w:val="0"/>
          <w:numId w:val="9"/>
        </w:numPr>
        <w:rPr>
          <w:rFonts w:asciiTheme="majorBidi" w:hAnsiTheme="majorBidi" w:cstheme="majorBidi"/>
        </w:rPr>
      </w:pPr>
      <w:r w:rsidRPr="00B73321">
        <w:rPr>
          <w:rFonts w:asciiTheme="majorBidi" w:hAnsiTheme="majorBidi" w:cstheme="majorBidi"/>
        </w:rPr>
        <w:t>Huang H, Lu L, Chen Y, Zeng Y, Xu C. The efficacy of vitamin D supplementation for irritable bowel syndrome: a systematic review with meta-analysis. Nutr J. 2022 May 5;21(1):24.</w:t>
      </w:r>
    </w:p>
    <w:sectPr w:rsidR="0023444A" w:rsidRPr="00B73321" w:rsidSect="0038602F">
      <w:headerReference w:type="default" r:id="rId9"/>
      <w:footerReference w:type="default" r:id="rId10"/>
      <w:pgSz w:w="11906" w:h="16838"/>
      <w:pgMar w:top="1440" w:right="1440" w:bottom="1440" w:left="1440" w:header="708" w:footer="708" w:gutter="0"/>
      <w:pgNumType w:start="1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8B2B" w14:textId="77777777" w:rsidR="0025227F" w:rsidRDefault="0025227F" w:rsidP="0038602F">
      <w:pPr>
        <w:spacing w:after="0" w:line="240" w:lineRule="auto"/>
      </w:pPr>
      <w:r>
        <w:separator/>
      </w:r>
    </w:p>
  </w:endnote>
  <w:endnote w:type="continuationSeparator" w:id="0">
    <w:p w14:paraId="799FE180" w14:textId="77777777" w:rsidR="0025227F" w:rsidRDefault="0025227F" w:rsidP="0038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rial"/>
        <w:kern w:val="0"/>
        <w:sz w:val="22"/>
        <w:szCs w:val="22"/>
        <w:lang w:val="en-US" w:eastAsia="en-US"/>
        <w14:ligatures w14:val="none"/>
      </w:rPr>
      <w:id w:val="-951699561"/>
      <w:docPartObj>
        <w:docPartGallery w:val="Page Numbers (Bottom of Page)"/>
        <w:docPartUnique/>
      </w:docPartObj>
    </w:sdtPr>
    <w:sdtContent>
      <w:sdt>
        <w:sdtPr>
          <w:rPr>
            <w:rFonts w:ascii="Times New Roman" w:eastAsia="Times New Roman" w:hAnsi="Times New Roman" w:cs="Times New Roman"/>
            <w:kern w:val="0"/>
            <w:sz w:val="22"/>
            <w:szCs w:val="22"/>
            <w:lang w:val="en-US" w:eastAsia="en-US" w:bidi="en-US"/>
            <w14:ligatures w14:val="none"/>
          </w:rPr>
          <w:id w:val="-803541366"/>
          <w:docPartObj>
            <w:docPartGallery w:val="Page Numbers (Bottom of Page)"/>
            <w:docPartUnique/>
          </w:docPartObj>
        </w:sdtPr>
        <w:sdtContent>
          <w:p w14:paraId="3AFC6AC0" w14:textId="0A15FDB2" w:rsidR="0038602F" w:rsidRPr="0038602F" w:rsidRDefault="0038602F" w:rsidP="0038602F">
            <w:pPr>
              <w:widowControl w:val="0"/>
              <w:pBdr>
                <w:top w:val="thinThickSmallGap" w:sz="24" w:space="1" w:color="823B0B"/>
              </w:pBdr>
              <w:tabs>
                <w:tab w:val="left" w:pos="4380"/>
                <w:tab w:val="left" w:pos="7080"/>
                <w:tab w:val="right" w:pos="9360"/>
              </w:tabs>
              <w:autoSpaceDE w:val="0"/>
              <w:autoSpaceDN w:val="0"/>
              <w:spacing w:after="240" w:line="252" w:lineRule="auto"/>
              <w:ind w:firstLine="357"/>
              <w:rPr>
                <w:rFonts w:ascii="Times New Roman" w:eastAsia="Times New Roman" w:hAnsi="Times New Roman" w:cs="Times New Roman"/>
                <w:kern w:val="0"/>
                <w:sz w:val="22"/>
                <w:szCs w:val="22"/>
                <w:lang w:val="en-US" w:eastAsia="en-US" w:bidi="en-US"/>
                <w14:ligatures w14:val="none"/>
              </w:rPr>
            </w:pPr>
            <w:r w:rsidRPr="0038602F">
              <w:rPr>
                <w:rFonts w:ascii="Calibri" w:eastAsia="SimSun" w:hAnsi="Calibri" w:cs="Calibri"/>
                <w:color w:val="000000"/>
                <w:kern w:val="0"/>
                <w14:ligatures w14:val="none"/>
              </w:rPr>
              <w:t>Mansour</w:t>
            </w:r>
            <w:r>
              <w:rPr>
                <w:rFonts w:ascii="Calibri" w:eastAsia="SimSun" w:hAnsi="Calibri" w:cs="Calibri"/>
                <w:color w:val="000000"/>
                <w:kern w:val="0"/>
                <w:lang w:val="fr-FR"/>
                <w14:ligatures w14:val="none"/>
              </w:rPr>
              <w:t>S</w:t>
            </w:r>
            <w:r w:rsidRPr="0038602F">
              <w:rPr>
                <w:rFonts w:ascii="Calibri" w:eastAsia="SimSun" w:hAnsi="Calibri" w:cs="Calibri"/>
                <w:color w:val="000000"/>
                <w:kern w:val="0"/>
                <w:lang w:val="fr-FR"/>
                <w14:ligatures w14:val="none"/>
              </w:rPr>
              <w:t xml:space="preserve"> </w:t>
            </w:r>
            <w:r w:rsidRPr="0038602F">
              <w:rPr>
                <w:rFonts w:ascii="Calibri" w:eastAsia="SimSun" w:hAnsi="Calibri" w:cs="Arial"/>
                <w:kern w:val="0"/>
                <w:sz w:val="22"/>
                <w:szCs w:val="22"/>
                <w:lang w:val="en-US" w:eastAsia="en-US"/>
                <w14:ligatures w14:val="none"/>
              </w:rPr>
              <w:t>et al.2025</w:t>
            </w:r>
            <w:r w:rsidRPr="0038602F">
              <w:rPr>
                <w:rFonts w:ascii="Calibri" w:eastAsia="SimSun" w:hAnsi="Calibri" w:cs="Arial"/>
                <w:kern w:val="0"/>
                <w:sz w:val="22"/>
                <w:szCs w:val="22"/>
                <w:lang w:val="en-US" w:eastAsia="en-US"/>
                <w14:ligatures w14:val="none"/>
              </w:rPr>
              <w:tab/>
            </w:r>
            <w:r w:rsidRPr="0038602F">
              <w:rPr>
                <w:rFonts w:ascii="Calibri" w:eastAsia="SimSun" w:hAnsi="Calibri" w:cs="Arial"/>
                <w:kern w:val="0"/>
                <w:sz w:val="22"/>
                <w:szCs w:val="22"/>
                <w:lang w:val="en-US" w:eastAsia="en-US"/>
                <w14:ligatures w14:val="none"/>
              </w:rPr>
              <w:tab/>
            </w:r>
            <w:r w:rsidRPr="0038602F">
              <w:rPr>
                <w:rFonts w:ascii="Times New Roman" w:eastAsia="SimSun" w:hAnsi="Times New Roman" w:cs="Times New Roman"/>
                <w:kern w:val="0"/>
                <w:lang w:val="en-US" w:eastAsia="en-US"/>
                <w14:ligatures w14:val="none"/>
              </w:rPr>
              <w:fldChar w:fldCharType="begin"/>
            </w:r>
            <w:r w:rsidRPr="0038602F">
              <w:rPr>
                <w:rFonts w:ascii="Times New Roman" w:eastAsia="SimSun" w:hAnsi="Times New Roman" w:cs="Times New Roman"/>
                <w:kern w:val="0"/>
                <w:lang w:val="en-US" w:eastAsia="en-US"/>
                <w14:ligatures w14:val="none"/>
              </w:rPr>
              <w:instrText xml:space="preserve"> PAGE   \* MERGEFORMAT </w:instrText>
            </w:r>
            <w:r w:rsidRPr="0038602F">
              <w:rPr>
                <w:rFonts w:ascii="Times New Roman" w:eastAsia="SimSun" w:hAnsi="Times New Roman" w:cs="Times New Roman"/>
                <w:kern w:val="0"/>
                <w:lang w:val="en-US" w:eastAsia="en-US"/>
                <w14:ligatures w14:val="none"/>
              </w:rPr>
              <w:fldChar w:fldCharType="separate"/>
            </w:r>
            <w:r w:rsidRPr="0038602F">
              <w:rPr>
                <w:rFonts w:ascii="Times New Roman" w:eastAsia="SimSun" w:hAnsi="Times New Roman" w:cs="Times New Roman"/>
                <w:kern w:val="0"/>
                <w:lang w:val="en-US" w:eastAsia="en-US"/>
                <w14:ligatures w14:val="none"/>
              </w:rPr>
              <w:t>159</w:t>
            </w:r>
            <w:r w:rsidRPr="0038602F">
              <w:rPr>
                <w:rFonts w:ascii="Times New Roman" w:eastAsia="SimSun" w:hAnsi="Times New Roman" w:cs="Times New Roman"/>
                <w:kern w:val="0"/>
                <w:lang w:val="en-US" w:eastAsia="en-US"/>
                <w14:ligatures w14:val="none"/>
              </w:rPr>
              <w:fldChar w:fldCharType="end"/>
            </w:r>
          </w:p>
        </w:sdtContent>
      </w:sdt>
      <w:p w14:paraId="009816CE" w14:textId="77777777" w:rsidR="0038602F" w:rsidRPr="0038602F" w:rsidRDefault="00000000" w:rsidP="0038602F">
        <w:pPr>
          <w:tabs>
            <w:tab w:val="center" w:pos="4320"/>
            <w:tab w:val="right" w:pos="8640"/>
          </w:tabs>
          <w:spacing w:after="0" w:line="240" w:lineRule="auto"/>
          <w:jc w:val="center"/>
          <w:rPr>
            <w:rFonts w:ascii="Aptos" w:eastAsia="Aptos" w:hAnsi="Aptos" w:cs="Arial"/>
            <w:noProof/>
            <w:kern w:val="0"/>
            <w:sz w:val="22"/>
            <w:szCs w:val="22"/>
            <w:lang w:val="en-US" w:eastAsia="en-US"/>
            <w14:ligatures w14:val="non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47C2" w14:textId="77777777" w:rsidR="0025227F" w:rsidRDefault="0025227F" w:rsidP="0038602F">
      <w:pPr>
        <w:spacing w:after="0" w:line="240" w:lineRule="auto"/>
      </w:pPr>
      <w:r>
        <w:separator/>
      </w:r>
    </w:p>
  </w:footnote>
  <w:footnote w:type="continuationSeparator" w:id="0">
    <w:p w14:paraId="388C4CCF" w14:textId="77777777" w:rsidR="0025227F" w:rsidRDefault="0025227F" w:rsidP="00386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35D4" w14:textId="77777777" w:rsidR="0038602F" w:rsidRPr="0038602F" w:rsidRDefault="0038602F" w:rsidP="0038602F">
    <w:pPr>
      <w:pBdr>
        <w:bottom w:val="thickThinSmallGap" w:sz="24" w:space="21" w:color="622423"/>
      </w:pBdr>
      <w:tabs>
        <w:tab w:val="right" w:pos="8640"/>
      </w:tabs>
      <w:spacing w:line="254" w:lineRule="auto"/>
      <w:rPr>
        <w:rFonts w:ascii="Cambria" w:eastAsia="SimSun" w:hAnsi="Cambria" w:cs="Times New Roman"/>
        <w:kern w:val="0"/>
        <w:sz w:val="18"/>
        <w:szCs w:val="18"/>
        <w:lang w:val="en-US" w:eastAsia="en-US"/>
        <w14:ligatures w14:val="none"/>
      </w:rPr>
    </w:pPr>
    <w:r w:rsidRPr="0038602F">
      <w:rPr>
        <w:rFonts w:ascii="Cambria" w:eastAsia="SimSun" w:hAnsi="Cambria" w:cs="Times New Roman"/>
        <w:kern w:val="0"/>
        <w:sz w:val="18"/>
        <w:szCs w:val="18"/>
        <w:lang w:val="en-US" w:eastAsia="en-US"/>
        <w14:ligatures w14:val="none"/>
      </w:rPr>
      <w:t>African journal of gastroenterology and hepatology</w:t>
    </w:r>
    <w:r w:rsidRPr="0038602F">
      <w:rPr>
        <w:rFonts w:ascii="Cambria" w:eastAsia="SimSun" w:hAnsi="Cambria" w:cs="Times New Roman"/>
        <w:kern w:val="0"/>
        <w:sz w:val="18"/>
        <w:szCs w:val="18"/>
        <w:lang w:val="en-US" w:eastAsia="en-US"/>
        <w14:ligatures w14:val="none"/>
      </w:rPr>
      <w:tab/>
    </w:r>
    <w:r w:rsidRPr="0038602F">
      <w:rPr>
        <w:rFonts w:ascii="Calibri Light" w:eastAsia="SimSun" w:hAnsi="Calibri Light" w:cs="Times New Roman"/>
        <w:noProof/>
        <w:kern w:val="0"/>
        <w:sz w:val="32"/>
        <w:szCs w:val="32"/>
        <w:lang w:val="en-US" w:eastAsia="en-US"/>
      </w:rPr>
      <w:drawing>
        <wp:inline distT="0" distB="0" distL="0" distR="0" wp14:anchorId="1B01C27C" wp14:editId="2D8ED8ED">
          <wp:extent cx="1428750" cy="209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357C"/>
    <w:multiLevelType w:val="hybridMultilevel"/>
    <w:tmpl w:val="45E82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BD71A2"/>
    <w:multiLevelType w:val="hybridMultilevel"/>
    <w:tmpl w:val="62BC55D4"/>
    <w:lvl w:ilvl="0" w:tplc="579C600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70DF3"/>
    <w:multiLevelType w:val="hybridMultilevel"/>
    <w:tmpl w:val="8888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35924"/>
    <w:multiLevelType w:val="hybridMultilevel"/>
    <w:tmpl w:val="9488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82B15"/>
    <w:multiLevelType w:val="hybridMultilevel"/>
    <w:tmpl w:val="FD94A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704976"/>
    <w:multiLevelType w:val="hybridMultilevel"/>
    <w:tmpl w:val="E034C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B23F3"/>
    <w:multiLevelType w:val="hybridMultilevel"/>
    <w:tmpl w:val="C3B22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A4608"/>
    <w:multiLevelType w:val="hybridMultilevel"/>
    <w:tmpl w:val="CC3004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FC2114D"/>
    <w:multiLevelType w:val="hybridMultilevel"/>
    <w:tmpl w:val="B91261C0"/>
    <w:lvl w:ilvl="0" w:tplc="FFFFFFFF">
      <w:start w:val="13"/>
      <w:numFmt w:val="decimal"/>
      <w:lvlText w:val="%1"/>
      <w:lvlJc w:val="left"/>
      <w:pPr>
        <w:ind w:left="720" w:hanging="360"/>
      </w:pPr>
      <w:rPr>
        <w:rFonts w:hint="default"/>
      </w:rPr>
    </w:lvl>
    <w:lvl w:ilvl="1" w:tplc="0F849B94">
      <w:start w:val="15"/>
      <w:numFmt w:val="decimal"/>
      <w:lvlText w:val="%2"/>
      <w:lvlJc w:val="left"/>
      <w:pPr>
        <w:ind w:left="1440" w:hanging="360"/>
      </w:pPr>
      <w:rPr>
        <w:rFonts w:hint="default"/>
      </w:rPr>
    </w:lvl>
    <w:lvl w:ilvl="2" w:tplc="95D0C932">
      <w:start w:val="1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140364">
    <w:abstractNumId w:val="0"/>
  </w:num>
  <w:num w:numId="2" w16cid:durableId="1403143146">
    <w:abstractNumId w:val="1"/>
  </w:num>
  <w:num w:numId="3" w16cid:durableId="600990013">
    <w:abstractNumId w:val="4"/>
  </w:num>
  <w:num w:numId="4" w16cid:durableId="1415515516">
    <w:abstractNumId w:val="5"/>
  </w:num>
  <w:num w:numId="5" w16cid:durableId="609705495">
    <w:abstractNumId w:val="3"/>
  </w:num>
  <w:num w:numId="6" w16cid:durableId="842938171">
    <w:abstractNumId w:val="7"/>
  </w:num>
  <w:num w:numId="7" w16cid:durableId="1349134848">
    <w:abstractNumId w:val="8"/>
  </w:num>
  <w:num w:numId="8" w16cid:durableId="1686134296">
    <w:abstractNumId w:val="6"/>
  </w:num>
  <w:num w:numId="9" w16cid:durableId="1138769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DD"/>
    <w:rsid w:val="00000A89"/>
    <w:rsid w:val="00002ADA"/>
    <w:rsid w:val="00013C53"/>
    <w:rsid w:val="00014A6A"/>
    <w:rsid w:val="000240AD"/>
    <w:rsid w:val="0002493B"/>
    <w:rsid w:val="000263A0"/>
    <w:rsid w:val="000362C6"/>
    <w:rsid w:val="00042F70"/>
    <w:rsid w:val="00057483"/>
    <w:rsid w:val="00061294"/>
    <w:rsid w:val="00064B26"/>
    <w:rsid w:val="00072CE1"/>
    <w:rsid w:val="00092189"/>
    <w:rsid w:val="000A11EA"/>
    <w:rsid w:val="000A1DF4"/>
    <w:rsid w:val="000B1A5A"/>
    <w:rsid w:val="000B3DAB"/>
    <w:rsid w:val="000B4462"/>
    <w:rsid w:val="000C4B88"/>
    <w:rsid w:val="000D3BC7"/>
    <w:rsid w:val="000E16E0"/>
    <w:rsid w:val="001002A5"/>
    <w:rsid w:val="001015AD"/>
    <w:rsid w:val="00114C93"/>
    <w:rsid w:val="0011588C"/>
    <w:rsid w:val="001219C5"/>
    <w:rsid w:val="001245D3"/>
    <w:rsid w:val="0013107D"/>
    <w:rsid w:val="001340DD"/>
    <w:rsid w:val="00135979"/>
    <w:rsid w:val="001443D4"/>
    <w:rsid w:val="00151885"/>
    <w:rsid w:val="0016290E"/>
    <w:rsid w:val="001674FA"/>
    <w:rsid w:val="00172A62"/>
    <w:rsid w:val="0017498D"/>
    <w:rsid w:val="00176741"/>
    <w:rsid w:val="0018116F"/>
    <w:rsid w:val="001852A8"/>
    <w:rsid w:val="001B394D"/>
    <w:rsid w:val="001B7CDC"/>
    <w:rsid w:val="001C4AED"/>
    <w:rsid w:val="001D397B"/>
    <w:rsid w:val="001D615E"/>
    <w:rsid w:val="001E2E9D"/>
    <w:rsid w:val="001E3220"/>
    <w:rsid w:val="001E7F48"/>
    <w:rsid w:val="001F32DA"/>
    <w:rsid w:val="002008F1"/>
    <w:rsid w:val="0020337C"/>
    <w:rsid w:val="00205E07"/>
    <w:rsid w:val="00216132"/>
    <w:rsid w:val="0023444A"/>
    <w:rsid w:val="002434CE"/>
    <w:rsid w:val="0025227F"/>
    <w:rsid w:val="00257974"/>
    <w:rsid w:val="00260AFB"/>
    <w:rsid w:val="00267F8A"/>
    <w:rsid w:val="00273B23"/>
    <w:rsid w:val="00276252"/>
    <w:rsid w:val="002807DF"/>
    <w:rsid w:val="002809BB"/>
    <w:rsid w:val="0029120E"/>
    <w:rsid w:val="00297074"/>
    <w:rsid w:val="002A0950"/>
    <w:rsid w:val="002A4F50"/>
    <w:rsid w:val="002B7525"/>
    <w:rsid w:val="002B7F3E"/>
    <w:rsid w:val="002C0136"/>
    <w:rsid w:val="002D0988"/>
    <w:rsid w:val="002D2A24"/>
    <w:rsid w:val="002D5AA9"/>
    <w:rsid w:val="002E492D"/>
    <w:rsid w:val="002E6174"/>
    <w:rsid w:val="002E7867"/>
    <w:rsid w:val="002E78A9"/>
    <w:rsid w:val="002F0FDE"/>
    <w:rsid w:val="002F1444"/>
    <w:rsid w:val="002F4BF4"/>
    <w:rsid w:val="002F4E20"/>
    <w:rsid w:val="00312DED"/>
    <w:rsid w:val="003249DE"/>
    <w:rsid w:val="00331C94"/>
    <w:rsid w:val="00335D61"/>
    <w:rsid w:val="003365C4"/>
    <w:rsid w:val="00347162"/>
    <w:rsid w:val="00352785"/>
    <w:rsid w:val="003527D6"/>
    <w:rsid w:val="0035558F"/>
    <w:rsid w:val="00364B89"/>
    <w:rsid w:val="00364EFE"/>
    <w:rsid w:val="00366C14"/>
    <w:rsid w:val="00370F71"/>
    <w:rsid w:val="003720A6"/>
    <w:rsid w:val="00375A95"/>
    <w:rsid w:val="003772D4"/>
    <w:rsid w:val="0038602F"/>
    <w:rsid w:val="00391DF8"/>
    <w:rsid w:val="00395365"/>
    <w:rsid w:val="00396366"/>
    <w:rsid w:val="003B15DE"/>
    <w:rsid w:val="003C02FD"/>
    <w:rsid w:val="003D2443"/>
    <w:rsid w:val="003D4C34"/>
    <w:rsid w:val="003E4D1B"/>
    <w:rsid w:val="003F1FF3"/>
    <w:rsid w:val="003F4CA8"/>
    <w:rsid w:val="00417F7A"/>
    <w:rsid w:val="00421A31"/>
    <w:rsid w:val="004229F3"/>
    <w:rsid w:val="00423730"/>
    <w:rsid w:val="00424186"/>
    <w:rsid w:val="00431E2E"/>
    <w:rsid w:val="0043572A"/>
    <w:rsid w:val="004448C0"/>
    <w:rsid w:val="00450DDB"/>
    <w:rsid w:val="00482A55"/>
    <w:rsid w:val="00483257"/>
    <w:rsid w:val="00485156"/>
    <w:rsid w:val="004863E1"/>
    <w:rsid w:val="004903A7"/>
    <w:rsid w:val="0049403C"/>
    <w:rsid w:val="00494A9E"/>
    <w:rsid w:val="00495724"/>
    <w:rsid w:val="00495809"/>
    <w:rsid w:val="004B0C70"/>
    <w:rsid w:val="004B526A"/>
    <w:rsid w:val="004C511C"/>
    <w:rsid w:val="004D3DDA"/>
    <w:rsid w:val="004D4832"/>
    <w:rsid w:val="004E449F"/>
    <w:rsid w:val="004F19F6"/>
    <w:rsid w:val="004F2D92"/>
    <w:rsid w:val="00503ADC"/>
    <w:rsid w:val="00505D3B"/>
    <w:rsid w:val="00510E3F"/>
    <w:rsid w:val="005119A2"/>
    <w:rsid w:val="00523DA7"/>
    <w:rsid w:val="005409EC"/>
    <w:rsid w:val="00543523"/>
    <w:rsid w:val="005464F2"/>
    <w:rsid w:val="00567D9D"/>
    <w:rsid w:val="00580B5F"/>
    <w:rsid w:val="005856B9"/>
    <w:rsid w:val="00591D40"/>
    <w:rsid w:val="00594A23"/>
    <w:rsid w:val="0059501E"/>
    <w:rsid w:val="005C79E7"/>
    <w:rsid w:val="005D4182"/>
    <w:rsid w:val="005F363A"/>
    <w:rsid w:val="005F6674"/>
    <w:rsid w:val="005F7394"/>
    <w:rsid w:val="00611EC9"/>
    <w:rsid w:val="00615F23"/>
    <w:rsid w:val="0062008F"/>
    <w:rsid w:val="00622615"/>
    <w:rsid w:val="0062541B"/>
    <w:rsid w:val="00642F9E"/>
    <w:rsid w:val="00645027"/>
    <w:rsid w:val="0065200D"/>
    <w:rsid w:val="00652768"/>
    <w:rsid w:val="00657A96"/>
    <w:rsid w:val="006600D5"/>
    <w:rsid w:val="006626D2"/>
    <w:rsid w:val="00665242"/>
    <w:rsid w:val="00680CC6"/>
    <w:rsid w:val="00682964"/>
    <w:rsid w:val="00690DF4"/>
    <w:rsid w:val="00697558"/>
    <w:rsid w:val="006A7D98"/>
    <w:rsid w:val="006B5E47"/>
    <w:rsid w:val="006C1F86"/>
    <w:rsid w:val="006C2958"/>
    <w:rsid w:val="006D1568"/>
    <w:rsid w:val="006E1B4D"/>
    <w:rsid w:val="006E207E"/>
    <w:rsid w:val="006F0530"/>
    <w:rsid w:val="006F3442"/>
    <w:rsid w:val="006F4901"/>
    <w:rsid w:val="006F4FF3"/>
    <w:rsid w:val="006F56D3"/>
    <w:rsid w:val="00711936"/>
    <w:rsid w:val="007267D9"/>
    <w:rsid w:val="007274F3"/>
    <w:rsid w:val="00730DDC"/>
    <w:rsid w:val="007353AB"/>
    <w:rsid w:val="00737521"/>
    <w:rsid w:val="00742CB6"/>
    <w:rsid w:val="00747442"/>
    <w:rsid w:val="00747BF2"/>
    <w:rsid w:val="00761220"/>
    <w:rsid w:val="00777F59"/>
    <w:rsid w:val="007907E7"/>
    <w:rsid w:val="00790EBE"/>
    <w:rsid w:val="007B2EE9"/>
    <w:rsid w:val="007D6397"/>
    <w:rsid w:val="007D6CE0"/>
    <w:rsid w:val="007D6E9B"/>
    <w:rsid w:val="007D72E2"/>
    <w:rsid w:val="007D7E03"/>
    <w:rsid w:val="007E7633"/>
    <w:rsid w:val="007F2B8A"/>
    <w:rsid w:val="007F33ED"/>
    <w:rsid w:val="00810E25"/>
    <w:rsid w:val="00811914"/>
    <w:rsid w:val="0082142B"/>
    <w:rsid w:val="0082338A"/>
    <w:rsid w:val="00823AC8"/>
    <w:rsid w:val="0082504C"/>
    <w:rsid w:val="00836AA3"/>
    <w:rsid w:val="00843C22"/>
    <w:rsid w:val="008476D1"/>
    <w:rsid w:val="00852B50"/>
    <w:rsid w:val="008559F0"/>
    <w:rsid w:val="00857AE0"/>
    <w:rsid w:val="00861A2E"/>
    <w:rsid w:val="00863B2B"/>
    <w:rsid w:val="00866682"/>
    <w:rsid w:val="00880219"/>
    <w:rsid w:val="00887D9D"/>
    <w:rsid w:val="0089087F"/>
    <w:rsid w:val="008B202A"/>
    <w:rsid w:val="008B6019"/>
    <w:rsid w:val="008B7DAB"/>
    <w:rsid w:val="008D62FC"/>
    <w:rsid w:val="008E0568"/>
    <w:rsid w:val="00915011"/>
    <w:rsid w:val="0094035C"/>
    <w:rsid w:val="009425AE"/>
    <w:rsid w:val="00943530"/>
    <w:rsid w:val="00951EFE"/>
    <w:rsid w:val="00953000"/>
    <w:rsid w:val="00967B1F"/>
    <w:rsid w:val="009818FD"/>
    <w:rsid w:val="0098548B"/>
    <w:rsid w:val="00986127"/>
    <w:rsid w:val="009919DB"/>
    <w:rsid w:val="00991C97"/>
    <w:rsid w:val="009A2647"/>
    <w:rsid w:val="009A6D66"/>
    <w:rsid w:val="009B07CE"/>
    <w:rsid w:val="009B48AD"/>
    <w:rsid w:val="009C6969"/>
    <w:rsid w:val="009E0868"/>
    <w:rsid w:val="009E402A"/>
    <w:rsid w:val="00A126CA"/>
    <w:rsid w:val="00A2241A"/>
    <w:rsid w:val="00A57F99"/>
    <w:rsid w:val="00A6114C"/>
    <w:rsid w:val="00A649C3"/>
    <w:rsid w:val="00A67672"/>
    <w:rsid w:val="00A7095A"/>
    <w:rsid w:val="00A7313D"/>
    <w:rsid w:val="00A87CF4"/>
    <w:rsid w:val="00AA0F46"/>
    <w:rsid w:val="00AA25EC"/>
    <w:rsid w:val="00AC19DE"/>
    <w:rsid w:val="00AC1E9A"/>
    <w:rsid w:val="00AC22CA"/>
    <w:rsid w:val="00AC5DD5"/>
    <w:rsid w:val="00AC608C"/>
    <w:rsid w:val="00AC6E22"/>
    <w:rsid w:val="00AD1498"/>
    <w:rsid w:val="00AE6B4F"/>
    <w:rsid w:val="00AF6FA9"/>
    <w:rsid w:val="00B01AE7"/>
    <w:rsid w:val="00B07E10"/>
    <w:rsid w:val="00B11810"/>
    <w:rsid w:val="00B1527F"/>
    <w:rsid w:val="00B236F0"/>
    <w:rsid w:val="00B41E48"/>
    <w:rsid w:val="00B42DDD"/>
    <w:rsid w:val="00B43645"/>
    <w:rsid w:val="00B44A58"/>
    <w:rsid w:val="00B459CA"/>
    <w:rsid w:val="00B50ACB"/>
    <w:rsid w:val="00B50B69"/>
    <w:rsid w:val="00B53392"/>
    <w:rsid w:val="00B544C2"/>
    <w:rsid w:val="00B55524"/>
    <w:rsid w:val="00B56FE4"/>
    <w:rsid w:val="00B73321"/>
    <w:rsid w:val="00B95C01"/>
    <w:rsid w:val="00BA1D1F"/>
    <w:rsid w:val="00BB5D9C"/>
    <w:rsid w:val="00BC54BF"/>
    <w:rsid w:val="00BD6352"/>
    <w:rsid w:val="00BF1139"/>
    <w:rsid w:val="00BF3D6E"/>
    <w:rsid w:val="00C0566B"/>
    <w:rsid w:val="00C068EA"/>
    <w:rsid w:val="00C06B56"/>
    <w:rsid w:val="00C11BB6"/>
    <w:rsid w:val="00C12B13"/>
    <w:rsid w:val="00C13ABC"/>
    <w:rsid w:val="00C13AF8"/>
    <w:rsid w:val="00C21A4E"/>
    <w:rsid w:val="00C31608"/>
    <w:rsid w:val="00C3243D"/>
    <w:rsid w:val="00C35B7C"/>
    <w:rsid w:val="00C60040"/>
    <w:rsid w:val="00C70655"/>
    <w:rsid w:val="00C83A4F"/>
    <w:rsid w:val="00C933F1"/>
    <w:rsid w:val="00CA0B09"/>
    <w:rsid w:val="00CA114B"/>
    <w:rsid w:val="00CA3641"/>
    <w:rsid w:val="00CC200A"/>
    <w:rsid w:val="00CD1915"/>
    <w:rsid w:val="00CE510A"/>
    <w:rsid w:val="00CE63B3"/>
    <w:rsid w:val="00CE7211"/>
    <w:rsid w:val="00CF0D18"/>
    <w:rsid w:val="00CF5249"/>
    <w:rsid w:val="00D15109"/>
    <w:rsid w:val="00D1565B"/>
    <w:rsid w:val="00D168CA"/>
    <w:rsid w:val="00D20120"/>
    <w:rsid w:val="00D275E6"/>
    <w:rsid w:val="00D33645"/>
    <w:rsid w:val="00D35330"/>
    <w:rsid w:val="00D45D70"/>
    <w:rsid w:val="00D50544"/>
    <w:rsid w:val="00D7134C"/>
    <w:rsid w:val="00D75F47"/>
    <w:rsid w:val="00D76361"/>
    <w:rsid w:val="00D923F4"/>
    <w:rsid w:val="00DB2CFE"/>
    <w:rsid w:val="00DB4245"/>
    <w:rsid w:val="00DB5908"/>
    <w:rsid w:val="00DD14A5"/>
    <w:rsid w:val="00DE2041"/>
    <w:rsid w:val="00DE7F2A"/>
    <w:rsid w:val="00DF325C"/>
    <w:rsid w:val="00DF32CD"/>
    <w:rsid w:val="00DF56C0"/>
    <w:rsid w:val="00DF5A2F"/>
    <w:rsid w:val="00E02882"/>
    <w:rsid w:val="00E0347E"/>
    <w:rsid w:val="00E05BB0"/>
    <w:rsid w:val="00E17CE7"/>
    <w:rsid w:val="00E17E13"/>
    <w:rsid w:val="00E20351"/>
    <w:rsid w:val="00E319D3"/>
    <w:rsid w:val="00E43024"/>
    <w:rsid w:val="00E44998"/>
    <w:rsid w:val="00E47CF4"/>
    <w:rsid w:val="00E55AC8"/>
    <w:rsid w:val="00E63A9B"/>
    <w:rsid w:val="00E64D44"/>
    <w:rsid w:val="00E7088F"/>
    <w:rsid w:val="00E72695"/>
    <w:rsid w:val="00E8172F"/>
    <w:rsid w:val="00E870B3"/>
    <w:rsid w:val="00E94DAD"/>
    <w:rsid w:val="00E9651B"/>
    <w:rsid w:val="00EA02D5"/>
    <w:rsid w:val="00EA63B1"/>
    <w:rsid w:val="00EB2C1B"/>
    <w:rsid w:val="00EC26B0"/>
    <w:rsid w:val="00ED1F81"/>
    <w:rsid w:val="00ED220D"/>
    <w:rsid w:val="00ED40B8"/>
    <w:rsid w:val="00ED6DA9"/>
    <w:rsid w:val="00ED78CD"/>
    <w:rsid w:val="00F063F1"/>
    <w:rsid w:val="00F232FA"/>
    <w:rsid w:val="00F31A93"/>
    <w:rsid w:val="00F31CB7"/>
    <w:rsid w:val="00F3572C"/>
    <w:rsid w:val="00F422D3"/>
    <w:rsid w:val="00F439DD"/>
    <w:rsid w:val="00F44635"/>
    <w:rsid w:val="00F50F19"/>
    <w:rsid w:val="00F54E5E"/>
    <w:rsid w:val="00F76C02"/>
    <w:rsid w:val="00F776BE"/>
    <w:rsid w:val="00F844A5"/>
    <w:rsid w:val="00FA27CF"/>
    <w:rsid w:val="00FA704E"/>
    <w:rsid w:val="00FA74D5"/>
    <w:rsid w:val="00FC0F51"/>
    <w:rsid w:val="00FC43FF"/>
    <w:rsid w:val="00FC5DCA"/>
    <w:rsid w:val="00FD1A9E"/>
    <w:rsid w:val="00FD4A2D"/>
    <w:rsid w:val="00FD5CB4"/>
    <w:rsid w:val="00FE1458"/>
    <w:rsid w:val="00FE580C"/>
    <w:rsid w:val="00FE7317"/>
    <w:rsid w:val="00FF61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2B3F9"/>
  <w15:chartTrackingRefBased/>
  <w15:docId w15:val="{8960E374-3B02-544F-BF42-A256CCA2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4C"/>
  </w:style>
  <w:style w:type="paragraph" w:styleId="Heading1">
    <w:name w:val="heading 1"/>
    <w:basedOn w:val="Normal"/>
    <w:next w:val="Normal"/>
    <w:link w:val="Heading1Char"/>
    <w:uiPriority w:val="9"/>
    <w:qFormat/>
    <w:rsid w:val="00F43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9DD"/>
    <w:rPr>
      <w:rFonts w:eastAsiaTheme="majorEastAsia" w:cstheme="majorBidi"/>
      <w:color w:val="272727" w:themeColor="text1" w:themeTint="D8"/>
    </w:rPr>
  </w:style>
  <w:style w:type="paragraph" w:styleId="Title">
    <w:name w:val="Title"/>
    <w:basedOn w:val="Normal"/>
    <w:next w:val="Normal"/>
    <w:link w:val="TitleChar"/>
    <w:uiPriority w:val="10"/>
    <w:qFormat/>
    <w:rsid w:val="00F43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9DD"/>
    <w:pPr>
      <w:spacing w:before="160"/>
      <w:jc w:val="center"/>
    </w:pPr>
    <w:rPr>
      <w:i/>
      <w:iCs/>
      <w:color w:val="404040" w:themeColor="text1" w:themeTint="BF"/>
    </w:rPr>
  </w:style>
  <w:style w:type="character" w:customStyle="1" w:styleId="QuoteChar">
    <w:name w:val="Quote Char"/>
    <w:basedOn w:val="DefaultParagraphFont"/>
    <w:link w:val="Quote"/>
    <w:uiPriority w:val="29"/>
    <w:rsid w:val="00F439DD"/>
    <w:rPr>
      <w:i/>
      <w:iCs/>
      <w:color w:val="404040" w:themeColor="text1" w:themeTint="BF"/>
    </w:rPr>
  </w:style>
  <w:style w:type="paragraph" w:styleId="ListParagraph">
    <w:name w:val="List Paragraph"/>
    <w:basedOn w:val="Normal"/>
    <w:uiPriority w:val="34"/>
    <w:qFormat/>
    <w:rsid w:val="00F439DD"/>
    <w:pPr>
      <w:ind w:left="720"/>
      <w:contextualSpacing/>
    </w:pPr>
  </w:style>
  <w:style w:type="character" w:styleId="IntenseEmphasis">
    <w:name w:val="Intense Emphasis"/>
    <w:basedOn w:val="DefaultParagraphFont"/>
    <w:uiPriority w:val="21"/>
    <w:qFormat/>
    <w:rsid w:val="00F439DD"/>
    <w:rPr>
      <w:i/>
      <w:iCs/>
      <w:color w:val="0F4761" w:themeColor="accent1" w:themeShade="BF"/>
    </w:rPr>
  </w:style>
  <w:style w:type="paragraph" w:styleId="IntenseQuote">
    <w:name w:val="Intense Quote"/>
    <w:basedOn w:val="Normal"/>
    <w:next w:val="Normal"/>
    <w:link w:val="IntenseQuoteChar"/>
    <w:uiPriority w:val="30"/>
    <w:qFormat/>
    <w:rsid w:val="00F43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9DD"/>
    <w:rPr>
      <w:i/>
      <w:iCs/>
      <w:color w:val="0F4761" w:themeColor="accent1" w:themeShade="BF"/>
    </w:rPr>
  </w:style>
  <w:style w:type="character" w:styleId="IntenseReference">
    <w:name w:val="Intense Reference"/>
    <w:basedOn w:val="DefaultParagraphFont"/>
    <w:uiPriority w:val="32"/>
    <w:qFormat/>
    <w:rsid w:val="00F439DD"/>
    <w:rPr>
      <w:b/>
      <w:bCs/>
      <w:smallCaps/>
      <w:color w:val="0F4761" w:themeColor="accent1" w:themeShade="BF"/>
      <w:spacing w:val="5"/>
    </w:rPr>
  </w:style>
  <w:style w:type="paragraph" w:styleId="NoSpacing">
    <w:name w:val="No Spacing"/>
    <w:uiPriority w:val="1"/>
    <w:qFormat/>
    <w:rsid w:val="00F439DD"/>
    <w:pPr>
      <w:spacing w:after="0" w:line="240" w:lineRule="auto"/>
    </w:pPr>
    <w:rPr>
      <w:sz w:val="22"/>
      <w:szCs w:val="22"/>
    </w:rPr>
  </w:style>
  <w:style w:type="table" w:styleId="TableGrid">
    <w:name w:val="Table Grid"/>
    <w:basedOn w:val="TableNormal"/>
    <w:uiPriority w:val="39"/>
    <w:rsid w:val="00863B2B"/>
    <w:pPr>
      <w:spacing w:after="0" w:line="240" w:lineRule="auto"/>
    </w:pPr>
    <w:rPr>
      <w:rFonts w:ascii="Aptos" w:eastAsia="Aptos" w:hAnsi="Aptos"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3B2B"/>
    <w:pPr>
      <w:spacing w:after="0" w:line="240" w:lineRule="auto"/>
    </w:pPr>
    <w:rPr>
      <w:rFonts w:ascii="Aptos" w:eastAsia="Aptos" w:hAnsi="Aptos"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B2B"/>
    <w:pPr>
      <w:spacing w:after="0" w:line="240" w:lineRule="auto"/>
    </w:pPr>
    <w:rPr>
      <w:rFonts w:ascii="Aptos" w:eastAsia="Aptos" w:hAnsi="Aptos"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C70"/>
    <w:rPr>
      <w:color w:val="467886" w:themeColor="hyperlink"/>
      <w:u w:val="single"/>
    </w:rPr>
  </w:style>
  <w:style w:type="character" w:customStyle="1" w:styleId="css-7gslln">
    <w:name w:val="css-7gslln"/>
    <w:basedOn w:val="DefaultParagraphFont"/>
    <w:rsid w:val="00594A23"/>
  </w:style>
  <w:style w:type="character" w:customStyle="1" w:styleId="css-1f32sl1">
    <w:name w:val="css-1f32sl1"/>
    <w:basedOn w:val="DefaultParagraphFont"/>
    <w:rsid w:val="00594A23"/>
  </w:style>
  <w:style w:type="character" w:customStyle="1" w:styleId="css-10o52y0">
    <w:name w:val="css-10o52y0"/>
    <w:basedOn w:val="DefaultParagraphFont"/>
    <w:rsid w:val="00594A23"/>
  </w:style>
  <w:style w:type="character" w:customStyle="1" w:styleId="css-1fxatq4">
    <w:name w:val="css-1fxatq4"/>
    <w:basedOn w:val="DefaultParagraphFont"/>
    <w:rsid w:val="00594A23"/>
  </w:style>
  <w:style w:type="character" w:customStyle="1" w:styleId="css-0">
    <w:name w:val="css-0"/>
    <w:basedOn w:val="DefaultParagraphFont"/>
    <w:rsid w:val="00594A23"/>
  </w:style>
  <w:style w:type="character" w:customStyle="1" w:styleId="css-1g9q2al">
    <w:name w:val="css-1g9q2al"/>
    <w:basedOn w:val="DefaultParagraphFont"/>
    <w:rsid w:val="00594A23"/>
  </w:style>
  <w:style w:type="character" w:customStyle="1" w:styleId="css-lq4jk2">
    <w:name w:val="css-lq4jk2"/>
    <w:basedOn w:val="DefaultParagraphFont"/>
    <w:rsid w:val="005F6674"/>
  </w:style>
  <w:style w:type="paragraph" w:styleId="Header">
    <w:name w:val="header"/>
    <w:basedOn w:val="Normal"/>
    <w:link w:val="HeaderChar"/>
    <w:uiPriority w:val="99"/>
    <w:unhideWhenUsed/>
    <w:rsid w:val="0038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02F"/>
  </w:style>
  <w:style w:type="paragraph" w:styleId="Footer">
    <w:name w:val="footer"/>
    <w:basedOn w:val="Normal"/>
    <w:link w:val="FooterChar"/>
    <w:uiPriority w:val="99"/>
    <w:unhideWhenUsed/>
    <w:rsid w:val="0038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02F"/>
  </w:style>
  <w:style w:type="character" w:styleId="UnresolvedMention">
    <w:name w:val="Unresolved Mention"/>
    <w:basedOn w:val="DefaultParagraphFont"/>
    <w:uiPriority w:val="99"/>
    <w:semiHidden/>
    <w:unhideWhenUsed/>
    <w:rsid w:val="0038602F"/>
    <w:rPr>
      <w:color w:val="605E5C"/>
      <w:shd w:val="clear" w:color="auto" w:fill="E1DFDD"/>
    </w:rPr>
  </w:style>
  <w:style w:type="paragraph" w:styleId="Caption">
    <w:name w:val="caption"/>
    <w:basedOn w:val="Normal"/>
    <w:next w:val="Normal"/>
    <w:uiPriority w:val="35"/>
    <w:unhideWhenUsed/>
    <w:qFormat/>
    <w:rsid w:val="006626D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AJGH%202025\Cross%20Sectional%20study%20clarifying%20The%20possible%20connection%20Between%20Irritable%20Bowel%20Syndrome%20And%20Serum%20level%20Of%20Vitamin%20D\publication\10.21608\ajgh.%202025.407297.1088" TargetMode="External"/><Relationship Id="rId3" Type="http://schemas.openxmlformats.org/officeDocument/2006/relationships/settings" Target="settings.xml"/><Relationship Id="rId7" Type="http://schemas.openxmlformats.org/officeDocument/2006/relationships/hyperlink" Target="file:///D:\AJGH%202025\Cross%20Sectional%20study%20clarifying%20The%20possible%20connection%20Between%20Irritable%20Bowel%20Syndrome%20And%20Serum%20level%20Of%20Vitamin%20D\publication\Shaimaa.mansour@med.tanta.edu.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3529</Words>
  <Characters>20544</Characters>
  <Application>Microsoft Office Word</Application>
  <DocSecurity>0</DocSecurity>
  <Lines>428</Lines>
  <Paragraphs>243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cross-sectional study clarifying the possible connection Between Irritable Bow</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Shimaa Mansour</dc:creator>
  <cp:keywords/>
  <dc:description/>
  <cp:lastModifiedBy>salem</cp:lastModifiedBy>
  <cp:revision>2</cp:revision>
  <dcterms:created xsi:type="dcterms:W3CDTF">2025-10-15T09:08:00Z</dcterms:created>
  <dcterms:modified xsi:type="dcterms:W3CDTF">2025-10-15T09:08:00Z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cb403556-ad38-4d61-b49c-85952fd16e4d</vt:lpwstr>
  </property>
</Properties>
</file>